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161B" w:rsidRDefault="0007161B" w:rsidP="007860BB">
      <w:pPr>
        <w:pStyle w:val="PanelTitle"/>
      </w:pPr>
      <w:bookmarkStart w:id="0" w:name="_GoBack"/>
      <w:bookmarkEnd w:id="0"/>
      <w:r>
        <w:t>European Communit</w:t>
      </w:r>
      <w:r w:rsidR="00206309">
        <w:t xml:space="preserve">ies and Certain Member States – </w:t>
      </w:r>
      <w:r>
        <w:br/>
        <w:t>Measures Affecting Trade in Large Civil Aircraft</w:t>
      </w:r>
    </w:p>
    <w:p w:rsidR="0007161B" w:rsidRPr="003E3C32" w:rsidRDefault="0007161B" w:rsidP="00206326">
      <w:pPr>
        <w:pStyle w:val="Title2"/>
      </w:pPr>
      <w:r>
        <w:t xml:space="preserve">Recourse to </w:t>
      </w:r>
      <w:r w:rsidR="000A10EA">
        <w:t>Article </w:t>
      </w:r>
      <w:r>
        <w:t xml:space="preserve">21.5 of the DSU by the </w:t>
      </w:r>
      <w:r w:rsidR="000A10EA">
        <w:t>United States</w:t>
      </w:r>
    </w:p>
    <w:p w:rsidR="0007161B" w:rsidRPr="00EF273A" w:rsidRDefault="0007161B" w:rsidP="00206326">
      <w:pPr>
        <w:pStyle w:val="Title2"/>
      </w:pPr>
      <w:r>
        <w:t>AB-2016-6</w:t>
      </w:r>
    </w:p>
    <w:p w:rsidR="0007161B" w:rsidRDefault="0007161B" w:rsidP="00206326">
      <w:pPr>
        <w:pStyle w:val="Title3"/>
      </w:pPr>
      <w:r>
        <w:t xml:space="preserve">Report of the </w:t>
      </w:r>
      <w:r w:rsidR="000A10EA">
        <w:t>Appellate Body</w:t>
      </w:r>
    </w:p>
    <w:p w:rsidR="001357BA" w:rsidRDefault="001357BA" w:rsidP="001357BA">
      <w:pPr>
        <w:rPr>
          <w:lang w:eastAsia="en-GB"/>
        </w:rPr>
      </w:pPr>
    </w:p>
    <w:p w:rsidR="001357BA" w:rsidRDefault="001357BA" w:rsidP="001357BA">
      <w:pPr>
        <w:rPr>
          <w:lang w:eastAsia="en-GB"/>
        </w:rPr>
      </w:pPr>
    </w:p>
    <w:p w:rsidR="001357BA" w:rsidRDefault="001357BA" w:rsidP="001357BA">
      <w:pPr>
        <w:rPr>
          <w:lang w:eastAsia="en-GB"/>
        </w:rPr>
      </w:pPr>
    </w:p>
    <w:p w:rsidR="001357BA" w:rsidRPr="001357BA" w:rsidRDefault="001357BA" w:rsidP="001357BA">
      <w:pPr>
        <w:pStyle w:val="Title3"/>
      </w:pPr>
      <w:r w:rsidRPr="001357BA">
        <w:t xml:space="preserve">BCI redacted, as marked </w:t>
      </w:r>
      <w:r w:rsidRPr="001357BA">
        <w:rPr>
          <w:b/>
          <w:i w:val="0"/>
        </w:rPr>
        <w:t>[BCI]</w:t>
      </w:r>
    </w:p>
    <w:p w:rsidR="001357BA" w:rsidRPr="001357BA" w:rsidRDefault="001357BA" w:rsidP="001357BA">
      <w:pPr>
        <w:rPr>
          <w:lang w:eastAsia="en-GB"/>
        </w:rPr>
      </w:pPr>
    </w:p>
    <w:p w:rsidR="0007161B" w:rsidRDefault="0007161B" w:rsidP="00206326">
      <w:pPr>
        <w:rPr>
          <w:lang w:eastAsia="en-GB"/>
        </w:rPr>
      </w:pPr>
      <w:r>
        <w:rPr>
          <w:lang w:eastAsia="en-GB"/>
        </w:rPr>
        <w:fldChar w:fldCharType="begin"/>
      </w:r>
      <w:r>
        <w:rPr>
          <w:lang w:eastAsia="en-GB"/>
        </w:rPr>
        <w:instrText xml:space="preserve"> ADVANCE  \y 600 </w:instrText>
      </w:r>
      <w:r>
        <w:rPr>
          <w:lang w:eastAsia="en-GB"/>
        </w:rPr>
        <w:fldChar w:fldCharType="end"/>
      </w:r>
    </w:p>
    <w:p w:rsidR="0007161B" w:rsidRPr="00EF273A" w:rsidRDefault="0007161B" w:rsidP="00206326">
      <w:pPr>
        <w:rPr>
          <w:lang w:eastAsia="en-GB"/>
        </w:rPr>
      </w:pPr>
    </w:p>
    <w:p w:rsidR="0007161B" w:rsidRDefault="0007161B" w:rsidP="00206326">
      <w:pPr>
        <w:pStyle w:val="TOCHeading"/>
      </w:pPr>
      <w:r>
        <w:br w:type="page"/>
      </w:r>
      <w:r>
        <w:lastRenderedPageBreak/>
        <w:t xml:space="preserve">Table of </w:t>
      </w:r>
      <w:r w:rsidRPr="00EF273A">
        <w:t>Contents</w:t>
      </w:r>
    </w:p>
    <w:p w:rsidR="0007161B" w:rsidRDefault="0007161B" w:rsidP="00206326"/>
    <w:p w:rsidR="00C35490" w:rsidRDefault="0007161B">
      <w:pPr>
        <w:pStyle w:val="TOC1"/>
        <w:rPr>
          <w:rFonts w:asciiTheme="minorHAnsi" w:eastAsiaTheme="minorEastAsia" w:hAnsiTheme="minorHAnsi" w:cstheme="minorBidi"/>
          <w:b w:val="0"/>
          <w:caps w:val="0"/>
          <w:noProof/>
          <w:sz w:val="22"/>
          <w:szCs w:val="22"/>
        </w:rPr>
      </w:pPr>
      <w:r>
        <w:fldChar w:fldCharType="begin"/>
      </w:r>
      <w:r>
        <w:instrText xml:space="preserve"> TOC \o "1-6" \h \z \u </w:instrText>
      </w:r>
      <w:r>
        <w:fldChar w:fldCharType="separate"/>
      </w:r>
      <w:hyperlink w:anchor="_Toc514059196" w:history="1">
        <w:r w:rsidR="00C35490" w:rsidRPr="00DB06B3">
          <w:rPr>
            <w:rStyle w:val="Hyperlink"/>
            <w:noProof/>
          </w:rPr>
          <w:t>1   Introduction</w:t>
        </w:r>
        <w:r w:rsidR="00C35490">
          <w:rPr>
            <w:noProof/>
            <w:webHidden/>
          </w:rPr>
          <w:tab/>
        </w:r>
        <w:r w:rsidR="00C35490">
          <w:rPr>
            <w:noProof/>
            <w:webHidden/>
          </w:rPr>
          <w:fldChar w:fldCharType="begin"/>
        </w:r>
        <w:r w:rsidR="00C35490">
          <w:rPr>
            <w:noProof/>
            <w:webHidden/>
          </w:rPr>
          <w:instrText xml:space="preserve"> PAGEREF _Toc514059196 \h </w:instrText>
        </w:r>
        <w:r w:rsidR="00C35490">
          <w:rPr>
            <w:noProof/>
            <w:webHidden/>
          </w:rPr>
        </w:r>
        <w:r w:rsidR="00C35490">
          <w:rPr>
            <w:noProof/>
            <w:webHidden/>
          </w:rPr>
          <w:fldChar w:fldCharType="separate"/>
        </w:r>
        <w:r w:rsidR="00FD2727">
          <w:rPr>
            <w:noProof/>
            <w:webHidden/>
          </w:rPr>
          <w:t>12</w:t>
        </w:r>
        <w:r w:rsidR="00C35490">
          <w:rPr>
            <w:noProof/>
            <w:webHidden/>
          </w:rPr>
          <w:fldChar w:fldCharType="end"/>
        </w:r>
      </w:hyperlink>
    </w:p>
    <w:p w:rsidR="00C35490" w:rsidRDefault="009A724D">
      <w:pPr>
        <w:pStyle w:val="TOC2"/>
        <w:rPr>
          <w:rFonts w:asciiTheme="minorHAnsi" w:eastAsiaTheme="minorEastAsia" w:hAnsiTheme="minorHAnsi" w:cstheme="minorBidi"/>
          <w:noProof/>
          <w:sz w:val="22"/>
          <w:szCs w:val="22"/>
        </w:rPr>
      </w:pPr>
      <w:hyperlink w:anchor="_Toc514059197" w:history="1">
        <w:r w:rsidR="00C35490" w:rsidRPr="00DB06B3">
          <w:rPr>
            <w:rStyle w:val="Hyperlink"/>
            <w:noProof/>
          </w:rPr>
          <w:t>1.1   Original proceedings</w:t>
        </w:r>
        <w:r w:rsidR="00C35490">
          <w:rPr>
            <w:noProof/>
            <w:webHidden/>
          </w:rPr>
          <w:tab/>
        </w:r>
        <w:r w:rsidR="00C35490">
          <w:rPr>
            <w:noProof/>
            <w:webHidden/>
          </w:rPr>
          <w:fldChar w:fldCharType="begin"/>
        </w:r>
        <w:r w:rsidR="00C35490">
          <w:rPr>
            <w:noProof/>
            <w:webHidden/>
          </w:rPr>
          <w:instrText xml:space="preserve"> PAGEREF _Toc514059197 \h </w:instrText>
        </w:r>
        <w:r w:rsidR="00C35490">
          <w:rPr>
            <w:noProof/>
            <w:webHidden/>
          </w:rPr>
        </w:r>
        <w:r w:rsidR="00C35490">
          <w:rPr>
            <w:noProof/>
            <w:webHidden/>
          </w:rPr>
          <w:fldChar w:fldCharType="separate"/>
        </w:r>
        <w:r w:rsidR="00FD2727">
          <w:rPr>
            <w:noProof/>
            <w:webHidden/>
          </w:rPr>
          <w:t>12</w:t>
        </w:r>
        <w:r w:rsidR="00C35490">
          <w:rPr>
            <w:noProof/>
            <w:webHidden/>
          </w:rPr>
          <w:fldChar w:fldCharType="end"/>
        </w:r>
      </w:hyperlink>
    </w:p>
    <w:p w:rsidR="00C35490" w:rsidRDefault="009A724D">
      <w:pPr>
        <w:pStyle w:val="TOC2"/>
        <w:rPr>
          <w:rFonts w:asciiTheme="minorHAnsi" w:eastAsiaTheme="minorEastAsia" w:hAnsiTheme="minorHAnsi" w:cstheme="minorBidi"/>
          <w:noProof/>
          <w:sz w:val="22"/>
          <w:szCs w:val="22"/>
        </w:rPr>
      </w:pPr>
      <w:hyperlink w:anchor="_Toc514059198" w:history="1">
        <w:r w:rsidR="00C35490" w:rsidRPr="00DB06B3">
          <w:rPr>
            <w:rStyle w:val="Hyperlink"/>
            <w:noProof/>
          </w:rPr>
          <w:t>1.2   Compliance proceedings</w:t>
        </w:r>
        <w:r w:rsidR="00C35490">
          <w:rPr>
            <w:noProof/>
            <w:webHidden/>
          </w:rPr>
          <w:tab/>
        </w:r>
        <w:r w:rsidR="00C35490">
          <w:rPr>
            <w:noProof/>
            <w:webHidden/>
          </w:rPr>
          <w:fldChar w:fldCharType="begin"/>
        </w:r>
        <w:r w:rsidR="00C35490">
          <w:rPr>
            <w:noProof/>
            <w:webHidden/>
          </w:rPr>
          <w:instrText xml:space="preserve"> PAGEREF _Toc514059198 \h </w:instrText>
        </w:r>
        <w:r w:rsidR="00C35490">
          <w:rPr>
            <w:noProof/>
            <w:webHidden/>
          </w:rPr>
        </w:r>
        <w:r w:rsidR="00C35490">
          <w:rPr>
            <w:noProof/>
            <w:webHidden/>
          </w:rPr>
          <w:fldChar w:fldCharType="separate"/>
        </w:r>
        <w:r w:rsidR="00FD2727">
          <w:rPr>
            <w:noProof/>
            <w:webHidden/>
          </w:rPr>
          <w:t>14</w:t>
        </w:r>
        <w:r w:rsidR="00C35490">
          <w:rPr>
            <w:noProof/>
            <w:webHidden/>
          </w:rPr>
          <w:fldChar w:fldCharType="end"/>
        </w:r>
      </w:hyperlink>
    </w:p>
    <w:p w:rsidR="00C35490" w:rsidRDefault="009A724D">
      <w:pPr>
        <w:pStyle w:val="TOC3"/>
        <w:rPr>
          <w:rFonts w:asciiTheme="minorHAnsi" w:eastAsiaTheme="minorEastAsia" w:hAnsiTheme="minorHAnsi" w:cstheme="minorBidi"/>
          <w:noProof/>
          <w:sz w:val="22"/>
          <w:szCs w:val="22"/>
        </w:rPr>
      </w:pPr>
      <w:hyperlink w:anchor="_Toc514059199" w:history="1">
        <w:r w:rsidR="00C35490" w:rsidRPr="00DB06B3">
          <w:rPr>
            <w:rStyle w:val="Hyperlink"/>
            <w:noProof/>
          </w:rPr>
          <w:t>1.2.1   Panel proceedings</w:t>
        </w:r>
        <w:r w:rsidR="00C35490">
          <w:rPr>
            <w:noProof/>
            <w:webHidden/>
          </w:rPr>
          <w:tab/>
        </w:r>
        <w:r w:rsidR="00C35490">
          <w:rPr>
            <w:noProof/>
            <w:webHidden/>
          </w:rPr>
          <w:fldChar w:fldCharType="begin"/>
        </w:r>
        <w:r w:rsidR="00C35490">
          <w:rPr>
            <w:noProof/>
            <w:webHidden/>
          </w:rPr>
          <w:instrText xml:space="preserve"> PAGEREF _Toc514059199 \h </w:instrText>
        </w:r>
        <w:r w:rsidR="00C35490">
          <w:rPr>
            <w:noProof/>
            <w:webHidden/>
          </w:rPr>
        </w:r>
        <w:r w:rsidR="00C35490">
          <w:rPr>
            <w:noProof/>
            <w:webHidden/>
          </w:rPr>
          <w:fldChar w:fldCharType="separate"/>
        </w:r>
        <w:r w:rsidR="00FD2727">
          <w:rPr>
            <w:noProof/>
            <w:webHidden/>
          </w:rPr>
          <w:t>14</w:t>
        </w:r>
        <w:r w:rsidR="00C35490">
          <w:rPr>
            <w:noProof/>
            <w:webHidden/>
          </w:rPr>
          <w:fldChar w:fldCharType="end"/>
        </w:r>
      </w:hyperlink>
    </w:p>
    <w:p w:rsidR="00C35490" w:rsidRDefault="009A724D">
      <w:pPr>
        <w:pStyle w:val="TOC3"/>
        <w:rPr>
          <w:rFonts w:asciiTheme="minorHAnsi" w:eastAsiaTheme="minorEastAsia" w:hAnsiTheme="minorHAnsi" w:cstheme="minorBidi"/>
          <w:noProof/>
          <w:sz w:val="22"/>
          <w:szCs w:val="22"/>
        </w:rPr>
      </w:pPr>
      <w:hyperlink w:anchor="_Toc514059200" w:history="1">
        <w:r w:rsidR="00C35490" w:rsidRPr="00DB06B3">
          <w:rPr>
            <w:rStyle w:val="Hyperlink"/>
            <w:noProof/>
          </w:rPr>
          <w:t>1.2.2   Appellate proceedings and procedural issues</w:t>
        </w:r>
        <w:r w:rsidR="00C35490">
          <w:rPr>
            <w:noProof/>
            <w:webHidden/>
          </w:rPr>
          <w:tab/>
        </w:r>
        <w:r w:rsidR="00C35490">
          <w:rPr>
            <w:noProof/>
            <w:webHidden/>
          </w:rPr>
          <w:fldChar w:fldCharType="begin"/>
        </w:r>
        <w:r w:rsidR="00C35490">
          <w:rPr>
            <w:noProof/>
            <w:webHidden/>
          </w:rPr>
          <w:instrText xml:space="preserve"> PAGEREF _Toc514059200 \h </w:instrText>
        </w:r>
        <w:r w:rsidR="00C35490">
          <w:rPr>
            <w:noProof/>
            <w:webHidden/>
          </w:rPr>
        </w:r>
        <w:r w:rsidR="00C35490">
          <w:rPr>
            <w:noProof/>
            <w:webHidden/>
          </w:rPr>
          <w:fldChar w:fldCharType="separate"/>
        </w:r>
        <w:r w:rsidR="00FD2727">
          <w:rPr>
            <w:noProof/>
            <w:webHidden/>
          </w:rPr>
          <w:t>17</w:t>
        </w:r>
        <w:r w:rsidR="00C35490">
          <w:rPr>
            <w:noProof/>
            <w:webHidden/>
          </w:rPr>
          <w:fldChar w:fldCharType="end"/>
        </w:r>
      </w:hyperlink>
    </w:p>
    <w:p w:rsidR="00C35490" w:rsidRDefault="009A724D">
      <w:pPr>
        <w:pStyle w:val="TOC1"/>
        <w:rPr>
          <w:rFonts w:asciiTheme="minorHAnsi" w:eastAsiaTheme="minorEastAsia" w:hAnsiTheme="minorHAnsi" w:cstheme="minorBidi"/>
          <w:b w:val="0"/>
          <w:caps w:val="0"/>
          <w:noProof/>
          <w:sz w:val="22"/>
          <w:szCs w:val="22"/>
        </w:rPr>
      </w:pPr>
      <w:hyperlink w:anchor="_Toc514059201" w:history="1">
        <w:r w:rsidR="00C35490" w:rsidRPr="00DB06B3">
          <w:rPr>
            <w:rStyle w:val="Hyperlink"/>
            <w:noProof/>
          </w:rPr>
          <w:t>2   Arguments of the Participants</w:t>
        </w:r>
        <w:r w:rsidR="00C35490">
          <w:rPr>
            <w:noProof/>
            <w:webHidden/>
          </w:rPr>
          <w:tab/>
        </w:r>
        <w:r w:rsidR="00C35490">
          <w:rPr>
            <w:noProof/>
            <w:webHidden/>
          </w:rPr>
          <w:fldChar w:fldCharType="begin"/>
        </w:r>
        <w:r w:rsidR="00C35490">
          <w:rPr>
            <w:noProof/>
            <w:webHidden/>
          </w:rPr>
          <w:instrText xml:space="preserve"> PAGEREF _Toc514059201 \h </w:instrText>
        </w:r>
        <w:r w:rsidR="00C35490">
          <w:rPr>
            <w:noProof/>
            <w:webHidden/>
          </w:rPr>
        </w:r>
        <w:r w:rsidR="00C35490">
          <w:rPr>
            <w:noProof/>
            <w:webHidden/>
          </w:rPr>
          <w:fldChar w:fldCharType="separate"/>
        </w:r>
        <w:r w:rsidR="00FD2727">
          <w:rPr>
            <w:noProof/>
            <w:webHidden/>
          </w:rPr>
          <w:t>22</w:t>
        </w:r>
        <w:r w:rsidR="00C35490">
          <w:rPr>
            <w:noProof/>
            <w:webHidden/>
          </w:rPr>
          <w:fldChar w:fldCharType="end"/>
        </w:r>
      </w:hyperlink>
    </w:p>
    <w:p w:rsidR="00C35490" w:rsidRDefault="009A724D">
      <w:pPr>
        <w:pStyle w:val="TOC1"/>
        <w:rPr>
          <w:rFonts w:asciiTheme="minorHAnsi" w:eastAsiaTheme="minorEastAsia" w:hAnsiTheme="minorHAnsi" w:cstheme="minorBidi"/>
          <w:b w:val="0"/>
          <w:caps w:val="0"/>
          <w:noProof/>
          <w:sz w:val="22"/>
          <w:szCs w:val="22"/>
        </w:rPr>
      </w:pPr>
      <w:hyperlink w:anchor="_Toc514059202" w:history="1">
        <w:r w:rsidR="00C35490" w:rsidRPr="00DB06B3">
          <w:rPr>
            <w:rStyle w:val="Hyperlink"/>
            <w:noProof/>
          </w:rPr>
          <w:t>3   Arguments of the Third Participants</w:t>
        </w:r>
        <w:r w:rsidR="00C35490">
          <w:rPr>
            <w:noProof/>
            <w:webHidden/>
          </w:rPr>
          <w:tab/>
        </w:r>
        <w:r w:rsidR="00C35490">
          <w:rPr>
            <w:noProof/>
            <w:webHidden/>
          </w:rPr>
          <w:fldChar w:fldCharType="begin"/>
        </w:r>
        <w:r w:rsidR="00C35490">
          <w:rPr>
            <w:noProof/>
            <w:webHidden/>
          </w:rPr>
          <w:instrText xml:space="preserve"> PAGEREF _Toc514059202 \h </w:instrText>
        </w:r>
        <w:r w:rsidR="00C35490">
          <w:rPr>
            <w:noProof/>
            <w:webHidden/>
          </w:rPr>
        </w:r>
        <w:r w:rsidR="00C35490">
          <w:rPr>
            <w:noProof/>
            <w:webHidden/>
          </w:rPr>
          <w:fldChar w:fldCharType="separate"/>
        </w:r>
        <w:r w:rsidR="00FD2727">
          <w:rPr>
            <w:noProof/>
            <w:webHidden/>
          </w:rPr>
          <w:t>22</w:t>
        </w:r>
        <w:r w:rsidR="00C35490">
          <w:rPr>
            <w:noProof/>
            <w:webHidden/>
          </w:rPr>
          <w:fldChar w:fldCharType="end"/>
        </w:r>
      </w:hyperlink>
    </w:p>
    <w:p w:rsidR="00C35490" w:rsidRDefault="009A724D">
      <w:pPr>
        <w:pStyle w:val="TOC1"/>
        <w:rPr>
          <w:rFonts w:asciiTheme="minorHAnsi" w:eastAsiaTheme="minorEastAsia" w:hAnsiTheme="minorHAnsi" w:cstheme="minorBidi"/>
          <w:b w:val="0"/>
          <w:caps w:val="0"/>
          <w:noProof/>
          <w:sz w:val="22"/>
          <w:szCs w:val="22"/>
        </w:rPr>
      </w:pPr>
      <w:hyperlink w:anchor="_Toc514059203" w:history="1">
        <w:r w:rsidR="00C35490" w:rsidRPr="00DB06B3">
          <w:rPr>
            <w:rStyle w:val="Hyperlink"/>
            <w:noProof/>
          </w:rPr>
          <w:t>4   Issues Raised on Appeal</w:t>
        </w:r>
        <w:r w:rsidR="00C35490">
          <w:rPr>
            <w:noProof/>
            <w:webHidden/>
          </w:rPr>
          <w:tab/>
        </w:r>
        <w:r w:rsidR="00C35490">
          <w:rPr>
            <w:noProof/>
            <w:webHidden/>
          </w:rPr>
          <w:fldChar w:fldCharType="begin"/>
        </w:r>
        <w:r w:rsidR="00C35490">
          <w:rPr>
            <w:noProof/>
            <w:webHidden/>
          </w:rPr>
          <w:instrText xml:space="preserve"> PAGEREF _Toc514059203 \h </w:instrText>
        </w:r>
        <w:r w:rsidR="00C35490">
          <w:rPr>
            <w:noProof/>
            <w:webHidden/>
          </w:rPr>
        </w:r>
        <w:r w:rsidR="00C35490">
          <w:rPr>
            <w:noProof/>
            <w:webHidden/>
          </w:rPr>
          <w:fldChar w:fldCharType="separate"/>
        </w:r>
        <w:r w:rsidR="00FD2727">
          <w:rPr>
            <w:noProof/>
            <w:webHidden/>
          </w:rPr>
          <w:t>22</w:t>
        </w:r>
        <w:r w:rsidR="00C35490">
          <w:rPr>
            <w:noProof/>
            <w:webHidden/>
          </w:rPr>
          <w:fldChar w:fldCharType="end"/>
        </w:r>
      </w:hyperlink>
    </w:p>
    <w:p w:rsidR="00C35490" w:rsidRDefault="009A724D">
      <w:pPr>
        <w:pStyle w:val="TOC1"/>
        <w:rPr>
          <w:rFonts w:asciiTheme="minorHAnsi" w:eastAsiaTheme="minorEastAsia" w:hAnsiTheme="minorHAnsi" w:cstheme="minorBidi"/>
          <w:b w:val="0"/>
          <w:caps w:val="0"/>
          <w:noProof/>
          <w:sz w:val="22"/>
          <w:szCs w:val="22"/>
        </w:rPr>
      </w:pPr>
      <w:hyperlink w:anchor="_Toc514059204" w:history="1">
        <w:r w:rsidR="00C35490" w:rsidRPr="00DB06B3">
          <w:rPr>
            <w:rStyle w:val="Hyperlink"/>
            <w:noProof/>
          </w:rPr>
          <w:t>5   Analysis of the Appellate Body</w:t>
        </w:r>
        <w:r w:rsidR="00C35490">
          <w:rPr>
            <w:noProof/>
            <w:webHidden/>
          </w:rPr>
          <w:tab/>
        </w:r>
        <w:r w:rsidR="00C35490">
          <w:rPr>
            <w:noProof/>
            <w:webHidden/>
          </w:rPr>
          <w:fldChar w:fldCharType="begin"/>
        </w:r>
        <w:r w:rsidR="00C35490">
          <w:rPr>
            <w:noProof/>
            <w:webHidden/>
          </w:rPr>
          <w:instrText xml:space="preserve"> PAGEREF _Toc514059204 \h </w:instrText>
        </w:r>
        <w:r w:rsidR="00C35490">
          <w:rPr>
            <w:noProof/>
            <w:webHidden/>
          </w:rPr>
        </w:r>
        <w:r w:rsidR="00C35490">
          <w:rPr>
            <w:noProof/>
            <w:webHidden/>
          </w:rPr>
          <w:fldChar w:fldCharType="separate"/>
        </w:r>
        <w:r w:rsidR="00FD2727">
          <w:rPr>
            <w:noProof/>
            <w:webHidden/>
          </w:rPr>
          <w:t>24</w:t>
        </w:r>
        <w:r w:rsidR="00C35490">
          <w:rPr>
            <w:noProof/>
            <w:webHidden/>
          </w:rPr>
          <w:fldChar w:fldCharType="end"/>
        </w:r>
      </w:hyperlink>
    </w:p>
    <w:p w:rsidR="00C35490" w:rsidRDefault="009A724D">
      <w:pPr>
        <w:pStyle w:val="TOC2"/>
        <w:rPr>
          <w:rFonts w:asciiTheme="minorHAnsi" w:eastAsiaTheme="minorEastAsia" w:hAnsiTheme="minorHAnsi" w:cstheme="minorBidi"/>
          <w:noProof/>
          <w:sz w:val="22"/>
          <w:szCs w:val="22"/>
        </w:rPr>
      </w:pPr>
      <w:hyperlink w:anchor="_Toc514059205" w:history="1">
        <w:r w:rsidR="00C35490" w:rsidRPr="00DB06B3">
          <w:rPr>
            <w:rStyle w:val="Hyperlink"/>
            <w:noProof/>
          </w:rPr>
          <w:t>5.1   Article 21.5 of the DSU – the Mühlenberger Loch and Bremen Airport measures</w:t>
        </w:r>
        <w:r w:rsidR="00C35490">
          <w:rPr>
            <w:noProof/>
            <w:webHidden/>
          </w:rPr>
          <w:tab/>
        </w:r>
        <w:r w:rsidR="00C35490">
          <w:rPr>
            <w:noProof/>
            <w:webHidden/>
          </w:rPr>
          <w:fldChar w:fldCharType="begin"/>
        </w:r>
        <w:r w:rsidR="00C35490">
          <w:rPr>
            <w:noProof/>
            <w:webHidden/>
          </w:rPr>
          <w:instrText xml:space="preserve"> PAGEREF _Toc514059205 \h </w:instrText>
        </w:r>
        <w:r w:rsidR="00C35490">
          <w:rPr>
            <w:noProof/>
            <w:webHidden/>
          </w:rPr>
        </w:r>
        <w:r w:rsidR="00C35490">
          <w:rPr>
            <w:noProof/>
            <w:webHidden/>
          </w:rPr>
          <w:fldChar w:fldCharType="separate"/>
        </w:r>
        <w:r w:rsidR="00FD2727">
          <w:rPr>
            <w:noProof/>
            <w:webHidden/>
          </w:rPr>
          <w:t>24</w:t>
        </w:r>
        <w:r w:rsidR="00C35490">
          <w:rPr>
            <w:noProof/>
            <w:webHidden/>
          </w:rPr>
          <w:fldChar w:fldCharType="end"/>
        </w:r>
      </w:hyperlink>
    </w:p>
    <w:p w:rsidR="00C35490" w:rsidRDefault="009A724D">
      <w:pPr>
        <w:pStyle w:val="TOC3"/>
        <w:rPr>
          <w:rFonts w:asciiTheme="minorHAnsi" w:eastAsiaTheme="minorEastAsia" w:hAnsiTheme="minorHAnsi" w:cstheme="minorBidi"/>
          <w:noProof/>
          <w:sz w:val="22"/>
          <w:szCs w:val="22"/>
        </w:rPr>
      </w:pPr>
      <w:hyperlink w:anchor="_Toc514059206" w:history="1">
        <w:r w:rsidR="00C35490" w:rsidRPr="00DB06B3">
          <w:rPr>
            <w:rStyle w:val="Hyperlink"/>
            <w:noProof/>
          </w:rPr>
          <w:t>5.1.1   The Panel's findings</w:t>
        </w:r>
        <w:r w:rsidR="00C35490">
          <w:rPr>
            <w:noProof/>
            <w:webHidden/>
          </w:rPr>
          <w:tab/>
        </w:r>
        <w:r w:rsidR="00C35490">
          <w:rPr>
            <w:noProof/>
            <w:webHidden/>
          </w:rPr>
          <w:fldChar w:fldCharType="begin"/>
        </w:r>
        <w:r w:rsidR="00C35490">
          <w:rPr>
            <w:noProof/>
            <w:webHidden/>
          </w:rPr>
          <w:instrText xml:space="preserve"> PAGEREF _Toc514059206 \h </w:instrText>
        </w:r>
        <w:r w:rsidR="00C35490">
          <w:rPr>
            <w:noProof/>
            <w:webHidden/>
          </w:rPr>
        </w:r>
        <w:r w:rsidR="00C35490">
          <w:rPr>
            <w:noProof/>
            <w:webHidden/>
          </w:rPr>
          <w:fldChar w:fldCharType="separate"/>
        </w:r>
        <w:r w:rsidR="00FD2727">
          <w:rPr>
            <w:noProof/>
            <w:webHidden/>
          </w:rPr>
          <w:t>25</w:t>
        </w:r>
        <w:r w:rsidR="00C35490">
          <w:rPr>
            <w:noProof/>
            <w:webHidden/>
          </w:rPr>
          <w:fldChar w:fldCharType="end"/>
        </w:r>
      </w:hyperlink>
    </w:p>
    <w:p w:rsidR="00C35490" w:rsidRDefault="009A724D">
      <w:pPr>
        <w:pStyle w:val="TOC3"/>
        <w:rPr>
          <w:rFonts w:asciiTheme="minorHAnsi" w:eastAsiaTheme="minorEastAsia" w:hAnsiTheme="minorHAnsi" w:cstheme="minorBidi"/>
          <w:noProof/>
          <w:sz w:val="22"/>
          <w:szCs w:val="22"/>
        </w:rPr>
      </w:pPr>
      <w:hyperlink w:anchor="_Toc514059207" w:history="1">
        <w:r w:rsidR="00C35490" w:rsidRPr="00DB06B3">
          <w:rPr>
            <w:rStyle w:val="Hyperlink"/>
            <w:noProof/>
          </w:rPr>
          <w:t>5.1.2   Whether the Panel erred by declining to make a finding as to whether the European Union had "withdrawn" the Mühlenberger Loch and Bremen Airport measures</w:t>
        </w:r>
        <w:r w:rsidR="00C35490">
          <w:rPr>
            <w:noProof/>
            <w:webHidden/>
          </w:rPr>
          <w:tab/>
        </w:r>
        <w:r w:rsidR="00C35490">
          <w:rPr>
            <w:noProof/>
            <w:webHidden/>
          </w:rPr>
          <w:fldChar w:fldCharType="begin"/>
        </w:r>
        <w:r w:rsidR="00C35490">
          <w:rPr>
            <w:noProof/>
            <w:webHidden/>
          </w:rPr>
          <w:instrText xml:space="preserve"> PAGEREF _Toc514059207 \h </w:instrText>
        </w:r>
        <w:r w:rsidR="00C35490">
          <w:rPr>
            <w:noProof/>
            <w:webHidden/>
          </w:rPr>
        </w:r>
        <w:r w:rsidR="00C35490">
          <w:rPr>
            <w:noProof/>
            <w:webHidden/>
          </w:rPr>
          <w:fldChar w:fldCharType="separate"/>
        </w:r>
        <w:r w:rsidR="00FD2727">
          <w:rPr>
            <w:noProof/>
            <w:webHidden/>
          </w:rPr>
          <w:t>27</w:t>
        </w:r>
        <w:r w:rsidR="00C35490">
          <w:rPr>
            <w:noProof/>
            <w:webHidden/>
          </w:rPr>
          <w:fldChar w:fldCharType="end"/>
        </w:r>
      </w:hyperlink>
    </w:p>
    <w:p w:rsidR="00C35490" w:rsidRDefault="009A724D">
      <w:pPr>
        <w:pStyle w:val="TOC2"/>
        <w:rPr>
          <w:rFonts w:asciiTheme="minorHAnsi" w:eastAsiaTheme="minorEastAsia" w:hAnsiTheme="minorHAnsi" w:cstheme="minorBidi"/>
          <w:noProof/>
          <w:sz w:val="22"/>
          <w:szCs w:val="22"/>
        </w:rPr>
      </w:pPr>
      <w:hyperlink w:anchor="_Toc514059208" w:history="1">
        <w:r w:rsidR="00C35490" w:rsidRPr="00DB06B3">
          <w:rPr>
            <w:rStyle w:val="Hyperlink"/>
            <w:noProof/>
            <w:lang w:val="en-US"/>
          </w:rPr>
          <w:t>5.2   Article 3.1(b) of the SCM Agreement</w:t>
        </w:r>
        <w:r w:rsidR="00C35490">
          <w:rPr>
            <w:noProof/>
            <w:webHidden/>
          </w:rPr>
          <w:tab/>
        </w:r>
        <w:r w:rsidR="00C35490">
          <w:rPr>
            <w:noProof/>
            <w:webHidden/>
          </w:rPr>
          <w:fldChar w:fldCharType="begin"/>
        </w:r>
        <w:r w:rsidR="00C35490">
          <w:rPr>
            <w:noProof/>
            <w:webHidden/>
          </w:rPr>
          <w:instrText xml:space="preserve"> PAGEREF _Toc514059208 \h </w:instrText>
        </w:r>
        <w:r w:rsidR="00C35490">
          <w:rPr>
            <w:noProof/>
            <w:webHidden/>
          </w:rPr>
        </w:r>
        <w:r w:rsidR="00C35490">
          <w:rPr>
            <w:noProof/>
            <w:webHidden/>
          </w:rPr>
          <w:fldChar w:fldCharType="separate"/>
        </w:r>
        <w:r w:rsidR="00FD2727">
          <w:rPr>
            <w:noProof/>
            <w:webHidden/>
          </w:rPr>
          <w:t>31</w:t>
        </w:r>
        <w:r w:rsidR="00C35490">
          <w:rPr>
            <w:noProof/>
            <w:webHidden/>
          </w:rPr>
          <w:fldChar w:fldCharType="end"/>
        </w:r>
      </w:hyperlink>
    </w:p>
    <w:p w:rsidR="00C35490" w:rsidRDefault="009A724D">
      <w:pPr>
        <w:pStyle w:val="TOC3"/>
        <w:rPr>
          <w:rFonts w:asciiTheme="minorHAnsi" w:eastAsiaTheme="minorEastAsia" w:hAnsiTheme="minorHAnsi" w:cstheme="minorBidi"/>
          <w:noProof/>
          <w:sz w:val="22"/>
          <w:szCs w:val="22"/>
        </w:rPr>
      </w:pPr>
      <w:hyperlink w:anchor="_Toc514059209" w:history="1">
        <w:r w:rsidR="00C35490" w:rsidRPr="00DB06B3">
          <w:rPr>
            <w:rStyle w:val="Hyperlink"/>
            <w:noProof/>
          </w:rPr>
          <w:t>5.2.1   The Panel's findings</w:t>
        </w:r>
        <w:r w:rsidR="00C35490">
          <w:rPr>
            <w:noProof/>
            <w:webHidden/>
          </w:rPr>
          <w:tab/>
        </w:r>
        <w:r w:rsidR="00C35490">
          <w:rPr>
            <w:noProof/>
            <w:webHidden/>
          </w:rPr>
          <w:fldChar w:fldCharType="begin"/>
        </w:r>
        <w:r w:rsidR="00C35490">
          <w:rPr>
            <w:noProof/>
            <w:webHidden/>
          </w:rPr>
          <w:instrText xml:space="preserve"> PAGEREF _Toc514059209 \h </w:instrText>
        </w:r>
        <w:r w:rsidR="00C35490">
          <w:rPr>
            <w:noProof/>
            <w:webHidden/>
          </w:rPr>
        </w:r>
        <w:r w:rsidR="00C35490">
          <w:rPr>
            <w:noProof/>
            <w:webHidden/>
          </w:rPr>
          <w:fldChar w:fldCharType="separate"/>
        </w:r>
        <w:r w:rsidR="00FD2727">
          <w:rPr>
            <w:noProof/>
            <w:webHidden/>
          </w:rPr>
          <w:t>31</w:t>
        </w:r>
        <w:r w:rsidR="00C35490">
          <w:rPr>
            <w:noProof/>
            <w:webHidden/>
          </w:rPr>
          <w:fldChar w:fldCharType="end"/>
        </w:r>
      </w:hyperlink>
    </w:p>
    <w:p w:rsidR="00C35490" w:rsidRDefault="009A724D">
      <w:pPr>
        <w:pStyle w:val="TOC3"/>
        <w:rPr>
          <w:rFonts w:asciiTheme="minorHAnsi" w:eastAsiaTheme="minorEastAsia" w:hAnsiTheme="minorHAnsi" w:cstheme="minorBidi"/>
          <w:noProof/>
          <w:sz w:val="22"/>
          <w:szCs w:val="22"/>
        </w:rPr>
      </w:pPr>
      <w:hyperlink w:anchor="_Toc514059210" w:history="1">
        <w:r w:rsidR="00C35490" w:rsidRPr="00DB06B3">
          <w:rPr>
            <w:rStyle w:val="Hyperlink"/>
            <w:noProof/>
          </w:rPr>
          <w:t>5.2.2   Arguments on appeal</w:t>
        </w:r>
        <w:r w:rsidR="00C35490">
          <w:rPr>
            <w:noProof/>
            <w:webHidden/>
          </w:rPr>
          <w:tab/>
        </w:r>
        <w:r w:rsidR="00C35490">
          <w:rPr>
            <w:noProof/>
            <w:webHidden/>
          </w:rPr>
          <w:fldChar w:fldCharType="begin"/>
        </w:r>
        <w:r w:rsidR="00C35490">
          <w:rPr>
            <w:noProof/>
            <w:webHidden/>
          </w:rPr>
          <w:instrText xml:space="preserve"> PAGEREF _Toc514059210 \h </w:instrText>
        </w:r>
        <w:r w:rsidR="00C35490">
          <w:rPr>
            <w:noProof/>
            <w:webHidden/>
          </w:rPr>
        </w:r>
        <w:r w:rsidR="00C35490">
          <w:rPr>
            <w:noProof/>
            <w:webHidden/>
          </w:rPr>
          <w:fldChar w:fldCharType="separate"/>
        </w:r>
        <w:r w:rsidR="00FD2727">
          <w:rPr>
            <w:noProof/>
            <w:webHidden/>
          </w:rPr>
          <w:t>33</w:t>
        </w:r>
        <w:r w:rsidR="00C35490">
          <w:rPr>
            <w:noProof/>
            <w:webHidden/>
          </w:rPr>
          <w:fldChar w:fldCharType="end"/>
        </w:r>
      </w:hyperlink>
    </w:p>
    <w:p w:rsidR="00C35490" w:rsidRDefault="009A724D">
      <w:pPr>
        <w:pStyle w:val="TOC3"/>
        <w:rPr>
          <w:rFonts w:asciiTheme="minorHAnsi" w:eastAsiaTheme="minorEastAsia" w:hAnsiTheme="minorHAnsi" w:cstheme="minorBidi"/>
          <w:noProof/>
          <w:sz w:val="22"/>
          <w:szCs w:val="22"/>
        </w:rPr>
      </w:pPr>
      <w:hyperlink w:anchor="_Toc514059211" w:history="1">
        <w:r w:rsidR="00C35490" w:rsidRPr="00DB06B3">
          <w:rPr>
            <w:rStyle w:val="Hyperlink"/>
            <w:noProof/>
            <w:lang w:val="en-US"/>
          </w:rPr>
          <w:t>5.2.3  </w:t>
        </w:r>
        <w:r w:rsidR="00C35490" w:rsidRPr="00DB06B3">
          <w:rPr>
            <w:rStyle w:val="Hyperlink"/>
            <w:noProof/>
          </w:rPr>
          <w:t xml:space="preserve"> Whether the United States' appeal is within the scope of appellate review</w:t>
        </w:r>
        <w:r w:rsidR="00C35490">
          <w:rPr>
            <w:noProof/>
            <w:webHidden/>
          </w:rPr>
          <w:tab/>
        </w:r>
        <w:r w:rsidR="00C35490">
          <w:rPr>
            <w:noProof/>
            <w:webHidden/>
          </w:rPr>
          <w:fldChar w:fldCharType="begin"/>
        </w:r>
        <w:r w:rsidR="00C35490">
          <w:rPr>
            <w:noProof/>
            <w:webHidden/>
          </w:rPr>
          <w:instrText xml:space="preserve"> PAGEREF _Toc514059211 \h </w:instrText>
        </w:r>
        <w:r w:rsidR="00C35490">
          <w:rPr>
            <w:noProof/>
            <w:webHidden/>
          </w:rPr>
        </w:r>
        <w:r w:rsidR="00C35490">
          <w:rPr>
            <w:noProof/>
            <w:webHidden/>
          </w:rPr>
          <w:fldChar w:fldCharType="separate"/>
        </w:r>
        <w:r w:rsidR="00FD2727">
          <w:rPr>
            <w:noProof/>
            <w:webHidden/>
          </w:rPr>
          <w:t>34</w:t>
        </w:r>
        <w:r w:rsidR="00C35490">
          <w:rPr>
            <w:noProof/>
            <w:webHidden/>
          </w:rPr>
          <w:fldChar w:fldCharType="end"/>
        </w:r>
      </w:hyperlink>
    </w:p>
    <w:p w:rsidR="00C35490" w:rsidRDefault="009A724D">
      <w:pPr>
        <w:pStyle w:val="TOC3"/>
        <w:rPr>
          <w:rFonts w:asciiTheme="minorHAnsi" w:eastAsiaTheme="minorEastAsia" w:hAnsiTheme="minorHAnsi" w:cstheme="minorBidi"/>
          <w:noProof/>
          <w:sz w:val="22"/>
          <w:szCs w:val="22"/>
        </w:rPr>
      </w:pPr>
      <w:hyperlink w:anchor="_Toc514059212" w:history="1">
        <w:r w:rsidR="00C35490" w:rsidRPr="00DB06B3">
          <w:rPr>
            <w:rStyle w:val="Hyperlink"/>
            <w:noProof/>
          </w:rPr>
          <w:t>5.2.4   The legal standard under Article 3.1(b) of the SCM Agreement</w:t>
        </w:r>
        <w:r w:rsidR="00C35490">
          <w:rPr>
            <w:noProof/>
            <w:webHidden/>
          </w:rPr>
          <w:tab/>
        </w:r>
        <w:r w:rsidR="00C35490">
          <w:rPr>
            <w:noProof/>
            <w:webHidden/>
          </w:rPr>
          <w:fldChar w:fldCharType="begin"/>
        </w:r>
        <w:r w:rsidR="00C35490">
          <w:rPr>
            <w:noProof/>
            <w:webHidden/>
          </w:rPr>
          <w:instrText xml:space="preserve"> PAGEREF _Toc514059212 \h </w:instrText>
        </w:r>
        <w:r w:rsidR="00C35490">
          <w:rPr>
            <w:noProof/>
            <w:webHidden/>
          </w:rPr>
        </w:r>
        <w:r w:rsidR="00C35490">
          <w:rPr>
            <w:noProof/>
            <w:webHidden/>
          </w:rPr>
          <w:fldChar w:fldCharType="separate"/>
        </w:r>
        <w:r w:rsidR="00FD2727">
          <w:rPr>
            <w:noProof/>
            <w:webHidden/>
          </w:rPr>
          <w:t>40</w:t>
        </w:r>
        <w:r w:rsidR="00C35490">
          <w:rPr>
            <w:noProof/>
            <w:webHidden/>
          </w:rPr>
          <w:fldChar w:fldCharType="end"/>
        </w:r>
      </w:hyperlink>
    </w:p>
    <w:p w:rsidR="00C35490" w:rsidRDefault="009A724D">
      <w:pPr>
        <w:pStyle w:val="TOC3"/>
        <w:rPr>
          <w:rFonts w:asciiTheme="minorHAnsi" w:eastAsiaTheme="minorEastAsia" w:hAnsiTheme="minorHAnsi" w:cstheme="minorBidi"/>
          <w:noProof/>
          <w:sz w:val="22"/>
          <w:szCs w:val="22"/>
        </w:rPr>
      </w:pPr>
      <w:hyperlink w:anchor="_Toc514059213" w:history="1">
        <w:r w:rsidR="00C35490" w:rsidRPr="00DB06B3">
          <w:rPr>
            <w:rStyle w:val="Hyperlink"/>
            <w:noProof/>
            <w:lang w:val="en-US"/>
          </w:rPr>
          <w:t>5.2.5  </w:t>
        </w:r>
        <w:r w:rsidR="00C35490" w:rsidRPr="00DB06B3">
          <w:rPr>
            <w:rStyle w:val="Hyperlink"/>
            <w:noProof/>
          </w:rPr>
          <w:t xml:space="preserve"> The United States' claim on appeal</w:t>
        </w:r>
        <w:r w:rsidR="00C35490">
          <w:rPr>
            <w:noProof/>
            <w:webHidden/>
          </w:rPr>
          <w:tab/>
        </w:r>
        <w:r w:rsidR="00C35490">
          <w:rPr>
            <w:noProof/>
            <w:webHidden/>
          </w:rPr>
          <w:fldChar w:fldCharType="begin"/>
        </w:r>
        <w:r w:rsidR="00C35490">
          <w:rPr>
            <w:noProof/>
            <w:webHidden/>
          </w:rPr>
          <w:instrText xml:space="preserve"> PAGEREF _Toc514059213 \h </w:instrText>
        </w:r>
        <w:r w:rsidR="00C35490">
          <w:rPr>
            <w:noProof/>
            <w:webHidden/>
          </w:rPr>
        </w:r>
        <w:r w:rsidR="00C35490">
          <w:rPr>
            <w:noProof/>
            <w:webHidden/>
          </w:rPr>
          <w:fldChar w:fldCharType="separate"/>
        </w:r>
        <w:r w:rsidR="00FD2727">
          <w:rPr>
            <w:noProof/>
            <w:webHidden/>
          </w:rPr>
          <w:t>42</w:t>
        </w:r>
        <w:r w:rsidR="00C35490">
          <w:rPr>
            <w:noProof/>
            <w:webHidden/>
          </w:rPr>
          <w:fldChar w:fldCharType="end"/>
        </w:r>
      </w:hyperlink>
    </w:p>
    <w:p w:rsidR="00C35490" w:rsidRDefault="009A724D">
      <w:pPr>
        <w:pStyle w:val="TOC3"/>
        <w:rPr>
          <w:rFonts w:asciiTheme="minorHAnsi" w:eastAsiaTheme="minorEastAsia" w:hAnsiTheme="minorHAnsi" w:cstheme="minorBidi"/>
          <w:noProof/>
          <w:sz w:val="22"/>
          <w:szCs w:val="22"/>
        </w:rPr>
      </w:pPr>
      <w:hyperlink w:anchor="_Toc514059214" w:history="1">
        <w:r w:rsidR="00C35490" w:rsidRPr="00DB06B3">
          <w:rPr>
            <w:rStyle w:val="Hyperlink"/>
            <w:noProof/>
            <w:lang w:val="en-US"/>
          </w:rPr>
          <w:t>5.2.6   Conclusion</w:t>
        </w:r>
        <w:r w:rsidR="00C35490">
          <w:rPr>
            <w:noProof/>
            <w:webHidden/>
          </w:rPr>
          <w:tab/>
        </w:r>
        <w:r w:rsidR="00C35490">
          <w:rPr>
            <w:noProof/>
            <w:webHidden/>
          </w:rPr>
          <w:fldChar w:fldCharType="begin"/>
        </w:r>
        <w:r w:rsidR="00C35490">
          <w:rPr>
            <w:noProof/>
            <w:webHidden/>
          </w:rPr>
          <w:instrText xml:space="preserve"> PAGEREF _Toc514059214 \h </w:instrText>
        </w:r>
        <w:r w:rsidR="00C35490">
          <w:rPr>
            <w:noProof/>
            <w:webHidden/>
          </w:rPr>
        </w:r>
        <w:r w:rsidR="00C35490">
          <w:rPr>
            <w:noProof/>
            <w:webHidden/>
          </w:rPr>
          <w:fldChar w:fldCharType="separate"/>
        </w:r>
        <w:r w:rsidR="00FD2727">
          <w:rPr>
            <w:noProof/>
            <w:webHidden/>
          </w:rPr>
          <w:t>47</w:t>
        </w:r>
        <w:r w:rsidR="00C35490">
          <w:rPr>
            <w:noProof/>
            <w:webHidden/>
          </w:rPr>
          <w:fldChar w:fldCharType="end"/>
        </w:r>
      </w:hyperlink>
    </w:p>
    <w:p w:rsidR="00C35490" w:rsidRDefault="009A724D">
      <w:pPr>
        <w:pStyle w:val="TOC2"/>
        <w:rPr>
          <w:rFonts w:asciiTheme="minorHAnsi" w:eastAsiaTheme="minorEastAsia" w:hAnsiTheme="minorHAnsi" w:cstheme="minorBidi"/>
          <w:noProof/>
          <w:sz w:val="22"/>
          <w:szCs w:val="22"/>
        </w:rPr>
      </w:pPr>
      <w:hyperlink w:anchor="_Toc514059215" w:history="1">
        <w:r w:rsidR="00C35490" w:rsidRPr="00DB06B3">
          <w:rPr>
            <w:rStyle w:val="Hyperlink"/>
            <w:noProof/>
          </w:rPr>
          <w:t>5.3   Benefit</w:t>
        </w:r>
        <w:r w:rsidR="00C35490">
          <w:rPr>
            <w:noProof/>
            <w:webHidden/>
          </w:rPr>
          <w:tab/>
        </w:r>
        <w:r w:rsidR="00C35490">
          <w:rPr>
            <w:noProof/>
            <w:webHidden/>
          </w:rPr>
          <w:fldChar w:fldCharType="begin"/>
        </w:r>
        <w:r w:rsidR="00C35490">
          <w:rPr>
            <w:noProof/>
            <w:webHidden/>
          </w:rPr>
          <w:instrText xml:space="preserve"> PAGEREF _Toc514059215 \h </w:instrText>
        </w:r>
        <w:r w:rsidR="00C35490">
          <w:rPr>
            <w:noProof/>
            <w:webHidden/>
          </w:rPr>
        </w:r>
        <w:r w:rsidR="00C35490">
          <w:rPr>
            <w:noProof/>
            <w:webHidden/>
          </w:rPr>
          <w:fldChar w:fldCharType="separate"/>
        </w:r>
        <w:r w:rsidR="00FD2727">
          <w:rPr>
            <w:noProof/>
            <w:webHidden/>
          </w:rPr>
          <w:t>47</w:t>
        </w:r>
        <w:r w:rsidR="00C35490">
          <w:rPr>
            <w:noProof/>
            <w:webHidden/>
          </w:rPr>
          <w:fldChar w:fldCharType="end"/>
        </w:r>
      </w:hyperlink>
    </w:p>
    <w:p w:rsidR="00C35490" w:rsidRDefault="009A724D">
      <w:pPr>
        <w:pStyle w:val="TOC3"/>
        <w:rPr>
          <w:rFonts w:asciiTheme="minorHAnsi" w:eastAsiaTheme="minorEastAsia" w:hAnsiTheme="minorHAnsi" w:cstheme="minorBidi"/>
          <w:noProof/>
          <w:sz w:val="22"/>
          <w:szCs w:val="22"/>
        </w:rPr>
      </w:pPr>
      <w:hyperlink w:anchor="_Toc514059216" w:history="1">
        <w:r w:rsidR="00C35490" w:rsidRPr="00DB06B3">
          <w:rPr>
            <w:rStyle w:val="Hyperlink"/>
            <w:noProof/>
          </w:rPr>
          <w:t>5.3.1   Corporate borrowing rate</w:t>
        </w:r>
        <w:r w:rsidR="00C35490">
          <w:rPr>
            <w:noProof/>
            <w:webHidden/>
          </w:rPr>
          <w:tab/>
        </w:r>
        <w:r w:rsidR="00C35490">
          <w:rPr>
            <w:noProof/>
            <w:webHidden/>
          </w:rPr>
          <w:fldChar w:fldCharType="begin"/>
        </w:r>
        <w:r w:rsidR="00C35490">
          <w:rPr>
            <w:noProof/>
            <w:webHidden/>
          </w:rPr>
          <w:instrText xml:space="preserve"> PAGEREF _Toc514059216 \h </w:instrText>
        </w:r>
        <w:r w:rsidR="00C35490">
          <w:rPr>
            <w:noProof/>
            <w:webHidden/>
          </w:rPr>
        </w:r>
        <w:r w:rsidR="00C35490">
          <w:rPr>
            <w:noProof/>
            <w:webHidden/>
          </w:rPr>
          <w:fldChar w:fldCharType="separate"/>
        </w:r>
        <w:r w:rsidR="00FD2727">
          <w:rPr>
            <w:noProof/>
            <w:webHidden/>
          </w:rPr>
          <w:t>47</w:t>
        </w:r>
        <w:r w:rsidR="00C35490">
          <w:rPr>
            <w:noProof/>
            <w:webHidden/>
          </w:rPr>
          <w:fldChar w:fldCharType="end"/>
        </w:r>
      </w:hyperlink>
    </w:p>
    <w:p w:rsidR="00C35490" w:rsidRDefault="009A724D">
      <w:pPr>
        <w:pStyle w:val="TOC4"/>
        <w:rPr>
          <w:rFonts w:asciiTheme="minorHAnsi" w:eastAsiaTheme="minorEastAsia" w:hAnsiTheme="minorHAnsi" w:cstheme="minorBidi"/>
          <w:noProof/>
          <w:sz w:val="22"/>
          <w:szCs w:val="22"/>
        </w:rPr>
      </w:pPr>
      <w:hyperlink w:anchor="_Toc514059217" w:history="1">
        <w:r w:rsidR="00C35490" w:rsidRPr="00DB06B3">
          <w:rPr>
            <w:rStyle w:val="Hyperlink"/>
            <w:noProof/>
          </w:rPr>
          <w:t>5.3.1.1   The Panel's findings</w:t>
        </w:r>
        <w:r w:rsidR="00C35490">
          <w:rPr>
            <w:noProof/>
            <w:webHidden/>
          </w:rPr>
          <w:tab/>
        </w:r>
        <w:r w:rsidR="00C35490">
          <w:rPr>
            <w:noProof/>
            <w:webHidden/>
          </w:rPr>
          <w:fldChar w:fldCharType="begin"/>
        </w:r>
        <w:r w:rsidR="00C35490">
          <w:rPr>
            <w:noProof/>
            <w:webHidden/>
          </w:rPr>
          <w:instrText xml:space="preserve"> PAGEREF _Toc514059217 \h </w:instrText>
        </w:r>
        <w:r w:rsidR="00C35490">
          <w:rPr>
            <w:noProof/>
            <w:webHidden/>
          </w:rPr>
        </w:r>
        <w:r w:rsidR="00C35490">
          <w:rPr>
            <w:noProof/>
            <w:webHidden/>
          </w:rPr>
          <w:fldChar w:fldCharType="separate"/>
        </w:r>
        <w:r w:rsidR="00FD2727">
          <w:rPr>
            <w:noProof/>
            <w:webHidden/>
          </w:rPr>
          <w:t>48</w:t>
        </w:r>
        <w:r w:rsidR="00C35490">
          <w:rPr>
            <w:noProof/>
            <w:webHidden/>
          </w:rPr>
          <w:fldChar w:fldCharType="end"/>
        </w:r>
      </w:hyperlink>
    </w:p>
    <w:p w:rsidR="00C35490" w:rsidRDefault="009A724D">
      <w:pPr>
        <w:pStyle w:val="TOC4"/>
        <w:rPr>
          <w:rFonts w:asciiTheme="minorHAnsi" w:eastAsiaTheme="minorEastAsia" w:hAnsiTheme="minorHAnsi" w:cstheme="minorBidi"/>
          <w:noProof/>
          <w:sz w:val="22"/>
          <w:szCs w:val="22"/>
        </w:rPr>
      </w:pPr>
      <w:hyperlink w:anchor="_Toc514059218" w:history="1">
        <w:r w:rsidR="00C35490" w:rsidRPr="00DB06B3">
          <w:rPr>
            <w:rStyle w:val="Hyperlink"/>
            <w:noProof/>
          </w:rPr>
          <w:t>5.3.1.2   Overview of the relevant jurisprudence regarding the benefit analysis</w:t>
        </w:r>
        <w:r w:rsidR="00C35490">
          <w:rPr>
            <w:noProof/>
            <w:webHidden/>
          </w:rPr>
          <w:tab/>
        </w:r>
        <w:r w:rsidR="00C35490">
          <w:rPr>
            <w:noProof/>
            <w:webHidden/>
          </w:rPr>
          <w:fldChar w:fldCharType="begin"/>
        </w:r>
        <w:r w:rsidR="00C35490">
          <w:rPr>
            <w:noProof/>
            <w:webHidden/>
          </w:rPr>
          <w:instrText xml:space="preserve"> PAGEREF _Toc514059218 \h </w:instrText>
        </w:r>
        <w:r w:rsidR="00C35490">
          <w:rPr>
            <w:noProof/>
            <w:webHidden/>
          </w:rPr>
        </w:r>
        <w:r w:rsidR="00C35490">
          <w:rPr>
            <w:noProof/>
            <w:webHidden/>
          </w:rPr>
          <w:fldChar w:fldCharType="separate"/>
        </w:r>
        <w:r w:rsidR="00FD2727">
          <w:rPr>
            <w:noProof/>
            <w:webHidden/>
          </w:rPr>
          <w:t>54</w:t>
        </w:r>
        <w:r w:rsidR="00C35490">
          <w:rPr>
            <w:noProof/>
            <w:webHidden/>
          </w:rPr>
          <w:fldChar w:fldCharType="end"/>
        </w:r>
      </w:hyperlink>
    </w:p>
    <w:p w:rsidR="00C35490" w:rsidRDefault="009A724D">
      <w:pPr>
        <w:pStyle w:val="TOC4"/>
        <w:rPr>
          <w:rFonts w:asciiTheme="minorHAnsi" w:eastAsiaTheme="minorEastAsia" w:hAnsiTheme="minorHAnsi" w:cstheme="minorBidi"/>
          <w:noProof/>
          <w:sz w:val="22"/>
          <w:szCs w:val="22"/>
        </w:rPr>
      </w:pPr>
      <w:hyperlink w:anchor="_Toc514059219" w:history="1">
        <w:r w:rsidR="00C35490" w:rsidRPr="00DB06B3">
          <w:rPr>
            <w:rStyle w:val="Hyperlink"/>
            <w:noProof/>
          </w:rPr>
          <w:t>5.3.1.3   Whether the Panel erred in its application of Article 1.1(b) of the SCM Agreement by failing to identify properly the "corporate borrowing rate"</w:t>
        </w:r>
        <w:r w:rsidR="00C35490">
          <w:rPr>
            <w:noProof/>
            <w:webHidden/>
          </w:rPr>
          <w:tab/>
        </w:r>
        <w:r w:rsidR="00C35490">
          <w:rPr>
            <w:noProof/>
            <w:webHidden/>
          </w:rPr>
          <w:fldChar w:fldCharType="begin"/>
        </w:r>
        <w:r w:rsidR="00C35490">
          <w:rPr>
            <w:noProof/>
            <w:webHidden/>
          </w:rPr>
          <w:instrText xml:space="preserve"> PAGEREF _Toc514059219 \h </w:instrText>
        </w:r>
        <w:r w:rsidR="00C35490">
          <w:rPr>
            <w:noProof/>
            <w:webHidden/>
          </w:rPr>
        </w:r>
        <w:r w:rsidR="00C35490">
          <w:rPr>
            <w:noProof/>
            <w:webHidden/>
          </w:rPr>
          <w:fldChar w:fldCharType="separate"/>
        </w:r>
        <w:r w:rsidR="00FD2727">
          <w:rPr>
            <w:noProof/>
            <w:webHidden/>
          </w:rPr>
          <w:t>56</w:t>
        </w:r>
        <w:r w:rsidR="00C35490">
          <w:rPr>
            <w:noProof/>
            <w:webHidden/>
          </w:rPr>
          <w:fldChar w:fldCharType="end"/>
        </w:r>
      </w:hyperlink>
    </w:p>
    <w:p w:rsidR="00C35490" w:rsidRDefault="009A724D">
      <w:pPr>
        <w:pStyle w:val="TOC4"/>
        <w:rPr>
          <w:rFonts w:asciiTheme="minorHAnsi" w:eastAsiaTheme="minorEastAsia" w:hAnsiTheme="minorHAnsi" w:cstheme="minorBidi"/>
          <w:noProof/>
          <w:sz w:val="22"/>
          <w:szCs w:val="22"/>
        </w:rPr>
      </w:pPr>
      <w:hyperlink w:anchor="_Toc514059220" w:history="1">
        <w:r w:rsidR="00C35490" w:rsidRPr="00DB06B3">
          <w:rPr>
            <w:rStyle w:val="Hyperlink"/>
            <w:noProof/>
          </w:rPr>
          <w:t>5.3.1.4   Whether the Panel acted inconsistently with Article 11 of the DSU by rejecting the yield of the relevant EADS bond on the day of conclusion of each A350XWB LA/MSF contract</w:t>
        </w:r>
        <w:r w:rsidR="00C35490">
          <w:rPr>
            <w:noProof/>
            <w:webHidden/>
          </w:rPr>
          <w:tab/>
        </w:r>
        <w:r w:rsidR="00C35490">
          <w:rPr>
            <w:noProof/>
            <w:webHidden/>
          </w:rPr>
          <w:fldChar w:fldCharType="begin"/>
        </w:r>
        <w:r w:rsidR="00C35490">
          <w:rPr>
            <w:noProof/>
            <w:webHidden/>
          </w:rPr>
          <w:instrText xml:space="preserve"> PAGEREF _Toc514059220 \h </w:instrText>
        </w:r>
        <w:r w:rsidR="00C35490">
          <w:rPr>
            <w:noProof/>
            <w:webHidden/>
          </w:rPr>
        </w:r>
        <w:r w:rsidR="00C35490">
          <w:rPr>
            <w:noProof/>
            <w:webHidden/>
          </w:rPr>
          <w:fldChar w:fldCharType="separate"/>
        </w:r>
        <w:r w:rsidR="00FD2727">
          <w:rPr>
            <w:noProof/>
            <w:webHidden/>
          </w:rPr>
          <w:t>64</w:t>
        </w:r>
        <w:r w:rsidR="00C35490">
          <w:rPr>
            <w:noProof/>
            <w:webHidden/>
          </w:rPr>
          <w:fldChar w:fldCharType="end"/>
        </w:r>
      </w:hyperlink>
    </w:p>
    <w:p w:rsidR="00C35490" w:rsidRDefault="009A724D">
      <w:pPr>
        <w:pStyle w:val="TOC4"/>
        <w:rPr>
          <w:rFonts w:asciiTheme="minorHAnsi" w:eastAsiaTheme="minorEastAsia" w:hAnsiTheme="minorHAnsi" w:cstheme="minorBidi"/>
          <w:noProof/>
          <w:sz w:val="22"/>
          <w:szCs w:val="22"/>
        </w:rPr>
      </w:pPr>
      <w:hyperlink w:anchor="_Toc514059221" w:history="1">
        <w:r w:rsidR="00C35490" w:rsidRPr="00DB06B3">
          <w:rPr>
            <w:rStyle w:val="Hyperlink"/>
            <w:noProof/>
          </w:rPr>
          <w:t>5.3.1.5   The European Union's conditional appeal</w:t>
        </w:r>
        <w:r w:rsidR="00C35490">
          <w:rPr>
            <w:noProof/>
            <w:webHidden/>
          </w:rPr>
          <w:tab/>
        </w:r>
        <w:r w:rsidR="00C35490">
          <w:rPr>
            <w:noProof/>
            <w:webHidden/>
          </w:rPr>
          <w:fldChar w:fldCharType="begin"/>
        </w:r>
        <w:r w:rsidR="00C35490">
          <w:rPr>
            <w:noProof/>
            <w:webHidden/>
          </w:rPr>
          <w:instrText xml:space="preserve"> PAGEREF _Toc514059221 \h </w:instrText>
        </w:r>
        <w:r w:rsidR="00C35490">
          <w:rPr>
            <w:noProof/>
            <w:webHidden/>
          </w:rPr>
        </w:r>
        <w:r w:rsidR="00C35490">
          <w:rPr>
            <w:noProof/>
            <w:webHidden/>
          </w:rPr>
          <w:fldChar w:fldCharType="separate"/>
        </w:r>
        <w:r w:rsidR="00FD2727">
          <w:rPr>
            <w:noProof/>
            <w:webHidden/>
          </w:rPr>
          <w:t>68</w:t>
        </w:r>
        <w:r w:rsidR="00C35490">
          <w:rPr>
            <w:noProof/>
            <w:webHidden/>
          </w:rPr>
          <w:fldChar w:fldCharType="end"/>
        </w:r>
      </w:hyperlink>
    </w:p>
    <w:p w:rsidR="00C35490" w:rsidRDefault="009A724D">
      <w:pPr>
        <w:pStyle w:val="TOC5"/>
        <w:rPr>
          <w:rFonts w:asciiTheme="minorHAnsi" w:eastAsiaTheme="minorEastAsia" w:hAnsiTheme="minorHAnsi" w:cstheme="minorBidi"/>
          <w:noProof/>
          <w:sz w:val="22"/>
          <w:szCs w:val="22"/>
        </w:rPr>
      </w:pPr>
      <w:hyperlink w:anchor="_Toc514059222" w:history="1">
        <w:r w:rsidR="00C35490" w:rsidRPr="00DB06B3">
          <w:rPr>
            <w:rStyle w:val="Hyperlink"/>
            <w:noProof/>
          </w:rPr>
          <w:t>5.3.1.5.1   Whether the Panel erred in its application of Article 1.1(b) of the SCM Agreement by including the six</w:t>
        </w:r>
        <w:r w:rsidR="00C35490" w:rsidRPr="00DB06B3">
          <w:rPr>
            <w:rStyle w:val="Hyperlink"/>
            <w:noProof/>
          </w:rPr>
          <w:noBreakHyphen/>
          <w:t>month average yield of the EADS bond in its determination of the corporate borrowing rate</w:t>
        </w:r>
        <w:r w:rsidR="00C35490">
          <w:rPr>
            <w:noProof/>
            <w:webHidden/>
          </w:rPr>
          <w:tab/>
        </w:r>
        <w:r w:rsidR="00C35490">
          <w:rPr>
            <w:noProof/>
            <w:webHidden/>
          </w:rPr>
          <w:fldChar w:fldCharType="begin"/>
        </w:r>
        <w:r w:rsidR="00C35490">
          <w:rPr>
            <w:noProof/>
            <w:webHidden/>
          </w:rPr>
          <w:instrText xml:space="preserve"> PAGEREF _Toc514059222 \h </w:instrText>
        </w:r>
        <w:r w:rsidR="00C35490">
          <w:rPr>
            <w:noProof/>
            <w:webHidden/>
          </w:rPr>
        </w:r>
        <w:r w:rsidR="00C35490">
          <w:rPr>
            <w:noProof/>
            <w:webHidden/>
          </w:rPr>
          <w:fldChar w:fldCharType="separate"/>
        </w:r>
        <w:r w:rsidR="00FD2727">
          <w:rPr>
            <w:noProof/>
            <w:webHidden/>
          </w:rPr>
          <w:t>68</w:t>
        </w:r>
        <w:r w:rsidR="00C35490">
          <w:rPr>
            <w:noProof/>
            <w:webHidden/>
          </w:rPr>
          <w:fldChar w:fldCharType="end"/>
        </w:r>
      </w:hyperlink>
    </w:p>
    <w:p w:rsidR="00C35490" w:rsidRDefault="009A724D">
      <w:pPr>
        <w:pStyle w:val="TOC5"/>
        <w:rPr>
          <w:rFonts w:asciiTheme="minorHAnsi" w:eastAsiaTheme="minorEastAsia" w:hAnsiTheme="minorHAnsi" w:cstheme="minorBidi"/>
          <w:noProof/>
          <w:sz w:val="22"/>
          <w:szCs w:val="22"/>
        </w:rPr>
      </w:pPr>
      <w:hyperlink w:anchor="_Toc514059223" w:history="1">
        <w:r w:rsidR="00C35490" w:rsidRPr="00DB06B3">
          <w:rPr>
            <w:rStyle w:val="Hyperlink"/>
            <w:noProof/>
          </w:rPr>
          <w:t>5.3.1.5.2   Whether the Panel acted inconsistently with Article 11 of the DSU by including the six</w:t>
        </w:r>
        <w:r w:rsidR="00C35490" w:rsidRPr="00DB06B3">
          <w:rPr>
            <w:rStyle w:val="Hyperlink"/>
            <w:noProof/>
          </w:rPr>
          <w:noBreakHyphen/>
          <w:t>month average yield of the EADS bond in its determination of the corporate borrowing rate</w:t>
        </w:r>
        <w:r w:rsidR="00C35490">
          <w:rPr>
            <w:noProof/>
            <w:webHidden/>
          </w:rPr>
          <w:tab/>
        </w:r>
        <w:r w:rsidR="00C35490">
          <w:rPr>
            <w:noProof/>
            <w:webHidden/>
          </w:rPr>
          <w:fldChar w:fldCharType="begin"/>
        </w:r>
        <w:r w:rsidR="00C35490">
          <w:rPr>
            <w:noProof/>
            <w:webHidden/>
          </w:rPr>
          <w:instrText xml:space="preserve"> PAGEREF _Toc514059223 \h </w:instrText>
        </w:r>
        <w:r w:rsidR="00C35490">
          <w:rPr>
            <w:noProof/>
            <w:webHidden/>
          </w:rPr>
        </w:r>
        <w:r w:rsidR="00C35490">
          <w:rPr>
            <w:noProof/>
            <w:webHidden/>
          </w:rPr>
          <w:fldChar w:fldCharType="separate"/>
        </w:r>
        <w:r w:rsidR="00FD2727">
          <w:rPr>
            <w:noProof/>
            <w:webHidden/>
          </w:rPr>
          <w:t>71</w:t>
        </w:r>
        <w:r w:rsidR="00C35490">
          <w:rPr>
            <w:noProof/>
            <w:webHidden/>
          </w:rPr>
          <w:fldChar w:fldCharType="end"/>
        </w:r>
      </w:hyperlink>
    </w:p>
    <w:p w:rsidR="00C35490" w:rsidRDefault="009A724D">
      <w:pPr>
        <w:pStyle w:val="TOC4"/>
        <w:rPr>
          <w:rFonts w:asciiTheme="minorHAnsi" w:eastAsiaTheme="minorEastAsia" w:hAnsiTheme="minorHAnsi" w:cstheme="minorBidi"/>
          <w:noProof/>
          <w:sz w:val="22"/>
          <w:szCs w:val="22"/>
        </w:rPr>
      </w:pPr>
      <w:hyperlink w:anchor="_Toc514059224" w:history="1">
        <w:r w:rsidR="00C35490" w:rsidRPr="00DB06B3">
          <w:rPr>
            <w:rStyle w:val="Hyperlink"/>
            <w:noProof/>
          </w:rPr>
          <w:t>5.3.1.6   Conclusion on the Panel's findings regarding the corporate borrowing rate</w:t>
        </w:r>
        <w:r w:rsidR="00C35490">
          <w:rPr>
            <w:noProof/>
            <w:webHidden/>
          </w:rPr>
          <w:tab/>
        </w:r>
        <w:r w:rsidR="00C35490">
          <w:rPr>
            <w:noProof/>
            <w:webHidden/>
          </w:rPr>
          <w:fldChar w:fldCharType="begin"/>
        </w:r>
        <w:r w:rsidR="00C35490">
          <w:rPr>
            <w:noProof/>
            <w:webHidden/>
          </w:rPr>
          <w:instrText xml:space="preserve"> PAGEREF _Toc514059224 \h </w:instrText>
        </w:r>
        <w:r w:rsidR="00C35490">
          <w:rPr>
            <w:noProof/>
            <w:webHidden/>
          </w:rPr>
        </w:r>
        <w:r w:rsidR="00C35490">
          <w:rPr>
            <w:noProof/>
            <w:webHidden/>
          </w:rPr>
          <w:fldChar w:fldCharType="separate"/>
        </w:r>
        <w:r w:rsidR="00FD2727">
          <w:rPr>
            <w:noProof/>
            <w:webHidden/>
          </w:rPr>
          <w:t>74</w:t>
        </w:r>
        <w:r w:rsidR="00C35490">
          <w:rPr>
            <w:noProof/>
            <w:webHidden/>
          </w:rPr>
          <w:fldChar w:fldCharType="end"/>
        </w:r>
      </w:hyperlink>
    </w:p>
    <w:p w:rsidR="00C35490" w:rsidRDefault="009A724D">
      <w:pPr>
        <w:pStyle w:val="TOC3"/>
        <w:rPr>
          <w:rFonts w:asciiTheme="minorHAnsi" w:eastAsiaTheme="minorEastAsia" w:hAnsiTheme="minorHAnsi" w:cstheme="minorBidi"/>
          <w:noProof/>
          <w:sz w:val="22"/>
          <w:szCs w:val="22"/>
        </w:rPr>
      </w:pPr>
      <w:hyperlink w:anchor="_Toc514059225" w:history="1">
        <w:r w:rsidR="00C35490" w:rsidRPr="00DB06B3">
          <w:rPr>
            <w:rStyle w:val="Hyperlink"/>
            <w:noProof/>
          </w:rPr>
          <w:t>5.3.2   Project-specific risk premium</w:t>
        </w:r>
        <w:r w:rsidR="00C35490">
          <w:rPr>
            <w:noProof/>
            <w:webHidden/>
          </w:rPr>
          <w:tab/>
        </w:r>
        <w:r w:rsidR="00C35490">
          <w:rPr>
            <w:noProof/>
            <w:webHidden/>
          </w:rPr>
          <w:fldChar w:fldCharType="begin"/>
        </w:r>
        <w:r w:rsidR="00C35490">
          <w:rPr>
            <w:noProof/>
            <w:webHidden/>
          </w:rPr>
          <w:instrText xml:space="preserve"> PAGEREF _Toc514059225 \h </w:instrText>
        </w:r>
        <w:r w:rsidR="00C35490">
          <w:rPr>
            <w:noProof/>
            <w:webHidden/>
          </w:rPr>
        </w:r>
        <w:r w:rsidR="00C35490">
          <w:rPr>
            <w:noProof/>
            <w:webHidden/>
          </w:rPr>
          <w:fldChar w:fldCharType="separate"/>
        </w:r>
        <w:r w:rsidR="00FD2727">
          <w:rPr>
            <w:noProof/>
            <w:webHidden/>
          </w:rPr>
          <w:t>76</w:t>
        </w:r>
        <w:r w:rsidR="00C35490">
          <w:rPr>
            <w:noProof/>
            <w:webHidden/>
          </w:rPr>
          <w:fldChar w:fldCharType="end"/>
        </w:r>
      </w:hyperlink>
    </w:p>
    <w:p w:rsidR="00C35490" w:rsidRDefault="009A724D">
      <w:pPr>
        <w:pStyle w:val="TOC4"/>
        <w:rPr>
          <w:rFonts w:asciiTheme="minorHAnsi" w:eastAsiaTheme="minorEastAsia" w:hAnsiTheme="minorHAnsi" w:cstheme="minorBidi"/>
          <w:noProof/>
          <w:sz w:val="22"/>
          <w:szCs w:val="22"/>
        </w:rPr>
      </w:pPr>
      <w:hyperlink w:anchor="_Toc514059226" w:history="1">
        <w:r w:rsidR="00C35490" w:rsidRPr="00DB06B3">
          <w:rPr>
            <w:rStyle w:val="Hyperlink"/>
            <w:noProof/>
          </w:rPr>
          <w:t>5.3.2.1   The Panel's findings</w:t>
        </w:r>
        <w:r w:rsidR="00C35490">
          <w:rPr>
            <w:noProof/>
            <w:webHidden/>
          </w:rPr>
          <w:tab/>
        </w:r>
        <w:r w:rsidR="00C35490">
          <w:rPr>
            <w:noProof/>
            <w:webHidden/>
          </w:rPr>
          <w:fldChar w:fldCharType="begin"/>
        </w:r>
        <w:r w:rsidR="00C35490">
          <w:rPr>
            <w:noProof/>
            <w:webHidden/>
          </w:rPr>
          <w:instrText xml:space="preserve"> PAGEREF _Toc514059226 \h </w:instrText>
        </w:r>
        <w:r w:rsidR="00C35490">
          <w:rPr>
            <w:noProof/>
            <w:webHidden/>
          </w:rPr>
        </w:r>
        <w:r w:rsidR="00C35490">
          <w:rPr>
            <w:noProof/>
            <w:webHidden/>
          </w:rPr>
          <w:fldChar w:fldCharType="separate"/>
        </w:r>
        <w:r w:rsidR="00FD2727">
          <w:rPr>
            <w:noProof/>
            <w:webHidden/>
          </w:rPr>
          <w:t>78</w:t>
        </w:r>
        <w:r w:rsidR="00C35490">
          <w:rPr>
            <w:noProof/>
            <w:webHidden/>
          </w:rPr>
          <w:fldChar w:fldCharType="end"/>
        </w:r>
      </w:hyperlink>
    </w:p>
    <w:p w:rsidR="00C35490" w:rsidRDefault="009A724D">
      <w:pPr>
        <w:pStyle w:val="TOC4"/>
        <w:rPr>
          <w:rFonts w:asciiTheme="minorHAnsi" w:eastAsiaTheme="minorEastAsia" w:hAnsiTheme="minorHAnsi" w:cstheme="minorBidi"/>
          <w:noProof/>
          <w:sz w:val="22"/>
          <w:szCs w:val="22"/>
        </w:rPr>
      </w:pPr>
      <w:hyperlink w:anchor="_Toc514059227" w:history="1">
        <w:r w:rsidR="00C35490" w:rsidRPr="00DB06B3">
          <w:rPr>
            <w:rStyle w:val="Hyperlink"/>
            <w:noProof/>
          </w:rPr>
          <w:t>5.3.2.2   Whether the Panel committed legal error by failing to establish a project</w:t>
        </w:r>
        <w:r w:rsidR="00C35490" w:rsidRPr="00DB06B3">
          <w:rPr>
            <w:rStyle w:val="Hyperlink"/>
            <w:noProof/>
          </w:rPr>
          <w:noBreakHyphen/>
          <w:t>specific risk premium for the four A350XWB LA/MSF contracts based on the risks associated with the A350XWB project</w:t>
        </w:r>
        <w:r w:rsidR="00C35490">
          <w:rPr>
            <w:noProof/>
            <w:webHidden/>
          </w:rPr>
          <w:tab/>
        </w:r>
        <w:r w:rsidR="00C35490">
          <w:rPr>
            <w:noProof/>
            <w:webHidden/>
          </w:rPr>
          <w:fldChar w:fldCharType="begin"/>
        </w:r>
        <w:r w:rsidR="00C35490">
          <w:rPr>
            <w:noProof/>
            <w:webHidden/>
          </w:rPr>
          <w:instrText xml:space="preserve"> PAGEREF _Toc514059227 \h </w:instrText>
        </w:r>
        <w:r w:rsidR="00C35490">
          <w:rPr>
            <w:noProof/>
            <w:webHidden/>
          </w:rPr>
        </w:r>
        <w:r w:rsidR="00C35490">
          <w:rPr>
            <w:noProof/>
            <w:webHidden/>
          </w:rPr>
          <w:fldChar w:fldCharType="separate"/>
        </w:r>
        <w:r w:rsidR="00FD2727">
          <w:rPr>
            <w:noProof/>
            <w:webHidden/>
          </w:rPr>
          <w:t>81</w:t>
        </w:r>
        <w:r w:rsidR="00C35490">
          <w:rPr>
            <w:noProof/>
            <w:webHidden/>
          </w:rPr>
          <w:fldChar w:fldCharType="end"/>
        </w:r>
      </w:hyperlink>
    </w:p>
    <w:p w:rsidR="00C35490" w:rsidRDefault="009A724D">
      <w:pPr>
        <w:pStyle w:val="TOC5"/>
        <w:rPr>
          <w:rFonts w:asciiTheme="minorHAnsi" w:eastAsiaTheme="minorEastAsia" w:hAnsiTheme="minorHAnsi" w:cstheme="minorBidi"/>
          <w:noProof/>
          <w:sz w:val="22"/>
          <w:szCs w:val="22"/>
        </w:rPr>
      </w:pPr>
      <w:hyperlink w:anchor="_Toc514059228" w:history="1">
        <w:r w:rsidR="00C35490" w:rsidRPr="00DB06B3">
          <w:rPr>
            <w:rStyle w:val="Hyperlink"/>
            <w:noProof/>
          </w:rPr>
          <w:t>5.3.2.2.1   Whether the Panel erred by failing to undertake a "progressive search" for a market benchmark and to adopt the most appropriate benchmark</w:t>
        </w:r>
        <w:r w:rsidR="00C35490">
          <w:rPr>
            <w:noProof/>
            <w:webHidden/>
          </w:rPr>
          <w:tab/>
        </w:r>
        <w:r w:rsidR="00C35490">
          <w:rPr>
            <w:noProof/>
            <w:webHidden/>
          </w:rPr>
          <w:fldChar w:fldCharType="begin"/>
        </w:r>
        <w:r w:rsidR="00C35490">
          <w:rPr>
            <w:noProof/>
            <w:webHidden/>
          </w:rPr>
          <w:instrText xml:space="preserve"> PAGEREF _Toc514059228 \h </w:instrText>
        </w:r>
        <w:r w:rsidR="00C35490">
          <w:rPr>
            <w:noProof/>
            <w:webHidden/>
          </w:rPr>
        </w:r>
        <w:r w:rsidR="00C35490">
          <w:rPr>
            <w:noProof/>
            <w:webHidden/>
          </w:rPr>
          <w:fldChar w:fldCharType="separate"/>
        </w:r>
        <w:r w:rsidR="00FD2727">
          <w:rPr>
            <w:noProof/>
            <w:webHidden/>
          </w:rPr>
          <w:t>82</w:t>
        </w:r>
        <w:r w:rsidR="00C35490">
          <w:rPr>
            <w:noProof/>
            <w:webHidden/>
          </w:rPr>
          <w:fldChar w:fldCharType="end"/>
        </w:r>
      </w:hyperlink>
    </w:p>
    <w:p w:rsidR="00C35490" w:rsidRDefault="009A724D">
      <w:pPr>
        <w:pStyle w:val="TOC5"/>
        <w:rPr>
          <w:rFonts w:asciiTheme="minorHAnsi" w:eastAsiaTheme="minorEastAsia" w:hAnsiTheme="minorHAnsi" w:cstheme="minorBidi"/>
          <w:noProof/>
          <w:sz w:val="22"/>
          <w:szCs w:val="22"/>
        </w:rPr>
      </w:pPr>
      <w:hyperlink w:anchor="_Toc514059229" w:history="1">
        <w:r w:rsidR="00C35490" w:rsidRPr="00DB06B3">
          <w:rPr>
            <w:rStyle w:val="Hyperlink"/>
            <w:noProof/>
          </w:rPr>
          <w:t>5.3.2.2.2   Whether the Panel erred by failing to make adjustments to the benchmark to ensure comparability</w:t>
        </w:r>
        <w:r w:rsidR="00C35490">
          <w:rPr>
            <w:noProof/>
            <w:webHidden/>
          </w:rPr>
          <w:tab/>
        </w:r>
        <w:r w:rsidR="00C35490">
          <w:rPr>
            <w:noProof/>
            <w:webHidden/>
          </w:rPr>
          <w:fldChar w:fldCharType="begin"/>
        </w:r>
        <w:r w:rsidR="00C35490">
          <w:rPr>
            <w:noProof/>
            <w:webHidden/>
          </w:rPr>
          <w:instrText xml:space="preserve"> PAGEREF _Toc514059229 \h </w:instrText>
        </w:r>
        <w:r w:rsidR="00C35490">
          <w:rPr>
            <w:noProof/>
            <w:webHidden/>
          </w:rPr>
        </w:r>
        <w:r w:rsidR="00C35490">
          <w:rPr>
            <w:noProof/>
            <w:webHidden/>
          </w:rPr>
          <w:fldChar w:fldCharType="separate"/>
        </w:r>
        <w:r w:rsidR="00FD2727">
          <w:rPr>
            <w:noProof/>
            <w:webHidden/>
          </w:rPr>
          <w:t>86</w:t>
        </w:r>
        <w:r w:rsidR="00C35490">
          <w:rPr>
            <w:noProof/>
            <w:webHidden/>
          </w:rPr>
          <w:fldChar w:fldCharType="end"/>
        </w:r>
      </w:hyperlink>
    </w:p>
    <w:p w:rsidR="00C35490" w:rsidRDefault="009A724D">
      <w:pPr>
        <w:pStyle w:val="TOC5"/>
        <w:rPr>
          <w:rFonts w:asciiTheme="minorHAnsi" w:eastAsiaTheme="minorEastAsia" w:hAnsiTheme="minorHAnsi" w:cstheme="minorBidi"/>
          <w:noProof/>
          <w:sz w:val="22"/>
          <w:szCs w:val="22"/>
        </w:rPr>
      </w:pPr>
      <w:hyperlink w:anchor="_Toc514059230" w:history="1">
        <w:r w:rsidR="00C35490" w:rsidRPr="00DB06B3">
          <w:rPr>
            <w:rStyle w:val="Hyperlink"/>
            <w:noProof/>
          </w:rPr>
          <w:t>5.3.2.2.3   Whether the Panel acted inconsistently with Article 11 of the DSU</w:t>
        </w:r>
        <w:r w:rsidR="00C35490">
          <w:rPr>
            <w:noProof/>
            <w:webHidden/>
          </w:rPr>
          <w:tab/>
        </w:r>
        <w:r w:rsidR="00C35490">
          <w:rPr>
            <w:noProof/>
            <w:webHidden/>
          </w:rPr>
          <w:fldChar w:fldCharType="begin"/>
        </w:r>
        <w:r w:rsidR="00C35490">
          <w:rPr>
            <w:noProof/>
            <w:webHidden/>
          </w:rPr>
          <w:instrText xml:space="preserve"> PAGEREF _Toc514059230 \h </w:instrText>
        </w:r>
        <w:r w:rsidR="00C35490">
          <w:rPr>
            <w:noProof/>
            <w:webHidden/>
          </w:rPr>
        </w:r>
        <w:r w:rsidR="00C35490">
          <w:rPr>
            <w:noProof/>
            <w:webHidden/>
          </w:rPr>
          <w:fldChar w:fldCharType="separate"/>
        </w:r>
        <w:r w:rsidR="00FD2727">
          <w:rPr>
            <w:noProof/>
            <w:webHidden/>
          </w:rPr>
          <w:t>89</w:t>
        </w:r>
        <w:r w:rsidR="00C35490">
          <w:rPr>
            <w:noProof/>
            <w:webHidden/>
          </w:rPr>
          <w:fldChar w:fldCharType="end"/>
        </w:r>
      </w:hyperlink>
    </w:p>
    <w:p w:rsidR="00C35490" w:rsidRDefault="009A724D">
      <w:pPr>
        <w:pStyle w:val="TOC4"/>
        <w:rPr>
          <w:rFonts w:asciiTheme="minorHAnsi" w:eastAsiaTheme="minorEastAsia" w:hAnsiTheme="minorHAnsi" w:cstheme="minorBidi"/>
          <w:noProof/>
          <w:sz w:val="22"/>
          <w:szCs w:val="22"/>
        </w:rPr>
      </w:pPr>
      <w:hyperlink w:anchor="_Toc514059231" w:history="1">
        <w:r w:rsidR="00C35490" w:rsidRPr="00DB06B3">
          <w:rPr>
            <w:rStyle w:val="Hyperlink"/>
            <w:noProof/>
          </w:rPr>
          <w:t>5.3.2.3   Whether the Panel acted inconsistently with Article 11 of the DSU in its assessment of the risk differences that may affect the project-specific risk premium</w:t>
        </w:r>
        <w:r w:rsidR="00C35490">
          <w:rPr>
            <w:noProof/>
            <w:webHidden/>
          </w:rPr>
          <w:tab/>
        </w:r>
        <w:r w:rsidR="00C35490">
          <w:rPr>
            <w:noProof/>
            <w:webHidden/>
          </w:rPr>
          <w:fldChar w:fldCharType="begin"/>
        </w:r>
        <w:r w:rsidR="00C35490">
          <w:rPr>
            <w:noProof/>
            <w:webHidden/>
          </w:rPr>
          <w:instrText xml:space="preserve"> PAGEREF _Toc514059231 \h </w:instrText>
        </w:r>
        <w:r w:rsidR="00C35490">
          <w:rPr>
            <w:noProof/>
            <w:webHidden/>
          </w:rPr>
        </w:r>
        <w:r w:rsidR="00C35490">
          <w:rPr>
            <w:noProof/>
            <w:webHidden/>
          </w:rPr>
          <w:fldChar w:fldCharType="separate"/>
        </w:r>
        <w:r w:rsidR="00FD2727">
          <w:rPr>
            <w:noProof/>
            <w:webHidden/>
          </w:rPr>
          <w:t>92</w:t>
        </w:r>
        <w:r w:rsidR="00C35490">
          <w:rPr>
            <w:noProof/>
            <w:webHidden/>
          </w:rPr>
          <w:fldChar w:fldCharType="end"/>
        </w:r>
      </w:hyperlink>
    </w:p>
    <w:p w:rsidR="00C35490" w:rsidRDefault="009A724D">
      <w:pPr>
        <w:pStyle w:val="TOC5"/>
        <w:rPr>
          <w:rFonts w:asciiTheme="minorHAnsi" w:eastAsiaTheme="minorEastAsia" w:hAnsiTheme="minorHAnsi" w:cstheme="minorBidi"/>
          <w:noProof/>
          <w:sz w:val="22"/>
          <w:szCs w:val="22"/>
        </w:rPr>
      </w:pPr>
      <w:hyperlink w:anchor="_Toc514059232" w:history="1">
        <w:r w:rsidR="00C35490" w:rsidRPr="00DB06B3">
          <w:rPr>
            <w:rStyle w:val="Hyperlink"/>
            <w:noProof/>
          </w:rPr>
          <w:t>5.3.2.3.1   Programme risk</w:t>
        </w:r>
        <w:r w:rsidR="00C35490">
          <w:rPr>
            <w:noProof/>
            <w:webHidden/>
          </w:rPr>
          <w:tab/>
        </w:r>
        <w:r w:rsidR="00C35490">
          <w:rPr>
            <w:noProof/>
            <w:webHidden/>
          </w:rPr>
          <w:fldChar w:fldCharType="begin"/>
        </w:r>
        <w:r w:rsidR="00C35490">
          <w:rPr>
            <w:noProof/>
            <w:webHidden/>
          </w:rPr>
          <w:instrText xml:space="preserve"> PAGEREF _Toc514059232 \h </w:instrText>
        </w:r>
        <w:r w:rsidR="00C35490">
          <w:rPr>
            <w:noProof/>
            <w:webHidden/>
          </w:rPr>
        </w:r>
        <w:r w:rsidR="00C35490">
          <w:rPr>
            <w:noProof/>
            <w:webHidden/>
          </w:rPr>
          <w:fldChar w:fldCharType="separate"/>
        </w:r>
        <w:r w:rsidR="00FD2727">
          <w:rPr>
            <w:noProof/>
            <w:webHidden/>
          </w:rPr>
          <w:t>93</w:t>
        </w:r>
        <w:r w:rsidR="00C35490">
          <w:rPr>
            <w:noProof/>
            <w:webHidden/>
          </w:rPr>
          <w:fldChar w:fldCharType="end"/>
        </w:r>
      </w:hyperlink>
    </w:p>
    <w:p w:rsidR="00C35490" w:rsidRDefault="009A724D">
      <w:pPr>
        <w:pStyle w:val="TOC6"/>
        <w:rPr>
          <w:rFonts w:asciiTheme="minorHAnsi" w:eastAsiaTheme="minorEastAsia" w:hAnsiTheme="minorHAnsi" w:cstheme="minorBidi"/>
          <w:noProof/>
          <w:sz w:val="22"/>
          <w:szCs w:val="22"/>
        </w:rPr>
      </w:pPr>
      <w:hyperlink w:anchor="_Toc514059233" w:history="1">
        <w:r w:rsidR="00C35490" w:rsidRPr="00DB06B3">
          <w:rPr>
            <w:rStyle w:val="Hyperlink"/>
            <w:noProof/>
          </w:rPr>
          <w:t>5.3.2.3.1.1   Development risk</w:t>
        </w:r>
        <w:r w:rsidR="00C35490">
          <w:rPr>
            <w:noProof/>
            <w:webHidden/>
          </w:rPr>
          <w:tab/>
        </w:r>
        <w:r w:rsidR="00C35490">
          <w:rPr>
            <w:noProof/>
            <w:webHidden/>
          </w:rPr>
          <w:fldChar w:fldCharType="begin"/>
        </w:r>
        <w:r w:rsidR="00C35490">
          <w:rPr>
            <w:noProof/>
            <w:webHidden/>
          </w:rPr>
          <w:instrText xml:space="preserve"> PAGEREF _Toc514059233 \h </w:instrText>
        </w:r>
        <w:r w:rsidR="00C35490">
          <w:rPr>
            <w:noProof/>
            <w:webHidden/>
          </w:rPr>
        </w:r>
        <w:r w:rsidR="00C35490">
          <w:rPr>
            <w:noProof/>
            <w:webHidden/>
          </w:rPr>
          <w:fldChar w:fldCharType="separate"/>
        </w:r>
        <w:r w:rsidR="00FD2727">
          <w:rPr>
            <w:noProof/>
            <w:webHidden/>
          </w:rPr>
          <w:t>93</w:t>
        </w:r>
        <w:r w:rsidR="00C35490">
          <w:rPr>
            <w:noProof/>
            <w:webHidden/>
          </w:rPr>
          <w:fldChar w:fldCharType="end"/>
        </w:r>
      </w:hyperlink>
    </w:p>
    <w:p w:rsidR="00C35490" w:rsidRDefault="009A724D">
      <w:pPr>
        <w:pStyle w:val="TOC6"/>
        <w:rPr>
          <w:rFonts w:asciiTheme="minorHAnsi" w:eastAsiaTheme="minorEastAsia" w:hAnsiTheme="minorHAnsi" w:cstheme="minorBidi"/>
          <w:noProof/>
          <w:sz w:val="22"/>
          <w:szCs w:val="22"/>
        </w:rPr>
      </w:pPr>
      <w:hyperlink w:anchor="_Toc514059234" w:history="1">
        <w:r w:rsidR="00C35490" w:rsidRPr="00DB06B3">
          <w:rPr>
            <w:rStyle w:val="Hyperlink"/>
            <w:noProof/>
          </w:rPr>
          <w:t>5.3.2.3.1.2   Market risk and comparison of development risk and market risk</w:t>
        </w:r>
        <w:r w:rsidR="00C35490">
          <w:rPr>
            <w:noProof/>
            <w:webHidden/>
          </w:rPr>
          <w:tab/>
        </w:r>
        <w:r w:rsidR="00C35490">
          <w:rPr>
            <w:noProof/>
            <w:webHidden/>
          </w:rPr>
          <w:fldChar w:fldCharType="begin"/>
        </w:r>
        <w:r w:rsidR="00C35490">
          <w:rPr>
            <w:noProof/>
            <w:webHidden/>
          </w:rPr>
          <w:instrText xml:space="preserve"> PAGEREF _Toc514059234 \h </w:instrText>
        </w:r>
        <w:r w:rsidR="00C35490">
          <w:rPr>
            <w:noProof/>
            <w:webHidden/>
          </w:rPr>
        </w:r>
        <w:r w:rsidR="00C35490">
          <w:rPr>
            <w:noProof/>
            <w:webHidden/>
          </w:rPr>
          <w:fldChar w:fldCharType="separate"/>
        </w:r>
        <w:r w:rsidR="00FD2727">
          <w:rPr>
            <w:noProof/>
            <w:webHidden/>
          </w:rPr>
          <w:t>101</w:t>
        </w:r>
        <w:r w:rsidR="00C35490">
          <w:rPr>
            <w:noProof/>
            <w:webHidden/>
          </w:rPr>
          <w:fldChar w:fldCharType="end"/>
        </w:r>
      </w:hyperlink>
    </w:p>
    <w:p w:rsidR="00C35490" w:rsidRDefault="009A724D">
      <w:pPr>
        <w:pStyle w:val="TOC6"/>
        <w:rPr>
          <w:rFonts w:asciiTheme="minorHAnsi" w:eastAsiaTheme="minorEastAsia" w:hAnsiTheme="minorHAnsi" w:cstheme="minorBidi"/>
          <w:noProof/>
          <w:sz w:val="22"/>
          <w:szCs w:val="22"/>
        </w:rPr>
      </w:pPr>
      <w:hyperlink w:anchor="_Toc514059235" w:history="1">
        <w:r w:rsidR="00C35490" w:rsidRPr="00DB06B3">
          <w:rPr>
            <w:rStyle w:val="Hyperlink"/>
            <w:noProof/>
          </w:rPr>
          <w:t>5.3.2.3.1.3   Overall conclusion on programme risk</w:t>
        </w:r>
        <w:r w:rsidR="00C35490">
          <w:rPr>
            <w:noProof/>
            <w:webHidden/>
          </w:rPr>
          <w:tab/>
        </w:r>
        <w:r w:rsidR="00C35490">
          <w:rPr>
            <w:noProof/>
            <w:webHidden/>
          </w:rPr>
          <w:fldChar w:fldCharType="begin"/>
        </w:r>
        <w:r w:rsidR="00C35490">
          <w:rPr>
            <w:noProof/>
            <w:webHidden/>
          </w:rPr>
          <w:instrText xml:space="preserve"> PAGEREF _Toc514059235 \h </w:instrText>
        </w:r>
        <w:r w:rsidR="00C35490">
          <w:rPr>
            <w:noProof/>
            <w:webHidden/>
          </w:rPr>
        </w:r>
        <w:r w:rsidR="00C35490">
          <w:rPr>
            <w:noProof/>
            <w:webHidden/>
          </w:rPr>
          <w:fldChar w:fldCharType="separate"/>
        </w:r>
        <w:r w:rsidR="00FD2727">
          <w:rPr>
            <w:noProof/>
            <w:webHidden/>
          </w:rPr>
          <w:t>104</w:t>
        </w:r>
        <w:r w:rsidR="00C35490">
          <w:rPr>
            <w:noProof/>
            <w:webHidden/>
          </w:rPr>
          <w:fldChar w:fldCharType="end"/>
        </w:r>
      </w:hyperlink>
    </w:p>
    <w:p w:rsidR="00C35490" w:rsidRDefault="009A724D">
      <w:pPr>
        <w:pStyle w:val="TOC5"/>
        <w:rPr>
          <w:rFonts w:asciiTheme="minorHAnsi" w:eastAsiaTheme="minorEastAsia" w:hAnsiTheme="minorHAnsi" w:cstheme="minorBidi"/>
          <w:noProof/>
          <w:sz w:val="22"/>
          <w:szCs w:val="22"/>
        </w:rPr>
      </w:pPr>
      <w:hyperlink w:anchor="_Toc514059236" w:history="1">
        <w:r w:rsidR="00C35490" w:rsidRPr="00DB06B3">
          <w:rPr>
            <w:rStyle w:val="Hyperlink"/>
            <w:noProof/>
          </w:rPr>
          <w:t>5.3.2.3.2   Contract risk</w:t>
        </w:r>
        <w:r w:rsidR="00C35490">
          <w:rPr>
            <w:noProof/>
            <w:webHidden/>
          </w:rPr>
          <w:tab/>
        </w:r>
        <w:r w:rsidR="00C35490">
          <w:rPr>
            <w:noProof/>
            <w:webHidden/>
          </w:rPr>
          <w:fldChar w:fldCharType="begin"/>
        </w:r>
        <w:r w:rsidR="00C35490">
          <w:rPr>
            <w:noProof/>
            <w:webHidden/>
          </w:rPr>
          <w:instrText xml:space="preserve"> PAGEREF _Toc514059236 \h </w:instrText>
        </w:r>
        <w:r w:rsidR="00C35490">
          <w:rPr>
            <w:noProof/>
            <w:webHidden/>
          </w:rPr>
        </w:r>
        <w:r w:rsidR="00C35490">
          <w:rPr>
            <w:noProof/>
            <w:webHidden/>
          </w:rPr>
          <w:fldChar w:fldCharType="separate"/>
        </w:r>
        <w:r w:rsidR="00FD2727">
          <w:rPr>
            <w:noProof/>
            <w:webHidden/>
          </w:rPr>
          <w:t>105</w:t>
        </w:r>
        <w:r w:rsidR="00C35490">
          <w:rPr>
            <w:noProof/>
            <w:webHidden/>
          </w:rPr>
          <w:fldChar w:fldCharType="end"/>
        </w:r>
      </w:hyperlink>
    </w:p>
    <w:p w:rsidR="00C35490" w:rsidRDefault="009A724D">
      <w:pPr>
        <w:pStyle w:val="TOC6"/>
        <w:rPr>
          <w:rFonts w:asciiTheme="minorHAnsi" w:eastAsiaTheme="minorEastAsia" w:hAnsiTheme="minorHAnsi" w:cstheme="minorBidi"/>
          <w:noProof/>
          <w:sz w:val="22"/>
          <w:szCs w:val="22"/>
        </w:rPr>
      </w:pPr>
      <w:hyperlink w:anchor="_Toc514059237" w:history="1">
        <w:r w:rsidR="00C35490" w:rsidRPr="00DB06B3">
          <w:rPr>
            <w:rStyle w:val="Hyperlink"/>
            <w:noProof/>
          </w:rPr>
          <w:t>5.3.2.3.2.1   Whether the Panel failed to compare properly the terms of the A350XWB LA/MSF contracts to the terms of the A380 LA/MSF contracts</w:t>
        </w:r>
        <w:r w:rsidR="00C35490">
          <w:rPr>
            <w:noProof/>
            <w:webHidden/>
          </w:rPr>
          <w:tab/>
        </w:r>
        <w:r w:rsidR="00C35490">
          <w:rPr>
            <w:noProof/>
            <w:webHidden/>
          </w:rPr>
          <w:fldChar w:fldCharType="begin"/>
        </w:r>
        <w:r w:rsidR="00C35490">
          <w:rPr>
            <w:noProof/>
            <w:webHidden/>
          </w:rPr>
          <w:instrText xml:space="preserve"> PAGEREF _Toc514059237 \h </w:instrText>
        </w:r>
        <w:r w:rsidR="00C35490">
          <w:rPr>
            <w:noProof/>
            <w:webHidden/>
          </w:rPr>
        </w:r>
        <w:r w:rsidR="00C35490">
          <w:rPr>
            <w:noProof/>
            <w:webHidden/>
          </w:rPr>
          <w:fldChar w:fldCharType="separate"/>
        </w:r>
        <w:r w:rsidR="00FD2727">
          <w:rPr>
            <w:noProof/>
            <w:webHidden/>
          </w:rPr>
          <w:t>105</w:t>
        </w:r>
        <w:r w:rsidR="00C35490">
          <w:rPr>
            <w:noProof/>
            <w:webHidden/>
          </w:rPr>
          <w:fldChar w:fldCharType="end"/>
        </w:r>
      </w:hyperlink>
    </w:p>
    <w:p w:rsidR="00C35490" w:rsidRDefault="009A724D">
      <w:pPr>
        <w:pStyle w:val="TOC6"/>
        <w:rPr>
          <w:rFonts w:asciiTheme="minorHAnsi" w:eastAsiaTheme="minorEastAsia" w:hAnsiTheme="minorHAnsi" w:cstheme="minorBidi"/>
          <w:noProof/>
          <w:sz w:val="22"/>
          <w:szCs w:val="22"/>
        </w:rPr>
      </w:pPr>
      <w:hyperlink w:anchor="_Toc514059238" w:history="1">
        <w:r w:rsidR="00C35490" w:rsidRPr="00DB06B3">
          <w:rPr>
            <w:rStyle w:val="Hyperlink"/>
            <w:noProof/>
          </w:rPr>
          <w:t>5.3.2.3.2.2   Whether the Panel failed to compare the terms of the A350XWB LA/MSF contracts to the terms of the A380 risk-sharing supplier contracts</w:t>
        </w:r>
        <w:r w:rsidR="00C35490">
          <w:rPr>
            <w:noProof/>
            <w:webHidden/>
          </w:rPr>
          <w:tab/>
        </w:r>
        <w:r w:rsidR="00C35490">
          <w:rPr>
            <w:noProof/>
            <w:webHidden/>
          </w:rPr>
          <w:fldChar w:fldCharType="begin"/>
        </w:r>
        <w:r w:rsidR="00C35490">
          <w:rPr>
            <w:noProof/>
            <w:webHidden/>
          </w:rPr>
          <w:instrText xml:space="preserve"> PAGEREF _Toc514059238 \h </w:instrText>
        </w:r>
        <w:r w:rsidR="00C35490">
          <w:rPr>
            <w:noProof/>
            <w:webHidden/>
          </w:rPr>
        </w:r>
        <w:r w:rsidR="00C35490">
          <w:rPr>
            <w:noProof/>
            <w:webHidden/>
          </w:rPr>
          <w:fldChar w:fldCharType="separate"/>
        </w:r>
        <w:r w:rsidR="00FD2727">
          <w:rPr>
            <w:noProof/>
            <w:webHidden/>
          </w:rPr>
          <w:t>109</w:t>
        </w:r>
        <w:r w:rsidR="00C35490">
          <w:rPr>
            <w:noProof/>
            <w:webHidden/>
          </w:rPr>
          <w:fldChar w:fldCharType="end"/>
        </w:r>
      </w:hyperlink>
    </w:p>
    <w:p w:rsidR="00C35490" w:rsidRDefault="009A724D">
      <w:pPr>
        <w:pStyle w:val="TOC5"/>
        <w:rPr>
          <w:rFonts w:asciiTheme="minorHAnsi" w:eastAsiaTheme="minorEastAsia" w:hAnsiTheme="minorHAnsi" w:cstheme="minorBidi"/>
          <w:noProof/>
          <w:sz w:val="22"/>
          <w:szCs w:val="22"/>
        </w:rPr>
      </w:pPr>
      <w:hyperlink w:anchor="_Toc514059239" w:history="1">
        <w:r w:rsidR="00C35490" w:rsidRPr="00DB06B3">
          <w:rPr>
            <w:rStyle w:val="Hyperlink"/>
            <w:noProof/>
          </w:rPr>
          <w:t>5.3.2.3.3   The price of risk</w:t>
        </w:r>
        <w:r w:rsidR="00C35490">
          <w:rPr>
            <w:noProof/>
            <w:webHidden/>
          </w:rPr>
          <w:tab/>
        </w:r>
        <w:r w:rsidR="00C35490">
          <w:rPr>
            <w:noProof/>
            <w:webHidden/>
          </w:rPr>
          <w:fldChar w:fldCharType="begin"/>
        </w:r>
        <w:r w:rsidR="00C35490">
          <w:rPr>
            <w:noProof/>
            <w:webHidden/>
          </w:rPr>
          <w:instrText xml:space="preserve"> PAGEREF _Toc514059239 \h </w:instrText>
        </w:r>
        <w:r w:rsidR="00C35490">
          <w:rPr>
            <w:noProof/>
            <w:webHidden/>
          </w:rPr>
        </w:r>
        <w:r w:rsidR="00C35490">
          <w:rPr>
            <w:noProof/>
            <w:webHidden/>
          </w:rPr>
          <w:fldChar w:fldCharType="separate"/>
        </w:r>
        <w:r w:rsidR="00FD2727">
          <w:rPr>
            <w:noProof/>
            <w:webHidden/>
          </w:rPr>
          <w:t>110</w:t>
        </w:r>
        <w:r w:rsidR="00C35490">
          <w:rPr>
            <w:noProof/>
            <w:webHidden/>
          </w:rPr>
          <w:fldChar w:fldCharType="end"/>
        </w:r>
      </w:hyperlink>
    </w:p>
    <w:p w:rsidR="00C35490" w:rsidRDefault="009A724D">
      <w:pPr>
        <w:pStyle w:val="TOC5"/>
        <w:rPr>
          <w:rFonts w:asciiTheme="minorHAnsi" w:eastAsiaTheme="minorEastAsia" w:hAnsiTheme="minorHAnsi" w:cstheme="minorBidi"/>
          <w:noProof/>
          <w:sz w:val="22"/>
          <w:szCs w:val="22"/>
        </w:rPr>
      </w:pPr>
      <w:hyperlink w:anchor="_Toc514059240" w:history="1">
        <w:r w:rsidR="00C35490" w:rsidRPr="00DB06B3">
          <w:rPr>
            <w:rStyle w:val="Hyperlink"/>
            <w:noProof/>
          </w:rPr>
          <w:t>5.3.2.3.4   Overall conclusion on the European Union's claim that the Panel acted inconsistently with Article 11 of the DSU in its assessment of the risk differences that may affect the project-specific risk premium</w:t>
        </w:r>
        <w:r w:rsidR="00C35490">
          <w:rPr>
            <w:noProof/>
            <w:webHidden/>
          </w:rPr>
          <w:tab/>
        </w:r>
        <w:r w:rsidR="00C35490">
          <w:rPr>
            <w:noProof/>
            <w:webHidden/>
          </w:rPr>
          <w:fldChar w:fldCharType="begin"/>
        </w:r>
        <w:r w:rsidR="00C35490">
          <w:rPr>
            <w:noProof/>
            <w:webHidden/>
          </w:rPr>
          <w:instrText xml:space="preserve"> PAGEREF _Toc514059240 \h </w:instrText>
        </w:r>
        <w:r w:rsidR="00C35490">
          <w:rPr>
            <w:noProof/>
            <w:webHidden/>
          </w:rPr>
        </w:r>
        <w:r w:rsidR="00C35490">
          <w:rPr>
            <w:noProof/>
            <w:webHidden/>
          </w:rPr>
          <w:fldChar w:fldCharType="separate"/>
        </w:r>
        <w:r w:rsidR="00FD2727">
          <w:rPr>
            <w:noProof/>
            <w:webHidden/>
          </w:rPr>
          <w:t>113</w:t>
        </w:r>
        <w:r w:rsidR="00C35490">
          <w:rPr>
            <w:noProof/>
            <w:webHidden/>
          </w:rPr>
          <w:fldChar w:fldCharType="end"/>
        </w:r>
      </w:hyperlink>
    </w:p>
    <w:p w:rsidR="00C35490" w:rsidRDefault="009A724D">
      <w:pPr>
        <w:pStyle w:val="TOC4"/>
        <w:rPr>
          <w:rFonts w:asciiTheme="minorHAnsi" w:eastAsiaTheme="minorEastAsia" w:hAnsiTheme="minorHAnsi" w:cstheme="minorBidi"/>
          <w:noProof/>
          <w:sz w:val="22"/>
          <w:szCs w:val="22"/>
        </w:rPr>
      </w:pPr>
      <w:hyperlink w:anchor="_Toc514059241" w:history="1">
        <w:r w:rsidR="00C35490" w:rsidRPr="00DB06B3">
          <w:rPr>
            <w:rStyle w:val="Hyperlink"/>
            <w:noProof/>
          </w:rPr>
          <w:t>5.3.2.4   Whether the Panel erroneously adopted a single, undifferentiated project risk premium to benchmark all four of the A350XWB LA/MSF contracts</w:t>
        </w:r>
        <w:r w:rsidR="00C35490">
          <w:rPr>
            <w:noProof/>
            <w:webHidden/>
          </w:rPr>
          <w:tab/>
        </w:r>
        <w:r w:rsidR="00C35490">
          <w:rPr>
            <w:noProof/>
            <w:webHidden/>
          </w:rPr>
          <w:fldChar w:fldCharType="begin"/>
        </w:r>
        <w:r w:rsidR="00C35490">
          <w:rPr>
            <w:noProof/>
            <w:webHidden/>
          </w:rPr>
          <w:instrText xml:space="preserve"> PAGEREF _Toc514059241 \h </w:instrText>
        </w:r>
        <w:r w:rsidR="00C35490">
          <w:rPr>
            <w:noProof/>
            <w:webHidden/>
          </w:rPr>
        </w:r>
        <w:r w:rsidR="00C35490">
          <w:rPr>
            <w:noProof/>
            <w:webHidden/>
          </w:rPr>
          <w:fldChar w:fldCharType="separate"/>
        </w:r>
        <w:r w:rsidR="00FD2727">
          <w:rPr>
            <w:noProof/>
            <w:webHidden/>
          </w:rPr>
          <w:t>113</w:t>
        </w:r>
        <w:r w:rsidR="00C35490">
          <w:rPr>
            <w:noProof/>
            <w:webHidden/>
          </w:rPr>
          <w:fldChar w:fldCharType="end"/>
        </w:r>
      </w:hyperlink>
    </w:p>
    <w:p w:rsidR="00C35490" w:rsidRDefault="009A724D">
      <w:pPr>
        <w:pStyle w:val="TOC5"/>
        <w:rPr>
          <w:rFonts w:asciiTheme="minorHAnsi" w:eastAsiaTheme="minorEastAsia" w:hAnsiTheme="minorHAnsi" w:cstheme="minorBidi"/>
          <w:noProof/>
          <w:sz w:val="22"/>
          <w:szCs w:val="22"/>
        </w:rPr>
      </w:pPr>
      <w:hyperlink w:anchor="_Toc514059242" w:history="1">
        <w:r w:rsidR="00C35490" w:rsidRPr="00DB06B3">
          <w:rPr>
            <w:rStyle w:val="Hyperlink"/>
            <w:noProof/>
          </w:rPr>
          <w:t>5.3.2.4.1   Whether the Panel erred in its application of Article 1.1(b) of the SCM Agreement by adopting a single, undifferentiated project risk premium to benchmark all four of the A350XWB LA/MSF contracts</w:t>
        </w:r>
        <w:r w:rsidR="00C35490">
          <w:rPr>
            <w:noProof/>
            <w:webHidden/>
          </w:rPr>
          <w:tab/>
        </w:r>
        <w:r w:rsidR="00C35490">
          <w:rPr>
            <w:noProof/>
            <w:webHidden/>
          </w:rPr>
          <w:fldChar w:fldCharType="begin"/>
        </w:r>
        <w:r w:rsidR="00C35490">
          <w:rPr>
            <w:noProof/>
            <w:webHidden/>
          </w:rPr>
          <w:instrText xml:space="preserve"> PAGEREF _Toc514059242 \h </w:instrText>
        </w:r>
        <w:r w:rsidR="00C35490">
          <w:rPr>
            <w:noProof/>
            <w:webHidden/>
          </w:rPr>
        </w:r>
        <w:r w:rsidR="00C35490">
          <w:rPr>
            <w:noProof/>
            <w:webHidden/>
          </w:rPr>
          <w:fldChar w:fldCharType="separate"/>
        </w:r>
        <w:r w:rsidR="00FD2727">
          <w:rPr>
            <w:noProof/>
            <w:webHidden/>
          </w:rPr>
          <w:t>114</w:t>
        </w:r>
        <w:r w:rsidR="00C35490">
          <w:rPr>
            <w:noProof/>
            <w:webHidden/>
          </w:rPr>
          <w:fldChar w:fldCharType="end"/>
        </w:r>
      </w:hyperlink>
    </w:p>
    <w:p w:rsidR="00C35490" w:rsidRDefault="009A724D">
      <w:pPr>
        <w:pStyle w:val="TOC5"/>
        <w:rPr>
          <w:rFonts w:asciiTheme="minorHAnsi" w:eastAsiaTheme="minorEastAsia" w:hAnsiTheme="minorHAnsi" w:cstheme="minorBidi"/>
          <w:noProof/>
          <w:sz w:val="22"/>
          <w:szCs w:val="22"/>
        </w:rPr>
      </w:pPr>
      <w:hyperlink w:anchor="_Toc514059243" w:history="1">
        <w:r w:rsidR="00C35490" w:rsidRPr="00DB06B3">
          <w:rPr>
            <w:rStyle w:val="Hyperlink"/>
            <w:noProof/>
          </w:rPr>
          <w:t>5.3.2.4.2   Whether the Panel acted inconsistently with Article 11 of the DSU by adopting a single, undifferentiated project risk premium to benchmark all four of the A350XWB LA/MSF contracts</w:t>
        </w:r>
        <w:r w:rsidR="00C35490">
          <w:rPr>
            <w:noProof/>
            <w:webHidden/>
          </w:rPr>
          <w:tab/>
        </w:r>
        <w:r w:rsidR="00C35490">
          <w:rPr>
            <w:noProof/>
            <w:webHidden/>
          </w:rPr>
          <w:fldChar w:fldCharType="begin"/>
        </w:r>
        <w:r w:rsidR="00C35490">
          <w:rPr>
            <w:noProof/>
            <w:webHidden/>
          </w:rPr>
          <w:instrText xml:space="preserve"> PAGEREF _Toc514059243 \h </w:instrText>
        </w:r>
        <w:r w:rsidR="00C35490">
          <w:rPr>
            <w:noProof/>
            <w:webHidden/>
          </w:rPr>
        </w:r>
        <w:r w:rsidR="00C35490">
          <w:rPr>
            <w:noProof/>
            <w:webHidden/>
          </w:rPr>
          <w:fldChar w:fldCharType="separate"/>
        </w:r>
        <w:r w:rsidR="00FD2727">
          <w:rPr>
            <w:noProof/>
            <w:webHidden/>
          </w:rPr>
          <w:t>116</w:t>
        </w:r>
        <w:r w:rsidR="00C35490">
          <w:rPr>
            <w:noProof/>
            <w:webHidden/>
          </w:rPr>
          <w:fldChar w:fldCharType="end"/>
        </w:r>
      </w:hyperlink>
    </w:p>
    <w:p w:rsidR="00C35490" w:rsidRDefault="009A724D">
      <w:pPr>
        <w:pStyle w:val="TOC4"/>
        <w:rPr>
          <w:rFonts w:asciiTheme="minorHAnsi" w:eastAsiaTheme="minorEastAsia" w:hAnsiTheme="minorHAnsi" w:cstheme="minorBidi"/>
          <w:noProof/>
          <w:sz w:val="22"/>
          <w:szCs w:val="22"/>
        </w:rPr>
      </w:pPr>
      <w:hyperlink w:anchor="_Toc514059244" w:history="1">
        <w:r w:rsidR="00C35490" w:rsidRPr="00DB06B3">
          <w:rPr>
            <w:rStyle w:val="Hyperlink"/>
            <w:noProof/>
          </w:rPr>
          <w:t>5.3.2.5   Conclusion on the Panel's findings regarding the project-specific risk premium</w:t>
        </w:r>
        <w:r w:rsidR="00C35490">
          <w:rPr>
            <w:noProof/>
            <w:webHidden/>
          </w:rPr>
          <w:tab/>
        </w:r>
        <w:r w:rsidR="00C35490">
          <w:rPr>
            <w:noProof/>
            <w:webHidden/>
          </w:rPr>
          <w:fldChar w:fldCharType="begin"/>
        </w:r>
        <w:r w:rsidR="00C35490">
          <w:rPr>
            <w:noProof/>
            <w:webHidden/>
          </w:rPr>
          <w:instrText xml:space="preserve"> PAGEREF _Toc514059244 \h </w:instrText>
        </w:r>
        <w:r w:rsidR="00C35490">
          <w:rPr>
            <w:noProof/>
            <w:webHidden/>
          </w:rPr>
        </w:r>
        <w:r w:rsidR="00C35490">
          <w:rPr>
            <w:noProof/>
            <w:webHidden/>
          </w:rPr>
          <w:fldChar w:fldCharType="separate"/>
        </w:r>
        <w:r w:rsidR="00FD2727">
          <w:rPr>
            <w:noProof/>
            <w:webHidden/>
          </w:rPr>
          <w:t>117</w:t>
        </w:r>
        <w:r w:rsidR="00C35490">
          <w:rPr>
            <w:noProof/>
            <w:webHidden/>
          </w:rPr>
          <w:fldChar w:fldCharType="end"/>
        </w:r>
      </w:hyperlink>
    </w:p>
    <w:p w:rsidR="00C35490" w:rsidRDefault="009A724D">
      <w:pPr>
        <w:pStyle w:val="TOC3"/>
        <w:rPr>
          <w:rFonts w:asciiTheme="minorHAnsi" w:eastAsiaTheme="minorEastAsia" w:hAnsiTheme="minorHAnsi" w:cstheme="minorBidi"/>
          <w:noProof/>
          <w:sz w:val="22"/>
          <w:szCs w:val="22"/>
        </w:rPr>
      </w:pPr>
      <w:hyperlink w:anchor="_Toc514059245" w:history="1">
        <w:r w:rsidR="00C35490" w:rsidRPr="00DB06B3">
          <w:rPr>
            <w:rStyle w:val="Hyperlink"/>
            <w:noProof/>
          </w:rPr>
          <w:t>5.3.3   Overall conclusions on the Panel's findings regarding "benefit" under Article 1.1(b) of the SCM Agreement</w:t>
        </w:r>
        <w:r w:rsidR="00C35490">
          <w:rPr>
            <w:noProof/>
            <w:webHidden/>
          </w:rPr>
          <w:tab/>
        </w:r>
        <w:r w:rsidR="00C35490">
          <w:rPr>
            <w:noProof/>
            <w:webHidden/>
          </w:rPr>
          <w:fldChar w:fldCharType="begin"/>
        </w:r>
        <w:r w:rsidR="00C35490">
          <w:rPr>
            <w:noProof/>
            <w:webHidden/>
          </w:rPr>
          <w:instrText xml:space="preserve"> PAGEREF _Toc514059245 \h </w:instrText>
        </w:r>
        <w:r w:rsidR="00C35490">
          <w:rPr>
            <w:noProof/>
            <w:webHidden/>
          </w:rPr>
        </w:r>
        <w:r w:rsidR="00C35490">
          <w:rPr>
            <w:noProof/>
            <w:webHidden/>
          </w:rPr>
          <w:fldChar w:fldCharType="separate"/>
        </w:r>
        <w:r w:rsidR="00FD2727">
          <w:rPr>
            <w:noProof/>
            <w:webHidden/>
          </w:rPr>
          <w:t>119</w:t>
        </w:r>
        <w:r w:rsidR="00C35490">
          <w:rPr>
            <w:noProof/>
            <w:webHidden/>
          </w:rPr>
          <w:fldChar w:fldCharType="end"/>
        </w:r>
      </w:hyperlink>
    </w:p>
    <w:p w:rsidR="00C35490" w:rsidRDefault="009A724D">
      <w:pPr>
        <w:pStyle w:val="TOC2"/>
        <w:rPr>
          <w:rFonts w:asciiTheme="minorHAnsi" w:eastAsiaTheme="minorEastAsia" w:hAnsiTheme="minorHAnsi" w:cstheme="minorBidi"/>
          <w:noProof/>
          <w:sz w:val="22"/>
          <w:szCs w:val="22"/>
        </w:rPr>
      </w:pPr>
      <w:hyperlink w:anchor="_Toc514059246" w:history="1">
        <w:r w:rsidR="00C35490" w:rsidRPr="00DB06B3">
          <w:rPr>
            <w:rStyle w:val="Hyperlink"/>
            <w:noProof/>
          </w:rPr>
          <w:t>5.4   Article 7.8 of the SCM Agreement</w:t>
        </w:r>
        <w:r w:rsidR="00C35490">
          <w:rPr>
            <w:noProof/>
            <w:webHidden/>
          </w:rPr>
          <w:tab/>
        </w:r>
        <w:r w:rsidR="00C35490">
          <w:rPr>
            <w:noProof/>
            <w:webHidden/>
          </w:rPr>
          <w:fldChar w:fldCharType="begin"/>
        </w:r>
        <w:r w:rsidR="00C35490">
          <w:rPr>
            <w:noProof/>
            <w:webHidden/>
          </w:rPr>
          <w:instrText xml:space="preserve"> PAGEREF _Toc514059246 \h </w:instrText>
        </w:r>
        <w:r w:rsidR="00C35490">
          <w:rPr>
            <w:noProof/>
            <w:webHidden/>
          </w:rPr>
        </w:r>
        <w:r w:rsidR="00C35490">
          <w:rPr>
            <w:noProof/>
            <w:webHidden/>
          </w:rPr>
          <w:fldChar w:fldCharType="separate"/>
        </w:r>
        <w:r w:rsidR="00FD2727">
          <w:rPr>
            <w:noProof/>
            <w:webHidden/>
          </w:rPr>
          <w:t>120</w:t>
        </w:r>
        <w:r w:rsidR="00C35490">
          <w:rPr>
            <w:noProof/>
            <w:webHidden/>
          </w:rPr>
          <w:fldChar w:fldCharType="end"/>
        </w:r>
      </w:hyperlink>
    </w:p>
    <w:p w:rsidR="00C35490" w:rsidRDefault="009A724D">
      <w:pPr>
        <w:pStyle w:val="TOC3"/>
        <w:rPr>
          <w:rFonts w:asciiTheme="minorHAnsi" w:eastAsiaTheme="minorEastAsia" w:hAnsiTheme="minorHAnsi" w:cstheme="minorBidi"/>
          <w:noProof/>
          <w:sz w:val="22"/>
          <w:szCs w:val="22"/>
        </w:rPr>
      </w:pPr>
      <w:hyperlink w:anchor="_Toc514059247" w:history="1">
        <w:r w:rsidR="00C35490" w:rsidRPr="00DB06B3">
          <w:rPr>
            <w:rStyle w:val="Hyperlink"/>
            <w:noProof/>
          </w:rPr>
          <w:t>5.4.1   Introduction</w:t>
        </w:r>
        <w:r w:rsidR="00C35490">
          <w:rPr>
            <w:noProof/>
            <w:webHidden/>
          </w:rPr>
          <w:tab/>
        </w:r>
        <w:r w:rsidR="00C35490">
          <w:rPr>
            <w:noProof/>
            <w:webHidden/>
          </w:rPr>
          <w:fldChar w:fldCharType="begin"/>
        </w:r>
        <w:r w:rsidR="00C35490">
          <w:rPr>
            <w:noProof/>
            <w:webHidden/>
          </w:rPr>
          <w:instrText xml:space="preserve"> PAGEREF _Toc514059247 \h </w:instrText>
        </w:r>
        <w:r w:rsidR="00C35490">
          <w:rPr>
            <w:noProof/>
            <w:webHidden/>
          </w:rPr>
        </w:r>
        <w:r w:rsidR="00C35490">
          <w:rPr>
            <w:noProof/>
            <w:webHidden/>
          </w:rPr>
          <w:fldChar w:fldCharType="separate"/>
        </w:r>
        <w:r w:rsidR="00FD2727">
          <w:rPr>
            <w:noProof/>
            <w:webHidden/>
          </w:rPr>
          <w:t>120</w:t>
        </w:r>
        <w:r w:rsidR="00C35490">
          <w:rPr>
            <w:noProof/>
            <w:webHidden/>
          </w:rPr>
          <w:fldChar w:fldCharType="end"/>
        </w:r>
      </w:hyperlink>
    </w:p>
    <w:p w:rsidR="00C35490" w:rsidRDefault="009A724D">
      <w:pPr>
        <w:pStyle w:val="TOC3"/>
        <w:rPr>
          <w:rFonts w:asciiTheme="minorHAnsi" w:eastAsiaTheme="minorEastAsia" w:hAnsiTheme="minorHAnsi" w:cstheme="minorBidi"/>
          <w:noProof/>
          <w:sz w:val="22"/>
          <w:szCs w:val="22"/>
        </w:rPr>
      </w:pPr>
      <w:hyperlink w:anchor="_Toc514059248" w:history="1">
        <w:r w:rsidR="00C35490" w:rsidRPr="00DB06B3">
          <w:rPr>
            <w:rStyle w:val="Hyperlink"/>
            <w:noProof/>
          </w:rPr>
          <w:t>5.4.2   Whether the Panel erred in its interpretation of Article 7.8 of the SCM Agreement</w:t>
        </w:r>
        <w:r w:rsidR="00C35490">
          <w:rPr>
            <w:noProof/>
            <w:webHidden/>
          </w:rPr>
          <w:tab/>
        </w:r>
        <w:r w:rsidR="00C35490">
          <w:rPr>
            <w:noProof/>
            <w:webHidden/>
          </w:rPr>
          <w:fldChar w:fldCharType="begin"/>
        </w:r>
        <w:r w:rsidR="00C35490">
          <w:rPr>
            <w:noProof/>
            <w:webHidden/>
          </w:rPr>
          <w:instrText xml:space="preserve"> PAGEREF _Toc514059248 \h </w:instrText>
        </w:r>
        <w:r w:rsidR="00C35490">
          <w:rPr>
            <w:noProof/>
            <w:webHidden/>
          </w:rPr>
        </w:r>
        <w:r w:rsidR="00C35490">
          <w:rPr>
            <w:noProof/>
            <w:webHidden/>
          </w:rPr>
          <w:fldChar w:fldCharType="separate"/>
        </w:r>
        <w:r w:rsidR="00FD2727">
          <w:rPr>
            <w:noProof/>
            <w:webHidden/>
          </w:rPr>
          <w:t>121</w:t>
        </w:r>
        <w:r w:rsidR="00C35490">
          <w:rPr>
            <w:noProof/>
            <w:webHidden/>
          </w:rPr>
          <w:fldChar w:fldCharType="end"/>
        </w:r>
      </w:hyperlink>
    </w:p>
    <w:p w:rsidR="00C35490" w:rsidRDefault="009A724D">
      <w:pPr>
        <w:pStyle w:val="TOC4"/>
        <w:rPr>
          <w:rFonts w:asciiTheme="minorHAnsi" w:eastAsiaTheme="minorEastAsia" w:hAnsiTheme="minorHAnsi" w:cstheme="minorBidi"/>
          <w:noProof/>
          <w:sz w:val="22"/>
          <w:szCs w:val="22"/>
        </w:rPr>
      </w:pPr>
      <w:hyperlink w:anchor="_Toc514059249" w:history="1">
        <w:r w:rsidR="00C35490" w:rsidRPr="00DB06B3">
          <w:rPr>
            <w:rStyle w:val="Hyperlink"/>
            <w:noProof/>
          </w:rPr>
          <w:t>5.4.2.1   Claims and arguments on appeal</w:t>
        </w:r>
        <w:r w:rsidR="00C35490">
          <w:rPr>
            <w:noProof/>
            <w:webHidden/>
          </w:rPr>
          <w:tab/>
        </w:r>
        <w:r w:rsidR="00C35490">
          <w:rPr>
            <w:noProof/>
            <w:webHidden/>
          </w:rPr>
          <w:fldChar w:fldCharType="begin"/>
        </w:r>
        <w:r w:rsidR="00C35490">
          <w:rPr>
            <w:noProof/>
            <w:webHidden/>
          </w:rPr>
          <w:instrText xml:space="preserve"> PAGEREF _Toc514059249 \h </w:instrText>
        </w:r>
        <w:r w:rsidR="00C35490">
          <w:rPr>
            <w:noProof/>
            <w:webHidden/>
          </w:rPr>
        </w:r>
        <w:r w:rsidR="00C35490">
          <w:rPr>
            <w:noProof/>
            <w:webHidden/>
          </w:rPr>
          <w:fldChar w:fldCharType="separate"/>
        </w:r>
        <w:r w:rsidR="00FD2727">
          <w:rPr>
            <w:noProof/>
            <w:webHidden/>
          </w:rPr>
          <w:t>121</w:t>
        </w:r>
        <w:r w:rsidR="00C35490">
          <w:rPr>
            <w:noProof/>
            <w:webHidden/>
          </w:rPr>
          <w:fldChar w:fldCharType="end"/>
        </w:r>
      </w:hyperlink>
    </w:p>
    <w:p w:rsidR="00C35490" w:rsidRDefault="009A724D">
      <w:pPr>
        <w:pStyle w:val="TOC4"/>
        <w:rPr>
          <w:rFonts w:asciiTheme="minorHAnsi" w:eastAsiaTheme="minorEastAsia" w:hAnsiTheme="minorHAnsi" w:cstheme="minorBidi"/>
          <w:noProof/>
          <w:sz w:val="22"/>
          <w:szCs w:val="22"/>
        </w:rPr>
      </w:pPr>
      <w:hyperlink w:anchor="_Toc514059250" w:history="1">
        <w:r w:rsidR="00C35490" w:rsidRPr="00DB06B3">
          <w:rPr>
            <w:rStyle w:val="Hyperlink"/>
            <w:noProof/>
          </w:rPr>
          <w:t>5.4.2.2   Interpretation of Article 7.8 of the SCM Agreement</w:t>
        </w:r>
        <w:r w:rsidR="00C35490">
          <w:rPr>
            <w:noProof/>
            <w:webHidden/>
          </w:rPr>
          <w:tab/>
        </w:r>
        <w:r w:rsidR="00C35490">
          <w:rPr>
            <w:noProof/>
            <w:webHidden/>
          </w:rPr>
          <w:fldChar w:fldCharType="begin"/>
        </w:r>
        <w:r w:rsidR="00C35490">
          <w:rPr>
            <w:noProof/>
            <w:webHidden/>
          </w:rPr>
          <w:instrText xml:space="preserve"> PAGEREF _Toc514059250 \h </w:instrText>
        </w:r>
        <w:r w:rsidR="00C35490">
          <w:rPr>
            <w:noProof/>
            <w:webHidden/>
          </w:rPr>
        </w:r>
        <w:r w:rsidR="00C35490">
          <w:rPr>
            <w:noProof/>
            <w:webHidden/>
          </w:rPr>
          <w:fldChar w:fldCharType="separate"/>
        </w:r>
        <w:r w:rsidR="00FD2727">
          <w:rPr>
            <w:noProof/>
            <w:webHidden/>
          </w:rPr>
          <w:t>123</w:t>
        </w:r>
        <w:r w:rsidR="00C35490">
          <w:rPr>
            <w:noProof/>
            <w:webHidden/>
          </w:rPr>
          <w:fldChar w:fldCharType="end"/>
        </w:r>
      </w:hyperlink>
    </w:p>
    <w:p w:rsidR="00C35490" w:rsidRDefault="009A724D">
      <w:pPr>
        <w:pStyle w:val="TOC3"/>
        <w:rPr>
          <w:rFonts w:asciiTheme="minorHAnsi" w:eastAsiaTheme="minorEastAsia" w:hAnsiTheme="minorHAnsi" w:cstheme="minorBidi"/>
          <w:noProof/>
          <w:sz w:val="22"/>
          <w:szCs w:val="22"/>
        </w:rPr>
      </w:pPr>
      <w:hyperlink w:anchor="_Toc514059251" w:history="1">
        <w:r w:rsidR="00C35490" w:rsidRPr="00DB06B3">
          <w:rPr>
            <w:rStyle w:val="Hyperlink"/>
            <w:noProof/>
          </w:rPr>
          <w:t xml:space="preserve">5.4.3   Whether the Panel erred in finding that the </w:t>
        </w:r>
        <w:r w:rsidR="00C35490" w:rsidRPr="00DB06B3">
          <w:rPr>
            <w:rStyle w:val="Hyperlink"/>
            <w:i/>
            <w:noProof/>
          </w:rPr>
          <w:t>ex ante</w:t>
        </w:r>
        <w:r w:rsidR="00C35490" w:rsidRPr="00DB06B3">
          <w:rPr>
            <w:rStyle w:val="Hyperlink"/>
            <w:noProof/>
          </w:rPr>
          <w:t xml:space="preserve"> "lives" of certain LA/MSF subsidies had expired – conditional appeal by the United States</w:t>
        </w:r>
        <w:r w:rsidR="00C35490">
          <w:rPr>
            <w:noProof/>
            <w:webHidden/>
          </w:rPr>
          <w:tab/>
        </w:r>
        <w:r w:rsidR="00C35490">
          <w:rPr>
            <w:noProof/>
            <w:webHidden/>
          </w:rPr>
          <w:fldChar w:fldCharType="begin"/>
        </w:r>
        <w:r w:rsidR="00C35490">
          <w:rPr>
            <w:noProof/>
            <w:webHidden/>
          </w:rPr>
          <w:instrText xml:space="preserve"> PAGEREF _Toc514059251 \h </w:instrText>
        </w:r>
        <w:r w:rsidR="00C35490">
          <w:rPr>
            <w:noProof/>
            <w:webHidden/>
          </w:rPr>
        </w:r>
        <w:r w:rsidR="00C35490">
          <w:rPr>
            <w:noProof/>
            <w:webHidden/>
          </w:rPr>
          <w:fldChar w:fldCharType="separate"/>
        </w:r>
        <w:r w:rsidR="00FD2727">
          <w:rPr>
            <w:noProof/>
            <w:webHidden/>
          </w:rPr>
          <w:t>130</w:t>
        </w:r>
        <w:r w:rsidR="00C35490">
          <w:rPr>
            <w:noProof/>
            <w:webHidden/>
          </w:rPr>
          <w:fldChar w:fldCharType="end"/>
        </w:r>
      </w:hyperlink>
    </w:p>
    <w:p w:rsidR="00C35490" w:rsidRDefault="009A724D">
      <w:pPr>
        <w:pStyle w:val="TOC3"/>
        <w:rPr>
          <w:rFonts w:asciiTheme="minorHAnsi" w:eastAsiaTheme="minorEastAsia" w:hAnsiTheme="minorHAnsi" w:cstheme="minorBidi"/>
          <w:noProof/>
          <w:sz w:val="22"/>
          <w:szCs w:val="22"/>
        </w:rPr>
      </w:pPr>
      <w:hyperlink w:anchor="_Toc514059252" w:history="1">
        <w:r w:rsidR="00C35490" w:rsidRPr="00DB06B3">
          <w:rPr>
            <w:rStyle w:val="Hyperlink"/>
            <w:noProof/>
          </w:rPr>
          <w:t>5.4.4   Whether the Panel erred in its finding regarding the repayment of financial contribution – conditional appeal by the European Union</w:t>
        </w:r>
        <w:r w:rsidR="00C35490">
          <w:rPr>
            <w:noProof/>
            <w:webHidden/>
          </w:rPr>
          <w:tab/>
        </w:r>
        <w:r w:rsidR="00C35490">
          <w:rPr>
            <w:noProof/>
            <w:webHidden/>
          </w:rPr>
          <w:fldChar w:fldCharType="begin"/>
        </w:r>
        <w:r w:rsidR="00C35490">
          <w:rPr>
            <w:noProof/>
            <w:webHidden/>
          </w:rPr>
          <w:instrText xml:space="preserve"> PAGEREF _Toc514059252 \h </w:instrText>
        </w:r>
        <w:r w:rsidR="00C35490">
          <w:rPr>
            <w:noProof/>
            <w:webHidden/>
          </w:rPr>
        </w:r>
        <w:r w:rsidR="00C35490">
          <w:rPr>
            <w:noProof/>
            <w:webHidden/>
          </w:rPr>
          <w:fldChar w:fldCharType="separate"/>
        </w:r>
        <w:r w:rsidR="00FD2727">
          <w:rPr>
            <w:noProof/>
            <w:webHidden/>
          </w:rPr>
          <w:t>137</w:t>
        </w:r>
        <w:r w:rsidR="00C35490">
          <w:rPr>
            <w:noProof/>
            <w:webHidden/>
          </w:rPr>
          <w:fldChar w:fldCharType="end"/>
        </w:r>
      </w:hyperlink>
    </w:p>
    <w:p w:rsidR="00C35490" w:rsidRDefault="009A724D">
      <w:pPr>
        <w:pStyle w:val="TOC2"/>
        <w:rPr>
          <w:rFonts w:asciiTheme="minorHAnsi" w:eastAsiaTheme="minorEastAsia" w:hAnsiTheme="minorHAnsi" w:cstheme="minorBidi"/>
          <w:noProof/>
          <w:sz w:val="22"/>
          <w:szCs w:val="22"/>
        </w:rPr>
      </w:pPr>
      <w:hyperlink w:anchor="_Toc514059253" w:history="1">
        <w:r w:rsidR="00C35490" w:rsidRPr="00DB06B3">
          <w:rPr>
            <w:rStyle w:val="Hyperlink"/>
            <w:noProof/>
          </w:rPr>
          <w:t>5.5   European Union's consequential appeal under Article 7.8 of the SCM Agreement</w:t>
        </w:r>
        <w:r w:rsidR="00C35490">
          <w:rPr>
            <w:noProof/>
            <w:webHidden/>
          </w:rPr>
          <w:tab/>
        </w:r>
        <w:r w:rsidR="00C35490">
          <w:rPr>
            <w:noProof/>
            <w:webHidden/>
          </w:rPr>
          <w:fldChar w:fldCharType="begin"/>
        </w:r>
        <w:r w:rsidR="00C35490">
          <w:rPr>
            <w:noProof/>
            <w:webHidden/>
          </w:rPr>
          <w:instrText xml:space="preserve"> PAGEREF _Toc514059253 \h </w:instrText>
        </w:r>
        <w:r w:rsidR="00C35490">
          <w:rPr>
            <w:noProof/>
            <w:webHidden/>
          </w:rPr>
        </w:r>
        <w:r w:rsidR="00C35490">
          <w:rPr>
            <w:noProof/>
            <w:webHidden/>
          </w:rPr>
          <w:fldChar w:fldCharType="separate"/>
        </w:r>
        <w:r w:rsidR="00FD2727">
          <w:rPr>
            <w:noProof/>
            <w:webHidden/>
          </w:rPr>
          <w:t>138</w:t>
        </w:r>
        <w:r w:rsidR="00C35490">
          <w:rPr>
            <w:noProof/>
            <w:webHidden/>
          </w:rPr>
          <w:fldChar w:fldCharType="end"/>
        </w:r>
      </w:hyperlink>
    </w:p>
    <w:p w:rsidR="00C35490" w:rsidRDefault="009A724D">
      <w:pPr>
        <w:pStyle w:val="TOC2"/>
        <w:rPr>
          <w:rFonts w:asciiTheme="minorHAnsi" w:eastAsiaTheme="minorEastAsia" w:hAnsiTheme="minorHAnsi" w:cstheme="minorBidi"/>
          <w:noProof/>
          <w:sz w:val="22"/>
          <w:szCs w:val="22"/>
        </w:rPr>
      </w:pPr>
      <w:hyperlink w:anchor="_Toc514059254" w:history="1">
        <w:r w:rsidR="00C35490" w:rsidRPr="00DB06B3">
          <w:rPr>
            <w:rStyle w:val="Hyperlink"/>
            <w:noProof/>
          </w:rPr>
          <w:t>5.6   Articles 5, 6, and 7.8 of the SCM Agreement – adverse effects</w:t>
        </w:r>
        <w:r w:rsidR="00C35490">
          <w:rPr>
            <w:noProof/>
            <w:webHidden/>
          </w:rPr>
          <w:tab/>
        </w:r>
        <w:r w:rsidR="00C35490">
          <w:rPr>
            <w:noProof/>
            <w:webHidden/>
          </w:rPr>
          <w:fldChar w:fldCharType="begin"/>
        </w:r>
        <w:r w:rsidR="00C35490">
          <w:rPr>
            <w:noProof/>
            <w:webHidden/>
          </w:rPr>
          <w:instrText xml:space="preserve"> PAGEREF _Toc514059254 \h </w:instrText>
        </w:r>
        <w:r w:rsidR="00C35490">
          <w:rPr>
            <w:noProof/>
            <w:webHidden/>
          </w:rPr>
        </w:r>
        <w:r w:rsidR="00C35490">
          <w:rPr>
            <w:noProof/>
            <w:webHidden/>
          </w:rPr>
          <w:fldChar w:fldCharType="separate"/>
        </w:r>
        <w:r w:rsidR="00FD2727">
          <w:rPr>
            <w:noProof/>
            <w:webHidden/>
          </w:rPr>
          <w:t>140</w:t>
        </w:r>
        <w:r w:rsidR="00C35490">
          <w:rPr>
            <w:noProof/>
            <w:webHidden/>
          </w:rPr>
          <w:fldChar w:fldCharType="end"/>
        </w:r>
      </w:hyperlink>
    </w:p>
    <w:p w:rsidR="00C35490" w:rsidRDefault="009A724D">
      <w:pPr>
        <w:pStyle w:val="TOC3"/>
        <w:rPr>
          <w:rFonts w:asciiTheme="minorHAnsi" w:eastAsiaTheme="minorEastAsia" w:hAnsiTheme="minorHAnsi" w:cstheme="minorBidi"/>
          <w:noProof/>
          <w:sz w:val="22"/>
          <w:szCs w:val="22"/>
        </w:rPr>
      </w:pPr>
      <w:hyperlink w:anchor="_Toc514059255" w:history="1">
        <w:r w:rsidR="00C35490" w:rsidRPr="00DB06B3">
          <w:rPr>
            <w:rStyle w:val="Hyperlink"/>
            <w:noProof/>
          </w:rPr>
          <w:t>5.6.1   Non-subsidized like product</w:t>
        </w:r>
        <w:r w:rsidR="00C35490">
          <w:rPr>
            <w:noProof/>
            <w:webHidden/>
          </w:rPr>
          <w:tab/>
        </w:r>
        <w:r w:rsidR="00C35490">
          <w:rPr>
            <w:noProof/>
            <w:webHidden/>
          </w:rPr>
          <w:fldChar w:fldCharType="begin"/>
        </w:r>
        <w:r w:rsidR="00C35490">
          <w:rPr>
            <w:noProof/>
            <w:webHidden/>
          </w:rPr>
          <w:instrText xml:space="preserve"> PAGEREF _Toc514059255 \h </w:instrText>
        </w:r>
        <w:r w:rsidR="00C35490">
          <w:rPr>
            <w:noProof/>
            <w:webHidden/>
          </w:rPr>
        </w:r>
        <w:r w:rsidR="00C35490">
          <w:rPr>
            <w:noProof/>
            <w:webHidden/>
          </w:rPr>
          <w:fldChar w:fldCharType="separate"/>
        </w:r>
        <w:r w:rsidR="00FD2727">
          <w:rPr>
            <w:noProof/>
            <w:webHidden/>
          </w:rPr>
          <w:t>142</w:t>
        </w:r>
        <w:r w:rsidR="00C35490">
          <w:rPr>
            <w:noProof/>
            <w:webHidden/>
          </w:rPr>
          <w:fldChar w:fldCharType="end"/>
        </w:r>
      </w:hyperlink>
    </w:p>
    <w:p w:rsidR="00C35490" w:rsidRDefault="009A724D">
      <w:pPr>
        <w:pStyle w:val="TOC4"/>
        <w:rPr>
          <w:rFonts w:asciiTheme="minorHAnsi" w:eastAsiaTheme="minorEastAsia" w:hAnsiTheme="minorHAnsi" w:cstheme="minorBidi"/>
          <w:noProof/>
          <w:sz w:val="22"/>
          <w:szCs w:val="22"/>
        </w:rPr>
      </w:pPr>
      <w:hyperlink w:anchor="_Toc514059256" w:history="1">
        <w:r w:rsidR="00C35490" w:rsidRPr="00DB06B3">
          <w:rPr>
            <w:rStyle w:val="Hyperlink"/>
            <w:noProof/>
          </w:rPr>
          <w:t>5.6.1.1   Findings in the original proceedings</w:t>
        </w:r>
        <w:r w:rsidR="00C35490">
          <w:rPr>
            <w:noProof/>
            <w:webHidden/>
          </w:rPr>
          <w:tab/>
        </w:r>
        <w:r w:rsidR="00C35490">
          <w:rPr>
            <w:noProof/>
            <w:webHidden/>
          </w:rPr>
          <w:fldChar w:fldCharType="begin"/>
        </w:r>
        <w:r w:rsidR="00C35490">
          <w:rPr>
            <w:noProof/>
            <w:webHidden/>
          </w:rPr>
          <w:instrText xml:space="preserve"> PAGEREF _Toc514059256 \h </w:instrText>
        </w:r>
        <w:r w:rsidR="00C35490">
          <w:rPr>
            <w:noProof/>
            <w:webHidden/>
          </w:rPr>
        </w:r>
        <w:r w:rsidR="00C35490">
          <w:rPr>
            <w:noProof/>
            <w:webHidden/>
          </w:rPr>
          <w:fldChar w:fldCharType="separate"/>
        </w:r>
        <w:r w:rsidR="00FD2727">
          <w:rPr>
            <w:noProof/>
            <w:webHidden/>
          </w:rPr>
          <w:t>143</w:t>
        </w:r>
        <w:r w:rsidR="00C35490">
          <w:rPr>
            <w:noProof/>
            <w:webHidden/>
          </w:rPr>
          <w:fldChar w:fldCharType="end"/>
        </w:r>
      </w:hyperlink>
    </w:p>
    <w:p w:rsidR="00C35490" w:rsidRDefault="009A724D">
      <w:pPr>
        <w:pStyle w:val="TOC4"/>
        <w:rPr>
          <w:rFonts w:asciiTheme="minorHAnsi" w:eastAsiaTheme="minorEastAsia" w:hAnsiTheme="minorHAnsi" w:cstheme="minorBidi"/>
          <w:noProof/>
          <w:sz w:val="22"/>
          <w:szCs w:val="22"/>
        </w:rPr>
      </w:pPr>
      <w:hyperlink w:anchor="_Toc514059257" w:history="1">
        <w:r w:rsidR="00C35490" w:rsidRPr="00DB06B3">
          <w:rPr>
            <w:rStyle w:val="Hyperlink"/>
            <w:noProof/>
          </w:rPr>
          <w:t>5.6.1.2   Arguments before the Panel and Panel findings in the compliance proceedings</w:t>
        </w:r>
        <w:r w:rsidR="00C35490">
          <w:rPr>
            <w:noProof/>
            <w:webHidden/>
          </w:rPr>
          <w:tab/>
        </w:r>
        <w:r w:rsidR="00C35490">
          <w:rPr>
            <w:noProof/>
            <w:webHidden/>
          </w:rPr>
          <w:fldChar w:fldCharType="begin"/>
        </w:r>
        <w:r w:rsidR="00C35490">
          <w:rPr>
            <w:noProof/>
            <w:webHidden/>
          </w:rPr>
          <w:instrText xml:space="preserve"> PAGEREF _Toc514059257 \h </w:instrText>
        </w:r>
        <w:r w:rsidR="00C35490">
          <w:rPr>
            <w:noProof/>
            <w:webHidden/>
          </w:rPr>
        </w:r>
        <w:r w:rsidR="00C35490">
          <w:rPr>
            <w:noProof/>
            <w:webHidden/>
          </w:rPr>
          <w:fldChar w:fldCharType="separate"/>
        </w:r>
        <w:r w:rsidR="00FD2727">
          <w:rPr>
            <w:noProof/>
            <w:webHidden/>
          </w:rPr>
          <w:t>144</w:t>
        </w:r>
        <w:r w:rsidR="00C35490">
          <w:rPr>
            <w:noProof/>
            <w:webHidden/>
          </w:rPr>
          <w:fldChar w:fldCharType="end"/>
        </w:r>
      </w:hyperlink>
    </w:p>
    <w:p w:rsidR="00C35490" w:rsidRDefault="009A724D">
      <w:pPr>
        <w:pStyle w:val="TOC4"/>
        <w:rPr>
          <w:rFonts w:asciiTheme="minorHAnsi" w:eastAsiaTheme="minorEastAsia" w:hAnsiTheme="minorHAnsi" w:cstheme="minorBidi"/>
          <w:noProof/>
          <w:sz w:val="22"/>
          <w:szCs w:val="22"/>
        </w:rPr>
      </w:pPr>
      <w:hyperlink w:anchor="_Toc514059258" w:history="1">
        <w:r w:rsidR="00C35490" w:rsidRPr="00DB06B3">
          <w:rPr>
            <w:rStyle w:val="Hyperlink"/>
            <w:noProof/>
          </w:rPr>
          <w:t>5.6.1.3   Claims and arguments on appeal</w:t>
        </w:r>
        <w:r w:rsidR="00C35490">
          <w:rPr>
            <w:noProof/>
            <w:webHidden/>
          </w:rPr>
          <w:tab/>
        </w:r>
        <w:r w:rsidR="00C35490">
          <w:rPr>
            <w:noProof/>
            <w:webHidden/>
          </w:rPr>
          <w:fldChar w:fldCharType="begin"/>
        </w:r>
        <w:r w:rsidR="00C35490">
          <w:rPr>
            <w:noProof/>
            <w:webHidden/>
          </w:rPr>
          <w:instrText xml:space="preserve"> PAGEREF _Toc514059258 \h </w:instrText>
        </w:r>
        <w:r w:rsidR="00C35490">
          <w:rPr>
            <w:noProof/>
            <w:webHidden/>
          </w:rPr>
        </w:r>
        <w:r w:rsidR="00C35490">
          <w:rPr>
            <w:noProof/>
            <w:webHidden/>
          </w:rPr>
          <w:fldChar w:fldCharType="separate"/>
        </w:r>
        <w:r w:rsidR="00FD2727">
          <w:rPr>
            <w:noProof/>
            <w:webHidden/>
          </w:rPr>
          <w:t>147</w:t>
        </w:r>
        <w:r w:rsidR="00C35490">
          <w:rPr>
            <w:noProof/>
            <w:webHidden/>
          </w:rPr>
          <w:fldChar w:fldCharType="end"/>
        </w:r>
      </w:hyperlink>
    </w:p>
    <w:p w:rsidR="00C35490" w:rsidRDefault="009A724D">
      <w:pPr>
        <w:pStyle w:val="TOC4"/>
        <w:rPr>
          <w:rFonts w:asciiTheme="minorHAnsi" w:eastAsiaTheme="minorEastAsia" w:hAnsiTheme="minorHAnsi" w:cstheme="minorBidi"/>
          <w:noProof/>
          <w:sz w:val="22"/>
          <w:szCs w:val="22"/>
        </w:rPr>
      </w:pPr>
      <w:hyperlink w:anchor="_Toc514059259" w:history="1">
        <w:r w:rsidR="00C35490" w:rsidRPr="00DB06B3">
          <w:rPr>
            <w:rStyle w:val="Hyperlink"/>
            <w:noProof/>
          </w:rPr>
          <w:t>5.6.1.4   Whether the Panel erred in declining to address the arguments raised by the European Union</w:t>
        </w:r>
        <w:r w:rsidR="00C35490">
          <w:rPr>
            <w:noProof/>
            <w:webHidden/>
          </w:rPr>
          <w:tab/>
        </w:r>
        <w:r w:rsidR="00C35490">
          <w:rPr>
            <w:noProof/>
            <w:webHidden/>
          </w:rPr>
          <w:fldChar w:fldCharType="begin"/>
        </w:r>
        <w:r w:rsidR="00C35490">
          <w:rPr>
            <w:noProof/>
            <w:webHidden/>
          </w:rPr>
          <w:instrText xml:space="preserve"> PAGEREF _Toc514059259 \h </w:instrText>
        </w:r>
        <w:r w:rsidR="00C35490">
          <w:rPr>
            <w:noProof/>
            <w:webHidden/>
          </w:rPr>
        </w:r>
        <w:r w:rsidR="00C35490">
          <w:rPr>
            <w:noProof/>
            <w:webHidden/>
          </w:rPr>
          <w:fldChar w:fldCharType="separate"/>
        </w:r>
        <w:r w:rsidR="00FD2727">
          <w:rPr>
            <w:noProof/>
            <w:webHidden/>
          </w:rPr>
          <w:t>148</w:t>
        </w:r>
        <w:r w:rsidR="00C35490">
          <w:rPr>
            <w:noProof/>
            <w:webHidden/>
          </w:rPr>
          <w:fldChar w:fldCharType="end"/>
        </w:r>
      </w:hyperlink>
    </w:p>
    <w:p w:rsidR="00C35490" w:rsidRDefault="009A724D">
      <w:pPr>
        <w:pStyle w:val="TOC5"/>
        <w:rPr>
          <w:rFonts w:asciiTheme="minorHAnsi" w:eastAsiaTheme="minorEastAsia" w:hAnsiTheme="minorHAnsi" w:cstheme="minorBidi"/>
          <w:noProof/>
          <w:sz w:val="22"/>
          <w:szCs w:val="22"/>
        </w:rPr>
      </w:pPr>
      <w:hyperlink w:anchor="_Toc514059260" w:history="1">
        <w:r w:rsidR="00C35490" w:rsidRPr="00DB06B3">
          <w:rPr>
            <w:rStyle w:val="Hyperlink"/>
            <w:noProof/>
          </w:rPr>
          <w:t>5.6.1.4.1   The relationship between Article 6.3(b) and Article 6.4 of the SCM Agreement</w:t>
        </w:r>
        <w:r w:rsidR="00C35490">
          <w:rPr>
            <w:noProof/>
            <w:webHidden/>
          </w:rPr>
          <w:tab/>
        </w:r>
        <w:r w:rsidR="00C35490">
          <w:rPr>
            <w:noProof/>
            <w:webHidden/>
          </w:rPr>
          <w:fldChar w:fldCharType="begin"/>
        </w:r>
        <w:r w:rsidR="00C35490">
          <w:rPr>
            <w:noProof/>
            <w:webHidden/>
          </w:rPr>
          <w:instrText xml:space="preserve"> PAGEREF _Toc514059260 \h </w:instrText>
        </w:r>
        <w:r w:rsidR="00C35490">
          <w:rPr>
            <w:noProof/>
            <w:webHidden/>
          </w:rPr>
        </w:r>
        <w:r w:rsidR="00C35490">
          <w:rPr>
            <w:noProof/>
            <w:webHidden/>
          </w:rPr>
          <w:fldChar w:fldCharType="separate"/>
        </w:r>
        <w:r w:rsidR="00FD2727">
          <w:rPr>
            <w:noProof/>
            <w:webHidden/>
          </w:rPr>
          <w:t>150</w:t>
        </w:r>
        <w:r w:rsidR="00C35490">
          <w:rPr>
            <w:noProof/>
            <w:webHidden/>
          </w:rPr>
          <w:fldChar w:fldCharType="end"/>
        </w:r>
      </w:hyperlink>
    </w:p>
    <w:p w:rsidR="00C35490" w:rsidRDefault="009A724D">
      <w:pPr>
        <w:pStyle w:val="TOC4"/>
        <w:rPr>
          <w:rFonts w:asciiTheme="minorHAnsi" w:eastAsiaTheme="minorEastAsia" w:hAnsiTheme="minorHAnsi" w:cstheme="minorBidi"/>
          <w:noProof/>
          <w:sz w:val="22"/>
          <w:szCs w:val="22"/>
        </w:rPr>
      </w:pPr>
      <w:hyperlink w:anchor="_Toc514059261" w:history="1">
        <w:r w:rsidR="00C35490" w:rsidRPr="00DB06B3">
          <w:rPr>
            <w:rStyle w:val="Hyperlink"/>
            <w:noProof/>
          </w:rPr>
          <w:t>5.6.1.5   Conclusion</w:t>
        </w:r>
        <w:r w:rsidR="00C35490">
          <w:rPr>
            <w:noProof/>
            <w:webHidden/>
          </w:rPr>
          <w:tab/>
        </w:r>
        <w:r w:rsidR="00C35490">
          <w:rPr>
            <w:noProof/>
            <w:webHidden/>
          </w:rPr>
          <w:fldChar w:fldCharType="begin"/>
        </w:r>
        <w:r w:rsidR="00C35490">
          <w:rPr>
            <w:noProof/>
            <w:webHidden/>
          </w:rPr>
          <w:instrText xml:space="preserve"> PAGEREF _Toc514059261 \h </w:instrText>
        </w:r>
        <w:r w:rsidR="00C35490">
          <w:rPr>
            <w:noProof/>
            <w:webHidden/>
          </w:rPr>
        </w:r>
        <w:r w:rsidR="00C35490">
          <w:rPr>
            <w:noProof/>
            <w:webHidden/>
          </w:rPr>
          <w:fldChar w:fldCharType="separate"/>
        </w:r>
        <w:r w:rsidR="00FD2727">
          <w:rPr>
            <w:noProof/>
            <w:webHidden/>
          </w:rPr>
          <w:t>152</w:t>
        </w:r>
        <w:r w:rsidR="00C35490">
          <w:rPr>
            <w:noProof/>
            <w:webHidden/>
          </w:rPr>
          <w:fldChar w:fldCharType="end"/>
        </w:r>
      </w:hyperlink>
    </w:p>
    <w:p w:rsidR="00C35490" w:rsidRDefault="009A724D">
      <w:pPr>
        <w:pStyle w:val="TOC3"/>
        <w:rPr>
          <w:rFonts w:asciiTheme="minorHAnsi" w:eastAsiaTheme="minorEastAsia" w:hAnsiTheme="minorHAnsi" w:cstheme="minorBidi"/>
          <w:noProof/>
          <w:sz w:val="22"/>
          <w:szCs w:val="22"/>
        </w:rPr>
      </w:pPr>
      <w:hyperlink w:anchor="_Toc514059262" w:history="1">
        <w:r w:rsidR="00C35490" w:rsidRPr="00DB06B3">
          <w:rPr>
            <w:rStyle w:val="Hyperlink"/>
            <w:noProof/>
          </w:rPr>
          <w:t>5.6.2   The relevant product markets</w:t>
        </w:r>
        <w:r w:rsidR="00C35490">
          <w:rPr>
            <w:noProof/>
            <w:webHidden/>
          </w:rPr>
          <w:tab/>
        </w:r>
        <w:r w:rsidR="00C35490">
          <w:rPr>
            <w:noProof/>
            <w:webHidden/>
          </w:rPr>
          <w:fldChar w:fldCharType="begin"/>
        </w:r>
        <w:r w:rsidR="00C35490">
          <w:rPr>
            <w:noProof/>
            <w:webHidden/>
          </w:rPr>
          <w:instrText xml:space="preserve"> PAGEREF _Toc514059262 \h </w:instrText>
        </w:r>
        <w:r w:rsidR="00C35490">
          <w:rPr>
            <w:noProof/>
            <w:webHidden/>
          </w:rPr>
        </w:r>
        <w:r w:rsidR="00C35490">
          <w:rPr>
            <w:noProof/>
            <w:webHidden/>
          </w:rPr>
          <w:fldChar w:fldCharType="separate"/>
        </w:r>
        <w:r w:rsidR="00FD2727">
          <w:rPr>
            <w:noProof/>
            <w:webHidden/>
          </w:rPr>
          <w:t>153</w:t>
        </w:r>
        <w:r w:rsidR="00C35490">
          <w:rPr>
            <w:noProof/>
            <w:webHidden/>
          </w:rPr>
          <w:fldChar w:fldCharType="end"/>
        </w:r>
      </w:hyperlink>
    </w:p>
    <w:p w:rsidR="00C35490" w:rsidRDefault="009A724D">
      <w:pPr>
        <w:pStyle w:val="TOC4"/>
        <w:rPr>
          <w:rFonts w:asciiTheme="minorHAnsi" w:eastAsiaTheme="minorEastAsia" w:hAnsiTheme="minorHAnsi" w:cstheme="minorBidi"/>
          <w:noProof/>
          <w:sz w:val="22"/>
          <w:szCs w:val="22"/>
        </w:rPr>
      </w:pPr>
      <w:hyperlink w:anchor="_Toc514059263" w:history="1">
        <w:r w:rsidR="00C35490" w:rsidRPr="00DB06B3">
          <w:rPr>
            <w:rStyle w:val="Hyperlink"/>
            <w:noProof/>
          </w:rPr>
          <w:t>5.6.2.1   Arguments before the Panel and Panel findings</w:t>
        </w:r>
        <w:r w:rsidR="00C35490">
          <w:rPr>
            <w:noProof/>
            <w:webHidden/>
          </w:rPr>
          <w:tab/>
        </w:r>
        <w:r w:rsidR="00C35490">
          <w:rPr>
            <w:noProof/>
            <w:webHidden/>
          </w:rPr>
          <w:fldChar w:fldCharType="begin"/>
        </w:r>
        <w:r w:rsidR="00C35490">
          <w:rPr>
            <w:noProof/>
            <w:webHidden/>
          </w:rPr>
          <w:instrText xml:space="preserve"> PAGEREF _Toc514059263 \h </w:instrText>
        </w:r>
        <w:r w:rsidR="00C35490">
          <w:rPr>
            <w:noProof/>
            <w:webHidden/>
          </w:rPr>
        </w:r>
        <w:r w:rsidR="00C35490">
          <w:rPr>
            <w:noProof/>
            <w:webHidden/>
          </w:rPr>
          <w:fldChar w:fldCharType="separate"/>
        </w:r>
        <w:r w:rsidR="00FD2727">
          <w:rPr>
            <w:noProof/>
            <w:webHidden/>
          </w:rPr>
          <w:t>153</w:t>
        </w:r>
        <w:r w:rsidR="00C35490">
          <w:rPr>
            <w:noProof/>
            <w:webHidden/>
          </w:rPr>
          <w:fldChar w:fldCharType="end"/>
        </w:r>
      </w:hyperlink>
    </w:p>
    <w:p w:rsidR="00C35490" w:rsidRDefault="009A724D">
      <w:pPr>
        <w:pStyle w:val="TOC4"/>
        <w:rPr>
          <w:rFonts w:asciiTheme="minorHAnsi" w:eastAsiaTheme="minorEastAsia" w:hAnsiTheme="minorHAnsi" w:cstheme="minorBidi"/>
          <w:noProof/>
          <w:sz w:val="22"/>
          <w:szCs w:val="22"/>
        </w:rPr>
      </w:pPr>
      <w:hyperlink w:anchor="_Toc514059264" w:history="1">
        <w:r w:rsidR="00C35490" w:rsidRPr="00DB06B3">
          <w:rPr>
            <w:rStyle w:val="Hyperlink"/>
            <w:noProof/>
          </w:rPr>
          <w:t>5.6.2.2   Claims on appeal</w:t>
        </w:r>
        <w:r w:rsidR="00C35490">
          <w:rPr>
            <w:noProof/>
            <w:webHidden/>
          </w:rPr>
          <w:tab/>
        </w:r>
        <w:r w:rsidR="00C35490">
          <w:rPr>
            <w:noProof/>
            <w:webHidden/>
          </w:rPr>
          <w:fldChar w:fldCharType="begin"/>
        </w:r>
        <w:r w:rsidR="00C35490">
          <w:rPr>
            <w:noProof/>
            <w:webHidden/>
          </w:rPr>
          <w:instrText xml:space="preserve"> PAGEREF _Toc514059264 \h </w:instrText>
        </w:r>
        <w:r w:rsidR="00C35490">
          <w:rPr>
            <w:noProof/>
            <w:webHidden/>
          </w:rPr>
        </w:r>
        <w:r w:rsidR="00C35490">
          <w:rPr>
            <w:noProof/>
            <w:webHidden/>
          </w:rPr>
          <w:fldChar w:fldCharType="separate"/>
        </w:r>
        <w:r w:rsidR="00FD2727">
          <w:rPr>
            <w:noProof/>
            <w:webHidden/>
          </w:rPr>
          <w:t>160</w:t>
        </w:r>
        <w:r w:rsidR="00C35490">
          <w:rPr>
            <w:noProof/>
            <w:webHidden/>
          </w:rPr>
          <w:fldChar w:fldCharType="end"/>
        </w:r>
      </w:hyperlink>
    </w:p>
    <w:p w:rsidR="00C35490" w:rsidRDefault="009A724D">
      <w:pPr>
        <w:pStyle w:val="TOC4"/>
        <w:rPr>
          <w:rFonts w:asciiTheme="minorHAnsi" w:eastAsiaTheme="minorEastAsia" w:hAnsiTheme="minorHAnsi" w:cstheme="minorBidi"/>
          <w:noProof/>
          <w:sz w:val="22"/>
          <w:szCs w:val="22"/>
        </w:rPr>
      </w:pPr>
      <w:hyperlink w:anchor="_Toc514059265" w:history="1">
        <w:r w:rsidR="00C35490" w:rsidRPr="00DB06B3">
          <w:rPr>
            <w:rStyle w:val="Hyperlink"/>
            <w:noProof/>
          </w:rPr>
          <w:t>5.6.2.3   Whether the Panel erred in interpreting the term "market" in Article 6.3 of the SCM Agreement</w:t>
        </w:r>
        <w:r w:rsidR="00C35490">
          <w:rPr>
            <w:noProof/>
            <w:webHidden/>
          </w:rPr>
          <w:tab/>
        </w:r>
        <w:r w:rsidR="00C35490">
          <w:rPr>
            <w:noProof/>
            <w:webHidden/>
          </w:rPr>
          <w:fldChar w:fldCharType="begin"/>
        </w:r>
        <w:r w:rsidR="00C35490">
          <w:rPr>
            <w:noProof/>
            <w:webHidden/>
          </w:rPr>
          <w:instrText xml:space="preserve"> PAGEREF _Toc514059265 \h </w:instrText>
        </w:r>
        <w:r w:rsidR="00C35490">
          <w:rPr>
            <w:noProof/>
            <w:webHidden/>
          </w:rPr>
        </w:r>
        <w:r w:rsidR="00C35490">
          <w:rPr>
            <w:noProof/>
            <w:webHidden/>
          </w:rPr>
          <w:fldChar w:fldCharType="separate"/>
        </w:r>
        <w:r w:rsidR="00FD2727">
          <w:rPr>
            <w:noProof/>
            <w:webHidden/>
          </w:rPr>
          <w:t>161</w:t>
        </w:r>
        <w:r w:rsidR="00C35490">
          <w:rPr>
            <w:noProof/>
            <w:webHidden/>
          </w:rPr>
          <w:fldChar w:fldCharType="end"/>
        </w:r>
      </w:hyperlink>
    </w:p>
    <w:p w:rsidR="00C35490" w:rsidRDefault="009A724D">
      <w:pPr>
        <w:pStyle w:val="TOC5"/>
        <w:rPr>
          <w:rFonts w:asciiTheme="minorHAnsi" w:eastAsiaTheme="minorEastAsia" w:hAnsiTheme="minorHAnsi" w:cstheme="minorBidi"/>
          <w:noProof/>
          <w:sz w:val="22"/>
          <w:szCs w:val="22"/>
        </w:rPr>
      </w:pPr>
      <w:hyperlink w:anchor="_Toc514059266" w:history="1">
        <w:r w:rsidR="00C35490" w:rsidRPr="00DB06B3">
          <w:rPr>
            <w:rStyle w:val="Hyperlink"/>
            <w:noProof/>
          </w:rPr>
          <w:t>5.6.2.3.1   Single-aisle LCA market</w:t>
        </w:r>
        <w:r w:rsidR="00C35490">
          <w:rPr>
            <w:noProof/>
            <w:webHidden/>
          </w:rPr>
          <w:tab/>
        </w:r>
        <w:r w:rsidR="00C35490">
          <w:rPr>
            <w:noProof/>
            <w:webHidden/>
          </w:rPr>
          <w:fldChar w:fldCharType="begin"/>
        </w:r>
        <w:r w:rsidR="00C35490">
          <w:rPr>
            <w:noProof/>
            <w:webHidden/>
          </w:rPr>
          <w:instrText xml:space="preserve"> PAGEREF _Toc514059266 \h </w:instrText>
        </w:r>
        <w:r w:rsidR="00C35490">
          <w:rPr>
            <w:noProof/>
            <w:webHidden/>
          </w:rPr>
        </w:r>
        <w:r w:rsidR="00C35490">
          <w:rPr>
            <w:noProof/>
            <w:webHidden/>
          </w:rPr>
          <w:fldChar w:fldCharType="separate"/>
        </w:r>
        <w:r w:rsidR="00FD2727">
          <w:rPr>
            <w:noProof/>
            <w:webHidden/>
          </w:rPr>
          <w:t>165</w:t>
        </w:r>
        <w:r w:rsidR="00C35490">
          <w:rPr>
            <w:noProof/>
            <w:webHidden/>
          </w:rPr>
          <w:fldChar w:fldCharType="end"/>
        </w:r>
      </w:hyperlink>
    </w:p>
    <w:p w:rsidR="00C35490" w:rsidRDefault="009A724D">
      <w:pPr>
        <w:pStyle w:val="TOC5"/>
        <w:rPr>
          <w:rFonts w:asciiTheme="minorHAnsi" w:eastAsiaTheme="minorEastAsia" w:hAnsiTheme="minorHAnsi" w:cstheme="minorBidi"/>
          <w:noProof/>
          <w:sz w:val="22"/>
          <w:szCs w:val="22"/>
        </w:rPr>
      </w:pPr>
      <w:hyperlink w:anchor="_Toc514059267" w:history="1">
        <w:r w:rsidR="00C35490" w:rsidRPr="00DB06B3">
          <w:rPr>
            <w:rStyle w:val="Hyperlink"/>
            <w:noProof/>
          </w:rPr>
          <w:t>5.6.2.3.2   Twin-aisle LCA market</w:t>
        </w:r>
        <w:r w:rsidR="00C35490">
          <w:rPr>
            <w:noProof/>
            <w:webHidden/>
          </w:rPr>
          <w:tab/>
        </w:r>
        <w:r w:rsidR="00C35490">
          <w:rPr>
            <w:noProof/>
            <w:webHidden/>
          </w:rPr>
          <w:fldChar w:fldCharType="begin"/>
        </w:r>
        <w:r w:rsidR="00C35490">
          <w:rPr>
            <w:noProof/>
            <w:webHidden/>
          </w:rPr>
          <w:instrText xml:space="preserve"> PAGEREF _Toc514059267 \h </w:instrText>
        </w:r>
        <w:r w:rsidR="00C35490">
          <w:rPr>
            <w:noProof/>
            <w:webHidden/>
          </w:rPr>
        </w:r>
        <w:r w:rsidR="00C35490">
          <w:rPr>
            <w:noProof/>
            <w:webHidden/>
          </w:rPr>
          <w:fldChar w:fldCharType="separate"/>
        </w:r>
        <w:r w:rsidR="00FD2727">
          <w:rPr>
            <w:noProof/>
            <w:webHidden/>
          </w:rPr>
          <w:t>169</w:t>
        </w:r>
        <w:r w:rsidR="00C35490">
          <w:rPr>
            <w:noProof/>
            <w:webHidden/>
          </w:rPr>
          <w:fldChar w:fldCharType="end"/>
        </w:r>
      </w:hyperlink>
    </w:p>
    <w:p w:rsidR="00C35490" w:rsidRDefault="009A724D">
      <w:pPr>
        <w:pStyle w:val="TOC5"/>
        <w:rPr>
          <w:rFonts w:asciiTheme="minorHAnsi" w:eastAsiaTheme="minorEastAsia" w:hAnsiTheme="minorHAnsi" w:cstheme="minorBidi"/>
          <w:noProof/>
          <w:sz w:val="22"/>
          <w:szCs w:val="22"/>
        </w:rPr>
      </w:pPr>
      <w:hyperlink w:anchor="_Toc514059268" w:history="1">
        <w:r w:rsidR="00C35490" w:rsidRPr="00DB06B3">
          <w:rPr>
            <w:rStyle w:val="Hyperlink"/>
            <w:noProof/>
          </w:rPr>
          <w:t>5.6.2.3.3   VLA market</w:t>
        </w:r>
        <w:r w:rsidR="00C35490">
          <w:rPr>
            <w:noProof/>
            <w:webHidden/>
          </w:rPr>
          <w:tab/>
        </w:r>
        <w:r w:rsidR="00C35490">
          <w:rPr>
            <w:noProof/>
            <w:webHidden/>
          </w:rPr>
          <w:fldChar w:fldCharType="begin"/>
        </w:r>
        <w:r w:rsidR="00C35490">
          <w:rPr>
            <w:noProof/>
            <w:webHidden/>
          </w:rPr>
          <w:instrText xml:space="preserve"> PAGEREF _Toc514059268 \h </w:instrText>
        </w:r>
        <w:r w:rsidR="00C35490">
          <w:rPr>
            <w:noProof/>
            <w:webHidden/>
          </w:rPr>
        </w:r>
        <w:r w:rsidR="00C35490">
          <w:rPr>
            <w:noProof/>
            <w:webHidden/>
          </w:rPr>
          <w:fldChar w:fldCharType="separate"/>
        </w:r>
        <w:r w:rsidR="00FD2727">
          <w:rPr>
            <w:noProof/>
            <w:webHidden/>
          </w:rPr>
          <w:t>172</w:t>
        </w:r>
        <w:r w:rsidR="00C35490">
          <w:rPr>
            <w:noProof/>
            <w:webHidden/>
          </w:rPr>
          <w:fldChar w:fldCharType="end"/>
        </w:r>
      </w:hyperlink>
    </w:p>
    <w:p w:rsidR="00C35490" w:rsidRDefault="009A724D">
      <w:pPr>
        <w:pStyle w:val="TOC4"/>
        <w:rPr>
          <w:rFonts w:asciiTheme="minorHAnsi" w:eastAsiaTheme="minorEastAsia" w:hAnsiTheme="minorHAnsi" w:cstheme="minorBidi"/>
          <w:noProof/>
          <w:sz w:val="22"/>
          <w:szCs w:val="22"/>
        </w:rPr>
      </w:pPr>
      <w:hyperlink w:anchor="_Toc514059269" w:history="1">
        <w:r w:rsidR="00C35490" w:rsidRPr="00DB06B3">
          <w:rPr>
            <w:rStyle w:val="Hyperlink"/>
            <w:noProof/>
          </w:rPr>
          <w:t>5.6.2.4   Whether the Panel erred in its application of Article 6.3 of the SCM Agreement</w:t>
        </w:r>
        <w:r w:rsidR="00C35490">
          <w:rPr>
            <w:noProof/>
            <w:webHidden/>
          </w:rPr>
          <w:tab/>
        </w:r>
        <w:r w:rsidR="00C35490">
          <w:rPr>
            <w:noProof/>
            <w:webHidden/>
          </w:rPr>
          <w:fldChar w:fldCharType="begin"/>
        </w:r>
        <w:r w:rsidR="00C35490">
          <w:rPr>
            <w:noProof/>
            <w:webHidden/>
          </w:rPr>
          <w:instrText xml:space="preserve"> PAGEREF _Toc514059269 \h </w:instrText>
        </w:r>
        <w:r w:rsidR="00C35490">
          <w:rPr>
            <w:noProof/>
            <w:webHidden/>
          </w:rPr>
        </w:r>
        <w:r w:rsidR="00C35490">
          <w:rPr>
            <w:noProof/>
            <w:webHidden/>
          </w:rPr>
          <w:fldChar w:fldCharType="separate"/>
        </w:r>
        <w:r w:rsidR="00FD2727">
          <w:rPr>
            <w:noProof/>
            <w:webHidden/>
          </w:rPr>
          <w:t>179</w:t>
        </w:r>
        <w:r w:rsidR="00C35490">
          <w:rPr>
            <w:noProof/>
            <w:webHidden/>
          </w:rPr>
          <w:fldChar w:fldCharType="end"/>
        </w:r>
      </w:hyperlink>
    </w:p>
    <w:p w:rsidR="00C35490" w:rsidRDefault="009A724D">
      <w:pPr>
        <w:pStyle w:val="TOC4"/>
        <w:rPr>
          <w:rFonts w:asciiTheme="minorHAnsi" w:eastAsiaTheme="minorEastAsia" w:hAnsiTheme="minorHAnsi" w:cstheme="minorBidi"/>
          <w:noProof/>
          <w:sz w:val="22"/>
          <w:szCs w:val="22"/>
        </w:rPr>
      </w:pPr>
      <w:hyperlink w:anchor="_Toc514059270" w:history="1">
        <w:r w:rsidR="00C35490" w:rsidRPr="00DB06B3">
          <w:rPr>
            <w:rStyle w:val="Hyperlink"/>
            <w:noProof/>
          </w:rPr>
          <w:t>5.6.2.5   Article 11 of the DSU</w:t>
        </w:r>
        <w:r w:rsidR="00C35490">
          <w:rPr>
            <w:noProof/>
            <w:webHidden/>
          </w:rPr>
          <w:tab/>
        </w:r>
        <w:r w:rsidR="00C35490">
          <w:rPr>
            <w:noProof/>
            <w:webHidden/>
          </w:rPr>
          <w:fldChar w:fldCharType="begin"/>
        </w:r>
        <w:r w:rsidR="00C35490">
          <w:rPr>
            <w:noProof/>
            <w:webHidden/>
          </w:rPr>
          <w:instrText xml:space="preserve"> PAGEREF _Toc514059270 \h </w:instrText>
        </w:r>
        <w:r w:rsidR="00C35490">
          <w:rPr>
            <w:noProof/>
            <w:webHidden/>
          </w:rPr>
        </w:r>
        <w:r w:rsidR="00C35490">
          <w:rPr>
            <w:noProof/>
            <w:webHidden/>
          </w:rPr>
          <w:fldChar w:fldCharType="separate"/>
        </w:r>
        <w:r w:rsidR="00FD2727">
          <w:rPr>
            <w:noProof/>
            <w:webHidden/>
          </w:rPr>
          <w:t>180</w:t>
        </w:r>
        <w:r w:rsidR="00C35490">
          <w:rPr>
            <w:noProof/>
            <w:webHidden/>
          </w:rPr>
          <w:fldChar w:fldCharType="end"/>
        </w:r>
      </w:hyperlink>
    </w:p>
    <w:p w:rsidR="00C35490" w:rsidRDefault="009A724D">
      <w:pPr>
        <w:pStyle w:val="TOC4"/>
        <w:rPr>
          <w:rFonts w:asciiTheme="minorHAnsi" w:eastAsiaTheme="minorEastAsia" w:hAnsiTheme="minorHAnsi" w:cstheme="minorBidi"/>
          <w:noProof/>
          <w:sz w:val="22"/>
          <w:szCs w:val="22"/>
        </w:rPr>
      </w:pPr>
      <w:hyperlink w:anchor="_Toc514059271" w:history="1">
        <w:r w:rsidR="00C35490" w:rsidRPr="00DB06B3">
          <w:rPr>
            <w:rStyle w:val="Hyperlink"/>
            <w:noProof/>
          </w:rPr>
          <w:t>5.6.2.6   Overall conclusion</w:t>
        </w:r>
        <w:r w:rsidR="00C35490">
          <w:rPr>
            <w:noProof/>
            <w:webHidden/>
          </w:rPr>
          <w:tab/>
        </w:r>
        <w:r w:rsidR="00C35490">
          <w:rPr>
            <w:noProof/>
            <w:webHidden/>
          </w:rPr>
          <w:fldChar w:fldCharType="begin"/>
        </w:r>
        <w:r w:rsidR="00C35490">
          <w:rPr>
            <w:noProof/>
            <w:webHidden/>
          </w:rPr>
          <w:instrText xml:space="preserve"> PAGEREF _Toc514059271 \h </w:instrText>
        </w:r>
        <w:r w:rsidR="00C35490">
          <w:rPr>
            <w:noProof/>
            <w:webHidden/>
          </w:rPr>
        </w:r>
        <w:r w:rsidR="00C35490">
          <w:rPr>
            <w:noProof/>
            <w:webHidden/>
          </w:rPr>
          <w:fldChar w:fldCharType="separate"/>
        </w:r>
        <w:r w:rsidR="00FD2727">
          <w:rPr>
            <w:noProof/>
            <w:webHidden/>
          </w:rPr>
          <w:t>183</w:t>
        </w:r>
        <w:r w:rsidR="00C35490">
          <w:rPr>
            <w:noProof/>
            <w:webHidden/>
          </w:rPr>
          <w:fldChar w:fldCharType="end"/>
        </w:r>
      </w:hyperlink>
    </w:p>
    <w:p w:rsidR="00C35490" w:rsidRDefault="009A724D">
      <w:pPr>
        <w:pStyle w:val="TOC3"/>
        <w:rPr>
          <w:rFonts w:asciiTheme="minorHAnsi" w:eastAsiaTheme="minorEastAsia" w:hAnsiTheme="minorHAnsi" w:cstheme="minorBidi"/>
          <w:noProof/>
          <w:sz w:val="22"/>
          <w:szCs w:val="22"/>
        </w:rPr>
      </w:pPr>
      <w:hyperlink w:anchor="_Toc514059272" w:history="1">
        <w:r w:rsidR="00C35490" w:rsidRPr="00DB06B3">
          <w:rPr>
            <w:rStyle w:val="Hyperlink"/>
            <w:noProof/>
          </w:rPr>
          <w:t>5.6.3   "Product effects" of LA/MSF subsidies on Airbus LCA</w:t>
        </w:r>
        <w:r w:rsidR="00C35490">
          <w:rPr>
            <w:noProof/>
            <w:webHidden/>
          </w:rPr>
          <w:tab/>
        </w:r>
        <w:r w:rsidR="00C35490">
          <w:rPr>
            <w:noProof/>
            <w:webHidden/>
          </w:rPr>
          <w:fldChar w:fldCharType="begin"/>
        </w:r>
        <w:r w:rsidR="00C35490">
          <w:rPr>
            <w:noProof/>
            <w:webHidden/>
          </w:rPr>
          <w:instrText xml:space="preserve"> PAGEREF _Toc514059272 \h </w:instrText>
        </w:r>
        <w:r w:rsidR="00C35490">
          <w:rPr>
            <w:noProof/>
            <w:webHidden/>
          </w:rPr>
        </w:r>
        <w:r w:rsidR="00C35490">
          <w:rPr>
            <w:noProof/>
            <w:webHidden/>
          </w:rPr>
          <w:fldChar w:fldCharType="separate"/>
        </w:r>
        <w:r w:rsidR="00FD2727">
          <w:rPr>
            <w:noProof/>
            <w:webHidden/>
          </w:rPr>
          <w:t>184</w:t>
        </w:r>
        <w:r w:rsidR="00C35490">
          <w:rPr>
            <w:noProof/>
            <w:webHidden/>
          </w:rPr>
          <w:fldChar w:fldCharType="end"/>
        </w:r>
      </w:hyperlink>
    </w:p>
    <w:p w:rsidR="00C35490" w:rsidRDefault="009A724D">
      <w:pPr>
        <w:pStyle w:val="TOC4"/>
        <w:rPr>
          <w:rFonts w:asciiTheme="minorHAnsi" w:eastAsiaTheme="minorEastAsia" w:hAnsiTheme="minorHAnsi" w:cstheme="minorBidi"/>
          <w:noProof/>
          <w:sz w:val="22"/>
          <w:szCs w:val="22"/>
        </w:rPr>
      </w:pPr>
      <w:hyperlink w:anchor="_Toc514059273" w:history="1">
        <w:r w:rsidR="00C35490" w:rsidRPr="00DB06B3">
          <w:rPr>
            <w:rStyle w:val="Hyperlink"/>
            <w:noProof/>
          </w:rPr>
          <w:t>5.6.3.1   Introduction</w:t>
        </w:r>
        <w:r w:rsidR="00C35490">
          <w:rPr>
            <w:noProof/>
            <w:webHidden/>
          </w:rPr>
          <w:tab/>
        </w:r>
        <w:r w:rsidR="00C35490">
          <w:rPr>
            <w:noProof/>
            <w:webHidden/>
          </w:rPr>
          <w:fldChar w:fldCharType="begin"/>
        </w:r>
        <w:r w:rsidR="00C35490">
          <w:rPr>
            <w:noProof/>
            <w:webHidden/>
          </w:rPr>
          <w:instrText xml:space="preserve"> PAGEREF _Toc514059273 \h </w:instrText>
        </w:r>
        <w:r w:rsidR="00C35490">
          <w:rPr>
            <w:noProof/>
            <w:webHidden/>
          </w:rPr>
        </w:r>
        <w:r w:rsidR="00C35490">
          <w:rPr>
            <w:noProof/>
            <w:webHidden/>
          </w:rPr>
          <w:fldChar w:fldCharType="separate"/>
        </w:r>
        <w:r w:rsidR="00FD2727">
          <w:rPr>
            <w:noProof/>
            <w:webHidden/>
          </w:rPr>
          <w:t>184</w:t>
        </w:r>
        <w:r w:rsidR="00C35490">
          <w:rPr>
            <w:noProof/>
            <w:webHidden/>
          </w:rPr>
          <w:fldChar w:fldCharType="end"/>
        </w:r>
      </w:hyperlink>
    </w:p>
    <w:p w:rsidR="00C35490" w:rsidRDefault="009A724D">
      <w:pPr>
        <w:pStyle w:val="TOC4"/>
        <w:rPr>
          <w:rFonts w:asciiTheme="minorHAnsi" w:eastAsiaTheme="minorEastAsia" w:hAnsiTheme="minorHAnsi" w:cstheme="minorBidi"/>
          <w:noProof/>
          <w:sz w:val="22"/>
          <w:szCs w:val="22"/>
        </w:rPr>
      </w:pPr>
      <w:hyperlink w:anchor="_Toc514059274" w:history="1">
        <w:r w:rsidR="00C35490" w:rsidRPr="00DB06B3">
          <w:rPr>
            <w:rStyle w:val="Hyperlink"/>
            <w:noProof/>
          </w:rPr>
          <w:t>5.6.3.2   Summary of Panel findings</w:t>
        </w:r>
        <w:r w:rsidR="00C35490">
          <w:rPr>
            <w:noProof/>
            <w:webHidden/>
          </w:rPr>
          <w:tab/>
        </w:r>
        <w:r w:rsidR="00C35490">
          <w:rPr>
            <w:noProof/>
            <w:webHidden/>
          </w:rPr>
          <w:fldChar w:fldCharType="begin"/>
        </w:r>
        <w:r w:rsidR="00C35490">
          <w:rPr>
            <w:noProof/>
            <w:webHidden/>
          </w:rPr>
          <w:instrText xml:space="preserve"> PAGEREF _Toc514059274 \h </w:instrText>
        </w:r>
        <w:r w:rsidR="00C35490">
          <w:rPr>
            <w:noProof/>
            <w:webHidden/>
          </w:rPr>
        </w:r>
        <w:r w:rsidR="00C35490">
          <w:rPr>
            <w:noProof/>
            <w:webHidden/>
          </w:rPr>
          <w:fldChar w:fldCharType="separate"/>
        </w:r>
        <w:r w:rsidR="00FD2727">
          <w:rPr>
            <w:noProof/>
            <w:webHidden/>
          </w:rPr>
          <w:t>186</w:t>
        </w:r>
        <w:r w:rsidR="00C35490">
          <w:rPr>
            <w:noProof/>
            <w:webHidden/>
          </w:rPr>
          <w:fldChar w:fldCharType="end"/>
        </w:r>
      </w:hyperlink>
    </w:p>
    <w:p w:rsidR="00C35490" w:rsidRDefault="009A724D">
      <w:pPr>
        <w:pStyle w:val="TOC5"/>
        <w:rPr>
          <w:rFonts w:asciiTheme="minorHAnsi" w:eastAsiaTheme="minorEastAsia" w:hAnsiTheme="minorHAnsi" w:cstheme="minorBidi"/>
          <w:noProof/>
          <w:sz w:val="22"/>
          <w:szCs w:val="22"/>
        </w:rPr>
      </w:pPr>
      <w:hyperlink w:anchor="_Toc514059275" w:history="1">
        <w:r w:rsidR="00C35490" w:rsidRPr="00DB06B3">
          <w:rPr>
            <w:rStyle w:val="Hyperlink"/>
            <w:noProof/>
          </w:rPr>
          <w:t>5.6.3.2.1   Findings on the "product effects" of pre</w:t>
        </w:r>
        <w:r w:rsidR="00C35490" w:rsidRPr="00DB06B3">
          <w:rPr>
            <w:rStyle w:val="Hyperlink"/>
            <w:noProof/>
          </w:rPr>
          <w:noBreakHyphen/>
          <w:t>A350XWB LA/MSF subsidies on the A320, A330, and A380</w:t>
        </w:r>
        <w:r w:rsidR="00C35490">
          <w:rPr>
            <w:noProof/>
            <w:webHidden/>
          </w:rPr>
          <w:tab/>
        </w:r>
        <w:r w:rsidR="00C35490">
          <w:rPr>
            <w:noProof/>
            <w:webHidden/>
          </w:rPr>
          <w:fldChar w:fldCharType="begin"/>
        </w:r>
        <w:r w:rsidR="00C35490">
          <w:rPr>
            <w:noProof/>
            <w:webHidden/>
          </w:rPr>
          <w:instrText xml:space="preserve"> PAGEREF _Toc514059275 \h </w:instrText>
        </w:r>
        <w:r w:rsidR="00C35490">
          <w:rPr>
            <w:noProof/>
            <w:webHidden/>
          </w:rPr>
        </w:r>
        <w:r w:rsidR="00C35490">
          <w:rPr>
            <w:noProof/>
            <w:webHidden/>
          </w:rPr>
          <w:fldChar w:fldCharType="separate"/>
        </w:r>
        <w:r w:rsidR="00FD2727">
          <w:rPr>
            <w:noProof/>
            <w:webHidden/>
          </w:rPr>
          <w:t>186</w:t>
        </w:r>
        <w:r w:rsidR="00C35490">
          <w:rPr>
            <w:noProof/>
            <w:webHidden/>
          </w:rPr>
          <w:fldChar w:fldCharType="end"/>
        </w:r>
      </w:hyperlink>
    </w:p>
    <w:p w:rsidR="00C35490" w:rsidRDefault="009A724D">
      <w:pPr>
        <w:pStyle w:val="TOC5"/>
        <w:rPr>
          <w:rFonts w:asciiTheme="minorHAnsi" w:eastAsiaTheme="minorEastAsia" w:hAnsiTheme="minorHAnsi" w:cstheme="minorBidi"/>
          <w:noProof/>
          <w:sz w:val="22"/>
          <w:szCs w:val="22"/>
        </w:rPr>
      </w:pPr>
      <w:hyperlink w:anchor="_Toc514059276" w:history="1">
        <w:r w:rsidR="00C35490" w:rsidRPr="00DB06B3">
          <w:rPr>
            <w:rStyle w:val="Hyperlink"/>
            <w:noProof/>
          </w:rPr>
          <w:t>5.6.3.2.2   Findings on the "product effects" of the challenged LA/MSF subsidies on the A350XWB</w:t>
        </w:r>
        <w:r w:rsidR="00C35490">
          <w:rPr>
            <w:noProof/>
            <w:webHidden/>
          </w:rPr>
          <w:tab/>
        </w:r>
        <w:r w:rsidR="00C35490">
          <w:rPr>
            <w:noProof/>
            <w:webHidden/>
          </w:rPr>
          <w:fldChar w:fldCharType="begin"/>
        </w:r>
        <w:r w:rsidR="00C35490">
          <w:rPr>
            <w:noProof/>
            <w:webHidden/>
          </w:rPr>
          <w:instrText xml:space="preserve"> PAGEREF _Toc514059276 \h </w:instrText>
        </w:r>
        <w:r w:rsidR="00C35490">
          <w:rPr>
            <w:noProof/>
            <w:webHidden/>
          </w:rPr>
        </w:r>
        <w:r w:rsidR="00C35490">
          <w:rPr>
            <w:noProof/>
            <w:webHidden/>
          </w:rPr>
          <w:fldChar w:fldCharType="separate"/>
        </w:r>
        <w:r w:rsidR="00FD2727">
          <w:rPr>
            <w:noProof/>
            <w:webHidden/>
          </w:rPr>
          <w:t>188</w:t>
        </w:r>
        <w:r w:rsidR="00C35490">
          <w:rPr>
            <w:noProof/>
            <w:webHidden/>
          </w:rPr>
          <w:fldChar w:fldCharType="end"/>
        </w:r>
      </w:hyperlink>
    </w:p>
    <w:p w:rsidR="00C35490" w:rsidRDefault="009A724D">
      <w:pPr>
        <w:pStyle w:val="TOC6"/>
        <w:rPr>
          <w:rFonts w:asciiTheme="minorHAnsi" w:eastAsiaTheme="minorEastAsia" w:hAnsiTheme="minorHAnsi" w:cstheme="minorBidi"/>
          <w:noProof/>
          <w:sz w:val="22"/>
          <w:szCs w:val="22"/>
        </w:rPr>
      </w:pPr>
      <w:hyperlink w:anchor="_Toc514059277" w:history="1">
        <w:r w:rsidR="00C35490" w:rsidRPr="00DB06B3">
          <w:rPr>
            <w:rStyle w:val="Hyperlink"/>
            <w:noProof/>
          </w:rPr>
          <w:t>5.6.3.2.2.1   Findings on the "direct effects" of the A350XWB LA/MSF subsidies on the A350XWB</w:t>
        </w:r>
        <w:r w:rsidR="00C35490">
          <w:rPr>
            <w:noProof/>
            <w:webHidden/>
          </w:rPr>
          <w:tab/>
        </w:r>
        <w:r w:rsidR="00C35490">
          <w:rPr>
            <w:noProof/>
            <w:webHidden/>
          </w:rPr>
          <w:fldChar w:fldCharType="begin"/>
        </w:r>
        <w:r w:rsidR="00C35490">
          <w:rPr>
            <w:noProof/>
            <w:webHidden/>
          </w:rPr>
          <w:instrText xml:space="preserve"> PAGEREF _Toc514059277 \h </w:instrText>
        </w:r>
        <w:r w:rsidR="00C35490">
          <w:rPr>
            <w:noProof/>
            <w:webHidden/>
          </w:rPr>
        </w:r>
        <w:r w:rsidR="00C35490">
          <w:rPr>
            <w:noProof/>
            <w:webHidden/>
          </w:rPr>
          <w:fldChar w:fldCharType="separate"/>
        </w:r>
        <w:r w:rsidR="00FD2727">
          <w:rPr>
            <w:noProof/>
            <w:webHidden/>
          </w:rPr>
          <w:t>189</w:t>
        </w:r>
        <w:r w:rsidR="00C35490">
          <w:rPr>
            <w:noProof/>
            <w:webHidden/>
          </w:rPr>
          <w:fldChar w:fldCharType="end"/>
        </w:r>
      </w:hyperlink>
    </w:p>
    <w:p w:rsidR="00C35490" w:rsidRDefault="009A724D">
      <w:pPr>
        <w:pStyle w:val="TOC6"/>
        <w:rPr>
          <w:rFonts w:asciiTheme="minorHAnsi" w:eastAsiaTheme="minorEastAsia" w:hAnsiTheme="minorHAnsi" w:cstheme="minorBidi"/>
          <w:noProof/>
          <w:sz w:val="22"/>
          <w:szCs w:val="22"/>
        </w:rPr>
      </w:pPr>
      <w:hyperlink w:anchor="_Toc514059278" w:history="1">
        <w:r w:rsidR="00C35490" w:rsidRPr="00DB06B3">
          <w:rPr>
            <w:rStyle w:val="Hyperlink"/>
            <w:noProof/>
          </w:rPr>
          <w:t>5.6.3.2.2.2   Findings on the "indirect effects" of the pre</w:t>
        </w:r>
        <w:r w:rsidR="00C35490" w:rsidRPr="00DB06B3">
          <w:rPr>
            <w:rStyle w:val="Hyperlink"/>
            <w:noProof/>
          </w:rPr>
          <w:noBreakHyphen/>
          <w:t>A350XWB LA/MSF subsidies on the A350XWB</w:t>
        </w:r>
        <w:r w:rsidR="00C35490">
          <w:rPr>
            <w:noProof/>
            <w:webHidden/>
          </w:rPr>
          <w:tab/>
        </w:r>
        <w:r w:rsidR="00C35490">
          <w:rPr>
            <w:noProof/>
            <w:webHidden/>
          </w:rPr>
          <w:fldChar w:fldCharType="begin"/>
        </w:r>
        <w:r w:rsidR="00C35490">
          <w:rPr>
            <w:noProof/>
            <w:webHidden/>
          </w:rPr>
          <w:instrText xml:space="preserve"> PAGEREF _Toc514059278 \h </w:instrText>
        </w:r>
        <w:r w:rsidR="00C35490">
          <w:rPr>
            <w:noProof/>
            <w:webHidden/>
          </w:rPr>
        </w:r>
        <w:r w:rsidR="00C35490">
          <w:rPr>
            <w:noProof/>
            <w:webHidden/>
          </w:rPr>
          <w:fldChar w:fldCharType="separate"/>
        </w:r>
        <w:r w:rsidR="00FD2727">
          <w:rPr>
            <w:noProof/>
            <w:webHidden/>
          </w:rPr>
          <w:t>192</w:t>
        </w:r>
        <w:r w:rsidR="00C35490">
          <w:rPr>
            <w:noProof/>
            <w:webHidden/>
          </w:rPr>
          <w:fldChar w:fldCharType="end"/>
        </w:r>
      </w:hyperlink>
    </w:p>
    <w:p w:rsidR="00C35490" w:rsidRDefault="009A724D">
      <w:pPr>
        <w:pStyle w:val="TOC4"/>
        <w:rPr>
          <w:rFonts w:asciiTheme="minorHAnsi" w:eastAsiaTheme="minorEastAsia" w:hAnsiTheme="minorHAnsi" w:cstheme="minorBidi"/>
          <w:noProof/>
          <w:sz w:val="22"/>
          <w:szCs w:val="22"/>
        </w:rPr>
      </w:pPr>
      <w:hyperlink w:anchor="_Toc514059279" w:history="1">
        <w:r w:rsidR="00C35490" w:rsidRPr="00DB06B3">
          <w:rPr>
            <w:rStyle w:val="Hyperlink"/>
            <w:noProof/>
          </w:rPr>
          <w:t>5.6.3.3   Causation under Articles 5(c) and 6.3 of the SCM Agreement</w:t>
        </w:r>
        <w:r w:rsidR="00C35490">
          <w:rPr>
            <w:noProof/>
            <w:webHidden/>
          </w:rPr>
          <w:tab/>
        </w:r>
        <w:r w:rsidR="00C35490">
          <w:rPr>
            <w:noProof/>
            <w:webHidden/>
          </w:rPr>
          <w:fldChar w:fldCharType="begin"/>
        </w:r>
        <w:r w:rsidR="00C35490">
          <w:rPr>
            <w:noProof/>
            <w:webHidden/>
          </w:rPr>
          <w:instrText xml:space="preserve"> PAGEREF _Toc514059279 \h </w:instrText>
        </w:r>
        <w:r w:rsidR="00C35490">
          <w:rPr>
            <w:noProof/>
            <w:webHidden/>
          </w:rPr>
        </w:r>
        <w:r w:rsidR="00C35490">
          <w:rPr>
            <w:noProof/>
            <w:webHidden/>
          </w:rPr>
          <w:fldChar w:fldCharType="separate"/>
        </w:r>
        <w:r w:rsidR="00FD2727">
          <w:rPr>
            <w:noProof/>
            <w:webHidden/>
          </w:rPr>
          <w:t>193</w:t>
        </w:r>
        <w:r w:rsidR="00C35490">
          <w:rPr>
            <w:noProof/>
            <w:webHidden/>
          </w:rPr>
          <w:fldChar w:fldCharType="end"/>
        </w:r>
      </w:hyperlink>
    </w:p>
    <w:p w:rsidR="00C35490" w:rsidRDefault="009A724D">
      <w:pPr>
        <w:pStyle w:val="TOC4"/>
        <w:rPr>
          <w:rFonts w:asciiTheme="minorHAnsi" w:eastAsiaTheme="minorEastAsia" w:hAnsiTheme="minorHAnsi" w:cstheme="minorBidi"/>
          <w:noProof/>
          <w:sz w:val="22"/>
          <w:szCs w:val="22"/>
        </w:rPr>
      </w:pPr>
      <w:hyperlink w:anchor="_Toc514059280" w:history="1">
        <w:r w:rsidR="00C35490" w:rsidRPr="00DB06B3">
          <w:rPr>
            <w:rStyle w:val="Hyperlink"/>
            <w:noProof/>
          </w:rPr>
          <w:t>5.6.3.4   Findings in the original proceedings and their relevance for these compliance proceedings</w:t>
        </w:r>
        <w:r w:rsidR="00C35490">
          <w:rPr>
            <w:noProof/>
            <w:webHidden/>
          </w:rPr>
          <w:tab/>
        </w:r>
        <w:r w:rsidR="00C35490">
          <w:rPr>
            <w:noProof/>
            <w:webHidden/>
          </w:rPr>
          <w:fldChar w:fldCharType="begin"/>
        </w:r>
        <w:r w:rsidR="00C35490">
          <w:rPr>
            <w:noProof/>
            <w:webHidden/>
          </w:rPr>
          <w:instrText xml:space="preserve"> PAGEREF _Toc514059280 \h </w:instrText>
        </w:r>
        <w:r w:rsidR="00C35490">
          <w:rPr>
            <w:noProof/>
            <w:webHidden/>
          </w:rPr>
        </w:r>
        <w:r w:rsidR="00C35490">
          <w:rPr>
            <w:noProof/>
            <w:webHidden/>
          </w:rPr>
          <w:fldChar w:fldCharType="separate"/>
        </w:r>
        <w:r w:rsidR="00FD2727">
          <w:rPr>
            <w:noProof/>
            <w:webHidden/>
          </w:rPr>
          <w:t>195</w:t>
        </w:r>
        <w:r w:rsidR="00C35490">
          <w:rPr>
            <w:noProof/>
            <w:webHidden/>
          </w:rPr>
          <w:fldChar w:fldCharType="end"/>
        </w:r>
      </w:hyperlink>
    </w:p>
    <w:p w:rsidR="00C35490" w:rsidRDefault="009A724D">
      <w:pPr>
        <w:pStyle w:val="TOC4"/>
        <w:rPr>
          <w:rFonts w:asciiTheme="minorHAnsi" w:eastAsiaTheme="minorEastAsia" w:hAnsiTheme="minorHAnsi" w:cstheme="minorBidi"/>
          <w:noProof/>
          <w:sz w:val="22"/>
          <w:szCs w:val="22"/>
        </w:rPr>
      </w:pPr>
      <w:hyperlink w:anchor="_Toc514059281" w:history="1">
        <w:r w:rsidR="00C35490" w:rsidRPr="00DB06B3">
          <w:rPr>
            <w:rStyle w:val="Hyperlink"/>
            <w:noProof/>
          </w:rPr>
          <w:t>5.6.3.5   Whether the Panel erred in its findings on the "product effects" of the LA/MSF subsidies existing in the post-implementation period</w:t>
        </w:r>
        <w:r w:rsidR="00C35490">
          <w:rPr>
            <w:noProof/>
            <w:webHidden/>
          </w:rPr>
          <w:tab/>
        </w:r>
        <w:r w:rsidR="00C35490">
          <w:rPr>
            <w:noProof/>
            <w:webHidden/>
          </w:rPr>
          <w:fldChar w:fldCharType="begin"/>
        </w:r>
        <w:r w:rsidR="00C35490">
          <w:rPr>
            <w:noProof/>
            <w:webHidden/>
          </w:rPr>
          <w:instrText xml:space="preserve"> PAGEREF _Toc514059281 \h </w:instrText>
        </w:r>
        <w:r w:rsidR="00C35490">
          <w:rPr>
            <w:noProof/>
            <w:webHidden/>
          </w:rPr>
        </w:r>
        <w:r w:rsidR="00C35490">
          <w:rPr>
            <w:noProof/>
            <w:webHidden/>
          </w:rPr>
          <w:fldChar w:fldCharType="separate"/>
        </w:r>
        <w:r w:rsidR="00FD2727">
          <w:rPr>
            <w:noProof/>
            <w:webHidden/>
          </w:rPr>
          <w:t>198</w:t>
        </w:r>
        <w:r w:rsidR="00C35490">
          <w:rPr>
            <w:noProof/>
            <w:webHidden/>
          </w:rPr>
          <w:fldChar w:fldCharType="end"/>
        </w:r>
      </w:hyperlink>
    </w:p>
    <w:p w:rsidR="00C35490" w:rsidRDefault="009A724D">
      <w:pPr>
        <w:pStyle w:val="TOC5"/>
        <w:rPr>
          <w:rFonts w:asciiTheme="minorHAnsi" w:eastAsiaTheme="minorEastAsia" w:hAnsiTheme="minorHAnsi" w:cstheme="minorBidi"/>
          <w:noProof/>
          <w:sz w:val="22"/>
          <w:szCs w:val="22"/>
        </w:rPr>
      </w:pPr>
      <w:hyperlink w:anchor="_Toc514059282" w:history="1">
        <w:r w:rsidR="00C35490" w:rsidRPr="00DB06B3">
          <w:rPr>
            <w:rStyle w:val="Hyperlink"/>
            <w:noProof/>
          </w:rPr>
          <w:t>5.6.3.5.1   "Product effects" of A380 LA/MSF subsidies on the A380</w:t>
        </w:r>
        <w:r w:rsidR="00C35490">
          <w:rPr>
            <w:noProof/>
            <w:webHidden/>
          </w:rPr>
          <w:tab/>
        </w:r>
        <w:r w:rsidR="00C35490">
          <w:rPr>
            <w:noProof/>
            <w:webHidden/>
          </w:rPr>
          <w:fldChar w:fldCharType="begin"/>
        </w:r>
        <w:r w:rsidR="00C35490">
          <w:rPr>
            <w:noProof/>
            <w:webHidden/>
          </w:rPr>
          <w:instrText xml:space="preserve"> PAGEREF _Toc514059282 \h </w:instrText>
        </w:r>
        <w:r w:rsidR="00C35490">
          <w:rPr>
            <w:noProof/>
            <w:webHidden/>
          </w:rPr>
        </w:r>
        <w:r w:rsidR="00C35490">
          <w:rPr>
            <w:noProof/>
            <w:webHidden/>
          </w:rPr>
          <w:fldChar w:fldCharType="separate"/>
        </w:r>
        <w:r w:rsidR="00FD2727">
          <w:rPr>
            <w:noProof/>
            <w:webHidden/>
          </w:rPr>
          <w:t>200</w:t>
        </w:r>
        <w:r w:rsidR="00C35490">
          <w:rPr>
            <w:noProof/>
            <w:webHidden/>
          </w:rPr>
          <w:fldChar w:fldCharType="end"/>
        </w:r>
      </w:hyperlink>
    </w:p>
    <w:p w:rsidR="00C35490" w:rsidRDefault="009A724D">
      <w:pPr>
        <w:pStyle w:val="TOC5"/>
        <w:rPr>
          <w:rFonts w:asciiTheme="minorHAnsi" w:eastAsiaTheme="minorEastAsia" w:hAnsiTheme="minorHAnsi" w:cstheme="minorBidi"/>
          <w:noProof/>
          <w:sz w:val="22"/>
          <w:szCs w:val="22"/>
        </w:rPr>
      </w:pPr>
      <w:hyperlink w:anchor="_Toc514059283" w:history="1">
        <w:r w:rsidR="00C35490" w:rsidRPr="00DB06B3">
          <w:rPr>
            <w:rStyle w:val="Hyperlink"/>
            <w:noProof/>
          </w:rPr>
          <w:t>5.6.3.5.2   "Product effects" of LA/MSF subsidies on the A350XWB</w:t>
        </w:r>
        <w:r w:rsidR="00C35490">
          <w:rPr>
            <w:noProof/>
            <w:webHidden/>
          </w:rPr>
          <w:tab/>
        </w:r>
        <w:r w:rsidR="00C35490">
          <w:rPr>
            <w:noProof/>
            <w:webHidden/>
          </w:rPr>
          <w:fldChar w:fldCharType="begin"/>
        </w:r>
        <w:r w:rsidR="00C35490">
          <w:rPr>
            <w:noProof/>
            <w:webHidden/>
          </w:rPr>
          <w:instrText xml:space="preserve"> PAGEREF _Toc514059283 \h </w:instrText>
        </w:r>
        <w:r w:rsidR="00C35490">
          <w:rPr>
            <w:noProof/>
            <w:webHidden/>
          </w:rPr>
        </w:r>
        <w:r w:rsidR="00C35490">
          <w:rPr>
            <w:noProof/>
            <w:webHidden/>
          </w:rPr>
          <w:fldChar w:fldCharType="separate"/>
        </w:r>
        <w:r w:rsidR="00FD2727">
          <w:rPr>
            <w:noProof/>
            <w:webHidden/>
          </w:rPr>
          <w:t>204</w:t>
        </w:r>
        <w:r w:rsidR="00C35490">
          <w:rPr>
            <w:noProof/>
            <w:webHidden/>
          </w:rPr>
          <w:fldChar w:fldCharType="end"/>
        </w:r>
      </w:hyperlink>
    </w:p>
    <w:p w:rsidR="00C35490" w:rsidRDefault="009A724D">
      <w:pPr>
        <w:pStyle w:val="TOC6"/>
        <w:rPr>
          <w:rFonts w:asciiTheme="minorHAnsi" w:eastAsiaTheme="minorEastAsia" w:hAnsiTheme="minorHAnsi" w:cstheme="minorBidi"/>
          <w:noProof/>
          <w:sz w:val="22"/>
          <w:szCs w:val="22"/>
        </w:rPr>
      </w:pPr>
      <w:hyperlink w:anchor="_Toc514059284" w:history="1">
        <w:r w:rsidR="00C35490" w:rsidRPr="00DB06B3">
          <w:rPr>
            <w:rStyle w:val="Hyperlink"/>
            <w:noProof/>
          </w:rPr>
          <w:t>5.6.3.5.2.1   The Panel's assessment of the "direct effects" of the A350XWB LA/MSF subsidies</w:t>
        </w:r>
        <w:r w:rsidR="00C35490">
          <w:rPr>
            <w:noProof/>
            <w:webHidden/>
          </w:rPr>
          <w:tab/>
        </w:r>
        <w:r w:rsidR="00C35490">
          <w:rPr>
            <w:noProof/>
            <w:webHidden/>
          </w:rPr>
          <w:fldChar w:fldCharType="begin"/>
        </w:r>
        <w:r w:rsidR="00C35490">
          <w:rPr>
            <w:noProof/>
            <w:webHidden/>
          </w:rPr>
          <w:instrText xml:space="preserve"> PAGEREF _Toc514059284 \h </w:instrText>
        </w:r>
        <w:r w:rsidR="00C35490">
          <w:rPr>
            <w:noProof/>
            <w:webHidden/>
          </w:rPr>
        </w:r>
        <w:r w:rsidR="00C35490">
          <w:rPr>
            <w:noProof/>
            <w:webHidden/>
          </w:rPr>
          <w:fldChar w:fldCharType="separate"/>
        </w:r>
        <w:r w:rsidR="00FD2727">
          <w:rPr>
            <w:noProof/>
            <w:webHidden/>
          </w:rPr>
          <w:t>206</w:t>
        </w:r>
        <w:r w:rsidR="00C35490">
          <w:rPr>
            <w:noProof/>
            <w:webHidden/>
          </w:rPr>
          <w:fldChar w:fldCharType="end"/>
        </w:r>
      </w:hyperlink>
    </w:p>
    <w:p w:rsidR="00C35490" w:rsidRDefault="009A724D">
      <w:pPr>
        <w:pStyle w:val="TOC6"/>
        <w:rPr>
          <w:rFonts w:asciiTheme="minorHAnsi" w:eastAsiaTheme="minorEastAsia" w:hAnsiTheme="minorHAnsi" w:cstheme="minorBidi"/>
          <w:noProof/>
          <w:sz w:val="22"/>
          <w:szCs w:val="22"/>
        </w:rPr>
      </w:pPr>
      <w:hyperlink w:anchor="_Toc514059285" w:history="1">
        <w:r w:rsidR="00C35490" w:rsidRPr="00DB06B3">
          <w:rPr>
            <w:rStyle w:val="Hyperlink"/>
            <w:noProof/>
          </w:rPr>
          <w:t>5.6.3.5.2.2   The Panel's assessment of the "indirect effects" of the A380 LA/MSF subsidies</w:t>
        </w:r>
        <w:r w:rsidR="00C35490">
          <w:rPr>
            <w:noProof/>
            <w:webHidden/>
          </w:rPr>
          <w:tab/>
        </w:r>
        <w:r w:rsidR="00C35490">
          <w:rPr>
            <w:noProof/>
            <w:webHidden/>
          </w:rPr>
          <w:fldChar w:fldCharType="begin"/>
        </w:r>
        <w:r w:rsidR="00C35490">
          <w:rPr>
            <w:noProof/>
            <w:webHidden/>
          </w:rPr>
          <w:instrText xml:space="preserve"> PAGEREF _Toc514059285 \h </w:instrText>
        </w:r>
        <w:r w:rsidR="00C35490">
          <w:rPr>
            <w:noProof/>
            <w:webHidden/>
          </w:rPr>
        </w:r>
        <w:r w:rsidR="00C35490">
          <w:rPr>
            <w:noProof/>
            <w:webHidden/>
          </w:rPr>
          <w:fldChar w:fldCharType="separate"/>
        </w:r>
        <w:r w:rsidR="00FD2727">
          <w:rPr>
            <w:noProof/>
            <w:webHidden/>
          </w:rPr>
          <w:t>214</w:t>
        </w:r>
        <w:r w:rsidR="00C35490">
          <w:rPr>
            <w:noProof/>
            <w:webHidden/>
          </w:rPr>
          <w:fldChar w:fldCharType="end"/>
        </w:r>
      </w:hyperlink>
    </w:p>
    <w:p w:rsidR="00C35490" w:rsidRDefault="009A724D">
      <w:pPr>
        <w:pStyle w:val="TOC6"/>
        <w:rPr>
          <w:rFonts w:asciiTheme="minorHAnsi" w:eastAsiaTheme="minorEastAsia" w:hAnsiTheme="minorHAnsi" w:cstheme="minorBidi"/>
          <w:noProof/>
          <w:sz w:val="22"/>
          <w:szCs w:val="22"/>
        </w:rPr>
      </w:pPr>
      <w:hyperlink w:anchor="_Toc514059286" w:history="1">
        <w:r w:rsidR="00C35490" w:rsidRPr="00DB06B3">
          <w:rPr>
            <w:rStyle w:val="Hyperlink"/>
            <w:noProof/>
          </w:rPr>
          <w:t>5.6.3.5.2.3   Conclusion on the "product effects" of existing LA/MSF subsidies on the A350XWB</w:t>
        </w:r>
        <w:r w:rsidR="00C35490">
          <w:rPr>
            <w:noProof/>
            <w:webHidden/>
          </w:rPr>
          <w:tab/>
        </w:r>
        <w:r w:rsidR="00C35490">
          <w:rPr>
            <w:noProof/>
            <w:webHidden/>
          </w:rPr>
          <w:fldChar w:fldCharType="begin"/>
        </w:r>
        <w:r w:rsidR="00C35490">
          <w:rPr>
            <w:noProof/>
            <w:webHidden/>
          </w:rPr>
          <w:instrText xml:space="preserve"> PAGEREF _Toc514059286 \h </w:instrText>
        </w:r>
        <w:r w:rsidR="00C35490">
          <w:rPr>
            <w:noProof/>
            <w:webHidden/>
          </w:rPr>
        </w:r>
        <w:r w:rsidR="00C35490">
          <w:rPr>
            <w:noProof/>
            <w:webHidden/>
          </w:rPr>
          <w:fldChar w:fldCharType="separate"/>
        </w:r>
        <w:r w:rsidR="00FD2727">
          <w:rPr>
            <w:noProof/>
            <w:webHidden/>
          </w:rPr>
          <w:t>217</w:t>
        </w:r>
        <w:r w:rsidR="00C35490">
          <w:rPr>
            <w:noProof/>
            <w:webHidden/>
          </w:rPr>
          <w:fldChar w:fldCharType="end"/>
        </w:r>
      </w:hyperlink>
    </w:p>
    <w:p w:rsidR="00C35490" w:rsidRDefault="009A724D">
      <w:pPr>
        <w:pStyle w:val="TOC4"/>
        <w:rPr>
          <w:rFonts w:asciiTheme="minorHAnsi" w:eastAsiaTheme="minorEastAsia" w:hAnsiTheme="minorHAnsi" w:cstheme="minorBidi"/>
          <w:noProof/>
          <w:sz w:val="22"/>
          <w:szCs w:val="22"/>
        </w:rPr>
      </w:pPr>
      <w:hyperlink w:anchor="_Toc514059287" w:history="1">
        <w:r w:rsidR="00C35490" w:rsidRPr="00DB06B3">
          <w:rPr>
            <w:rStyle w:val="Hyperlink"/>
            <w:noProof/>
          </w:rPr>
          <w:t>5.6.3.6   Overall conclusion</w:t>
        </w:r>
        <w:r w:rsidR="00C35490">
          <w:rPr>
            <w:noProof/>
            <w:webHidden/>
          </w:rPr>
          <w:tab/>
        </w:r>
        <w:r w:rsidR="00C35490">
          <w:rPr>
            <w:noProof/>
            <w:webHidden/>
          </w:rPr>
          <w:fldChar w:fldCharType="begin"/>
        </w:r>
        <w:r w:rsidR="00C35490">
          <w:rPr>
            <w:noProof/>
            <w:webHidden/>
          </w:rPr>
          <w:instrText xml:space="preserve"> PAGEREF _Toc514059287 \h </w:instrText>
        </w:r>
        <w:r w:rsidR="00C35490">
          <w:rPr>
            <w:noProof/>
            <w:webHidden/>
          </w:rPr>
        </w:r>
        <w:r w:rsidR="00C35490">
          <w:rPr>
            <w:noProof/>
            <w:webHidden/>
          </w:rPr>
          <w:fldChar w:fldCharType="separate"/>
        </w:r>
        <w:r w:rsidR="00FD2727">
          <w:rPr>
            <w:noProof/>
            <w:webHidden/>
          </w:rPr>
          <w:t>217</w:t>
        </w:r>
        <w:r w:rsidR="00C35490">
          <w:rPr>
            <w:noProof/>
            <w:webHidden/>
          </w:rPr>
          <w:fldChar w:fldCharType="end"/>
        </w:r>
      </w:hyperlink>
    </w:p>
    <w:p w:rsidR="00C35490" w:rsidRDefault="009A724D">
      <w:pPr>
        <w:pStyle w:val="TOC3"/>
        <w:rPr>
          <w:rFonts w:asciiTheme="minorHAnsi" w:eastAsiaTheme="minorEastAsia" w:hAnsiTheme="minorHAnsi" w:cstheme="minorBidi"/>
          <w:noProof/>
          <w:sz w:val="22"/>
          <w:szCs w:val="22"/>
        </w:rPr>
      </w:pPr>
      <w:hyperlink w:anchor="_Toc514059288" w:history="1">
        <w:r w:rsidR="00C35490" w:rsidRPr="00DB06B3">
          <w:rPr>
            <w:rStyle w:val="Hyperlink"/>
            <w:noProof/>
          </w:rPr>
          <w:t>5.6.4   Lost sales, displacement, and impedance</w:t>
        </w:r>
        <w:r w:rsidR="00C35490">
          <w:rPr>
            <w:noProof/>
            <w:webHidden/>
          </w:rPr>
          <w:tab/>
        </w:r>
        <w:r w:rsidR="00C35490">
          <w:rPr>
            <w:noProof/>
            <w:webHidden/>
          </w:rPr>
          <w:fldChar w:fldCharType="begin"/>
        </w:r>
        <w:r w:rsidR="00C35490">
          <w:rPr>
            <w:noProof/>
            <w:webHidden/>
          </w:rPr>
          <w:instrText xml:space="preserve"> PAGEREF _Toc514059288 \h </w:instrText>
        </w:r>
        <w:r w:rsidR="00C35490">
          <w:rPr>
            <w:noProof/>
            <w:webHidden/>
          </w:rPr>
        </w:r>
        <w:r w:rsidR="00C35490">
          <w:rPr>
            <w:noProof/>
            <w:webHidden/>
          </w:rPr>
          <w:fldChar w:fldCharType="separate"/>
        </w:r>
        <w:r w:rsidR="00FD2727">
          <w:rPr>
            <w:noProof/>
            <w:webHidden/>
          </w:rPr>
          <w:t>219</w:t>
        </w:r>
        <w:r w:rsidR="00C35490">
          <w:rPr>
            <w:noProof/>
            <w:webHidden/>
          </w:rPr>
          <w:fldChar w:fldCharType="end"/>
        </w:r>
      </w:hyperlink>
    </w:p>
    <w:p w:rsidR="00C35490" w:rsidRDefault="009A724D">
      <w:pPr>
        <w:pStyle w:val="TOC4"/>
        <w:rPr>
          <w:rFonts w:asciiTheme="minorHAnsi" w:eastAsiaTheme="minorEastAsia" w:hAnsiTheme="minorHAnsi" w:cstheme="minorBidi"/>
          <w:noProof/>
          <w:sz w:val="22"/>
          <w:szCs w:val="22"/>
        </w:rPr>
      </w:pPr>
      <w:hyperlink w:anchor="_Toc514059289" w:history="1">
        <w:r w:rsidR="00C35490" w:rsidRPr="00DB06B3">
          <w:rPr>
            <w:rStyle w:val="Hyperlink"/>
            <w:noProof/>
          </w:rPr>
          <w:t>5.6.4.1   Introduction</w:t>
        </w:r>
        <w:r w:rsidR="00C35490">
          <w:rPr>
            <w:noProof/>
            <w:webHidden/>
          </w:rPr>
          <w:tab/>
        </w:r>
        <w:r w:rsidR="00C35490">
          <w:rPr>
            <w:noProof/>
            <w:webHidden/>
          </w:rPr>
          <w:fldChar w:fldCharType="begin"/>
        </w:r>
        <w:r w:rsidR="00C35490">
          <w:rPr>
            <w:noProof/>
            <w:webHidden/>
          </w:rPr>
          <w:instrText xml:space="preserve"> PAGEREF _Toc514059289 \h </w:instrText>
        </w:r>
        <w:r w:rsidR="00C35490">
          <w:rPr>
            <w:noProof/>
            <w:webHidden/>
          </w:rPr>
        </w:r>
        <w:r w:rsidR="00C35490">
          <w:rPr>
            <w:noProof/>
            <w:webHidden/>
          </w:rPr>
          <w:fldChar w:fldCharType="separate"/>
        </w:r>
        <w:r w:rsidR="00FD2727">
          <w:rPr>
            <w:noProof/>
            <w:webHidden/>
          </w:rPr>
          <w:t>219</w:t>
        </w:r>
        <w:r w:rsidR="00C35490">
          <w:rPr>
            <w:noProof/>
            <w:webHidden/>
          </w:rPr>
          <w:fldChar w:fldCharType="end"/>
        </w:r>
      </w:hyperlink>
    </w:p>
    <w:p w:rsidR="00C35490" w:rsidRDefault="009A724D">
      <w:pPr>
        <w:pStyle w:val="TOC4"/>
        <w:rPr>
          <w:rFonts w:asciiTheme="minorHAnsi" w:eastAsiaTheme="minorEastAsia" w:hAnsiTheme="minorHAnsi" w:cstheme="minorBidi"/>
          <w:noProof/>
          <w:sz w:val="22"/>
          <w:szCs w:val="22"/>
        </w:rPr>
      </w:pPr>
      <w:hyperlink w:anchor="_Toc514059290" w:history="1">
        <w:r w:rsidR="00C35490" w:rsidRPr="00DB06B3">
          <w:rPr>
            <w:rStyle w:val="Hyperlink"/>
            <w:noProof/>
          </w:rPr>
          <w:t>5.6.4.2   Summary of Panel findings</w:t>
        </w:r>
        <w:r w:rsidR="00C35490">
          <w:rPr>
            <w:noProof/>
            <w:webHidden/>
          </w:rPr>
          <w:tab/>
        </w:r>
        <w:r w:rsidR="00C35490">
          <w:rPr>
            <w:noProof/>
            <w:webHidden/>
          </w:rPr>
          <w:fldChar w:fldCharType="begin"/>
        </w:r>
        <w:r w:rsidR="00C35490">
          <w:rPr>
            <w:noProof/>
            <w:webHidden/>
          </w:rPr>
          <w:instrText xml:space="preserve"> PAGEREF _Toc514059290 \h </w:instrText>
        </w:r>
        <w:r w:rsidR="00C35490">
          <w:rPr>
            <w:noProof/>
            <w:webHidden/>
          </w:rPr>
        </w:r>
        <w:r w:rsidR="00C35490">
          <w:rPr>
            <w:noProof/>
            <w:webHidden/>
          </w:rPr>
          <w:fldChar w:fldCharType="separate"/>
        </w:r>
        <w:r w:rsidR="00FD2727">
          <w:rPr>
            <w:noProof/>
            <w:webHidden/>
          </w:rPr>
          <w:t>221</w:t>
        </w:r>
        <w:r w:rsidR="00C35490">
          <w:rPr>
            <w:noProof/>
            <w:webHidden/>
          </w:rPr>
          <w:fldChar w:fldCharType="end"/>
        </w:r>
      </w:hyperlink>
    </w:p>
    <w:p w:rsidR="00C35490" w:rsidRDefault="009A724D">
      <w:pPr>
        <w:pStyle w:val="TOC5"/>
        <w:rPr>
          <w:rFonts w:asciiTheme="minorHAnsi" w:eastAsiaTheme="minorEastAsia" w:hAnsiTheme="minorHAnsi" w:cstheme="minorBidi"/>
          <w:noProof/>
          <w:sz w:val="22"/>
          <w:szCs w:val="22"/>
        </w:rPr>
      </w:pPr>
      <w:hyperlink w:anchor="_Toc514059291" w:history="1">
        <w:r w:rsidR="00C35490" w:rsidRPr="00DB06B3">
          <w:rPr>
            <w:rStyle w:val="Hyperlink"/>
            <w:noProof/>
          </w:rPr>
          <w:t>5.6.4.2.1   Findings on significant lost sales</w:t>
        </w:r>
        <w:r w:rsidR="00C35490">
          <w:rPr>
            <w:noProof/>
            <w:webHidden/>
          </w:rPr>
          <w:tab/>
        </w:r>
        <w:r w:rsidR="00C35490">
          <w:rPr>
            <w:noProof/>
            <w:webHidden/>
          </w:rPr>
          <w:fldChar w:fldCharType="begin"/>
        </w:r>
        <w:r w:rsidR="00C35490">
          <w:rPr>
            <w:noProof/>
            <w:webHidden/>
          </w:rPr>
          <w:instrText xml:space="preserve"> PAGEREF _Toc514059291 \h </w:instrText>
        </w:r>
        <w:r w:rsidR="00C35490">
          <w:rPr>
            <w:noProof/>
            <w:webHidden/>
          </w:rPr>
        </w:r>
        <w:r w:rsidR="00C35490">
          <w:rPr>
            <w:noProof/>
            <w:webHidden/>
          </w:rPr>
          <w:fldChar w:fldCharType="separate"/>
        </w:r>
        <w:r w:rsidR="00FD2727">
          <w:rPr>
            <w:noProof/>
            <w:webHidden/>
          </w:rPr>
          <w:t>221</w:t>
        </w:r>
        <w:r w:rsidR="00C35490">
          <w:rPr>
            <w:noProof/>
            <w:webHidden/>
          </w:rPr>
          <w:fldChar w:fldCharType="end"/>
        </w:r>
      </w:hyperlink>
    </w:p>
    <w:p w:rsidR="00C35490" w:rsidRDefault="009A724D">
      <w:pPr>
        <w:pStyle w:val="TOC5"/>
        <w:rPr>
          <w:rFonts w:asciiTheme="minorHAnsi" w:eastAsiaTheme="minorEastAsia" w:hAnsiTheme="minorHAnsi" w:cstheme="minorBidi"/>
          <w:noProof/>
          <w:sz w:val="22"/>
          <w:szCs w:val="22"/>
        </w:rPr>
      </w:pPr>
      <w:hyperlink w:anchor="_Toc514059292" w:history="1">
        <w:r w:rsidR="00C35490" w:rsidRPr="00DB06B3">
          <w:rPr>
            <w:rStyle w:val="Hyperlink"/>
            <w:noProof/>
          </w:rPr>
          <w:t>5.6.4.2.2   Findings on displacement and impedance</w:t>
        </w:r>
        <w:r w:rsidR="00C35490">
          <w:rPr>
            <w:noProof/>
            <w:webHidden/>
          </w:rPr>
          <w:tab/>
        </w:r>
        <w:r w:rsidR="00C35490">
          <w:rPr>
            <w:noProof/>
            <w:webHidden/>
          </w:rPr>
          <w:fldChar w:fldCharType="begin"/>
        </w:r>
        <w:r w:rsidR="00C35490">
          <w:rPr>
            <w:noProof/>
            <w:webHidden/>
          </w:rPr>
          <w:instrText xml:space="preserve"> PAGEREF _Toc514059292 \h </w:instrText>
        </w:r>
        <w:r w:rsidR="00C35490">
          <w:rPr>
            <w:noProof/>
            <w:webHidden/>
          </w:rPr>
        </w:r>
        <w:r w:rsidR="00C35490">
          <w:rPr>
            <w:noProof/>
            <w:webHidden/>
          </w:rPr>
          <w:fldChar w:fldCharType="separate"/>
        </w:r>
        <w:r w:rsidR="00FD2727">
          <w:rPr>
            <w:noProof/>
            <w:webHidden/>
          </w:rPr>
          <w:t>223</w:t>
        </w:r>
        <w:r w:rsidR="00C35490">
          <w:rPr>
            <w:noProof/>
            <w:webHidden/>
          </w:rPr>
          <w:fldChar w:fldCharType="end"/>
        </w:r>
      </w:hyperlink>
    </w:p>
    <w:p w:rsidR="00C35490" w:rsidRDefault="009A724D">
      <w:pPr>
        <w:pStyle w:val="TOC4"/>
        <w:rPr>
          <w:rFonts w:asciiTheme="minorHAnsi" w:eastAsiaTheme="minorEastAsia" w:hAnsiTheme="minorHAnsi" w:cstheme="minorBidi"/>
          <w:noProof/>
          <w:sz w:val="22"/>
          <w:szCs w:val="22"/>
        </w:rPr>
      </w:pPr>
      <w:hyperlink w:anchor="_Toc514059293" w:history="1">
        <w:r w:rsidR="00C35490" w:rsidRPr="00DB06B3">
          <w:rPr>
            <w:rStyle w:val="Hyperlink"/>
            <w:noProof/>
          </w:rPr>
          <w:t>5.6.4.3   Claims and arguments on appeal</w:t>
        </w:r>
        <w:r w:rsidR="00C35490">
          <w:rPr>
            <w:noProof/>
            <w:webHidden/>
          </w:rPr>
          <w:tab/>
        </w:r>
        <w:r w:rsidR="00C35490">
          <w:rPr>
            <w:noProof/>
            <w:webHidden/>
          </w:rPr>
          <w:fldChar w:fldCharType="begin"/>
        </w:r>
        <w:r w:rsidR="00C35490">
          <w:rPr>
            <w:noProof/>
            <w:webHidden/>
          </w:rPr>
          <w:instrText xml:space="preserve"> PAGEREF _Toc514059293 \h </w:instrText>
        </w:r>
        <w:r w:rsidR="00C35490">
          <w:rPr>
            <w:noProof/>
            <w:webHidden/>
          </w:rPr>
        </w:r>
        <w:r w:rsidR="00C35490">
          <w:rPr>
            <w:noProof/>
            <w:webHidden/>
          </w:rPr>
          <w:fldChar w:fldCharType="separate"/>
        </w:r>
        <w:r w:rsidR="00FD2727">
          <w:rPr>
            <w:noProof/>
            <w:webHidden/>
          </w:rPr>
          <w:t>225</w:t>
        </w:r>
        <w:r w:rsidR="00C35490">
          <w:rPr>
            <w:noProof/>
            <w:webHidden/>
          </w:rPr>
          <w:fldChar w:fldCharType="end"/>
        </w:r>
      </w:hyperlink>
    </w:p>
    <w:p w:rsidR="00C35490" w:rsidRDefault="009A724D">
      <w:pPr>
        <w:pStyle w:val="TOC4"/>
        <w:rPr>
          <w:rFonts w:asciiTheme="minorHAnsi" w:eastAsiaTheme="minorEastAsia" w:hAnsiTheme="minorHAnsi" w:cstheme="minorBidi"/>
          <w:noProof/>
          <w:sz w:val="22"/>
          <w:szCs w:val="22"/>
        </w:rPr>
      </w:pPr>
      <w:hyperlink w:anchor="_Toc514059294" w:history="1">
        <w:r w:rsidR="00C35490" w:rsidRPr="00DB06B3">
          <w:rPr>
            <w:rStyle w:val="Hyperlink"/>
            <w:noProof/>
          </w:rPr>
          <w:t>5.6.4.4   Whether the Panel erred in its interpretation of "displacement" and "impedance"</w:t>
        </w:r>
        <w:r w:rsidR="00C35490">
          <w:rPr>
            <w:noProof/>
            <w:webHidden/>
          </w:rPr>
          <w:tab/>
        </w:r>
        <w:r w:rsidR="00C35490">
          <w:rPr>
            <w:noProof/>
            <w:webHidden/>
          </w:rPr>
          <w:fldChar w:fldCharType="begin"/>
        </w:r>
        <w:r w:rsidR="00C35490">
          <w:rPr>
            <w:noProof/>
            <w:webHidden/>
          </w:rPr>
          <w:instrText xml:space="preserve"> PAGEREF _Toc514059294 \h </w:instrText>
        </w:r>
        <w:r w:rsidR="00C35490">
          <w:rPr>
            <w:noProof/>
            <w:webHidden/>
          </w:rPr>
        </w:r>
        <w:r w:rsidR="00C35490">
          <w:rPr>
            <w:noProof/>
            <w:webHidden/>
          </w:rPr>
          <w:fldChar w:fldCharType="separate"/>
        </w:r>
        <w:r w:rsidR="00FD2727">
          <w:rPr>
            <w:noProof/>
            <w:webHidden/>
          </w:rPr>
          <w:t>228</w:t>
        </w:r>
        <w:r w:rsidR="00C35490">
          <w:rPr>
            <w:noProof/>
            <w:webHidden/>
          </w:rPr>
          <w:fldChar w:fldCharType="end"/>
        </w:r>
      </w:hyperlink>
    </w:p>
    <w:p w:rsidR="00C35490" w:rsidRDefault="009A724D">
      <w:pPr>
        <w:pStyle w:val="TOC4"/>
        <w:rPr>
          <w:rFonts w:asciiTheme="minorHAnsi" w:eastAsiaTheme="minorEastAsia" w:hAnsiTheme="minorHAnsi" w:cstheme="minorBidi"/>
          <w:noProof/>
          <w:sz w:val="22"/>
          <w:szCs w:val="22"/>
        </w:rPr>
      </w:pPr>
      <w:hyperlink w:anchor="_Toc514059295" w:history="1">
        <w:r w:rsidR="00C35490" w:rsidRPr="00DB06B3">
          <w:rPr>
            <w:rStyle w:val="Hyperlink"/>
            <w:noProof/>
          </w:rPr>
          <w:t>5.6.4.5   Whether the Panel failed to examine the "closeness of competition"</w:t>
        </w:r>
        <w:r w:rsidR="00C35490">
          <w:rPr>
            <w:noProof/>
            <w:webHidden/>
          </w:rPr>
          <w:tab/>
        </w:r>
        <w:r w:rsidR="00C35490">
          <w:rPr>
            <w:noProof/>
            <w:webHidden/>
          </w:rPr>
          <w:fldChar w:fldCharType="begin"/>
        </w:r>
        <w:r w:rsidR="00C35490">
          <w:rPr>
            <w:noProof/>
            <w:webHidden/>
          </w:rPr>
          <w:instrText xml:space="preserve"> PAGEREF _Toc514059295 \h </w:instrText>
        </w:r>
        <w:r w:rsidR="00C35490">
          <w:rPr>
            <w:noProof/>
            <w:webHidden/>
          </w:rPr>
        </w:r>
        <w:r w:rsidR="00C35490">
          <w:rPr>
            <w:noProof/>
            <w:webHidden/>
          </w:rPr>
          <w:fldChar w:fldCharType="separate"/>
        </w:r>
        <w:r w:rsidR="00FD2727">
          <w:rPr>
            <w:noProof/>
            <w:webHidden/>
          </w:rPr>
          <w:t>232</w:t>
        </w:r>
        <w:r w:rsidR="00C35490">
          <w:rPr>
            <w:noProof/>
            <w:webHidden/>
          </w:rPr>
          <w:fldChar w:fldCharType="end"/>
        </w:r>
      </w:hyperlink>
    </w:p>
    <w:p w:rsidR="00C35490" w:rsidRDefault="009A724D">
      <w:pPr>
        <w:pStyle w:val="TOC4"/>
        <w:rPr>
          <w:rFonts w:asciiTheme="minorHAnsi" w:eastAsiaTheme="minorEastAsia" w:hAnsiTheme="minorHAnsi" w:cstheme="minorBidi"/>
          <w:noProof/>
          <w:sz w:val="22"/>
          <w:szCs w:val="22"/>
        </w:rPr>
      </w:pPr>
      <w:hyperlink w:anchor="_Toc514059296" w:history="1">
        <w:r w:rsidR="00C35490" w:rsidRPr="00DB06B3">
          <w:rPr>
            <w:rStyle w:val="Hyperlink"/>
            <w:noProof/>
          </w:rPr>
          <w:t>5.6.4.6   Whether the Panel erred in its findings of significant lost sales and "displacement and/or impedance"</w:t>
        </w:r>
        <w:r w:rsidR="00C35490">
          <w:rPr>
            <w:noProof/>
            <w:webHidden/>
          </w:rPr>
          <w:tab/>
        </w:r>
        <w:r w:rsidR="00C35490">
          <w:rPr>
            <w:noProof/>
            <w:webHidden/>
          </w:rPr>
          <w:fldChar w:fldCharType="begin"/>
        </w:r>
        <w:r w:rsidR="00C35490">
          <w:rPr>
            <w:noProof/>
            <w:webHidden/>
          </w:rPr>
          <w:instrText xml:space="preserve"> PAGEREF _Toc514059296 \h </w:instrText>
        </w:r>
        <w:r w:rsidR="00C35490">
          <w:rPr>
            <w:noProof/>
            <w:webHidden/>
          </w:rPr>
        </w:r>
        <w:r w:rsidR="00C35490">
          <w:rPr>
            <w:noProof/>
            <w:webHidden/>
          </w:rPr>
          <w:fldChar w:fldCharType="separate"/>
        </w:r>
        <w:r w:rsidR="00FD2727">
          <w:rPr>
            <w:noProof/>
            <w:webHidden/>
          </w:rPr>
          <w:t>233</w:t>
        </w:r>
        <w:r w:rsidR="00C35490">
          <w:rPr>
            <w:noProof/>
            <w:webHidden/>
          </w:rPr>
          <w:fldChar w:fldCharType="end"/>
        </w:r>
      </w:hyperlink>
    </w:p>
    <w:p w:rsidR="00C35490" w:rsidRDefault="009A724D">
      <w:pPr>
        <w:pStyle w:val="TOC5"/>
        <w:rPr>
          <w:rFonts w:asciiTheme="minorHAnsi" w:eastAsiaTheme="minorEastAsia" w:hAnsiTheme="minorHAnsi" w:cstheme="minorBidi"/>
          <w:noProof/>
          <w:sz w:val="22"/>
          <w:szCs w:val="22"/>
        </w:rPr>
      </w:pPr>
      <w:hyperlink w:anchor="_Toc514059297" w:history="1">
        <w:r w:rsidR="00C35490" w:rsidRPr="00DB06B3">
          <w:rPr>
            <w:rStyle w:val="Hyperlink"/>
            <w:noProof/>
          </w:rPr>
          <w:t>5.6.4.6.1   The data set examined by the Panel</w:t>
        </w:r>
        <w:r w:rsidR="00C35490">
          <w:rPr>
            <w:noProof/>
            <w:webHidden/>
          </w:rPr>
          <w:tab/>
        </w:r>
        <w:r w:rsidR="00C35490">
          <w:rPr>
            <w:noProof/>
            <w:webHidden/>
          </w:rPr>
          <w:fldChar w:fldCharType="begin"/>
        </w:r>
        <w:r w:rsidR="00C35490">
          <w:rPr>
            <w:noProof/>
            <w:webHidden/>
          </w:rPr>
          <w:instrText xml:space="preserve"> PAGEREF _Toc514059297 \h </w:instrText>
        </w:r>
        <w:r w:rsidR="00C35490">
          <w:rPr>
            <w:noProof/>
            <w:webHidden/>
          </w:rPr>
        </w:r>
        <w:r w:rsidR="00C35490">
          <w:rPr>
            <w:noProof/>
            <w:webHidden/>
          </w:rPr>
          <w:fldChar w:fldCharType="separate"/>
        </w:r>
        <w:r w:rsidR="00FD2727">
          <w:rPr>
            <w:noProof/>
            <w:webHidden/>
          </w:rPr>
          <w:t>233</w:t>
        </w:r>
        <w:r w:rsidR="00C35490">
          <w:rPr>
            <w:noProof/>
            <w:webHidden/>
          </w:rPr>
          <w:fldChar w:fldCharType="end"/>
        </w:r>
      </w:hyperlink>
    </w:p>
    <w:p w:rsidR="00C35490" w:rsidRDefault="009A724D">
      <w:pPr>
        <w:pStyle w:val="TOC5"/>
        <w:rPr>
          <w:rFonts w:asciiTheme="minorHAnsi" w:eastAsiaTheme="minorEastAsia" w:hAnsiTheme="minorHAnsi" w:cstheme="minorBidi"/>
          <w:noProof/>
          <w:sz w:val="22"/>
          <w:szCs w:val="22"/>
        </w:rPr>
      </w:pPr>
      <w:hyperlink w:anchor="_Toc514059298" w:history="1">
        <w:r w:rsidR="00C35490" w:rsidRPr="00DB06B3">
          <w:rPr>
            <w:rStyle w:val="Hyperlink"/>
            <w:noProof/>
          </w:rPr>
          <w:t>5.6.4.6.2   The single-aisle LCA market</w:t>
        </w:r>
        <w:r w:rsidR="00C35490">
          <w:rPr>
            <w:noProof/>
            <w:webHidden/>
          </w:rPr>
          <w:tab/>
        </w:r>
        <w:r w:rsidR="00C35490">
          <w:rPr>
            <w:noProof/>
            <w:webHidden/>
          </w:rPr>
          <w:fldChar w:fldCharType="begin"/>
        </w:r>
        <w:r w:rsidR="00C35490">
          <w:rPr>
            <w:noProof/>
            <w:webHidden/>
          </w:rPr>
          <w:instrText xml:space="preserve"> PAGEREF _Toc514059298 \h </w:instrText>
        </w:r>
        <w:r w:rsidR="00C35490">
          <w:rPr>
            <w:noProof/>
            <w:webHidden/>
          </w:rPr>
        </w:r>
        <w:r w:rsidR="00C35490">
          <w:rPr>
            <w:noProof/>
            <w:webHidden/>
          </w:rPr>
          <w:fldChar w:fldCharType="separate"/>
        </w:r>
        <w:r w:rsidR="00FD2727">
          <w:rPr>
            <w:noProof/>
            <w:webHidden/>
          </w:rPr>
          <w:t>235</w:t>
        </w:r>
        <w:r w:rsidR="00C35490">
          <w:rPr>
            <w:noProof/>
            <w:webHidden/>
          </w:rPr>
          <w:fldChar w:fldCharType="end"/>
        </w:r>
      </w:hyperlink>
    </w:p>
    <w:p w:rsidR="00C35490" w:rsidRDefault="009A724D">
      <w:pPr>
        <w:pStyle w:val="TOC5"/>
        <w:rPr>
          <w:rFonts w:asciiTheme="minorHAnsi" w:eastAsiaTheme="minorEastAsia" w:hAnsiTheme="minorHAnsi" w:cstheme="minorBidi"/>
          <w:noProof/>
          <w:sz w:val="22"/>
          <w:szCs w:val="22"/>
        </w:rPr>
      </w:pPr>
      <w:hyperlink w:anchor="_Toc514059299" w:history="1">
        <w:r w:rsidR="00C35490" w:rsidRPr="00DB06B3">
          <w:rPr>
            <w:rStyle w:val="Hyperlink"/>
            <w:noProof/>
          </w:rPr>
          <w:t>5.6.4.6.3   The twin-aisle LCA market</w:t>
        </w:r>
        <w:r w:rsidR="00C35490">
          <w:rPr>
            <w:noProof/>
            <w:webHidden/>
          </w:rPr>
          <w:tab/>
        </w:r>
        <w:r w:rsidR="00C35490">
          <w:rPr>
            <w:noProof/>
            <w:webHidden/>
          </w:rPr>
          <w:fldChar w:fldCharType="begin"/>
        </w:r>
        <w:r w:rsidR="00C35490">
          <w:rPr>
            <w:noProof/>
            <w:webHidden/>
          </w:rPr>
          <w:instrText xml:space="preserve"> PAGEREF _Toc514059299 \h </w:instrText>
        </w:r>
        <w:r w:rsidR="00C35490">
          <w:rPr>
            <w:noProof/>
            <w:webHidden/>
          </w:rPr>
        </w:r>
        <w:r w:rsidR="00C35490">
          <w:rPr>
            <w:noProof/>
            <w:webHidden/>
          </w:rPr>
          <w:fldChar w:fldCharType="separate"/>
        </w:r>
        <w:r w:rsidR="00FD2727">
          <w:rPr>
            <w:noProof/>
            <w:webHidden/>
          </w:rPr>
          <w:t>237</w:t>
        </w:r>
        <w:r w:rsidR="00C35490">
          <w:rPr>
            <w:noProof/>
            <w:webHidden/>
          </w:rPr>
          <w:fldChar w:fldCharType="end"/>
        </w:r>
      </w:hyperlink>
    </w:p>
    <w:p w:rsidR="00C35490" w:rsidRDefault="009A724D">
      <w:pPr>
        <w:pStyle w:val="TOC6"/>
        <w:rPr>
          <w:rFonts w:asciiTheme="minorHAnsi" w:eastAsiaTheme="minorEastAsia" w:hAnsiTheme="minorHAnsi" w:cstheme="minorBidi"/>
          <w:noProof/>
          <w:sz w:val="22"/>
          <w:szCs w:val="22"/>
        </w:rPr>
      </w:pPr>
      <w:hyperlink w:anchor="_Toc514059300" w:history="1">
        <w:r w:rsidR="00C35490" w:rsidRPr="00DB06B3">
          <w:rPr>
            <w:rStyle w:val="Hyperlink"/>
            <w:noProof/>
          </w:rPr>
          <w:t>5.6.4.6.3.1   Significant lost sales</w:t>
        </w:r>
        <w:r w:rsidR="00C35490">
          <w:rPr>
            <w:noProof/>
            <w:webHidden/>
          </w:rPr>
          <w:tab/>
        </w:r>
        <w:r w:rsidR="00C35490">
          <w:rPr>
            <w:noProof/>
            <w:webHidden/>
          </w:rPr>
          <w:fldChar w:fldCharType="begin"/>
        </w:r>
        <w:r w:rsidR="00C35490">
          <w:rPr>
            <w:noProof/>
            <w:webHidden/>
          </w:rPr>
          <w:instrText xml:space="preserve"> PAGEREF _Toc514059300 \h </w:instrText>
        </w:r>
        <w:r w:rsidR="00C35490">
          <w:rPr>
            <w:noProof/>
            <w:webHidden/>
          </w:rPr>
        </w:r>
        <w:r w:rsidR="00C35490">
          <w:rPr>
            <w:noProof/>
            <w:webHidden/>
          </w:rPr>
          <w:fldChar w:fldCharType="separate"/>
        </w:r>
        <w:r w:rsidR="00FD2727">
          <w:rPr>
            <w:noProof/>
            <w:webHidden/>
          </w:rPr>
          <w:t>237</w:t>
        </w:r>
        <w:r w:rsidR="00C35490">
          <w:rPr>
            <w:noProof/>
            <w:webHidden/>
          </w:rPr>
          <w:fldChar w:fldCharType="end"/>
        </w:r>
      </w:hyperlink>
    </w:p>
    <w:p w:rsidR="00C35490" w:rsidRDefault="009A724D">
      <w:pPr>
        <w:pStyle w:val="TOC6"/>
        <w:rPr>
          <w:rFonts w:asciiTheme="minorHAnsi" w:eastAsiaTheme="minorEastAsia" w:hAnsiTheme="minorHAnsi" w:cstheme="minorBidi"/>
          <w:noProof/>
          <w:sz w:val="22"/>
          <w:szCs w:val="22"/>
        </w:rPr>
      </w:pPr>
      <w:hyperlink w:anchor="_Toc514059301" w:history="1">
        <w:r w:rsidR="00C35490" w:rsidRPr="00DB06B3">
          <w:rPr>
            <w:rStyle w:val="Hyperlink"/>
            <w:noProof/>
          </w:rPr>
          <w:t>5.6.4.6.3.2   "Displacement and/or impedance"</w:t>
        </w:r>
        <w:r w:rsidR="00C35490">
          <w:rPr>
            <w:noProof/>
            <w:webHidden/>
          </w:rPr>
          <w:tab/>
        </w:r>
        <w:r w:rsidR="00C35490">
          <w:rPr>
            <w:noProof/>
            <w:webHidden/>
          </w:rPr>
          <w:fldChar w:fldCharType="begin"/>
        </w:r>
        <w:r w:rsidR="00C35490">
          <w:rPr>
            <w:noProof/>
            <w:webHidden/>
          </w:rPr>
          <w:instrText xml:space="preserve"> PAGEREF _Toc514059301 \h </w:instrText>
        </w:r>
        <w:r w:rsidR="00C35490">
          <w:rPr>
            <w:noProof/>
            <w:webHidden/>
          </w:rPr>
        </w:r>
        <w:r w:rsidR="00C35490">
          <w:rPr>
            <w:noProof/>
            <w:webHidden/>
          </w:rPr>
          <w:fldChar w:fldCharType="separate"/>
        </w:r>
        <w:r w:rsidR="00FD2727">
          <w:rPr>
            <w:noProof/>
            <w:webHidden/>
          </w:rPr>
          <w:t>241</w:t>
        </w:r>
        <w:r w:rsidR="00C35490">
          <w:rPr>
            <w:noProof/>
            <w:webHidden/>
          </w:rPr>
          <w:fldChar w:fldCharType="end"/>
        </w:r>
      </w:hyperlink>
    </w:p>
    <w:p w:rsidR="00C35490" w:rsidRDefault="009A724D">
      <w:pPr>
        <w:pStyle w:val="TOC5"/>
        <w:rPr>
          <w:rFonts w:asciiTheme="minorHAnsi" w:eastAsiaTheme="minorEastAsia" w:hAnsiTheme="minorHAnsi" w:cstheme="minorBidi"/>
          <w:noProof/>
          <w:sz w:val="22"/>
          <w:szCs w:val="22"/>
        </w:rPr>
      </w:pPr>
      <w:hyperlink w:anchor="_Toc514059302" w:history="1">
        <w:r w:rsidR="00C35490" w:rsidRPr="00DB06B3">
          <w:rPr>
            <w:rStyle w:val="Hyperlink"/>
            <w:noProof/>
          </w:rPr>
          <w:t>5.6.4.6.4   The VLA market</w:t>
        </w:r>
        <w:r w:rsidR="00C35490">
          <w:rPr>
            <w:noProof/>
            <w:webHidden/>
          </w:rPr>
          <w:tab/>
        </w:r>
        <w:r w:rsidR="00C35490">
          <w:rPr>
            <w:noProof/>
            <w:webHidden/>
          </w:rPr>
          <w:fldChar w:fldCharType="begin"/>
        </w:r>
        <w:r w:rsidR="00C35490">
          <w:rPr>
            <w:noProof/>
            <w:webHidden/>
          </w:rPr>
          <w:instrText xml:space="preserve"> PAGEREF _Toc514059302 \h </w:instrText>
        </w:r>
        <w:r w:rsidR="00C35490">
          <w:rPr>
            <w:noProof/>
            <w:webHidden/>
          </w:rPr>
        </w:r>
        <w:r w:rsidR="00C35490">
          <w:rPr>
            <w:noProof/>
            <w:webHidden/>
          </w:rPr>
          <w:fldChar w:fldCharType="separate"/>
        </w:r>
        <w:r w:rsidR="00FD2727">
          <w:rPr>
            <w:noProof/>
            <w:webHidden/>
          </w:rPr>
          <w:t>243</w:t>
        </w:r>
        <w:r w:rsidR="00C35490">
          <w:rPr>
            <w:noProof/>
            <w:webHidden/>
          </w:rPr>
          <w:fldChar w:fldCharType="end"/>
        </w:r>
      </w:hyperlink>
    </w:p>
    <w:p w:rsidR="00C35490" w:rsidRDefault="009A724D">
      <w:pPr>
        <w:pStyle w:val="TOC6"/>
        <w:rPr>
          <w:rFonts w:asciiTheme="minorHAnsi" w:eastAsiaTheme="minorEastAsia" w:hAnsiTheme="minorHAnsi" w:cstheme="minorBidi"/>
          <w:noProof/>
          <w:sz w:val="22"/>
          <w:szCs w:val="22"/>
        </w:rPr>
      </w:pPr>
      <w:hyperlink w:anchor="_Toc514059303" w:history="1">
        <w:r w:rsidR="00C35490" w:rsidRPr="00DB06B3">
          <w:rPr>
            <w:rStyle w:val="Hyperlink"/>
            <w:noProof/>
          </w:rPr>
          <w:t>5.6.4.6.4.1   Significant lost sales</w:t>
        </w:r>
        <w:r w:rsidR="00C35490">
          <w:rPr>
            <w:noProof/>
            <w:webHidden/>
          </w:rPr>
          <w:tab/>
        </w:r>
        <w:r w:rsidR="00C35490">
          <w:rPr>
            <w:noProof/>
            <w:webHidden/>
          </w:rPr>
          <w:fldChar w:fldCharType="begin"/>
        </w:r>
        <w:r w:rsidR="00C35490">
          <w:rPr>
            <w:noProof/>
            <w:webHidden/>
          </w:rPr>
          <w:instrText xml:space="preserve"> PAGEREF _Toc514059303 \h </w:instrText>
        </w:r>
        <w:r w:rsidR="00C35490">
          <w:rPr>
            <w:noProof/>
            <w:webHidden/>
          </w:rPr>
        </w:r>
        <w:r w:rsidR="00C35490">
          <w:rPr>
            <w:noProof/>
            <w:webHidden/>
          </w:rPr>
          <w:fldChar w:fldCharType="separate"/>
        </w:r>
        <w:r w:rsidR="00FD2727">
          <w:rPr>
            <w:noProof/>
            <w:webHidden/>
          </w:rPr>
          <w:t>243</w:t>
        </w:r>
        <w:r w:rsidR="00C35490">
          <w:rPr>
            <w:noProof/>
            <w:webHidden/>
          </w:rPr>
          <w:fldChar w:fldCharType="end"/>
        </w:r>
      </w:hyperlink>
    </w:p>
    <w:p w:rsidR="00C35490" w:rsidRDefault="009A724D">
      <w:pPr>
        <w:pStyle w:val="TOC6"/>
        <w:rPr>
          <w:rFonts w:asciiTheme="minorHAnsi" w:eastAsiaTheme="minorEastAsia" w:hAnsiTheme="minorHAnsi" w:cstheme="minorBidi"/>
          <w:noProof/>
          <w:sz w:val="22"/>
          <w:szCs w:val="22"/>
        </w:rPr>
      </w:pPr>
      <w:hyperlink w:anchor="_Toc514059304" w:history="1">
        <w:r w:rsidR="00C35490" w:rsidRPr="00DB06B3">
          <w:rPr>
            <w:rStyle w:val="Hyperlink"/>
            <w:noProof/>
          </w:rPr>
          <w:t>5.6.4.6.4.2   Displacement and/or impedance</w:t>
        </w:r>
        <w:r w:rsidR="00C35490">
          <w:rPr>
            <w:noProof/>
            <w:webHidden/>
          </w:rPr>
          <w:tab/>
        </w:r>
        <w:r w:rsidR="00C35490">
          <w:rPr>
            <w:noProof/>
            <w:webHidden/>
          </w:rPr>
          <w:fldChar w:fldCharType="begin"/>
        </w:r>
        <w:r w:rsidR="00C35490">
          <w:rPr>
            <w:noProof/>
            <w:webHidden/>
          </w:rPr>
          <w:instrText xml:space="preserve"> PAGEREF _Toc514059304 \h </w:instrText>
        </w:r>
        <w:r w:rsidR="00C35490">
          <w:rPr>
            <w:noProof/>
            <w:webHidden/>
          </w:rPr>
        </w:r>
        <w:r w:rsidR="00C35490">
          <w:rPr>
            <w:noProof/>
            <w:webHidden/>
          </w:rPr>
          <w:fldChar w:fldCharType="separate"/>
        </w:r>
        <w:r w:rsidR="00FD2727">
          <w:rPr>
            <w:noProof/>
            <w:webHidden/>
          </w:rPr>
          <w:t>246</w:t>
        </w:r>
        <w:r w:rsidR="00C35490">
          <w:rPr>
            <w:noProof/>
            <w:webHidden/>
          </w:rPr>
          <w:fldChar w:fldCharType="end"/>
        </w:r>
      </w:hyperlink>
    </w:p>
    <w:p w:rsidR="00C35490" w:rsidRDefault="009A724D">
      <w:pPr>
        <w:pStyle w:val="TOC4"/>
        <w:rPr>
          <w:rFonts w:asciiTheme="minorHAnsi" w:eastAsiaTheme="minorEastAsia" w:hAnsiTheme="minorHAnsi" w:cstheme="minorBidi"/>
          <w:noProof/>
          <w:sz w:val="22"/>
          <w:szCs w:val="22"/>
        </w:rPr>
      </w:pPr>
      <w:hyperlink w:anchor="_Toc514059305" w:history="1">
        <w:r w:rsidR="00C35490" w:rsidRPr="00DB06B3">
          <w:rPr>
            <w:rStyle w:val="Hyperlink"/>
            <w:noProof/>
          </w:rPr>
          <w:t>5.6.4.7   United States' request for completing the legal analysis regarding "displacement and/or impedance"</w:t>
        </w:r>
        <w:r w:rsidR="00C35490">
          <w:rPr>
            <w:noProof/>
            <w:webHidden/>
          </w:rPr>
          <w:tab/>
        </w:r>
        <w:r w:rsidR="00C35490">
          <w:rPr>
            <w:noProof/>
            <w:webHidden/>
          </w:rPr>
          <w:fldChar w:fldCharType="begin"/>
        </w:r>
        <w:r w:rsidR="00C35490">
          <w:rPr>
            <w:noProof/>
            <w:webHidden/>
          </w:rPr>
          <w:instrText xml:space="preserve"> PAGEREF _Toc514059305 \h </w:instrText>
        </w:r>
        <w:r w:rsidR="00C35490">
          <w:rPr>
            <w:noProof/>
            <w:webHidden/>
          </w:rPr>
        </w:r>
        <w:r w:rsidR="00C35490">
          <w:rPr>
            <w:noProof/>
            <w:webHidden/>
          </w:rPr>
          <w:fldChar w:fldCharType="separate"/>
        </w:r>
        <w:r w:rsidR="00FD2727">
          <w:rPr>
            <w:noProof/>
            <w:webHidden/>
          </w:rPr>
          <w:t>249</w:t>
        </w:r>
        <w:r w:rsidR="00C35490">
          <w:rPr>
            <w:noProof/>
            <w:webHidden/>
          </w:rPr>
          <w:fldChar w:fldCharType="end"/>
        </w:r>
      </w:hyperlink>
    </w:p>
    <w:p w:rsidR="00C35490" w:rsidRDefault="009A724D">
      <w:pPr>
        <w:pStyle w:val="TOC4"/>
        <w:rPr>
          <w:rFonts w:asciiTheme="minorHAnsi" w:eastAsiaTheme="minorEastAsia" w:hAnsiTheme="minorHAnsi" w:cstheme="minorBidi"/>
          <w:noProof/>
          <w:sz w:val="22"/>
          <w:szCs w:val="22"/>
        </w:rPr>
      </w:pPr>
      <w:hyperlink w:anchor="_Toc514059306" w:history="1">
        <w:r w:rsidR="00C35490" w:rsidRPr="00DB06B3">
          <w:rPr>
            <w:rStyle w:val="Hyperlink"/>
            <w:noProof/>
          </w:rPr>
          <w:t>5.6.4.8   Overall conclusion</w:t>
        </w:r>
        <w:r w:rsidR="00C35490">
          <w:rPr>
            <w:noProof/>
            <w:webHidden/>
          </w:rPr>
          <w:tab/>
        </w:r>
        <w:r w:rsidR="00C35490">
          <w:rPr>
            <w:noProof/>
            <w:webHidden/>
          </w:rPr>
          <w:fldChar w:fldCharType="begin"/>
        </w:r>
        <w:r w:rsidR="00C35490">
          <w:rPr>
            <w:noProof/>
            <w:webHidden/>
          </w:rPr>
          <w:instrText xml:space="preserve"> PAGEREF _Toc514059306 \h </w:instrText>
        </w:r>
        <w:r w:rsidR="00C35490">
          <w:rPr>
            <w:noProof/>
            <w:webHidden/>
          </w:rPr>
        </w:r>
        <w:r w:rsidR="00C35490">
          <w:rPr>
            <w:noProof/>
            <w:webHidden/>
          </w:rPr>
          <w:fldChar w:fldCharType="separate"/>
        </w:r>
        <w:r w:rsidR="00FD2727">
          <w:rPr>
            <w:noProof/>
            <w:webHidden/>
          </w:rPr>
          <w:t>251</w:t>
        </w:r>
        <w:r w:rsidR="00C35490">
          <w:rPr>
            <w:noProof/>
            <w:webHidden/>
          </w:rPr>
          <w:fldChar w:fldCharType="end"/>
        </w:r>
      </w:hyperlink>
    </w:p>
    <w:p w:rsidR="00C35490" w:rsidRDefault="009A724D">
      <w:pPr>
        <w:pStyle w:val="TOC5"/>
        <w:rPr>
          <w:rFonts w:asciiTheme="minorHAnsi" w:eastAsiaTheme="minorEastAsia" w:hAnsiTheme="minorHAnsi" w:cstheme="minorBidi"/>
          <w:noProof/>
          <w:sz w:val="22"/>
          <w:szCs w:val="22"/>
        </w:rPr>
      </w:pPr>
      <w:hyperlink w:anchor="_Toc514059307" w:history="1">
        <w:r w:rsidR="00C35490" w:rsidRPr="00DB06B3">
          <w:rPr>
            <w:rStyle w:val="Hyperlink"/>
            <w:noProof/>
          </w:rPr>
          <w:t>5.6.4.8.1   The single-aisle LCA market</w:t>
        </w:r>
        <w:r w:rsidR="00C35490">
          <w:rPr>
            <w:noProof/>
            <w:webHidden/>
          </w:rPr>
          <w:tab/>
        </w:r>
        <w:r w:rsidR="00C35490">
          <w:rPr>
            <w:noProof/>
            <w:webHidden/>
          </w:rPr>
          <w:fldChar w:fldCharType="begin"/>
        </w:r>
        <w:r w:rsidR="00C35490">
          <w:rPr>
            <w:noProof/>
            <w:webHidden/>
          </w:rPr>
          <w:instrText xml:space="preserve"> PAGEREF _Toc514059307 \h </w:instrText>
        </w:r>
        <w:r w:rsidR="00C35490">
          <w:rPr>
            <w:noProof/>
            <w:webHidden/>
          </w:rPr>
        </w:r>
        <w:r w:rsidR="00C35490">
          <w:rPr>
            <w:noProof/>
            <w:webHidden/>
          </w:rPr>
          <w:fldChar w:fldCharType="separate"/>
        </w:r>
        <w:r w:rsidR="00FD2727">
          <w:rPr>
            <w:noProof/>
            <w:webHidden/>
          </w:rPr>
          <w:t>252</w:t>
        </w:r>
        <w:r w:rsidR="00C35490">
          <w:rPr>
            <w:noProof/>
            <w:webHidden/>
          </w:rPr>
          <w:fldChar w:fldCharType="end"/>
        </w:r>
      </w:hyperlink>
    </w:p>
    <w:p w:rsidR="00C35490" w:rsidRDefault="009A724D">
      <w:pPr>
        <w:pStyle w:val="TOC5"/>
        <w:rPr>
          <w:rFonts w:asciiTheme="minorHAnsi" w:eastAsiaTheme="minorEastAsia" w:hAnsiTheme="minorHAnsi" w:cstheme="minorBidi"/>
          <w:noProof/>
          <w:sz w:val="22"/>
          <w:szCs w:val="22"/>
        </w:rPr>
      </w:pPr>
      <w:hyperlink w:anchor="_Toc514059308" w:history="1">
        <w:r w:rsidR="00C35490" w:rsidRPr="00DB06B3">
          <w:rPr>
            <w:rStyle w:val="Hyperlink"/>
            <w:noProof/>
          </w:rPr>
          <w:t>5.6.4.8.2   The twin-aisle LCA market</w:t>
        </w:r>
        <w:r w:rsidR="00C35490">
          <w:rPr>
            <w:noProof/>
            <w:webHidden/>
          </w:rPr>
          <w:tab/>
        </w:r>
        <w:r w:rsidR="00C35490">
          <w:rPr>
            <w:noProof/>
            <w:webHidden/>
          </w:rPr>
          <w:fldChar w:fldCharType="begin"/>
        </w:r>
        <w:r w:rsidR="00C35490">
          <w:rPr>
            <w:noProof/>
            <w:webHidden/>
          </w:rPr>
          <w:instrText xml:space="preserve"> PAGEREF _Toc514059308 \h </w:instrText>
        </w:r>
        <w:r w:rsidR="00C35490">
          <w:rPr>
            <w:noProof/>
            <w:webHidden/>
          </w:rPr>
        </w:r>
        <w:r w:rsidR="00C35490">
          <w:rPr>
            <w:noProof/>
            <w:webHidden/>
          </w:rPr>
          <w:fldChar w:fldCharType="separate"/>
        </w:r>
        <w:r w:rsidR="00FD2727">
          <w:rPr>
            <w:noProof/>
            <w:webHidden/>
          </w:rPr>
          <w:t>253</w:t>
        </w:r>
        <w:r w:rsidR="00C35490">
          <w:rPr>
            <w:noProof/>
            <w:webHidden/>
          </w:rPr>
          <w:fldChar w:fldCharType="end"/>
        </w:r>
      </w:hyperlink>
    </w:p>
    <w:p w:rsidR="00C35490" w:rsidRDefault="009A724D">
      <w:pPr>
        <w:pStyle w:val="TOC5"/>
        <w:rPr>
          <w:rFonts w:asciiTheme="minorHAnsi" w:eastAsiaTheme="minorEastAsia" w:hAnsiTheme="minorHAnsi" w:cstheme="minorBidi"/>
          <w:noProof/>
          <w:sz w:val="22"/>
          <w:szCs w:val="22"/>
        </w:rPr>
      </w:pPr>
      <w:hyperlink w:anchor="_Toc514059309" w:history="1">
        <w:r w:rsidR="00C35490" w:rsidRPr="00DB06B3">
          <w:rPr>
            <w:rStyle w:val="Hyperlink"/>
            <w:noProof/>
          </w:rPr>
          <w:t>5.6.4.8.3   The VLA market</w:t>
        </w:r>
        <w:r w:rsidR="00C35490">
          <w:rPr>
            <w:noProof/>
            <w:webHidden/>
          </w:rPr>
          <w:tab/>
        </w:r>
        <w:r w:rsidR="00C35490">
          <w:rPr>
            <w:noProof/>
            <w:webHidden/>
          </w:rPr>
          <w:fldChar w:fldCharType="begin"/>
        </w:r>
        <w:r w:rsidR="00C35490">
          <w:rPr>
            <w:noProof/>
            <w:webHidden/>
          </w:rPr>
          <w:instrText xml:space="preserve"> PAGEREF _Toc514059309 \h </w:instrText>
        </w:r>
        <w:r w:rsidR="00C35490">
          <w:rPr>
            <w:noProof/>
            <w:webHidden/>
          </w:rPr>
        </w:r>
        <w:r w:rsidR="00C35490">
          <w:rPr>
            <w:noProof/>
            <w:webHidden/>
          </w:rPr>
          <w:fldChar w:fldCharType="separate"/>
        </w:r>
        <w:r w:rsidR="00FD2727">
          <w:rPr>
            <w:noProof/>
            <w:webHidden/>
          </w:rPr>
          <w:t>254</w:t>
        </w:r>
        <w:r w:rsidR="00C35490">
          <w:rPr>
            <w:noProof/>
            <w:webHidden/>
          </w:rPr>
          <w:fldChar w:fldCharType="end"/>
        </w:r>
      </w:hyperlink>
    </w:p>
    <w:p w:rsidR="00C35490" w:rsidRDefault="009A724D">
      <w:pPr>
        <w:pStyle w:val="TOC1"/>
        <w:rPr>
          <w:rFonts w:asciiTheme="minorHAnsi" w:eastAsiaTheme="minorEastAsia" w:hAnsiTheme="minorHAnsi" w:cstheme="minorBidi"/>
          <w:b w:val="0"/>
          <w:caps w:val="0"/>
          <w:noProof/>
          <w:sz w:val="22"/>
          <w:szCs w:val="22"/>
        </w:rPr>
      </w:pPr>
      <w:hyperlink w:anchor="_Toc514059310" w:history="1">
        <w:r w:rsidR="00C35490" w:rsidRPr="00DB06B3">
          <w:rPr>
            <w:rStyle w:val="Hyperlink"/>
            <w:noProof/>
          </w:rPr>
          <w:t>6   Findings And Conclusions</w:t>
        </w:r>
        <w:r w:rsidR="00C35490">
          <w:rPr>
            <w:noProof/>
            <w:webHidden/>
          </w:rPr>
          <w:tab/>
        </w:r>
        <w:r w:rsidR="00C35490">
          <w:rPr>
            <w:noProof/>
            <w:webHidden/>
          </w:rPr>
          <w:fldChar w:fldCharType="begin"/>
        </w:r>
        <w:r w:rsidR="00C35490">
          <w:rPr>
            <w:noProof/>
            <w:webHidden/>
          </w:rPr>
          <w:instrText xml:space="preserve"> PAGEREF _Toc514059310 \h </w:instrText>
        </w:r>
        <w:r w:rsidR="00C35490">
          <w:rPr>
            <w:noProof/>
            <w:webHidden/>
          </w:rPr>
        </w:r>
        <w:r w:rsidR="00C35490">
          <w:rPr>
            <w:noProof/>
            <w:webHidden/>
          </w:rPr>
          <w:fldChar w:fldCharType="separate"/>
        </w:r>
        <w:r w:rsidR="00FD2727">
          <w:rPr>
            <w:noProof/>
            <w:webHidden/>
          </w:rPr>
          <w:t>256</w:t>
        </w:r>
        <w:r w:rsidR="00C35490">
          <w:rPr>
            <w:noProof/>
            <w:webHidden/>
          </w:rPr>
          <w:fldChar w:fldCharType="end"/>
        </w:r>
      </w:hyperlink>
    </w:p>
    <w:p w:rsidR="00C35490" w:rsidRDefault="009A724D">
      <w:pPr>
        <w:pStyle w:val="TOC2"/>
        <w:rPr>
          <w:rFonts w:asciiTheme="minorHAnsi" w:eastAsiaTheme="minorEastAsia" w:hAnsiTheme="minorHAnsi" w:cstheme="minorBidi"/>
          <w:noProof/>
          <w:sz w:val="22"/>
          <w:szCs w:val="22"/>
        </w:rPr>
      </w:pPr>
      <w:hyperlink w:anchor="_Toc514059311" w:history="1">
        <w:r w:rsidR="00C35490" w:rsidRPr="00DB06B3">
          <w:rPr>
            <w:rStyle w:val="Hyperlink"/>
            <w:noProof/>
          </w:rPr>
          <w:t>6.1   Article 21.5 of the DSU – the Mühlenberger Loch and Bremen Airport measures</w:t>
        </w:r>
        <w:r w:rsidR="00C35490">
          <w:rPr>
            <w:noProof/>
            <w:webHidden/>
          </w:rPr>
          <w:tab/>
        </w:r>
        <w:r w:rsidR="00C35490">
          <w:rPr>
            <w:noProof/>
            <w:webHidden/>
          </w:rPr>
          <w:fldChar w:fldCharType="begin"/>
        </w:r>
        <w:r w:rsidR="00C35490">
          <w:rPr>
            <w:noProof/>
            <w:webHidden/>
          </w:rPr>
          <w:instrText xml:space="preserve"> PAGEREF _Toc514059311 \h </w:instrText>
        </w:r>
        <w:r w:rsidR="00C35490">
          <w:rPr>
            <w:noProof/>
            <w:webHidden/>
          </w:rPr>
        </w:r>
        <w:r w:rsidR="00C35490">
          <w:rPr>
            <w:noProof/>
            <w:webHidden/>
          </w:rPr>
          <w:fldChar w:fldCharType="separate"/>
        </w:r>
        <w:r w:rsidR="00FD2727">
          <w:rPr>
            <w:noProof/>
            <w:webHidden/>
          </w:rPr>
          <w:t>256</w:t>
        </w:r>
        <w:r w:rsidR="00C35490">
          <w:rPr>
            <w:noProof/>
            <w:webHidden/>
          </w:rPr>
          <w:fldChar w:fldCharType="end"/>
        </w:r>
      </w:hyperlink>
    </w:p>
    <w:p w:rsidR="00C35490" w:rsidRDefault="009A724D">
      <w:pPr>
        <w:pStyle w:val="TOC2"/>
        <w:rPr>
          <w:rFonts w:asciiTheme="minorHAnsi" w:eastAsiaTheme="minorEastAsia" w:hAnsiTheme="minorHAnsi" w:cstheme="minorBidi"/>
          <w:noProof/>
          <w:sz w:val="22"/>
          <w:szCs w:val="22"/>
        </w:rPr>
      </w:pPr>
      <w:hyperlink w:anchor="_Toc514059312" w:history="1">
        <w:r w:rsidR="00C35490" w:rsidRPr="00DB06B3">
          <w:rPr>
            <w:rStyle w:val="Hyperlink"/>
            <w:noProof/>
          </w:rPr>
          <w:t>6.2   Article 3.1(b) of the SCM Agreement</w:t>
        </w:r>
        <w:r w:rsidR="00C35490">
          <w:rPr>
            <w:noProof/>
            <w:webHidden/>
          </w:rPr>
          <w:tab/>
        </w:r>
        <w:r w:rsidR="00C35490">
          <w:rPr>
            <w:noProof/>
            <w:webHidden/>
          </w:rPr>
          <w:fldChar w:fldCharType="begin"/>
        </w:r>
        <w:r w:rsidR="00C35490">
          <w:rPr>
            <w:noProof/>
            <w:webHidden/>
          </w:rPr>
          <w:instrText xml:space="preserve"> PAGEREF _Toc514059312 \h </w:instrText>
        </w:r>
        <w:r w:rsidR="00C35490">
          <w:rPr>
            <w:noProof/>
            <w:webHidden/>
          </w:rPr>
        </w:r>
        <w:r w:rsidR="00C35490">
          <w:rPr>
            <w:noProof/>
            <w:webHidden/>
          </w:rPr>
          <w:fldChar w:fldCharType="separate"/>
        </w:r>
        <w:r w:rsidR="00FD2727">
          <w:rPr>
            <w:noProof/>
            <w:webHidden/>
          </w:rPr>
          <w:t>256</w:t>
        </w:r>
        <w:r w:rsidR="00C35490">
          <w:rPr>
            <w:noProof/>
            <w:webHidden/>
          </w:rPr>
          <w:fldChar w:fldCharType="end"/>
        </w:r>
      </w:hyperlink>
    </w:p>
    <w:p w:rsidR="00C35490" w:rsidRDefault="009A724D">
      <w:pPr>
        <w:pStyle w:val="TOC2"/>
        <w:rPr>
          <w:rFonts w:asciiTheme="minorHAnsi" w:eastAsiaTheme="minorEastAsia" w:hAnsiTheme="minorHAnsi" w:cstheme="minorBidi"/>
          <w:noProof/>
          <w:sz w:val="22"/>
          <w:szCs w:val="22"/>
        </w:rPr>
      </w:pPr>
      <w:hyperlink w:anchor="_Toc514059313" w:history="1">
        <w:r w:rsidR="00C35490" w:rsidRPr="00DB06B3">
          <w:rPr>
            <w:rStyle w:val="Hyperlink"/>
            <w:noProof/>
          </w:rPr>
          <w:t>6.3   Benefit</w:t>
        </w:r>
        <w:r w:rsidR="00C35490">
          <w:rPr>
            <w:noProof/>
            <w:webHidden/>
          </w:rPr>
          <w:tab/>
        </w:r>
        <w:r w:rsidR="00C35490">
          <w:rPr>
            <w:noProof/>
            <w:webHidden/>
          </w:rPr>
          <w:fldChar w:fldCharType="begin"/>
        </w:r>
        <w:r w:rsidR="00C35490">
          <w:rPr>
            <w:noProof/>
            <w:webHidden/>
          </w:rPr>
          <w:instrText xml:space="preserve"> PAGEREF _Toc514059313 \h </w:instrText>
        </w:r>
        <w:r w:rsidR="00C35490">
          <w:rPr>
            <w:noProof/>
            <w:webHidden/>
          </w:rPr>
        </w:r>
        <w:r w:rsidR="00C35490">
          <w:rPr>
            <w:noProof/>
            <w:webHidden/>
          </w:rPr>
          <w:fldChar w:fldCharType="separate"/>
        </w:r>
        <w:r w:rsidR="00FD2727">
          <w:rPr>
            <w:noProof/>
            <w:webHidden/>
          </w:rPr>
          <w:t>256</w:t>
        </w:r>
        <w:r w:rsidR="00C35490">
          <w:rPr>
            <w:noProof/>
            <w:webHidden/>
          </w:rPr>
          <w:fldChar w:fldCharType="end"/>
        </w:r>
      </w:hyperlink>
    </w:p>
    <w:p w:rsidR="00C35490" w:rsidRDefault="009A724D">
      <w:pPr>
        <w:pStyle w:val="TOC3"/>
        <w:rPr>
          <w:rFonts w:asciiTheme="minorHAnsi" w:eastAsiaTheme="minorEastAsia" w:hAnsiTheme="minorHAnsi" w:cstheme="minorBidi"/>
          <w:noProof/>
          <w:sz w:val="22"/>
          <w:szCs w:val="22"/>
        </w:rPr>
      </w:pPr>
      <w:hyperlink w:anchor="_Toc514059314" w:history="1">
        <w:r w:rsidR="00C35490" w:rsidRPr="00DB06B3">
          <w:rPr>
            <w:rStyle w:val="Hyperlink"/>
            <w:noProof/>
          </w:rPr>
          <w:t>6.3.1   The calculation of general corporate borrowing rate</w:t>
        </w:r>
        <w:r w:rsidR="00C35490">
          <w:rPr>
            <w:noProof/>
            <w:webHidden/>
          </w:rPr>
          <w:tab/>
        </w:r>
        <w:r w:rsidR="00C35490">
          <w:rPr>
            <w:noProof/>
            <w:webHidden/>
          </w:rPr>
          <w:fldChar w:fldCharType="begin"/>
        </w:r>
        <w:r w:rsidR="00C35490">
          <w:rPr>
            <w:noProof/>
            <w:webHidden/>
          </w:rPr>
          <w:instrText xml:space="preserve"> PAGEREF _Toc514059314 \h </w:instrText>
        </w:r>
        <w:r w:rsidR="00C35490">
          <w:rPr>
            <w:noProof/>
            <w:webHidden/>
          </w:rPr>
        </w:r>
        <w:r w:rsidR="00C35490">
          <w:rPr>
            <w:noProof/>
            <w:webHidden/>
          </w:rPr>
          <w:fldChar w:fldCharType="separate"/>
        </w:r>
        <w:r w:rsidR="00FD2727">
          <w:rPr>
            <w:noProof/>
            <w:webHidden/>
          </w:rPr>
          <w:t>256</w:t>
        </w:r>
        <w:r w:rsidR="00C35490">
          <w:rPr>
            <w:noProof/>
            <w:webHidden/>
          </w:rPr>
          <w:fldChar w:fldCharType="end"/>
        </w:r>
      </w:hyperlink>
    </w:p>
    <w:p w:rsidR="00C35490" w:rsidRDefault="009A724D">
      <w:pPr>
        <w:pStyle w:val="TOC3"/>
        <w:rPr>
          <w:rFonts w:asciiTheme="minorHAnsi" w:eastAsiaTheme="minorEastAsia" w:hAnsiTheme="minorHAnsi" w:cstheme="minorBidi"/>
          <w:noProof/>
          <w:sz w:val="22"/>
          <w:szCs w:val="22"/>
        </w:rPr>
      </w:pPr>
      <w:hyperlink w:anchor="_Toc514059315" w:history="1">
        <w:r w:rsidR="00C35490" w:rsidRPr="00DB06B3">
          <w:rPr>
            <w:rStyle w:val="Hyperlink"/>
            <w:noProof/>
          </w:rPr>
          <w:t>6.3.2   The calculation of project-specific risk premium</w:t>
        </w:r>
        <w:r w:rsidR="00C35490">
          <w:rPr>
            <w:noProof/>
            <w:webHidden/>
          </w:rPr>
          <w:tab/>
        </w:r>
        <w:r w:rsidR="00C35490">
          <w:rPr>
            <w:noProof/>
            <w:webHidden/>
          </w:rPr>
          <w:fldChar w:fldCharType="begin"/>
        </w:r>
        <w:r w:rsidR="00C35490">
          <w:rPr>
            <w:noProof/>
            <w:webHidden/>
          </w:rPr>
          <w:instrText xml:space="preserve"> PAGEREF _Toc514059315 \h </w:instrText>
        </w:r>
        <w:r w:rsidR="00C35490">
          <w:rPr>
            <w:noProof/>
            <w:webHidden/>
          </w:rPr>
        </w:r>
        <w:r w:rsidR="00C35490">
          <w:rPr>
            <w:noProof/>
            <w:webHidden/>
          </w:rPr>
          <w:fldChar w:fldCharType="separate"/>
        </w:r>
        <w:r w:rsidR="00FD2727">
          <w:rPr>
            <w:noProof/>
            <w:webHidden/>
          </w:rPr>
          <w:t>258</w:t>
        </w:r>
        <w:r w:rsidR="00C35490">
          <w:rPr>
            <w:noProof/>
            <w:webHidden/>
          </w:rPr>
          <w:fldChar w:fldCharType="end"/>
        </w:r>
      </w:hyperlink>
    </w:p>
    <w:p w:rsidR="00C35490" w:rsidRDefault="009A724D">
      <w:pPr>
        <w:pStyle w:val="TOC2"/>
        <w:rPr>
          <w:rFonts w:asciiTheme="minorHAnsi" w:eastAsiaTheme="minorEastAsia" w:hAnsiTheme="minorHAnsi" w:cstheme="minorBidi"/>
          <w:noProof/>
          <w:sz w:val="22"/>
          <w:szCs w:val="22"/>
        </w:rPr>
      </w:pPr>
      <w:hyperlink w:anchor="_Toc514059316" w:history="1">
        <w:r w:rsidR="00C35490" w:rsidRPr="00DB06B3">
          <w:rPr>
            <w:rStyle w:val="Hyperlink"/>
            <w:noProof/>
          </w:rPr>
          <w:t>6.4   Article 7.8 of the SCM Agreement</w:t>
        </w:r>
        <w:r w:rsidR="00C35490">
          <w:rPr>
            <w:noProof/>
            <w:webHidden/>
          </w:rPr>
          <w:tab/>
        </w:r>
        <w:r w:rsidR="00C35490">
          <w:rPr>
            <w:noProof/>
            <w:webHidden/>
          </w:rPr>
          <w:fldChar w:fldCharType="begin"/>
        </w:r>
        <w:r w:rsidR="00C35490">
          <w:rPr>
            <w:noProof/>
            <w:webHidden/>
          </w:rPr>
          <w:instrText xml:space="preserve"> PAGEREF _Toc514059316 \h </w:instrText>
        </w:r>
        <w:r w:rsidR="00C35490">
          <w:rPr>
            <w:noProof/>
            <w:webHidden/>
          </w:rPr>
        </w:r>
        <w:r w:rsidR="00C35490">
          <w:rPr>
            <w:noProof/>
            <w:webHidden/>
          </w:rPr>
          <w:fldChar w:fldCharType="separate"/>
        </w:r>
        <w:r w:rsidR="00FD2727">
          <w:rPr>
            <w:noProof/>
            <w:webHidden/>
          </w:rPr>
          <w:t>259</w:t>
        </w:r>
        <w:r w:rsidR="00C35490">
          <w:rPr>
            <w:noProof/>
            <w:webHidden/>
          </w:rPr>
          <w:fldChar w:fldCharType="end"/>
        </w:r>
      </w:hyperlink>
    </w:p>
    <w:p w:rsidR="00C35490" w:rsidRDefault="009A724D">
      <w:pPr>
        <w:pStyle w:val="TOC2"/>
        <w:rPr>
          <w:rFonts w:asciiTheme="minorHAnsi" w:eastAsiaTheme="minorEastAsia" w:hAnsiTheme="minorHAnsi" w:cstheme="minorBidi"/>
          <w:noProof/>
          <w:sz w:val="22"/>
          <w:szCs w:val="22"/>
        </w:rPr>
      </w:pPr>
      <w:hyperlink w:anchor="_Toc514059317" w:history="1">
        <w:r w:rsidR="00C35490" w:rsidRPr="00DB06B3">
          <w:rPr>
            <w:rStyle w:val="Hyperlink"/>
            <w:noProof/>
          </w:rPr>
          <w:t>6.5   Conditional appeals under Article 7.8 of the SCM Agreement</w:t>
        </w:r>
        <w:r w:rsidR="00C35490">
          <w:rPr>
            <w:noProof/>
            <w:webHidden/>
          </w:rPr>
          <w:tab/>
        </w:r>
        <w:r w:rsidR="00C35490">
          <w:rPr>
            <w:noProof/>
            <w:webHidden/>
          </w:rPr>
          <w:fldChar w:fldCharType="begin"/>
        </w:r>
        <w:r w:rsidR="00C35490">
          <w:rPr>
            <w:noProof/>
            <w:webHidden/>
          </w:rPr>
          <w:instrText xml:space="preserve"> PAGEREF _Toc514059317 \h </w:instrText>
        </w:r>
        <w:r w:rsidR="00C35490">
          <w:rPr>
            <w:noProof/>
            <w:webHidden/>
          </w:rPr>
        </w:r>
        <w:r w:rsidR="00C35490">
          <w:rPr>
            <w:noProof/>
            <w:webHidden/>
          </w:rPr>
          <w:fldChar w:fldCharType="separate"/>
        </w:r>
        <w:r w:rsidR="00FD2727">
          <w:rPr>
            <w:noProof/>
            <w:webHidden/>
          </w:rPr>
          <w:t>259</w:t>
        </w:r>
        <w:r w:rsidR="00C35490">
          <w:rPr>
            <w:noProof/>
            <w:webHidden/>
          </w:rPr>
          <w:fldChar w:fldCharType="end"/>
        </w:r>
      </w:hyperlink>
    </w:p>
    <w:p w:rsidR="00C35490" w:rsidRDefault="009A724D">
      <w:pPr>
        <w:pStyle w:val="TOC2"/>
        <w:rPr>
          <w:rFonts w:asciiTheme="minorHAnsi" w:eastAsiaTheme="minorEastAsia" w:hAnsiTheme="minorHAnsi" w:cstheme="minorBidi"/>
          <w:noProof/>
          <w:sz w:val="22"/>
          <w:szCs w:val="22"/>
        </w:rPr>
      </w:pPr>
      <w:hyperlink w:anchor="_Toc514059318" w:history="1">
        <w:r w:rsidR="00C35490" w:rsidRPr="00DB06B3">
          <w:rPr>
            <w:rStyle w:val="Hyperlink"/>
            <w:noProof/>
          </w:rPr>
          <w:t>6.6   European Union's consequential appeal under Article 7.8 of the SCM Agreement</w:t>
        </w:r>
        <w:r w:rsidR="00C35490">
          <w:rPr>
            <w:noProof/>
            <w:webHidden/>
          </w:rPr>
          <w:tab/>
        </w:r>
        <w:r w:rsidR="00C35490">
          <w:rPr>
            <w:noProof/>
            <w:webHidden/>
          </w:rPr>
          <w:fldChar w:fldCharType="begin"/>
        </w:r>
        <w:r w:rsidR="00C35490">
          <w:rPr>
            <w:noProof/>
            <w:webHidden/>
          </w:rPr>
          <w:instrText xml:space="preserve"> PAGEREF _Toc514059318 \h </w:instrText>
        </w:r>
        <w:r w:rsidR="00C35490">
          <w:rPr>
            <w:noProof/>
            <w:webHidden/>
          </w:rPr>
        </w:r>
        <w:r w:rsidR="00C35490">
          <w:rPr>
            <w:noProof/>
            <w:webHidden/>
          </w:rPr>
          <w:fldChar w:fldCharType="separate"/>
        </w:r>
        <w:r w:rsidR="00FD2727">
          <w:rPr>
            <w:noProof/>
            <w:webHidden/>
          </w:rPr>
          <w:t>260</w:t>
        </w:r>
        <w:r w:rsidR="00C35490">
          <w:rPr>
            <w:noProof/>
            <w:webHidden/>
          </w:rPr>
          <w:fldChar w:fldCharType="end"/>
        </w:r>
      </w:hyperlink>
    </w:p>
    <w:p w:rsidR="00C35490" w:rsidRDefault="009A724D">
      <w:pPr>
        <w:pStyle w:val="TOC2"/>
        <w:rPr>
          <w:rFonts w:asciiTheme="minorHAnsi" w:eastAsiaTheme="minorEastAsia" w:hAnsiTheme="minorHAnsi" w:cstheme="minorBidi"/>
          <w:noProof/>
          <w:sz w:val="22"/>
          <w:szCs w:val="22"/>
        </w:rPr>
      </w:pPr>
      <w:hyperlink w:anchor="_Toc514059319" w:history="1">
        <w:r w:rsidR="00C35490" w:rsidRPr="00DB06B3">
          <w:rPr>
            <w:rStyle w:val="Hyperlink"/>
            <w:noProof/>
          </w:rPr>
          <w:t>6.7   Articles 5, 6, and 7.8 of the SCM Agreement – adverse effects</w:t>
        </w:r>
        <w:r w:rsidR="00C35490">
          <w:rPr>
            <w:noProof/>
            <w:webHidden/>
          </w:rPr>
          <w:tab/>
        </w:r>
        <w:r w:rsidR="00C35490">
          <w:rPr>
            <w:noProof/>
            <w:webHidden/>
          </w:rPr>
          <w:fldChar w:fldCharType="begin"/>
        </w:r>
        <w:r w:rsidR="00C35490">
          <w:rPr>
            <w:noProof/>
            <w:webHidden/>
          </w:rPr>
          <w:instrText xml:space="preserve"> PAGEREF _Toc514059319 \h </w:instrText>
        </w:r>
        <w:r w:rsidR="00C35490">
          <w:rPr>
            <w:noProof/>
            <w:webHidden/>
          </w:rPr>
        </w:r>
        <w:r w:rsidR="00C35490">
          <w:rPr>
            <w:noProof/>
            <w:webHidden/>
          </w:rPr>
          <w:fldChar w:fldCharType="separate"/>
        </w:r>
        <w:r w:rsidR="00FD2727">
          <w:rPr>
            <w:noProof/>
            <w:webHidden/>
          </w:rPr>
          <w:t>260</w:t>
        </w:r>
        <w:r w:rsidR="00C35490">
          <w:rPr>
            <w:noProof/>
            <w:webHidden/>
          </w:rPr>
          <w:fldChar w:fldCharType="end"/>
        </w:r>
      </w:hyperlink>
    </w:p>
    <w:p w:rsidR="00C35490" w:rsidRDefault="009A724D">
      <w:pPr>
        <w:pStyle w:val="TOC3"/>
        <w:rPr>
          <w:rFonts w:asciiTheme="minorHAnsi" w:eastAsiaTheme="minorEastAsia" w:hAnsiTheme="minorHAnsi" w:cstheme="minorBidi"/>
          <w:noProof/>
          <w:sz w:val="22"/>
          <w:szCs w:val="22"/>
        </w:rPr>
      </w:pPr>
      <w:hyperlink w:anchor="_Toc514059320" w:history="1">
        <w:r w:rsidR="00C35490" w:rsidRPr="00DB06B3">
          <w:rPr>
            <w:rStyle w:val="Hyperlink"/>
            <w:noProof/>
          </w:rPr>
          <w:t>6.7.1   Non-subsidized like product</w:t>
        </w:r>
        <w:r w:rsidR="00C35490">
          <w:rPr>
            <w:noProof/>
            <w:webHidden/>
          </w:rPr>
          <w:tab/>
        </w:r>
        <w:r w:rsidR="00C35490">
          <w:rPr>
            <w:noProof/>
            <w:webHidden/>
          </w:rPr>
          <w:fldChar w:fldCharType="begin"/>
        </w:r>
        <w:r w:rsidR="00C35490">
          <w:rPr>
            <w:noProof/>
            <w:webHidden/>
          </w:rPr>
          <w:instrText xml:space="preserve"> PAGEREF _Toc514059320 \h </w:instrText>
        </w:r>
        <w:r w:rsidR="00C35490">
          <w:rPr>
            <w:noProof/>
            <w:webHidden/>
          </w:rPr>
        </w:r>
        <w:r w:rsidR="00C35490">
          <w:rPr>
            <w:noProof/>
            <w:webHidden/>
          </w:rPr>
          <w:fldChar w:fldCharType="separate"/>
        </w:r>
        <w:r w:rsidR="00FD2727">
          <w:rPr>
            <w:noProof/>
            <w:webHidden/>
          </w:rPr>
          <w:t>260</w:t>
        </w:r>
        <w:r w:rsidR="00C35490">
          <w:rPr>
            <w:noProof/>
            <w:webHidden/>
          </w:rPr>
          <w:fldChar w:fldCharType="end"/>
        </w:r>
      </w:hyperlink>
    </w:p>
    <w:p w:rsidR="00C35490" w:rsidRDefault="009A724D">
      <w:pPr>
        <w:pStyle w:val="TOC3"/>
        <w:rPr>
          <w:rFonts w:asciiTheme="minorHAnsi" w:eastAsiaTheme="minorEastAsia" w:hAnsiTheme="minorHAnsi" w:cstheme="minorBidi"/>
          <w:noProof/>
          <w:sz w:val="22"/>
          <w:szCs w:val="22"/>
        </w:rPr>
      </w:pPr>
      <w:hyperlink w:anchor="_Toc514059321" w:history="1">
        <w:r w:rsidR="00C35490" w:rsidRPr="00DB06B3">
          <w:rPr>
            <w:rStyle w:val="Hyperlink"/>
            <w:noProof/>
          </w:rPr>
          <w:t>6.7.2   The relevant product markets</w:t>
        </w:r>
        <w:r w:rsidR="00C35490">
          <w:rPr>
            <w:noProof/>
            <w:webHidden/>
          </w:rPr>
          <w:tab/>
        </w:r>
        <w:r w:rsidR="00C35490">
          <w:rPr>
            <w:noProof/>
            <w:webHidden/>
          </w:rPr>
          <w:fldChar w:fldCharType="begin"/>
        </w:r>
        <w:r w:rsidR="00C35490">
          <w:rPr>
            <w:noProof/>
            <w:webHidden/>
          </w:rPr>
          <w:instrText xml:space="preserve"> PAGEREF _Toc514059321 \h </w:instrText>
        </w:r>
        <w:r w:rsidR="00C35490">
          <w:rPr>
            <w:noProof/>
            <w:webHidden/>
          </w:rPr>
        </w:r>
        <w:r w:rsidR="00C35490">
          <w:rPr>
            <w:noProof/>
            <w:webHidden/>
          </w:rPr>
          <w:fldChar w:fldCharType="separate"/>
        </w:r>
        <w:r w:rsidR="00FD2727">
          <w:rPr>
            <w:noProof/>
            <w:webHidden/>
          </w:rPr>
          <w:t>261</w:t>
        </w:r>
        <w:r w:rsidR="00C35490">
          <w:rPr>
            <w:noProof/>
            <w:webHidden/>
          </w:rPr>
          <w:fldChar w:fldCharType="end"/>
        </w:r>
      </w:hyperlink>
    </w:p>
    <w:p w:rsidR="00C35490" w:rsidRDefault="009A724D">
      <w:pPr>
        <w:pStyle w:val="TOC3"/>
        <w:rPr>
          <w:rFonts w:asciiTheme="minorHAnsi" w:eastAsiaTheme="minorEastAsia" w:hAnsiTheme="minorHAnsi" w:cstheme="minorBidi"/>
          <w:noProof/>
          <w:sz w:val="22"/>
          <w:szCs w:val="22"/>
        </w:rPr>
      </w:pPr>
      <w:hyperlink w:anchor="_Toc514059322" w:history="1">
        <w:r w:rsidR="00C35490" w:rsidRPr="00DB06B3">
          <w:rPr>
            <w:rStyle w:val="Hyperlink"/>
            <w:noProof/>
          </w:rPr>
          <w:t>6.7.3   "Product effects" of LA/MSF subsidies on Airbus LCA</w:t>
        </w:r>
        <w:r w:rsidR="00C35490">
          <w:rPr>
            <w:noProof/>
            <w:webHidden/>
          </w:rPr>
          <w:tab/>
        </w:r>
        <w:r w:rsidR="00C35490">
          <w:rPr>
            <w:noProof/>
            <w:webHidden/>
          </w:rPr>
          <w:fldChar w:fldCharType="begin"/>
        </w:r>
        <w:r w:rsidR="00C35490">
          <w:rPr>
            <w:noProof/>
            <w:webHidden/>
          </w:rPr>
          <w:instrText xml:space="preserve"> PAGEREF _Toc514059322 \h </w:instrText>
        </w:r>
        <w:r w:rsidR="00C35490">
          <w:rPr>
            <w:noProof/>
            <w:webHidden/>
          </w:rPr>
        </w:r>
        <w:r w:rsidR="00C35490">
          <w:rPr>
            <w:noProof/>
            <w:webHidden/>
          </w:rPr>
          <w:fldChar w:fldCharType="separate"/>
        </w:r>
        <w:r w:rsidR="00FD2727">
          <w:rPr>
            <w:noProof/>
            <w:webHidden/>
          </w:rPr>
          <w:t>261</w:t>
        </w:r>
        <w:r w:rsidR="00C35490">
          <w:rPr>
            <w:noProof/>
            <w:webHidden/>
          </w:rPr>
          <w:fldChar w:fldCharType="end"/>
        </w:r>
      </w:hyperlink>
    </w:p>
    <w:p w:rsidR="00C35490" w:rsidRDefault="009A724D">
      <w:pPr>
        <w:pStyle w:val="TOC3"/>
        <w:rPr>
          <w:rFonts w:asciiTheme="minorHAnsi" w:eastAsiaTheme="minorEastAsia" w:hAnsiTheme="minorHAnsi" w:cstheme="minorBidi"/>
          <w:noProof/>
          <w:sz w:val="22"/>
          <w:szCs w:val="22"/>
        </w:rPr>
      </w:pPr>
      <w:hyperlink w:anchor="_Toc514059323" w:history="1">
        <w:r w:rsidR="00C35490" w:rsidRPr="00DB06B3">
          <w:rPr>
            <w:rStyle w:val="Hyperlink"/>
            <w:noProof/>
          </w:rPr>
          <w:t>6.7.4   Lost sales, displacement, and impedance</w:t>
        </w:r>
        <w:r w:rsidR="00C35490">
          <w:rPr>
            <w:noProof/>
            <w:webHidden/>
          </w:rPr>
          <w:tab/>
        </w:r>
        <w:r w:rsidR="00C35490">
          <w:rPr>
            <w:noProof/>
            <w:webHidden/>
          </w:rPr>
          <w:fldChar w:fldCharType="begin"/>
        </w:r>
        <w:r w:rsidR="00C35490">
          <w:rPr>
            <w:noProof/>
            <w:webHidden/>
          </w:rPr>
          <w:instrText xml:space="preserve"> PAGEREF _Toc514059323 \h </w:instrText>
        </w:r>
        <w:r w:rsidR="00C35490">
          <w:rPr>
            <w:noProof/>
            <w:webHidden/>
          </w:rPr>
        </w:r>
        <w:r w:rsidR="00C35490">
          <w:rPr>
            <w:noProof/>
            <w:webHidden/>
          </w:rPr>
          <w:fldChar w:fldCharType="separate"/>
        </w:r>
        <w:r w:rsidR="00FD2727">
          <w:rPr>
            <w:noProof/>
            <w:webHidden/>
          </w:rPr>
          <w:t>263</w:t>
        </w:r>
        <w:r w:rsidR="00C35490">
          <w:rPr>
            <w:noProof/>
            <w:webHidden/>
          </w:rPr>
          <w:fldChar w:fldCharType="end"/>
        </w:r>
      </w:hyperlink>
    </w:p>
    <w:p w:rsidR="00C35490" w:rsidRDefault="009A724D">
      <w:pPr>
        <w:pStyle w:val="TOC4"/>
        <w:rPr>
          <w:rFonts w:asciiTheme="minorHAnsi" w:eastAsiaTheme="minorEastAsia" w:hAnsiTheme="minorHAnsi" w:cstheme="minorBidi"/>
          <w:noProof/>
          <w:sz w:val="22"/>
          <w:szCs w:val="22"/>
        </w:rPr>
      </w:pPr>
      <w:hyperlink w:anchor="_Toc514059324" w:history="1">
        <w:r w:rsidR="00C35490" w:rsidRPr="00DB06B3">
          <w:rPr>
            <w:rStyle w:val="Hyperlink"/>
            <w:noProof/>
          </w:rPr>
          <w:t>6.7.4.1   The single-aisle LCA market</w:t>
        </w:r>
        <w:r w:rsidR="00C35490">
          <w:rPr>
            <w:noProof/>
            <w:webHidden/>
          </w:rPr>
          <w:tab/>
        </w:r>
        <w:r w:rsidR="00C35490">
          <w:rPr>
            <w:noProof/>
            <w:webHidden/>
          </w:rPr>
          <w:fldChar w:fldCharType="begin"/>
        </w:r>
        <w:r w:rsidR="00C35490">
          <w:rPr>
            <w:noProof/>
            <w:webHidden/>
          </w:rPr>
          <w:instrText xml:space="preserve"> PAGEREF _Toc514059324 \h </w:instrText>
        </w:r>
        <w:r w:rsidR="00C35490">
          <w:rPr>
            <w:noProof/>
            <w:webHidden/>
          </w:rPr>
        </w:r>
        <w:r w:rsidR="00C35490">
          <w:rPr>
            <w:noProof/>
            <w:webHidden/>
          </w:rPr>
          <w:fldChar w:fldCharType="separate"/>
        </w:r>
        <w:r w:rsidR="00FD2727">
          <w:rPr>
            <w:noProof/>
            <w:webHidden/>
          </w:rPr>
          <w:t>263</w:t>
        </w:r>
        <w:r w:rsidR="00C35490">
          <w:rPr>
            <w:noProof/>
            <w:webHidden/>
          </w:rPr>
          <w:fldChar w:fldCharType="end"/>
        </w:r>
      </w:hyperlink>
    </w:p>
    <w:p w:rsidR="00C35490" w:rsidRDefault="009A724D">
      <w:pPr>
        <w:pStyle w:val="TOC4"/>
        <w:rPr>
          <w:rFonts w:asciiTheme="minorHAnsi" w:eastAsiaTheme="minorEastAsia" w:hAnsiTheme="minorHAnsi" w:cstheme="minorBidi"/>
          <w:noProof/>
          <w:sz w:val="22"/>
          <w:szCs w:val="22"/>
        </w:rPr>
      </w:pPr>
      <w:hyperlink w:anchor="_Toc514059325" w:history="1">
        <w:r w:rsidR="00C35490" w:rsidRPr="00DB06B3">
          <w:rPr>
            <w:rStyle w:val="Hyperlink"/>
            <w:noProof/>
          </w:rPr>
          <w:t>6.7.4.2   The twin-aisle LCA market</w:t>
        </w:r>
        <w:r w:rsidR="00C35490">
          <w:rPr>
            <w:noProof/>
            <w:webHidden/>
          </w:rPr>
          <w:tab/>
        </w:r>
        <w:r w:rsidR="00C35490">
          <w:rPr>
            <w:noProof/>
            <w:webHidden/>
          </w:rPr>
          <w:fldChar w:fldCharType="begin"/>
        </w:r>
        <w:r w:rsidR="00C35490">
          <w:rPr>
            <w:noProof/>
            <w:webHidden/>
          </w:rPr>
          <w:instrText xml:space="preserve"> PAGEREF _Toc514059325 \h </w:instrText>
        </w:r>
        <w:r w:rsidR="00C35490">
          <w:rPr>
            <w:noProof/>
            <w:webHidden/>
          </w:rPr>
        </w:r>
        <w:r w:rsidR="00C35490">
          <w:rPr>
            <w:noProof/>
            <w:webHidden/>
          </w:rPr>
          <w:fldChar w:fldCharType="separate"/>
        </w:r>
        <w:r w:rsidR="00FD2727">
          <w:rPr>
            <w:noProof/>
            <w:webHidden/>
          </w:rPr>
          <w:t>264</w:t>
        </w:r>
        <w:r w:rsidR="00C35490">
          <w:rPr>
            <w:noProof/>
            <w:webHidden/>
          </w:rPr>
          <w:fldChar w:fldCharType="end"/>
        </w:r>
      </w:hyperlink>
    </w:p>
    <w:p w:rsidR="00C35490" w:rsidRDefault="009A724D">
      <w:pPr>
        <w:pStyle w:val="TOC4"/>
        <w:rPr>
          <w:rFonts w:asciiTheme="minorHAnsi" w:eastAsiaTheme="minorEastAsia" w:hAnsiTheme="minorHAnsi" w:cstheme="minorBidi"/>
          <w:noProof/>
          <w:sz w:val="22"/>
          <w:szCs w:val="22"/>
        </w:rPr>
      </w:pPr>
      <w:hyperlink w:anchor="_Toc514059326" w:history="1">
        <w:r w:rsidR="00C35490" w:rsidRPr="00DB06B3">
          <w:rPr>
            <w:rStyle w:val="Hyperlink"/>
            <w:noProof/>
          </w:rPr>
          <w:t>6.7.4.3   The VLA market</w:t>
        </w:r>
        <w:r w:rsidR="00C35490">
          <w:rPr>
            <w:noProof/>
            <w:webHidden/>
          </w:rPr>
          <w:tab/>
        </w:r>
        <w:r w:rsidR="00C35490">
          <w:rPr>
            <w:noProof/>
            <w:webHidden/>
          </w:rPr>
          <w:fldChar w:fldCharType="begin"/>
        </w:r>
        <w:r w:rsidR="00C35490">
          <w:rPr>
            <w:noProof/>
            <w:webHidden/>
          </w:rPr>
          <w:instrText xml:space="preserve"> PAGEREF _Toc514059326 \h </w:instrText>
        </w:r>
        <w:r w:rsidR="00C35490">
          <w:rPr>
            <w:noProof/>
            <w:webHidden/>
          </w:rPr>
        </w:r>
        <w:r w:rsidR="00C35490">
          <w:rPr>
            <w:noProof/>
            <w:webHidden/>
          </w:rPr>
          <w:fldChar w:fldCharType="separate"/>
        </w:r>
        <w:r w:rsidR="00FD2727">
          <w:rPr>
            <w:noProof/>
            <w:webHidden/>
          </w:rPr>
          <w:t>265</w:t>
        </w:r>
        <w:r w:rsidR="00C35490">
          <w:rPr>
            <w:noProof/>
            <w:webHidden/>
          </w:rPr>
          <w:fldChar w:fldCharType="end"/>
        </w:r>
      </w:hyperlink>
    </w:p>
    <w:p w:rsidR="0007161B" w:rsidRDefault="0007161B" w:rsidP="00144B10">
      <w:r>
        <w:fldChar w:fldCharType="end"/>
      </w:r>
    </w:p>
    <w:p w:rsidR="0007161B" w:rsidRPr="00B55651" w:rsidRDefault="0007161B" w:rsidP="00206326">
      <w:pPr>
        <w:pStyle w:val="Title"/>
      </w:pPr>
      <w:bookmarkStart w:id="1" w:name="Abbreviations"/>
      <w:r w:rsidRPr="00B55651">
        <w:lastRenderedPageBreak/>
        <w:t xml:space="preserve">ABBREVIATIONS </w:t>
      </w:r>
      <w:bookmarkEnd w:id="1"/>
      <w:r w:rsidRPr="00B55651">
        <w:t>USED IN THIS REPORT</w:t>
      </w:r>
    </w:p>
    <w:tbl>
      <w:tblPr>
        <w:tblStyle w:val="WTOTable1"/>
        <w:tblW w:w="9221" w:type="dxa"/>
        <w:tblLayout w:type="fixed"/>
        <w:tblLook w:val="0060" w:firstRow="1" w:lastRow="1" w:firstColumn="0" w:lastColumn="0" w:noHBand="0" w:noVBand="0"/>
      </w:tblPr>
      <w:tblGrid>
        <w:gridCol w:w="2600"/>
        <w:gridCol w:w="6621"/>
      </w:tblGrid>
      <w:tr w:rsidR="0007161B" w:rsidRPr="00D46126" w:rsidTr="00BB61C1">
        <w:trPr>
          <w:cnfStyle w:val="100000000000" w:firstRow="1" w:lastRow="0" w:firstColumn="0" w:lastColumn="0" w:oddVBand="0" w:evenVBand="0" w:oddHBand="0" w:evenHBand="0" w:firstRowFirstColumn="0" w:firstRowLastColumn="0" w:lastRowFirstColumn="0" w:lastRowLastColumn="0"/>
          <w:tblHeader/>
        </w:trPr>
        <w:tc>
          <w:tcPr>
            <w:tcW w:w="2600" w:type="dxa"/>
          </w:tcPr>
          <w:p w:rsidR="0007161B" w:rsidRPr="00D46126" w:rsidRDefault="0007161B" w:rsidP="00206326">
            <w:pPr>
              <w:keepLines/>
              <w:tabs>
                <w:tab w:val="left" w:pos="2268"/>
                <w:tab w:val="left" w:pos="4536"/>
              </w:tabs>
              <w:spacing w:before="60" w:after="60"/>
              <w:jc w:val="center"/>
              <w:rPr>
                <w:b w:val="0"/>
                <w:szCs w:val="18"/>
              </w:rPr>
            </w:pPr>
            <w:r w:rsidRPr="00D46126">
              <w:rPr>
                <w:szCs w:val="18"/>
              </w:rPr>
              <w:t>Abbreviation</w:t>
            </w:r>
          </w:p>
        </w:tc>
        <w:tc>
          <w:tcPr>
            <w:tcW w:w="6621" w:type="dxa"/>
          </w:tcPr>
          <w:p w:rsidR="0007161B" w:rsidRPr="00D46126" w:rsidRDefault="0007161B" w:rsidP="00206326">
            <w:pPr>
              <w:keepLines/>
              <w:tabs>
                <w:tab w:val="left" w:pos="2268"/>
                <w:tab w:val="left" w:pos="4536"/>
              </w:tabs>
              <w:spacing w:before="60" w:after="60"/>
              <w:jc w:val="center"/>
              <w:rPr>
                <w:b w:val="0"/>
                <w:szCs w:val="18"/>
              </w:rPr>
            </w:pPr>
            <w:r w:rsidRPr="00D46126">
              <w:rPr>
                <w:szCs w:val="18"/>
              </w:rPr>
              <w:t>Description</w:t>
            </w:r>
          </w:p>
        </w:tc>
      </w:tr>
      <w:tr w:rsidR="007D1D27" w:rsidRPr="005C06FD" w:rsidTr="00B36EF2">
        <w:tc>
          <w:tcPr>
            <w:tcW w:w="2600" w:type="dxa"/>
          </w:tcPr>
          <w:p w:rsidR="007D1D27" w:rsidRPr="00A453EC" w:rsidRDefault="007D1D27" w:rsidP="007D1D27">
            <w:pPr>
              <w:spacing w:before="60" w:after="60"/>
              <w:jc w:val="left"/>
              <w:rPr>
                <w:szCs w:val="16"/>
              </w:rPr>
            </w:pPr>
            <w:r>
              <w:rPr>
                <w:szCs w:val="16"/>
              </w:rPr>
              <w:t>A350XWB Business Case Presentation</w:t>
            </w:r>
          </w:p>
        </w:tc>
        <w:tc>
          <w:tcPr>
            <w:tcW w:w="6621" w:type="dxa"/>
          </w:tcPr>
          <w:p w:rsidR="007D1D27" w:rsidRPr="00A453EC" w:rsidRDefault="007D1D27" w:rsidP="00C8434D">
            <w:pPr>
              <w:spacing w:before="60" w:after="60"/>
              <w:jc w:val="left"/>
              <w:rPr>
                <w:szCs w:val="16"/>
              </w:rPr>
            </w:pPr>
            <w:r>
              <w:rPr>
                <w:szCs w:val="16"/>
              </w:rPr>
              <w:t xml:space="preserve">"Presentation to the EADS Board", </w:t>
            </w:r>
            <w:r>
              <w:rPr>
                <w:b/>
                <w:szCs w:val="16"/>
              </w:rPr>
              <w:t>[</w:t>
            </w:r>
            <w:r w:rsidR="00C8434D" w:rsidRPr="00C8434D">
              <w:rPr>
                <w:b/>
                <w:szCs w:val="16"/>
              </w:rPr>
              <w:t>BCI</w:t>
            </w:r>
            <w:r>
              <w:rPr>
                <w:b/>
                <w:szCs w:val="16"/>
              </w:rPr>
              <w:t xml:space="preserve">] </w:t>
            </w:r>
            <w:r>
              <w:rPr>
                <w:szCs w:val="16"/>
              </w:rPr>
              <w:t>and "A350XWB Business Case: Assumptions, Sensitivities and Limitations, Presentation to EADS BoD – status", 2 November 2006</w:t>
            </w:r>
          </w:p>
        </w:tc>
      </w:tr>
      <w:tr w:rsidR="005C06FD" w:rsidRPr="005C06FD" w:rsidTr="00B36EF2">
        <w:trPr>
          <w:cnfStyle w:val="000000010000" w:firstRow="0" w:lastRow="0" w:firstColumn="0" w:lastColumn="0" w:oddVBand="0" w:evenVBand="0" w:oddHBand="0" w:evenHBand="1" w:firstRowFirstColumn="0" w:firstRowLastColumn="0" w:lastRowFirstColumn="0" w:lastRowLastColumn="0"/>
        </w:trPr>
        <w:tc>
          <w:tcPr>
            <w:tcW w:w="2600" w:type="dxa"/>
          </w:tcPr>
          <w:p w:rsidR="005C06FD" w:rsidRPr="005C06FD" w:rsidRDefault="005C06FD" w:rsidP="00206326">
            <w:pPr>
              <w:spacing w:before="60" w:after="60"/>
              <w:jc w:val="left"/>
              <w:rPr>
                <w:szCs w:val="18"/>
              </w:rPr>
            </w:pPr>
            <w:r w:rsidRPr="00A453EC">
              <w:rPr>
                <w:szCs w:val="16"/>
              </w:rPr>
              <w:t>A350XWB Chief Engineering Rebuttal</w:t>
            </w:r>
          </w:p>
        </w:tc>
        <w:tc>
          <w:tcPr>
            <w:tcW w:w="6621" w:type="dxa"/>
          </w:tcPr>
          <w:p w:rsidR="005C06FD" w:rsidRPr="005C06FD" w:rsidRDefault="005C06FD" w:rsidP="005C06FD">
            <w:pPr>
              <w:spacing w:before="60" w:after="60"/>
              <w:jc w:val="left"/>
              <w:rPr>
                <w:bCs/>
                <w:szCs w:val="18"/>
                <w:lang w:eastAsia="ja-JP"/>
              </w:rPr>
            </w:pPr>
            <w:r w:rsidRPr="00A453EC">
              <w:rPr>
                <w:szCs w:val="16"/>
              </w:rPr>
              <w:t>Statement by Gordon McConnell, Michel Lacabanne, Chantal Fualdes, François Cerbelaud and Burkhard Domke, A350XWB Chief Engineering, 13</w:t>
            </w:r>
            <w:r>
              <w:rPr>
                <w:szCs w:val="16"/>
              </w:rPr>
              <w:t> December 20</w:t>
            </w:r>
            <w:r w:rsidRPr="00A453EC">
              <w:rPr>
                <w:szCs w:val="16"/>
              </w:rPr>
              <w:t xml:space="preserve">12 </w:t>
            </w:r>
            <w:r w:rsidRPr="00A453EC">
              <w:t>(Panel Exhibit EU-128 (BCI/HSBI))</w:t>
            </w:r>
          </w:p>
        </w:tc>
      </w:tr>
      <w:tr w:rsidR="009C518E" w:rsidRPr="005C06FD" w:rsidTr="00B36EF2">
        <w:tc>
          <w:tcPr>
            <w:tcW w:w="2600" w:type="dxa"/>
          </w:tcPr>
          <w:p w:rsidR="009C518E" w:rsidRPr="00A453EC" w:rsidRDefault="009C518E" w:rsidP="00206326">
            <w:pPr>
              <w:spacing w:before="60" w:after="60"/>
              <w:jc w:val="left"/>
              <w:rPr>
                <w:szCs w:val="16"/>
              </w:rPr>
            </w:pPr>
            <w:r>
              <w:rPr>
                <w:szCs w:val="16"/>
              </w:rPr>
              <w:t>A350XWB Chief Engineering Statement</w:t>
            </w:r>
          </w:p>
        </w:tc>
        <w:tc>
          <w:tcPr>
            <w:tcW w:w="6621" w:type="dxa"/>
          </w:tcPr>
          <w:p w:rsidR="009C518E" w:rsidRPr="00A453EC" w:rsidRDefault="009C518E" w:rsidP="009C518E">
            <w:pPr>
              <w:spacing w:before="60" w:after="60"/>
              <w:jc w:val="left"/>
              <w:rPr>
                <w:szCs w:val="16"/>
              </w:rPr>
            </w:pPr>
            <w:r w:rsidRPr="00A453EC">
              <w:rPr>
                <w:szCs w:val="16"/>
              </w:rPr>
              <w:t>Airbus, A350XWB Chief Engineering and Future Projects Office, "A350XWB Chief Engineering Statement", 3</w:t>
            </w:r>
            <w:r>
              <w:rPr>
                <w:szCs w:val="16"/>
              </w:rPr>
              <w:t> July 20</w:t>
            </w:r>
            <w:r w:rsidRPr="00A453EC">
              <w:rPr>
                <w:szCs w:val="16"/>
              </w:rPr>
              <w:t xml:space="preserve">12 </w:t>
            </w:r>
            <w:r w:rsidR="000405DB">
              <w:t>(Panel Exhibit </w:t>
            </w:r>
            <w:r w:rsidRPr="00A453EC">
              <w:t>EU-18</w:t>
            </w:r>
            <w:r w:rsidRPr="00097064">
              <w:t xml:space="preserve"> (BCI/HSBI)</w:t>
            </w:r>
            <w:r>
              <w:t>)</w:t>
            </w:r>
          </w:p>
        </w:tc>
      </w:tr>
      <w:tr w:rsidR="005C4379" w:rsidRPr="005C06FD" w:rsidTr="00B36EF2">
        <w:trPr>
          <w:cnfStyle w:val="000000010000" w:firstRow="0" w:lastRow="0" w:firstColumn="0" w:lastColumn="0" w:oddVBand="0" w:evenVBand="0" w:oddHBand="0" w:evenHBand="1" w:firstRowFirstColumn="0" w:firstRowLastColumn="0" w:lastRowFirstColumn="0" w:lastRowLastColumn="0"/>
        </w:trPr>
        <w:tc>
          <w:tcPr>
            <w:tcW w:w="2600" w:type="dxa"/>
          </w:tcPr>
          <w:p w:rsidR="005C4379" w:rsidRPr="00A453EC" w:rsidRDefault="005C4379" w:rsidP="00206326">
            <w:pPr>
              <w:spacing w:before="60" w:after="60"/>
              <w:jc w:val="left"/>
              <w:rPr>
                <w:szCs w:val="16"/>
              </w:rPr>
            </w:pPr>
            <w:r w:rsidRPr="00A453EC">
              <w:rPr>
                <w:szCs w:val="16"/>
              </w:rPr>
              <w:t>A350XWB Production Statement</w:t>
            </w:r>
          </w:p>
        </w:tc>
        <w:tc>
          <w:tcPr>
            <w:tcW w:w="6621" w:type="dxa"/>
          </w:tcPr>
          <w:p w:rsidR="005C4379" w:rsidRPr="00A453EC" w:rsidRDefault="005C4379" w:rsidP="005C4379">
            <w:pPr>
              <w:spacing w:before="60" w:after="60"/>
              <w:jc w:val="left"/>
              <w:rPr>
                <w:szCs w:val="16"/>
              </w:rPr>
            </w:pPr>
            <w:r w:rsidRPr="00A453EC">
              <w:rPr>
                <w:szCs w:val="16"/>
              </w:rPr>
              <w:t>A350XWB Production Statement by Philippe Launay, 14</w:t>
            </w:r>
            <w:r>
              <w:rPr>
                <w:szCs w:val="16"/>
              </w:rPr>
              <w:t> January 20</w:t>
            </w:r>
            <w:r w:rsidRPr="00A453EC">
              <w:rPr>
                <w:szCs w:val="16"/>
              </w:rPr>
              <w:t xml:space="preserve">13 </w:t>
            </w:r>
            <w:r w:rsidRPr="00A453EC">
              <w:t>(Panel Exhibit EU-129 (BCI/HSBI))</w:t>
            </w:r>
          </w:p>
        </w:tc>
      </w:tr>
      <w:tr w:rsidR="0007161B" w:rsidRPr="00F866C9" w:rsidTr="00B36EF2">
        <w:tc>
          <w:tcPr>
            <w:tcW w:w="2600" w:type="dxa"/>
          </w:tcPr>
          <w:p w:rsidR="0007161B" w:rsidRPr="005C06FD" w:rsidRDefault="0007161B" w:rsidP="00206326">
            <w:pPr>
              <w:spacing w:before="60" w:after="60"/>
              <w:jc w:val="left"/>
              <w:rPr>
                <w:bCs/>
                <w:szCs w:val="18"/>
                <w:lang w:eastAsia="ja-JP"/>
              </w:rPr>
            </w:pPr>
            <w:r w:rsidRPr="005C06FD">
              <w:rPr>
                <w:szCs w:val="18"/>
              </w:rPr>
              <w:t>Aérospatiale</w:t>
            </w:r>
          </w:p>
        </w:tc>
        <w:tc>
          <w:tcPr>
            <w:tcW w:w="6621" w:type="dxa"/>
          </w:tcPr>
          <w:p w:rsidR="0007161B" w:rsidRPr="005C06FD" w:rsidRDefault="0007161B" w:rsidP="00206326">
            <w:pPr>
              <w:spacing w:before="60" w:after="60"/>
              <w:jc w:val="left"/>
              <w:rPr>
                <w:bCs/>
                <w:szCs w:val="18"/>
                <w:lang w:val="fr-CH" w:eastAsia="ja-JP"/>
              </w:rPr>
            </w:pPr>
            <w:r w:rsidRPr="005C06FD">
              <w:rPr>
                <w:bCs/>
                <w:szCs w:val="18"/>
                <w:lang w:val="fr-CH" w:eastAsia="ja-JP"/>
              </w:rPr>
              <w:t>French aerospace manufacturer, Aérospatiale Société Nationale Industrielle</w:t>
            </w:r>
          </w:p>
        </w:tc>
      </w:tr>
      <w:tr w:rsidR="005C06FD" w:rsidRPr="00D46126" w:rsidTr="00B36EF2">
        <w:trPr>
          <w:cnfStyle w:val="000000010000" w:firstRow="0" w:lastRow="0" w:firstColumn="0" w:lastColumn="0" w:oddVBand="0" w:evenVBand="0" w:oddHBand="0" w:evenHBand="1" w:firstRowFirstColumn="0" w:firstRowLastColumn="0" w:lastRowFirstColumn="0" w:lastRowLastColumn="0"/>
        </w:trPr>
        <w:tc>
          <w:tcPr>
            <w:tcW w:w="2600" w:type="dxa"/>
          </w:tcPr>
          <w:p w:rsidR="005C06FD" w:rsidRPr="005C06FD" w:rsidRDefault="005C06FD" w:rsidP="00206326">
            <w:pPr>
              <w:spacing w:before="60" w:after="60"/>
              <w:jc w:val="left"/>
              <w:rPr>
                <w:szCs w:val="18"/>
                <w:highlight w:val="yellow"/>
              </w:rPr>
            </w:pPr>
            <w:r w:rsidRPr="005C06FD">
              <w:rPr>
                <w:szCs w:val="18"/>
              </w:rPr>
              <w:t>BAE Systems</w:t>
            </w:r>
          </w:p>
        </w:tc>
        <w:tc>
          <w:tcPr>
            <w:tcW w:w="6621" w:type="dxa"/>
          </w:tcPr>
          <w:p w:rsidR="005C06FD" w:rsidRPr="005C06FD" w:rsidRDefault="005C06FD" w:rsidP="00206326">
            <w:pPr>
              <w:spacing w:before="60" w:after="60"/>
              <w:jc w:val="left"/>
              <w:rPr>
                <w:szCs w:val="18"/>
                <w:highlight w:val="yellow"/>
              </w:rPr>
            </w:pPr>
            <w:r>
              <w:t>British Aerospace Systems</w:t>
            </w:r>
          </w:p>
        </w:tc>
      </w:tr>
      <w:tr w:rsidR="005C4379" w:rsidRPr="00D46126" w:rsidTr="00B36EF2">
        <w:tc>
          <w:tcPr>
            <w:tcW w:w="2600" w:type="dxa"/>
          </w:tcPr>
          <w:p w:rsidR="005C4379" w:rsidRPr="005C06FD" w:rsidRDefault="005C4379" w:rsidP="00206326">
            <w:pPr>
              <w:spacing w:before="60" w:after="60"/>
              <w:jc w:val="left"/>
              <w:rPr>
                <w:szCs w:val="18"/>
              </w:rPr>
            </w:pPr>
            <w:r>
              <w:rPr>
                <w:szCs w:val="18"/>
              </w:rPr>
              <w:t>Bair Declaration</w:t>
            </w:r>
          </w:p>
        </w:tc>
        <w:tc>
          <w:tcPr>
            <w:tcW w:w="6621" w:type="dxa"/>
          </w:tcPr>
          <w:p w:rsidR="005C4379" w:rsidRPr="005C06FD" w:rsidRDefault="005C4379" w:rsidP="000A1C11">
            <w:pPr>
              <w:spacing w:before="60" w:after="60"/>
              <w:jc w:val="left"/>
              <w:rPr>
                <w:szCs w:val="18"/>
              </w:rPr>
            </w:pPr>
            <w:r w:rsidRPr="00A453EC">
              <w:rPr>
                <w:szCs w:val="16"/>
              </w:rPr>
              <w:t xml:space="preserve">Declaration of Michael Bair: Products and Competition in the </w:t>
            </w:r>
            <w:r w:rsidR="000A1C11">
              <w:rPr>
                <w:szCs w:val="16"/>
              </w:rPr>
              <w:t>L</w:t>
            </w:r>
            <w:r w:rsidRPr="00A453EC">
              <w:rPr>
                <w:szCs w:val="16"/>
              </w:rPr>
              <w:t>CA Industry (16</w:t>
            </w:r>
            <w:r>
              <w:rPr>
                <w:szCs w:val="16"/>
              </w:rPr>
              <w:t> August 20</w:t>
            </w:r>
            <w:r w:rsidRPr="00A453EC">
              <w:rPr>
                <w:szCs w:val="16"/>
              </w:rPr>
              <w:t xml:space="preserve">12) </w:t>
            </w:r>
            <w:r w:rsidRPr="00A453EC">
              <w:t>(Panel Exhibit USA-339 (BCI))</w:t>
            </w:r>
          </w:p>
        </w:tc>
      </w:tr>
      <w:tr w:rsidR="0007161B" w:rsidRPr="00D46126" w:rsidTr="00B36EF2">
        <w:trPr>
          <w:cnfStyle w:val="000000010000" w:firstRow="0" w:lastRow="0" w:firstColumn="0" w:lastColumn="0" w:oddVBand="0" w:evenVBand="0" w:oddHBand="0" w:evenHBand="1" w:firstRowFirstColumn="0" w:firstRowLastColumn="0" w:lastRowFirstColumn="0" w:lastRowLastColumn="0"/>
        </w:trPr>
        <w:tc>
          <w:tcPr>
            <w:tcW w:w="2600" w:type="dxa"/>
          </w:tcPr>
          <w:p w:rsidR="0007161B" w:rsidRPr="005C06FD" w:rsidRDefault="0007161B" w:rsidP="00206326">
            <w:pPr>
              <w:spacing w:before="60" w:after="60"/>
              <w:jc w:val="left"/>
              <w:rPr>
                <w:szCs w:val="18"/>
              </w:rPr>
            </w:pPr>
            <w:r w:rsidRPr="005C06FD">
              <w:rPr>
                <w:szCs w:val="18"/>
              </w:rPr>
              <w:t>BCI</w:t>
            </w:r>
          </w:p>
        </w:tc>
        <w:tc>
          <w:tcPr>
            <w:tcW w:w="6621" w:type="dxa"/>
          </w:tcPr>
          <w:p w:rsidR="0007161B" w:rsidRPr="005C06FD" w:rsidRDefault="0007161B" w:rsidP="00206326">
            <w:pPr>
              <w:spacing w:before="60" w:after="60"/>
              <w:jc w:val="left"/>
              <w:rPr>
                <w:szCs w:val="18"/>
              </w:rPr>
            </w:pPr>
            <w:r w:rsidRPr="005C06FD">
              <w:rPr>
                <w:szCs w:val="18"/>
              </w:rPr>
              <w:t>business confidential information</w:t>
            </w:r>
          </w:p>
        </w:tc>
      </w:tr>
      <w:tr w:rsidR="0007161B" w:rsidRPr="00D46126" w:rsidTr="00B36EF2">
        <w:tc>
          <w:tcPr>
            <w:tcW w:w="2600" w:type="dxa"/>
          </w:tcPr>
          <w:p w:rsidR="0007161B" w:rsidRPr="002139E2" w:rsidRDefault="0007161B" w:rsidP="00206326">
            <w:pPr>
              <w:spacing w:before="60" w:after="60"/>
              <w:jc w:val="left"/>
              <w:rPr>
                <w:bCs/>
                <w:szCs w:val="18"/>
                <w:lang w:eastAsia="ja-JP"/>
              </w:rPr>
            </w:pPr>
            <w:r w:rsidRPr="002139E2">
              <w:rPr>
                <w:szCs w:val="18"/>
              </w:rPr>
              <w:t>Compliance Communication</w:t>
            </w:r>
          </w:p>
        </w:tc>
        <w:tc>
          <w:tcPr>
            <w:tcW w:w="6621" w:type="dxa"/>
          </w:tcPr>
          <w:p w:rsidR="0007161B" w:rsidRPr="002139E2" w:rsidRDefault="0007161B" w:rsidP="00206326">
            <w:pPr>
              <w:spacing w:before="60" w:after="60"/>
              <w:jc w:val="left"/>
              <w:rPr>
                <w:bCs/>
                <w:szCs w:val="18"/>
                <w:lang w:eastAsia="ja-JP"/>
              </w:rPr>
            </w:pPr>
            <w:r w:rsidRPr="002139E2">
              <w:rPr>
                <w:szCs w:val="18"/>
              </w:rPr>
              <w:t xml:space="preserve">Communication from the </w:t>
            </w:r>
            <w:r w:rsidR="000A10EA" w:rsidRPr="002139E2">
              <w:rPr>
                <w:szCs w:val="18"/>
              </w:rPr>
              <w:t>European Union</w:t>
            </w:r>
            <w:r w:rsidRPr="002139E2">
              <w:rPr>
                <w:szCs w:val="18"/>
              </w:rPr>
              <w:t xml:space="preserve"> dated 1</w:t>
            </w:r>
            <w:r w:rsidR="000A18DA" w:rsidRPr="002139E2">
              <w:rPr>
                <w:szCs w:val="18"/>
              </w:rPr>
              <w:t> December</w:t>
            </w:r>
            <w:r w:rsidR="000A10EA" w:rsidRPr="002139E2">
              <w:rPr>
                <w:szCs w:val="18"/>
              </w:rPr>
              <w:t> 20</w:t>
            </w:r>
            <w:r w:rsidRPr="002139E2">
              <w:rPr>
                <w:szCs w:val="18"/>
              </w:rPr>
              <w:t>11, WT/DS316/17</w:t>
            </w:r>
          </w:p>
        </w:tc>
      </w:tr>
      <w:tr w:rsidR="00B36EF2" w:rsidRPr="00D46126" w:rsidTr="00B36EF2">
        <w:trPr>
          <w:cnfStyle w:val="000000010000" w:firstRow="0" w:lastRow="0" w:firstColumn="0" w:lastColumn="0" w:oddVBand="0" w:evenVBand="0" w:oddHBand="0" w:evenHBand="1" w:firstRowFirstColumn="0" w:firstRowLastColumn="0" w:lastRowFirstColumn="0" w:lastRowLastColumn="0"/>
        </w:trPr>
        <w:tc>
          <w:tcPr>
            <w:tcW w:w="2600" w:type="dxa"/>
          </w:tcPr>
          <w:p w:rsidR="00B36EF2" w:rsidRPr="005C06FD" w:rsidRDefault="00B36EF2" w:rsidP="00206326">
            <w:pPr>
              <w:spacing w:before="60" w:after="60"/>
              <w:jc w:val="left"/>
              <w:rPr>
                <w:bCs/>
                <w:szCs w:val="18"/>
                <w:lang w:eastAsia="ja-JP"/>
              </w:rPr>
            </w:pPr>
            <w:r w:rsidRPr="005C06FD">
              <w:rPr>
                <w:bCs/>
                <w:szCs w:val="18"/>
                <w:lang w:eastAsia="ja-JP"/>
              </w:rPr>
              <w:t>DARE</w:t>
            </w:r>
          </w:p>
        </w:tc>
        <w:tc>
          <w:tcPr>
            <w:tcW w:w="6621" w:type="dxa"/>
          </w:tcPr>
          <w:p w:rsidR="00B36EF2" w:rsidRPr="005C06FD" w:rsidRDefault="00B36EF2" w:rsidP="00206326">
            <w:pPr>
              <w:spacing w:before="60" w:after="60"/>
              <w:jc w:val="left"/>
              <w:rPr>
                <w:bCs/>
                <w:szCs w:val="18"/>
                <w:lang w:eastAsia="ja-JP"/>
              </w:rPr>
            </w:pPr>
            <w:r w:rsidRPr="005C06FD">
              <w:rPr>
                <w:bCs/>
                <w:szCs w:val="18"/>
                <w:lang w:eastAsia="ja-JP"/>
              </w:rPr>
              <w:t>Develop And Ramp-up Excellence</w:t>
            </w:r>
          </w:p>
        </w:tc>
      </w:tr>
      <w:tr w:rsidR="0007161B" w:rsidRPr="00D46126" w:rsidTr="00B36EF2">
        <w:tc>
          <w:tcPr>
            <w:tcW w:w="2600" w:type="dxa"/>
          </w:tcPr>
          <w:p w:rsidR="0007161B" w:rsidRPr="005C06FD" w:rsidRDefault="0007161B" w:rsidP="00206326">
            <w:pPr>
              <w:spacing w:before="60" w:after="60"/>
              <w:jc w:val="left"/>
              <w:rPr>
                <w:bCs/>
                <w:szCs w:val="18"/>
                <w:lang w:eastAsia="ja-JP"/>
              </w:rPr>
            </w:pPr>
            <w:r w:rsidRPr="005C06FD">
              <w:rPr>
                <w:bCs/>
                <w:szCs w:val="18"/>
                <w:lang w:eastAsia="ja-JP"/>
              </w:rPr>
              <w:t>Deutsche Airbus</w:t>
            </w:r>
          </w:p>
        </w:tc>
        <w:tc>
          <w:tcPr>
            <w:tcW w:w="6621" w:type="dxa"/>
          </w:tcPr>
          <w:p w:rsidR="0007161B" w:rsidRPr="005C06FD" w:rsidRDefault="0007161B" w:rsidP="00206326">
            <w:pPr>
              <w:spacing w:before="60" w:after="60"/>
              <w:jc w:val="left"/>
              <w:rPr>
                <w:bCs/>
                <w:szCs w:val="18"/>
                <w:lang w:eastAsia="ja-JP"/>
              </w:rPr>
            </w:pPr>
            <w:r w:rsidRPr="005C06FD">
              <w:rPr>
                <w:bCs/>
                <w:szCs w:val="18"/>
                <w:lang w:eastAsia="ja-JP"/>
              </w:rPr>
              <w:t>German aerospace manufacturer, Deutsche Airbus GmbH</w:t>
            </w:r>
          </w:p>
        </w:tc>
      </w:tr>
      <w:tr w:rsidR="001C6A42" w:rsidRPr="00D46126" w:rsidTr="00B36EF2">
        <w:trPr>
          <w:cnfStyle w:val="000000010000" w:firstRow="0" w:lastRow="0" w:firstColumn="0" w:lastColumn="0" w:oddVBand="0" w:evenVBand="0" w:oddHBand="0" w:evenHBand="1" w:firstRowFirstColumn="0" w:firstRowLastColumn="0" w:lastRowFirstColumn="0" w:lastRowLastColumn="0"/>
        </w:trPr>
        <w:tc>
          <w:tcPr>
            <w:tcW w:w="2600" w:type="dxa"/>
          </w:tcPr>
          <w:p w:rsidR="001C6A42" w:rsidRPr="005C06FD" w:rsidRDefault="001C6A42" w:rsidP="00206326">
            <w:pPr>
              <w:spacing w:before="60" w:after="60"/>
              <w:jc w:val="left"/>
              <w:rPr>
                <w:bCs/>
                <w:szCs w:val="18"/>
                <w:lang w:eastAsia="ja-JP"/>
              </w:rPr>
            </w:pPr>
            <w:r>
              <w:rPr>
                <w:bCs/>
                <w:szCs w:val="18"/>
                <w:lang w:eastAsia="ja-JP"/>
              </w:rPr>
              <w:t>Dorman Report</w:t>
            </w:r>
          </w:p>
        </w:tc>
        <w:tc>
          <w:tcPr>
            <w:tcW w:w="6621" w:type="dxa"/>
          </w:tcPr>
          <w:p w:rsidR="001C6A42" w:rsidRPr="005C06FD" w:rsidRDefault="001C6A42" w:rsidP="00206326">
            <w:pPr>
              <w:spacing w:before="60" w:after="60"/>
              <w:jc w:val="left"/>
              <w:rPr>
                <w:bCs/>
                <w:szCs w:val="18"/>
                <w:lang w:eastAsia="ja-JP"/>
              </w:rPr>
            </w:pPr>
            <w:r>
              <w:t xml:space="preserve">Gary J. Dorman, NERA, </w:t>
            </w:r>
            <w:r>
              <w:rPr>
                <w:i/>
              </w:rPr>
              <w:t>The Effect of Launch Aid on the Economics of Commercial Airline Programs</w:t>
            </w:r>
            <w:r>
              <w:t xml:space="preserve">, </w:t>
            </w:r>
            <w:r w:rsidR="000405DB">
              <w:t>6 November 2006 (Original Panel </w:t>
            </w:r>
            <w:r>
              <w:t>Exhibit US-70 (BCI))</w:t>
            </w:r>
          </w:p>
        </w:tc>
      </w:tr>
      <w:tr w:rsidR="0007161B" w:rsidRPr="00D46126" w:rsidTr="00B36EF2">
        <w:tc>
          <w:tcPr>
            <w:tcW w:w="2600" w:type="dxa"/>
          </w:tcPr>
          <w:p w:rsidR="0007161B" w:rsidRPr="005C06FD" w:rsidRDefault="0007161B" w:rsidP="00206326">
            <w:pPr>
              <w:spacing w:before="60" w:after="60"/>
              <w:jc w:val="left"/>
              <w:rPr>
                <w:bCs/>
                <w:szCs w:val="18"/>
                <w:lang w:eastAsia="ja-JP"/>
              </w:rPr>
            </w:pPr>
            <w:r w:rsidRPr="005C06FD">
              <w:rPr>
                <w:bCs/>
                <w:szCs w:val="18"/>
                <w:lang w:eastAsia="ja-JP"/>
              </w:rPr>
              <w:t>DSB</w:t>
            </w:r>
          </w:p>
        </w:tc>
        <w:tc>
          <w:tcPr>
            <w:tcW w:w="6621" w:type="dxa"/>
          </w:tcPr>
          <w:p w:rsidR="0007161B" w:rsidRPr="005C06FD" w:rsidRDefault="0007161B" w:rsidP="00206326">
            <w:pPr>
              <w:spacing w:before="60" w:after="60"/>
              <w:jc w:val="left"/>
              <w:rPr>
                <w:bCs/>
                <w:szCs w:val="18"/>
                <w:lang w:eastAsia="ja-JP"/>
              </w:rPr>
            </w:pPr>
            <w:r w:rsidRPr="005C06FD">
              <w:rPr>
                <w:bCs/>
                <w:szCs w:val="18"/>
                <w:lang w:eastAsia="ja-JP"/>
              </w:rPr>
              <w:t>Dispute Settlement Body</w:t>
            </w:r>
          </w:p>
        </w:tc>
      </w:tr>
      <w:tr w:rsidR="0007161B" w:rsidRPr="00D46126" w:rsidTr="00B36EF2">
        <w:trPr>
          <w:cnfStyle w:val="000000010000" w:firstRow="0" w:lastRow="0" w:firstColumn="0" w:lastColumn="0" w:oddVBand="0" w:evenVBand="0" w:oddHBand="0" w:evenHBand="1" w:firstRowFirstColumn="0" w:firstRowLastColumn="0" w:lastRowFirstColumn="0" w:lastRowLastColumn="0"/>
        </w:trPr>
        <w:tc>
          <w:tcPr>
            <w:tcW w:w="2600" w:type="dxa"/>
          </w:tcPr>
          <w:p w:rsidR="0007161B" w:rsidRPr="005C06FD" w:rsidRDefault="0007161B" w:rsidP="00206326">
            <w:pPr>
              <w:spacing w:before="60" w:after="60"/>
              <w:jc w:val="left"/>
              <w:rPr>
                <w:bCs/>
                <w:szCs w:val="18"/>
                <w:lang w:eastAsia="ja-JP"/>
              </w:rPr>
            </w:pPr>
            <w:r w:rsidRPr="005C06FD">
              <w:rPr>
                <w:bCs/>
                <w:szCs w:val="18"/>
                <w:lang w:eastAsia="ja-JP"/>
              </w:rPr>
              <w:t>DSU</w:t>
            </w:r>
          </w:p>
        </w:tc>
        <w:tc>
          <w:tcPr>
            <w:tcW w:w="6621" w:type="dxa"/>
          </w:tcPr>
          <w:p w:rsidR="0007161B" w:rsidRPr="005C06FD" w:rsidRDefault="0007161B" w:rsidP="00206326">
            <w:pPr>
              <w:spacing w:before="60" w:after="60"/>
              <w:jc w:val="left"/>
              <w:rPr>
                <w:bCs/>
                <w:szCs w:val="18"/>
                <w:lang w:eastAsia="ja-JP"/>
              </w:rPr>
            </w:pPr>
            <w:r w:rsidRPr="005C06FD">
              <w:rPr>
                <w:bCs/>
                <w:szCs w:val="18"/>
                <w:lang w:eastAsia="ja-JP"/>
              </w:rPr>
              <w:t>Understanding on Rules and Procedures</w:t>
            </w:r>
            <w:r w:rsidR="000405DB">
              <w:rPr>
                <w:bCs/>
                <w:szCs w:val="18"/>
                <w:lang w:eastAsia="ja-JP"/>
              </w:rPr>
              <w:t xml:space="preserve"> Governing the Settlement of </w:t>
            </w:r>
            <w:r w:rsidRPr="005C06FD">
              <w:rPr>
                <w:bCs/>
                <w:szCs w:val="18"/>
                <w:lang w:eastAsia="ja-JP"/>
              </w:rPr>
              <w:t>Disputes</w:t>
            </w:r>
          </w:p>
        </w:tc>
      </w:tr>
      <w:tr w:rsidR="0007161B" w:rsidRPr="00D46126" w:rsidTr="00B36EF2">
        <w:tc>
          <w:tcPr>
            <w:tcW w:w="2600" w:type="dxa"/>
          </w:tcPr>
          <w:p w:rsidR="0007161B" w:rsidRPr="002139E2" w:rsidRDefault="0007161B" w:rsidP="00206326">
            <w:pPr>
              <w:spacing w:before="60" w:after="60"/>
              <w:jc w:val="left"/>
              <w:rPr>
                <w:bCs/>
                <w:szCs w:val="18"/>
                <w:lang w:eastAsia="ja-JP"/>
              </w:rPr>
            </w:pPr>
            <w:r w:rsidRPr="002139E2">
              <w:rPr>
                <w:bCs/>
                <w:szCs w:val="18"/>
                <w:lang w:eastAsia="ja-JP"/>
              </w:rPr>
              <w:t>EADS</w:t>
            </w:r>
          </w:p>
        </w:tc>
        <w:tc>
          <w:tcPr>
            <w:tcW w:w="6621" w:type="dxa"/>
          </w:tcPr>
          <w:p w:rsidR="0007161B" w:rsidRPr="002139E2" w:rsidRDefault="0007161B" w:rsidP="00206326">
            <w:pPr>
              <w:spacing w:before="60" w:after="60"/>
              <w:jc w:val="left"/>
              <w:rPr>
                <w:bCs/>
                <w:szCs w:val="18"/>
                <w:lang w:eastAsia="ja-JP"/>
              </w:rPr>
            </w:pPr>
            <w:r w:rsidRPr="002139E2">
              <w:rPr>
                <w:bCs/>
                <w:szCs w:val="18"/>
                <w:lang w:eastAsia="ja-JP"/>
              </w:rPr>
              <w:t>European Aeronautic Defence and Space Company N.V.</w:t>
            </w:r>
          </w:p>
        </w:tc>
      </w:tr>
      <w:tr w:rsidR="00203411" w:rsidRPr="00D46126" w:rsidTr="00B36EF2">
        <w:trPr>
          <w:cnfStyle w:val="000000010000" w:firstRow="0" w:lastRow="0" w:firstColumn="0" w:lastColumn="0" w:oddVBand="0" w:evenVBand="0" w:oddHBand="0" w:evenHBand="1" w:firstRowFirstColumn="0" w:firstRowLastColumn="0" w:lastRowFirstColumn="0" w:lastRowLastColumn="0"/>
        </w:trPr>
        <w:tc>
          <w:tcPr>
            <w:tcW w:w="2600" w:type="dxa"/>
          </w:tcPr>
          <w:p w:rsidR="00203411" w:rsidRPr="002139E2" w:rsidRDefault="00203411" w:rsidP="00206326">
            <w:pPr>
              <w:spacing w:before="60" w:after="60"/>
              <w:jc w:val="left"/>
              <w:rPr>
                <w:bCs/>
                <w:szCs w:val="18"/>
                <w:lang w:eastAsia="ja-JP"/>
              </w:rPr>
            </w:pPr>
            <w:r>
              <w:rPr>
                <w:bCs/>
                <w:szCs w:val="18"/>
                <w:lang w:eastAsia="ja-JP"/>
              </w:rPr>
              <w:t>EBIT</w:t>
            </w:r>
          </w:p>
        </w:tc>
        <w:tc>
          <w:tcPr>
            <w:tcW w:w="6621" w:type="dxa"/>
          </w:tcPr>
          <w:p w:rsidR="00203411" w:rsidRPr="002139E2" w:rsidRDefault="00203411" w:rsidP="00206326">
            <w:pPr>
              <w:spacing w:before="60" w:after="60"/>
              <w:jc w:val="left"/>
              <w:rPr>
                <w:bCs/>
                <w:szCs w:val="18"/>
                <w:lang w:eastAsia="ja-JP"/>
              </w:rPr>
            </w:pPr>
            <w:r>
              <w:t>earnings before interest and taxes</w:t>
            </w:r>
          </w:p>
        </w:tc>
      </w:tr>
      <w:tr w:rsidR="005C4379" w:rsidRPr="00D46126" w:rsidTr="00B36EF2">
        <w:tc>
          <w:tcPr>
            <w:tcW w:w="2600" w:type="dxa"/>
          </w:tcPr>
          <w:p w:rsidR="005C4379" w:rsidRPr="005C06FD" w:rsidRDefault="005C4379" w:rsidP="00206326">
            <w:pPr>
              <w:spacing w:before="60" w:after="60"/>
              <w:jc w:val="left"/>
              <w:rPr>
                <w:bCs/>
                <w:szCs w:val="18"/>
                <w:lang w:eastAsia="ja-JP"/>
              </w:rPr>
            </w:pPr>
            <w:r>
              <w:rPr>
                <w:bCs/>
                <w:szCs w:val="18"/>
                <w:lang w:eastAsia="ja-JP"/>
              </w:rPr>
              <w:t>GATT 1994</w:t>
            </w:r>
          </w:p>
        </w:tc>
        <w:tc>
          <w:tcPr>
            <w:tcW w:w="6621" w:type="dxa"/>
          </w:tcPr>
          <w:p w:rsidR="005C4379" w:rsidRPr="005C06FD" w:rsidRDefault="005C4379" w:rsidP="00206326">
            <w:pPr>
              <w:spacing w:before="60" w:after="60"/>
              <w:jc w:val="left"/>
              <w:rPr>
                <w:bCs/>
                <w:szCs w:val="18"/>
                <w:lang w:eastAsia="ja-JP"/>
              </w:rPr>
            </w:pPr>
            <w:r w:rsidRPr="005C4379">
              <w:rPr>
                <w:bCs/>
                <w:szCs w:val="18"/>
                <w:lang w:eastAsia="ja-JP"/>
              </w:rPr>
              <w:t>General Agreement on Tariffs and Trade 1994</w:t>
            </w:r>
          </w:p>
        </w:tc>
      </w:tr>
      <w:tr w:rsidR="0007161B" w:rsidRPr="00D46126" w:rsidTr="00B36EF2">
        <w:trPr>
          <w:cnfStyle w:val="000000010000" w:firstRow="0" w:lastRow="0" w:firstColumn="0" w:lastColumn="0" w:oddVBand="0" w:evenVBand="0" w:oddHBand="0" w:evenHBand="1" w:firstRowFirstColumn="0" w:firstRowLastColumn="0" w:lastRowFirstColumn="0" w:lastRowLastColumn="0"/>
        </w:trPr>
        <w:tc>
          <w:tcPr>
            <w:tcW w:w="2600" w:type="dxa"/>
          </w:tcPr>
          <w:p w:rsidR="0007161B" w:rsidRPr="005C06FD" w:rsidRDefault="0007161B" w:rsidP="00206326">
            <w:pPr>
              <w:spacing w:before="60" w:after="60"/>
              <w:jc w:val="left"/>
              <w:rPr>
                <w:bCs/>
                <w:szCs w:val="18"/>
                <w:lang w:eastAsia="ja-JP"/>
              </w:rPr>
            </w:pPr>
            <w:r w:rsidRPr="005C06FD">
              <w:rPr>
                <w:bCs/>
                <w:szCs w:val="18"/>
                <w:lang w:eastAsia="ja-JP"/>
              </w:rPr>
              <w:t>HSBI</w:t>
            </w:r>
          </w:p>
        </w:tc>
        <w:tc>
          <w:tcPr>
            <w:tcW w:w="6621" w:type="dxa"/>
          </w:tcPr>
          <w:p w:rsidR="0007161B" w:rsidRPr="005C06FD" w:rsidRDefault="0007161B" w:rsidP="00206326">
            <w:pPr>
              <w:spacing w:before="60" w:after="60"/>
              <w:jc w:val="left"/>
              <w:rPr>
                <w:bCs/>
                <w:szCs w:val="18"/>
                <w:lang w:eastAsia="ja-JP"/>
              </w:rPr>
            </w:pPr>
            <w:r w:rsidRPr="005C06FD">
              <w:rPr>
                <w:bCs/>
                <w:szCs w:val="18"/>
                <w:lang w:eastAsia="ja-JP"/>
              </w:rPr>
              <w:t>highly sensitive business information</w:t>
            </w:r>
          </w:p>
        </w:tc>
      </w:tr>
      <w:tr w:rsidR="00B36EF2" w:rsidRPr="00D46126" w:rsidTr="00B36EF2">
        <w:tc>
          <w:tcPr>
            <w:tcW w:w="2600" w:type="dxa"/>
          </w:tcPr>
          <w:p w:rsidR="00B36EF2" w:rsidRPr="005C06FD" w:rsidRDefault="00B36EF2" w:rsidP="00206326">
            <w:pPr>
              <w:spacing w:before="60" w:after="60"/>
              <w:jc w:val="left"/>
              <w:rPr>
                <w:bCs/>
                <w:szCs w:val="18"/>
                <w:lang w:eastAsia="ja-JP"/>
              </w:rPr>
            </w:pPr>
            <w:r w:rsidRPr="005C06FD">
              <w:rPr>
                <w:bCs/>
                <w:szCs w:val="18"/>
                <w:lang w:eastAsia="ja-JP"/>
              </w:rPr>
              <w:t>IRR</w:t>
            </w:r>
          </w:p>
        </w:tc>
        <w:tc>
          <w:tcPr>
            <w:tcW w:w="6621" w:type="dxa"/>
          </w:tcPr>
          <w:p w:rsidR="00B36EF2" w:rsidRPr="005C06FD" w:rsidRDefault="00B36EF2" w:rsidP="00206326">
            <w:pPr>
              <w:spacing w:before="60" w:after="60"/>
              <w:jc w:val="left"/>
              <w:rPr>
                <w:bCs/>
                <w:szCs w:val="18"/>
                <w:lang w:eastAsia="ja-JP"/>
              </w:rPr>
            </w:pPr>
            <w:r w:rsidRPr="005C06FD">
              <w:rPr>
                <w:bCs/>
                <w:szCs w:val="18"/>
                <w:lang w:eastAsia="ja-JP"/>
              </w:rPr>
              <w:t>internal rate of return</w:t>
            </w:r>
          </w:p>
        </w:tc>
      </w:tr>
      <w:tr w:rsidR="005C06FD" w:rsidRPr="00D46126" w:rsidTr="00B36EF2">
        <w:trPr>
          <w:cnfStyle w:val="000000010000" w:firstRow="0" w:lastRow="0" w:firstColumn="0" w:lastColumn="0" w:oddVBand="0" w:evenVBand="0" w:oddHBand="0" w:evenHBand="1" w:firstRowFirstColumn="0" w:firstRowLastColumn="0" w:lastRowFirstColumn="0" w:lastRowLastColumn="0"/>
        </w:trPr>
        <w:tc>
          <w:tcPr>
            <w:tcW w:w="2600" w:type="dxa"/>
          </w:tcPr>
          <w:p w:rsidR="005C06FD" w:rsidRPr="005C06FD" w:rsidRDefault="005C06FD" w:rsidP="00206326">
            <w:pPr>
              <w:spacing w:before="60" w:after="60"/>
              <w:jc w:val="left"/>
              <w:rPr>
                <w:bCs/>
                <w:szCs w:val="18"/>
                <w:lang w:eastAsia="ja-JP"/>
              </w:rPr>
            </w:pPr>
            <w:r>
              <w:rPr>
                <w:bCs/>
                <w:szCs w:val="18"/>
                <w:lang w:eastAsia="ja-JP"/>
              </w:rPr>
              <w:t>Jordan Reply</w:t>
            </w:r>
          </w:p>
        </w:tc>
        <w:tc>
          <w:tcPr>
            <w:tcW w:w="6621" w:type="dxa"/>
          </w:tcPr>
          <w:p w:rsidR="005C06FD" w:rsidRPr="00A453EC" w:rsidRDefault="005C06FD" w:rsidP="005C06FD">
            <w:pPr>
              <w:spacing w:before="60" w:after="60"/>
              <w:jc w:val="left"/>
            </w:pPr>
            <w:r w:rsidRPr="00A453EC">
              <w:t>Dr James Jordan, NERA Economic Consulting, "Reply to Professor Whitelaw's Response to Jordan Report",</w:t>
            </w:r>
            <w:r>
              <w:t> 20 May 20</w:t>
            </w:r>
            <w:r w:rsidR="000405DB">
              <w:t>13 (Panel Exhibit </w:t>
            </w:r>
            <w:r w:rsidRPr="00A453EC">
              <w:t>USA-505 (BCI/HSBI))</w:t>
            </w:r>
          </w:p>
        </w:tc>
      </w:tr>
      <w:tr w:rsidR="005C06FD" w:rsidRPr="00D46126" w:rsidTr="00B36EF2">
        <w:tc>
          <w:tcPr>
            <w:tcW w:w="2600" w:type="dxa"/>
          </w:tcPr>
          <w:p w:rsidR="005C06FD" w:rsidRPr="005C06FD" w:rsidRDefault="005C06FD" w:rsidP="00206326">
            <w:pPr>
              <w:spacing w:before="60" w:after="60"/>
              <w:jc w:val="left"/>
              <w:rPr>
                <w:bCs/>
                <w:szCs w:val="18"/>
                <w:highlight w:val="yellow"/>
                <w:lang w:eastAsia="ja-JP"/>
              </w:rPr>
            </w:pPr>
            <w:r w:rsidRPr="005C06FD">
              <w:rPr>
                <w:bCs/>
                <w:szCs w:val="18"/>
                <w:lang w:eastAsia="ja-JP"/>
              </w:rPr>
              <w:t>Jordan Report</w:t>
            </w:r>
          </w:p>
        </w:tc>
        <w:tc>
          <w:tcPr>
            <w:tcW w:w="6621" w:type="dxa"/>
          </w:tcPr>
          <w:p w:rsidR="005C06FD" w:rsidRPr="005C06FD" w:rsidRDefault="005C06FD" w:rsidP="00206326">
            <w:pPr>
              <w:spacing w:before="60" w:after="60"/>
              <w:jc w:val="left"/>
              <w:rPr>
                <w:bCs/>
                <w:szCs w:val="18"/>
                <w:highlight w:val="yellow"/>
                <w:lang w:eastAsia="ja-JP"/>
              </w:rPr>
            </w:pPr>
            <w:r w:rsidRPr="00A453EC">
              <w:t>Dr James Jordan, NERA Economic Consulting, "Comparison of A350 XWB LA/MSF Interest Rates with Market Benchmarks", 18</w:t>
            </w:r>
            <w:r>
              <w:t> October 20</w:t>
            </w:r>
            <w:r w:rsidRPr="00A453EC">
              <w:t>12</w:t>
            </w:r>
            <w:r>
              <w:t xml:space="preserve"> </w:t>
            </w:r>
            <w:r w:rsidRPr="00A453EC">
              <w:t>(Panel Exhibit USA-475 (BCI/HSBI))</w:t>
            </w:r>
          </w:p>
        </w:tc>
      </w:tr>
      <w:tr w:rsidR="00B36EF2" w:rsidRPr="00D46126" w:rsidTr="00B36EF2">
        <w:trPr>
          <w:cnfStyle w:val="000000010000" w:firstRow="0" w:lastRow="0" w:firstColumn="0" w:lastColumn="0" w:oddVBand="0" w:evenVBand="0" w:oddHBand="0" w:evenHBand="1" w:firstRowFirstColumn="0" w:firstRowLastColumn="0" w:lastRowFirstColumn="0" w:lastRowLastColumn="0"/>
        </w:trPr>
        <w:tc>
          <w:tcPr>
            <w:tcW w:w="2600" w:type="dxa"/>
          </w:tcPr>
          <w:p w:rsidR="00B36EF2" w:rsidRPr="005C06FD" w:rsidRDefault="00B36EF2" w:rsidP="00206326">
            <w:pPr>
              <w:spacing w:before="60" w:after="60"/>
              <w:jc w:val="left"/>
              <w:rPr>
                <w:bCs/>
                <w:szCs w:val="18"/>
                <w:lang w:eastAsia="ja-JP"/>
              </w:rPr>
            </w:pPr>
            <w:r w:rsidRPr="005C06FD">
              <w:rPr>
                <w:bCs/>
                <w:szCs w:val="18"/>
                <w:lang w:eastAsia="ja-JP"/>
              </w:rPr>
              <w:t>JRP</w:t>
            </w:r>
          </w:p>
        </w:tc>
        <w:tc>
          <w:tcPr>
            <w:tcW w:w="6621" w:type="dxa"/>
          </w:tcPr>
          <w:p w:rsidR="00B36EF2" w:rsidRPr="005C06FD" w:rsidRDefault="00B36EF2" w:rsidP="00206326">
            <w:pPr>
              <w:spacing w:before="60" w:after="60"/>
              <w:jc w:val="left"/>
              <w:rPr>
                <w:bCs/>
                <w:szCs w:val="18"/>
                <w:lang w:eastAsia="ja-JP"/>
              </w:rPr>
            </w:pPr>
            <w:r w:rsidRPr="005C06FD">
              <w:rPr>
                <w:bCs/>
                <w:szCs w:val="18"/>
                <w:lang w:eastAsia="ja-JP"/>
              </w:rPr>
              <w:t>Jordan Risk Premium</w:t>
            </w:r>
          </w:p>
        </w:tc>
      </w:tr>
      <w:tr w:rsidR="0007161B" w:rsidRPr="00D46126" w:rsidTr="00B36EF2">
        <w:tc>
          <w:tcPr>
            <w:tcW w:w="2600" w:type="dxa"/>
          </w:tcPr>
          <w:p w:rsidR="0007161B" w:rsidRPr="005C06FD" w:rsidRDefault="0007161B" w:rsidP="00206326">
            <w:pPr>
              <w:spacing w:before="60" w:after="60"/>
              <w:jc w:val="left"/>
              <w:rPr>
                <w:bCs/>
                <w:szCs w:val="18"/>
                <w:lang w:eastAsia="ja-JP"/>
              </w:rPr>
            </w:pPr>
            <w:r w:rsidRPr="005C06FD">
              <w:rPr>
                <w:bCs/>
                <w:szCs w:val="18"/>
                <w:lang w:eastAsia="ja-JP"/>
              </w:rPr>
              <w:t>LA/MSF</w:t>
            </w:r>
          </w:p>
        </w:tc>
        <w:tc>
          <w:tcPr>
            <w:tcW w:w="6621" w:type="dxa"/>
          </w:tcPr>
          <w:p w:rsidR="0007161B" w:rsidRPr="005C06FD" w:rsidRDefault="008923E4" w:rsidP="008923E4">
            <w:pPr>
              <w:spacing w:before="60" w:after="60"/>
              <w:jc w:val="left"/>
              <w:rPr>
                <w:bCs/>
                <w:szCs w:val="18"/>
                <w:lang w:eastAsia="ja-JP"/>
              </w:rPr>
            </w:pPr>
            <w:r>
              <w:rPr>
                <w:szCs w:val="18"/>
              </w:rPr>
              <w:t>"</w:t>
            </w:r>
            <w:r w:rsidR="0007161B" w:rsidRPr="005C06FD">
              <w:rPr>
                <w:szCs w:val="18"/>
              </w:rPr>
              <w:t>launch aid</w:t>
            </w:r>
            <w:r>
              <w:rPr>
                <w:szCs w:val="18"/>
              </w:rPr>
              <w:t>" or "</w:t>
            </w:r>
            <w:r w:rsidR="0007161B" w:rsidRPr="005C06FD">
              <w:rPr>
                <w:szCs w:val="18"/>
              </w:rPr>
              <w:t>member State financing</w:t>
            </w:r>
            <w:r>
              <w:rPr>
                <w:szCs w:val="18"/>
              </w:rPr>
              <w:t>"</w:t>
            </w:r>
          </w:p>
        </w:tc>
      </w:tr>
      <w:tr w:rsidR="0007161B" w:rsidRPr="00D46126" w:rsidTr="00B36EF2">
        <w:trPr>
          <w:cnfStyle w:val="000000010000" w:firstRow="0" w:lastRow="0" w:firstColumn="0" w:lastColumn="0" w:oddVBand="0" w:evenVBand="0" w:oddHBand="0" w:evenHBand="1" w:firstRowFirstColumn="0" w:firstRowLastColumn="0" w:lastRowFirstColumn="0" w:lastRowLastColumn="0"/>
        </w:trPr>
        <w:tc>
          <w:tcPr>
            <w:tcW w:w="2600" w:type="dxa"/>
          </w:tcPr>
          <w:p w:rsidR="0007161B" w:rsidRPr="005C06FD" w:rsidRDefault="0007161B" w:rsidP="00206326">
            <w:pPr>
              <w:spacing w:before="60" w:after="60"/>
              <w:jc w:val="left"/>
              <w:rPr>
                <w:bCs/>
                <w:szCs w:val="18"/>
                <w:lang w:eastAsia="ja-JP"/>
              </w:rPr>
            </w:pPr>
            <w:r w:rsidRPr="005C06FD">
              <w:rPr>
                <w:bCs/>
                <w:szCs w:val="18"/>
                <w:lang w:eastAsia="ja-JP"/>
              </w:rPr>
              <w:t>LCA</w:t>
            </w:r>
          </w:p>
        </w:tc>
        <w:tc>
          <w:tcPr>
            <w:tcW w:w="6621" w:type="dxa"/>
          </w:tcPr>
          <w:p w:rsidR="0007161B" w:rsidRPr="005C06FD" w:rsidRDefault="0007161B" w:rsidP="00206326">
            <w:pPr>
              <w:spacing w:before="60" w:after="60"/>
              <w:jc w:val="left"/>
              <w:rPr>
                <w:bCs/>
                <w:szCs w:val="18"/>
                <w:lang w:eastAsia="ja-JP"/>
              </w:rPr>
            </w:pPr>
            <w:r w:rsidRPr="005C06FD">
              <w:rPr>
                <w:bCs/>
                <w:szCs w:val="18"/>
                <w:lang w:eastAsia="ja-JP"/>
              </w:rPr>
              <w:t>large civil aircraft</w:t>
            </w:r>
          </w:p>
        </w:tc>
      </w:tr>
      <w:tr w:rsidR="005C4379" w:rsidRPr="00D46126" w:rsidTr="00B36EF2">
        <w:tc>
          <w:tcPr>
            <w:tcW w:w="2600" w:type="dxa"/>
          </w:tcPr>
          <w:p w:rsidR="005C4379" w:rsidRPr="005C4379" w:rsidRDefault="005C4379" w:rsidP="00206326">
            <w:pPr>
              <w:spacing w:before="60" w:after="60"/>
              <w:jc w:val="left"/>
              <w:rPr>
                <w:bCs/>
                <w:szCs w:val="18"/>
                <w:lang w:eastAsia="ja-JP"/>
              </w:rPr>
            </w:pPr>
            <w:r w:rsidRPr="005C4379">
              <w:rPr>
                <w:bCs/>
                <w:szCs w:val="18"/>
                <w:lang w:eastAsia="ja-JP"/>
              </w:rPr>
              <w:t>Mourey Statement</w:t>
            </w:r>
          </w:p>
        </w:tc>
        <w:tc>
          <w:tcPr>
            <w:tcW w:w="6621" w:type="dxa"/>
          </w:tcPr>
          <w:p w:rsidR="005C4379" w:rsidRPr="005C4379" w:rsidRDefault="005C4379" w:rsidP="005C4379">
            <w:pPr>
              <w:spacing w:before="60" w:after="60"/>
              <w:jc w:val="left"/>
              <w:rPr>
                <w:bCs/>
                <w:szCs w:val="18"/>
                <w:lang w:eastAsia="ja-JP"/>
              </w:rPr>
            </w:pPr>
            <w:r w:rsidRPr="005C4379">
              <w:t>Christophe Mourey, Senior Vice President Contracts, Airbus, "Statement on Current Competitive Con</w:t>
            </w:r>
            <w:r w:rsidR="003E77EE">
              <w:t>ditions in the LCA Industry", 4 </w:t>
            </w:r>
            <w:r w:rsidRPr="005C4379">
              <w:t>July 2012 (Panel Exhibit EU-8 (BCI))</w:t>
            </w:r>
          </w:p>
        </w:tc>
      </w:tr>
      <w:tr w:rsidR="00B36EF2" w:rsidRPr="00D46126" w:rsidTr="00B36EF2">
        <w:trPr>
          <w:cnfStyle w:val="000000010000" w:firstRow="0" w:lastRow="0" w:firstColumn="0" w:lastColumn="0" w:oddVBand="0" w:evenVBand="0" w:oddHBand="0" w:evenHBand="1" w:firstRowFirstColumn="0" w:firstRowLastColumn="0" w:lastRowFirstColumn="0" w:lastRowLastColumn="0"/>
        </w:trPr>
        <w:tc>
          <w:tcPr>
            <w:tcW w:w="2600" w:type="dxa"/>
          </w:tcPr>
          <w:p w:rsidR="00B36EF2" w:rsidRPr="002139E2" w:rsidRDefault="00B36EF2" w:rsidP="00206326">
            <w:pPr>
              <w:spacing w:before="60" w:after="60"/>
              <w:jc w:val="left"/>
              <w:rPr>
                <w:bCs/>
                <w:szCs w:val="18"/>
                <w:lang w:eastAsia="ja-JP"/>
              </w:rPr>
            </w:pPr>
            <w:r w:rsidRPr="002139E2">
              <w:rPr>
                <w:bCs/>
                <w:szCs w:val="18"/>
                <w:lang w:eastAsia="ja-JP"/>
              </w:rPr>
              <w:lastRenderedPageBreak/>
              <w:t>MTN</w:t>
            </w:r>
          </w:p>
        </w:tc>
        <w:tc>
          <w:tcPr>
            <w:tcW w:w="6621" w:type="dxa"/>
          </w:tcPr>
          <w:p w:rsidR="00B36EF2" w:rsidRPr="002139E2" w:rsidRDefault="00B36EF2" w:rsidP="00206326">
            <w:pPr>
              <w:spacing w:before="60" w:after="60"/>
              <w:jc w:val="left"/>
              <w:rPr>
                <w:bCs/>
                <w:szCs w:val="18"/>
                <w:lang w:eastAsia="ja-JP"/>
              </w:rPr>
            </w:pPr>
            <w:r w:rsidRPr="002139E2">
              <w:rPr>
                <w:bCs/>
                <w:szCs w:val="18"/>
                <w:lang w:eastAsia="ja-JP"/>
              </w:rPr>
              <w:t>medium-term note</w:t>
            </w:r>
          </w:p>
        </w:tc>
      </w:tr>
      <w:tr w:rsidR="0007161B" w:rsidRPr="00D46126" w:rsidTr="00B36EF2">
        <w:tc>
          <w:tcPr>
            <w:tcW w:w="2600" w:type="dxa"/>
          </w:tcPr>
          <w:p w:rsidR="0007161B" w:rsidRPr="002139E2" w:rsidRDefault="0007161B" w:rsidP="00206326">
            <w:pPr>
              <w:spacing w:before="60" w:after="60"/>
              <w:jc w:val="left"/>
              <w:rPr>
                <w:szCs w:val="18"/>
              </w:rPr>
            </w:pPr>
            <w:r w:rsidRPr="002139E2">
              <w:rPr>
                <w:szCs w:val="18"/>
              </w:rPr>
              <w:t>original panel</w:t>
            </w:r>
          </w:p>
        </w:tc>
        <w:tc>
          <w:tcPr>
            <w:tcW w:w="6621" w:type="dxa"/>
          </w:tcPr>
          <w:p w:rsidR="0007161B" w:rsidRPr="002139E2" w:rsidRDefault="0007161B" w:rsidP="00206326">
            <w:pPr>
              <w:spacing w:before="60" w:after="60"/>
              <w:jc w:val="left"/>
              <w:rPr>
                <w:szCs w:val="18"/>
              </w:rPr>
            </w:pPr>
            <w:r w:rsidRPr="002139E2">
              <w:rPr>
                <w:szCs w:val="18"/>
              </w:rPr>
              <w:t>panel in the original proceedings</w:t>
            </w:r>
          </w:p>
        </w:tc>
      </w:tr>
      <w:tr w:rsidR="0007161B" w:rsidRPr="00D46126" w:rsidTr="00B36EF2">
        <w:trPr>
          <w:cnfStyle w:val="000000010000" w:firstRow="0" w:lastRow="0" w:firstColumn="0" w:lastColumn="0" w:oddVBand="0" w:evenVBand="0" w:oddHBand="0" w:evenHBand="1" w:firstRowFirstColumn="0" w:firstRowLastColumn="0" w:lastRowFirstColumn="0" w:lastRowLastColumn="0"/>
        </w:trPr>
        <w:tc>
          <w:tcPr>
            <w:tcW w:w="2600" w:type="dxa"/>
          </w:tcPr>
          <w:p w:rsidR="0007161B" w:rsidRPr="002139E2" w:rsidRDefault="0007161B" w:rsidP="00206326">
            <w:pPr>
              <w:spacing w:before="60" w:after="60"/>
              <w:jc w:val="left"/>
              <w:rPr>
                <w:bCs/>
                <w:szCs w:val="18"/>
                <w:lang w:eastAsia="ja-JP"/>
              </w:rPr>
            </w:pPr>
            <w:r w:rsidRPr="002139E2">
              <w:rPr>
                <w:szCs w:val="18"/>
              </w:rPr>
              <w:t xml:space="preserve">original panel report / Original Panel Report </w:t>
            </w:r>
          </w:p>
        </w:tc>
        <w:tc>
          <w:tcPr>
            <w:tcW w:w="6621" w:type="dxa"/>
          </w:tcPr>
          <w:p w:rsidR="0007161B" w:rsidRPr="002139E2" w:rsidRDefault="0007161B" w:rsidP="00206326">
            <w:pPr>
              <w:spacing w:before="60" w:after="60"/>
              <w:jc w:val="left"/>
              <w:rPr>
                <w:szCs w:val="18"/>
              </w:rPr>
            </w:pPr>
            <w:r w:rsidRPr="002139E2">
              <w:rPr>
                <w:szCs w:val="18"/>
              </w:rPr>
              <w:t xml:space="preserve">Panel Report, </w:t>
            </w:r>
            <w:r w:rsidRPr="002139E2">
              <w:rPr>
                <w:i/>
                <w:szCs w:val="18"/>
              </w:rPr>
              <w:t>European Communities and Certain Member States – Measures Affecting Trade in Large Civil Aircraft</w:t>
            </w:r>
            <w:r w:rsidRPr="002139E2">
              <w:rPr>
                <w:szCs w:val="18"/>
              </w:rPr>
              <w:t>, WT/DS316/R</w:t>
            </w:r>
          </w:p>
        </w:tc>
      </w:tr>
      <w:tr w:rsidR="0007161B" w:rsidRPr="00D46126" w:rsidTr="00B36EF2">
        <w:tc>
          <w:tcPr>
            <w:tcW w:w="2600" w:type="dxa"/>
          </w:tcPr>
          <w:p w:rsidR="0007161B" w:rsidRPr="002139E2" w:rsidRDefault="0007161B" w:rsidP="00206326">
            <w:pPr>
              <w:spacing w:before="60" w:after="60"/>
              <w:jc w:val="left"/>
              <w:rPr>
                <w:szCs w:val="18"/>
              </w:rPr>
            </w:pPr>
            <w:r w:rsidRPr="002139E2">
              <w:rPr>
                <w:szCs w:val="18"/>
              </w:rPr>
              <w:t>Panel</w:t>
            </w:r>
          </w:p>
        </w:tc>
        <w:tc>
          <w:tcPr>
            <w:tcW w:w="6621" w:type="dxa"/>
          </w:tcPr>
          <w:p w:rsidR="0007161B" w:rsidRPr="002139E2" w:rsidRDefault="0007161B" w:rsidP="00206326">
            <w:pPr>
              <w:spacing w:before="60" w:after="60"/>
              <w:jc w:val="left"/>
              <w:rPr>
                <w:szCs w:val="18"/>
              </w:rPr>
            </w:pPr>
            <w:r w:rsidRPr="002139E2">
              <w:rPr>
                <w:szCs w:val="18"/>
              </w:rPr>
              <w:t xml:space="preserve">The Panel in these </w:t>
            </w:r>
            <w:r w:rsidR="000A10EA" w:rsidRPr="002139E2">
              <w:rPr>
                <w:szCs w:val="18"/>
              </w:rPr>
              <w:t>Article </w:t>
            </w:r>
            <w:r w:rsidRPr="002139E2">
              <w:rPr>
                <w:szCs w:val="18"/>
              </w:rPr>
              <w:t>21.5 compliance proceedings</w:t>
            </w:r>
          </w:p>
        </w:tc>
      </w:tr>
      <w:tr w:rsidR="0007161B" w:rsidRPr="00D46126" w:rsidTr="00B36EF2">
        <w:trPr>
          <w:cnfStyle w:val="000000010000" w:firstRow="0" w:lastRow="0" w:firstColumn="0" w:lastColumn="0" w:oddVBand="0" w:evenVBand="0" w:oddHBand="0" w:evenHBand="1" w:firstRowFirstColumn="0" w:firstRowLastColumn="0" w:lastRowFirstColumn="0" w:lastRowLastColumn="0"/>
        </w:trPr>
        <w:tc>
          <w:tcPr>
            <w:tcW w:w="2600" w:type="dxa"/>
          </w:tcPr>
          <w:p w:rsidR="0007161B" w:rsidRPr="005C06FD" w:rsidRDefault="0007161B" w:rsidP="00206326">
            <w:pPr>
              <w:spacing w:before="60" w:after="60"/>
              <w:jc w:val="left"/>
              <w:rPr>
                <w:szCs w:val="18"/>
              </w:rPr>
            </w:pPr>
            <w:r w:rsidRPr="005C06FD">
              <w:rPr>
                <w:szCs w:val="18"/>
              </w:rPr>
              <w:t>Panel Report</w:t>
            </w:r>
          </w:p>
        </w:tc>
        <w:tc>
          <w:tcPr>
            <w:tcW w:w="6621" w:type="dxa"/>
          </w:tcPr>
          <w:p w:rsidR="0007161B" w:rsidRPr="005C06FD" w:rsidRDefault="0007161B" w:rsidP="00206326">
            <w:pPr>
              <w:spacing w:before="60" w:after="60"/>
              <w:jc w:val="left"/>
              <w:rPr>
                <w:szCs w:val="18"/>
              </w:rPr>
            </w:pPr>
            <w:r w:rsidRPr="005C06FD">
              <w:rPr>
                <w:szCs w:val="18"/>
              </w:rPr>
              <w:t xml:space="preserve">Panel Report, </w:t>
            </w:r>
            <w:r w:rsidRPr="005C06FD">
              <w:rPr>
                <w:i/>
                <w:szCs w:val="18"/>
              </w:rPr>
              <w:t xml:space="preserve">European Communities and Certain Member States – Measures Affecting Trade in Large Civil Aircraft – Recourse to </w:t>
            </w:r>
            <w:r w:rsidR="000A10EA" w:rsidRPr="005C06FD">
              <w:rPr>
                <w:i/>
                <w:szCs w:val="18"/>
              </w:rPr>
              <w:t>Article </w:t>
            </w:r>
            <w:r w:rsidRPr="005C06FD">
              <w:rPr>
                <w:i/>
                <w:szCs w:val="18"/>
              </w:rPr>
              <w:t xml:space="preserve">21.5 of the DSU by the </w:t>
            </w:r>
            <w:r w:rsidR="000A10EA" w:rsidRPr="005C06FD">
              <w:rPr>
                <w:i/>
                <w:szCs w:val="18"/>
              </w:rPr>
              <w:t>United States</w:t>
            </w:r>
            <w:r w:rsidRPr="005C06FD">
              <w:rPr>
                <w:szCs w:val="18"/>
              </w:rPr>
              <w:t>, WT/DS316/RW</w:t>
            </w:r>
          </w:p>
        </w:tc>
      </w:tr>
      <w:tr w:rsidR="005C4379" w:rsidRPr="00D46126" w:rsidTr="00B36EF2">
        <w:tc>
          <w:tcPr>
            <w:tcW w:w="2600" w:type="dxa"/>
          </w:tcPr>
          <w:p w:rsidR="005C4379" w:rsidRPr="005C06FD" w:rsidRDefault="005C4379" w:rsidP="002139E2">
            <w:pPr>
              <w:keepNext/>
              <w:keepLines/>
              <w:spacing w:before="60" w:after="60"/>
              <w:jc w:val="left"/>
              <w:rPr>
                <w:szCs w:val="18"/>
              </w:rPr>
            </w:pPr>
            <w:r>
              <w:rPr>
                <w:szCs w:val="18"/>
              </w:rPr>
              <w:t>PwC Amortization Report</w:t>
            </w:r>
          </w:p>
        </w:tc>
        <w:tc>
          <w:tcPr>
            <w:tcW w:w="6621" w:type="dxa"/>
          </w:tcPr>
          <w:p w:rsidR="005C4379" w:rsidRPr="005C06FD" w:rsidRDefault="005C4379" w:rsidP="002139E2">
            <w:pPr>
              <w:keepNext/>
              <w:keepLines/>
              <w:spacing w:before="60" w:after="60"/>
              <w:jc w:val="left"/>
              <w:rPr>
                <w:szCs w:val="18"/>
              </w:rPr>
            </w:pPr>
            <w:r>
              <w:rPr>
                <w:szCs w:val="16"/>
              </w:rPr>
              <w:t>PricewaterhouseCoopers, "Analysis of th</w:t>
            </w:r>
            <w:r w:rsidR="000405DB">
              <w:rPr>
                <w:szCs w:val="16"/>
              </w:rPr>
              <w:t>e expected life of subsidies to </w:t>
            </w:r>
            <w:r>
              <w:rPr>
                <w:szCs w:val="16"/>
              </w:rPr>
              <w:t>Airbus conferred by Member State Financing Loans, Capital contributions and regional develop</w:t>
            </w:r>
            <w:r w:rsidR="000405DB">
              <w:rPr>
                <w:szCs w:val="16"/>
              </w:rPr>
              <w:t>ment grants as found in the WTO </w:t>
            </w:r>
            <w:r>
              <w:rPr>
                <w:szCs w:val="16"/>
              </w:rPr>
              <w:t xml:space="preserve">dispute DS316", 29 November 2011 and 2 July 2012 </w:t>
            </w:r>
            <w:r w:rsidRPr="009A69AC">
              <w:rPr>
                <w:szCs w:val="16"/>
              </w:rPr>
              <w:t>(</w:t>
            </w:r>
            <w:r w:rsidR="000405DB">
              <w:rPr>
                <w:szCs w:val="16"/>
              </w:rPr>
              <w:t>Panel </w:t>
            </w:r>
            <w:r w:rsidRPr="000405DB">
              <w:t>ExhibitEU</w:t>
            </w:r>
            <w:r w:rsidRPr="009A69AC">
              <w:t>-5 (BCI/HSBI)</w:t>
            </w:r>
            <w:r>
              <w:t>)</w:t>
            </w:r>
          </w:p>
        </w:tc>
      </w:tr>
      <w:tr w:rsidR="00B36EF2" w:rsidRPr="00D46126" w:rsidTr="00B36EF2">
        <w:trPr>
          <w:cnfStyle w:val="000000010000" w:firstRow="0" w:lastRow="0" w:firstColumn="0" w:lastColumn="0" w:oddVBand="0" w:evenVBand="0" w:oddHBand="0" w:evenHBand="1" w:firstRowFirstColumn="0" w:firstRowLastColumn="0" w:lastRowFirstColumn="0" w:lastRowLastColumn="0"/>
        </w:trPr>
        <w:tc>
          <w:tcPr>
            <w:tcW w:w="2600" w:type="dxa"/>
          </w:tcPr>
          <w:p w:rsidR="00B36EF2" w:rsidRPr="002139E2" w:rsidRDefault="00B36EF2" w:rsidP="00206326">
            <w:pPr>
              <w:spacing w:before="60" w:after="60"/>
              <w:jc w:val="left"/>
              <w:rPr>
                <w:szCs w:val="18"/>
              </w:rPr>
            </w:pPr>
            <w:r w:rsidRPr="002139E2">
              <w:rPr>
                <w:szCs w:val="18"/>
              </w:rPr>
              <w:t>R&amp;D</w:t>
            </w:r>
          </w:p>
        </w:tc>
        <w:tc>
          <w:tcPr>
            <w:tcW w:w="6621" w:type="dxa"/>
          </w:tcPr>
          <w:p w:rsidR="00B36EF2" w:rsidRPr="002139E2" w:rsidRDefault="00B36EF2" w:rsidP="00206326">
            <w:pPr>
              <w:spacing w:before="60" w:after="60"/>
              <w:jc w:val="left"/>
              <w:rPr>
                <w:szCs w:val="18"/>
              </w:rPr>
            </w:pPr>
            <w:r w:rsidRPr="002139E2">
              <w:rPr>
                <w:szCs w:val="18"/>
              </w:rPr>
              <w:t>research and development</w:t>
            </w:r>
          </w:p>
        </w:tc>
      </w:tr>
      <w:tr w:rsidR="0007161B" w:rsidRPr="00D46126" w:rsidTr="00B36EF2">
        <w:tc>
          <w:tcPr>
            <w:tcW w:w="2600" w:type="dxa"/>
          </w:tcPr>
          <w:p w:rsidR="0007161B" w:rsidRPr="005C06FD" w:rsidRDefault="0007161B" w:rsidP="00206326">
            <w:pPr>
              <w:spacing w:before="60" w:after="60"/>
              <w:jc w:val="left"/>
              <w:rPr>
                <w:szCs w:val="18"/>
              </w:rPr>
            </w:pPr>
            <w:r w:rsidRPr="005C06FD">
              <w:rPr>
                <w:szCs w:val="18"/>
              </w:rPr>
              <w:t>R&amp;TD</w:t>
            </w:r>
          </w:p>
        </w:tc>
        <w:tc>
          <w:tcPr>
            <w:tcW w:w="6621" w:type="dxa"/>
          </w:tcPr>
          <w:p w:rsidR="0007161B" w:rsidRPr="005C06FD" w:rsidRDefault="0007161B" w:rsidP="00206326">
            <w:pPr>
              <w:spacing w:before="60" w:after="60"/>
              <w:jc w:val="left"/>
              <w:rPr>
                <w:szCs w:val="18"/>
              </w:rPr>
            </w:pPr>
            <w:r w:rsidRPr="005C06FD">
              <w:rPr>
                <w:szCs w:val="18"/>
              </w:rPr>
              <w:t>research and technological development</w:t>
            </w:r>
          </w:p>
        </w:tc>
      </w:tr>
      <w:tr w:rsidR="001C6A42" w:rsidRPr="00D46126" w:rsidTr="00B36EF2">
        <w:trPr>
          <w:cnfStyle w:val="000000010000" w:firstRow="0" w:lastRow="0" w:firstColumn="0" w:lastColumn="0" w:oddVBand="0" w:evenVBand="0" w:oddHBand="0" w:evenHBand="1" w:firstRowFirstColumn="0" w:firstRowLastColumn="0" w:lastRowFirstColumn="0" w:lastRowLastColumn="0"/>
        </w:trPr>
        <w:tc>
          <w:tcPr>
            <w:tcW w:w="2600" w:type="dxa"/>
          </w:tcPr>
          <w:p w:rsidR="001C6A42" w:rsidRPr="005C06FD" w:rsidRDefault="001C6A42" w:rsidP="00206326">
            <w:pPr>
              <w:spacing w:before="60" w:after="60"/>
              <w:jc w:val="left"/>
              <w:rPr>
                <w:szCs w:val="18"/>
              </w:rPr>
            </w:pPr>
            <w:r>
              <w:rPr>
                <w:szCs w:val="18"/>
              </w:rPr>
              <w:t>ROCE</w:t>
            </w:r>
          </w:p>
        </w:tc>
        <w:tc>
          <w:tcPr>
            <w:tcW w:w="6621" w:type="dxa"/>
          </w:tcPr>
          <w:p w:rsidR="001C6A42" w:rsidRPr="005C06FD" w:rsidRDefault="001C6A42" w:rsidP="00206326">
            <w:pPr>
              <w:spacing w:before="60" w:after="60"/>
              <w:jc w:val="left"/>
              <w:rPr>
                <w:szCs w:val="18"/>
              </w:rPr>
            </w:pPr>
            <w:r>
              <w:t>return on capital employed</w:t>
            </w:r>
          </w:p>
        </w:tc>
      </w:tr>
      <w:tr w:rsidR="0007161B" w:rsidRPr="00D46126" w:rsidTr="00B36EF2">
        <w:tc>
          <w:tcPr>
            <w:tcW w:w="2600" w:type="dxa"/>
          </w:tcPr>
          <w:p w:rsidR="0007161B" w:rsidRPr="005C06FD" w:rsidRDefault="000A10EA" w:rsidP="00206326">
            <w:pPr>
              <w:spacing w:before="60" w:after="60"/>
              <w:jc w:val="left"/>
              <w:rPr>
                <w:szCs w:val="18"/>
              </w:rPr>
            </w:pPr>
            <w:r w:rsidRPr="005C06FD">
              <w:rPr>
                <w:szCs w:val="18"/>
              </w:rPr>
              <w:t>SCM Agreement</w:t>
            </w:r>
            <w:r w:rsidR="0007161B" w:rsidRPr="005C06FD">
              <w:rPr>
                <w:szCs w:val="18"/>
              </w:rPr>
              <w:t xml:space="preserve"> </w:t>
            </w:r>
          </w:p>
        </w:tc>
        <w:tc>
          <w:tcPr>
            <w:tcW w:w="6621" w:type="dxa"/>
          </w:tcPr>
          <w:p w:rsidR="0007161B" w:rsidRPr="005C06FD" w:rsidRDefault="0007161B" w:rsidP="00206326">
            <w:pPr>
              <w:spacing w:before="60" w:after="60"/>
              <w:jc w:val="left"/>
              <w:rPr>
                <w:szCs w:val="18"/>
              </w:rPr>
            </w:pPr>
            <w:r w:rsidRPr="005C06FD">
              <w:rPr>
                <w:szCs w:val="18"/>
              </w:rPr>
              <w:t>Agreement on Subsidies and Countervailing Measures</w:t>
            </w:r>
          </w:p>
        </w:tc>
      </w:tr>
      <w:tr w:rsidR="005C4379" w:rsidRPr="00D46126" w:rsidTr="00B36EF2">
        <w:trPr>
          <w:cnfStyle w:val="000000010000" w:firstRow="0" w:lastRow="0" w:firstColumn="0" w:lastColumn="0" w:oddVBand="0" w:evenVBand="0" w:oddHBand="0" w:evenHBand="1" w:firstRowFirstColumn="0" w:firstRowLastColumn="0" w:lastRowFirstColumn="0" w:lastRowLastColumn="0"/>
        </w:trPr>
        <w:tc>
          <w:tcPr>
            <w:tcW w:w="2600" w:type="dxa"/>
          </w:tcPr>
          <w:p w:rsidR="005C4379" w:rsidRPr="005C06FD" w:rsidRDefault="005C4379" w:rsidP="00206326">
            <w:pPr>
              <w:spacing w:before="60" w:after="60"/>
              <w:jc w:val="left"/>
              <w:rPr>
                <w:szCs w:val="18"/>
              </w:rPr>
            </w:pPr>
            <w:r>
              <w:rPr>
                <w:szCs w:val="18"/>
              </w:rPr>
              <w:t>Schneider Declaration</w:t>
            </w:r>
          </w:p>
        </w:tc>
        <w:tc>
          <w:tcPr>
            <w:tcW w:w="6621" w:type="dxa"/>
          </w:tcPr>
          <w:p w:rsidR="005C4379" w:rsidRPr="005C06FD" w:rsidRDefault="005C4379" w:rsidP="005C4379">
            <w:pPr>
              <w:spacing w:before="60" w:after="60"/>
              <w:jc w:val="left"/>
              <w:rPr>
                <w:szCs w:val="18"/>
              </w:rPr>
            </w:pPr>
            <w:r>
              <w:rPr>
                <w:szCs w:val="16"/>
              </w:rPr>
              <w:t>Declaration of Larry Schneider, Senior Vice President of Product Development, Boeing Commercial Aircraft, "The Relevance of Prior Commercial Experience to Exis</w:t>
            </w:r>
            <w:r w:rsidR="006307A1">
              <w:rPr>
                <w:szCs w:val="16"/>
              </w:rPr>
              <w:t>ting Model Improvements and New </w:t>
            </w:r>
            <w:r>
              <w:rPr>
                <w:szCs w:val="16"/>
              </w:rPr>
              <w:t xml:space="preserve">Aircraft Developments", 17 October 2012 </w:t>
            </w:r>
            <w:r w:rsidR="000405DB">
              <w:t>(Panel Exhibit </w:t>
            </w:r>
            <w:r w:rsidR="006307A1">
              <w:t>USA</w:t>
            </w:r>
            <w:r w:rsidR="006307A1">
              <w:noBreakHyphen/>
            </w:r>
            <w:r w:rsidRPr="00A453EC">
              <w:t>354</w:t>
            </w:r>
            <w:r w:rsidR="006307A1">
              <w:rPr>
                <w:szCs w:val="16"/>
              </w:rPr>
              <w:t> </w:t>
            </w:r>
            <w:r w:rsidRPr="00A453EC">
              <w:rPr>
                <w:szCs w:val="16"/>
              </w:rPr>
              <w:t>(BCI))</w:t>
            </w:r>
          </w:p>
        </w:tc>
      </w:tr>
      <w:tr w:rsidR="001C6A42" w:rsidRPr="00D46126" w:rsidTr="00B36EF2">
        <w:tc>
          <w:tcPr>
            <w:tcW w:w="2600" w:type="dxa"/>
          </w:tcPr>
          <w:p w:rsidR="001C6A42" w:rsidRDefault="001C6A42" w:rsidP="00206326">
            <w:pPr>
              <w:spacing w:before="60" w:after="60"/>
              <w:jc w:val="left"/>
              <w:rPr>
                <w:szCs w:val="18"/>
              </w:rPr>
            </w:pPr>
            <w:r>
              <w:rPr>
                <w:szCs w:val="18"/>
              </w:rPr>
              <w:t>SSNIP</w:t>
            </w:r>
          </w:p>
        </w:tc>
        <w:tc>
          <w:tcPr>
            <w:tcW w:w="6621" w:type="dxa"/>
          </w:tcPr>
          <w:p w:rsidR="001C6A42" w:rsidRDefault="001C6A42" w:rsidP="005C4379">
            <w:pPr>
              <w:spacing w:before="60" w:after="60"/>
              <w:jc w:val="left"/>
              <w:rPr>
                <w:szCs w:val="16"/>
              </w:rPr>
            </w:pPr>
            <w:r w:rsidRPr="002674CA">
              <w:t>Small but Significant Non-Transitory Increase in Prices</w:t>
            </w:r>
          </w:p>
        </w:tc>
      </w:tr>
      <w:tr w:rsidR="005C4379" w:rsidRPr="00D46126" w:rsidTr="00B36EF2">
        <w:trPr>
          <w:cnfStyle w:val="000000010000" w:firstRow="0" w:lastRow="0" w:firstColumn="0" w:lastColumn="0" w:oddVBand="0" w:evenVBand="0" w:oddHBand="0" w:evenHBand="1" w:firstRowFirstColumn="0" w:firstRowLastColumn="0" w:lastRowFirstColumn="0" w:lastRowLastColumn="0"/>
        </w:trPr>
        <w:tc>
          <w:tcPr>
            <w:tcW w:w="2600" w:type="dxa"/>
          </w:tcPr>
          <w:p w:rsidR="005C4379" w:rsidRDefault="005C4379" w:rsidP="00206326">
            <w:pPr>
              <w:spacing w:before="60" w:after="60"/>
              <w:jc w:val="left"/>
              <w:rPr>
                <w:szCs w:val="18"/>
              </w:rPr>
            </w:pPr>
            <w:r>
              <w:rPr>
                <w:szCs w:val="18"/>
              </w:rPr>
              <w:t>Supplemental Mourey Statement</w:t>
            </w:r>
          </w:p>
        </w:tc>
        <w:tc>
          <w:tcPr>
            <w:tcW w:w="6621" w:type="dxa"/>
          </w:tcPr>
          <w:p w:rsidR="005C4379" w:rsidRDefault="005C4379" w:rsidP="000405DB">
            <w:pPr>
              <w:spacing w:before="60" w:after="60"/>
              <w:jc w:val="left"/>
              <w:rPr>
                <w:szCs w:val="16"/>
              </w:rPr>
            </w:pPr>
            <w:r w:rsidRPr="003D21AC">
              <w:t xml:space="preserve">Christophe Mourey, Senior Vice President, Contracts, Airbus, </w:t>
            </w:r>
            <w:r>
              <w:t>"</w:t>
            </w:r>
            <w:r w:rsidRPr="003D21AC">
              <w:t>Supplemental statement on current competitive conditions in the LCA</w:t>
            </w:r>
            <w:r w:rsidR="000405DB">
              <w:t> </w:t>
            </w:r>
            <w:r w:rsidRPr="003D21AC">
              <w:t>industry</w:t>
            </w:r>
            <w:r>
              <w:t>"</w:t>
            </w:r>
            <w:r w:rsidRPr="003D21AC">
              <w:t>, 12 December 2012 (Panel Exhibit EU-124 (BCI/HSBI))</w:t>
            </w:r>
          </w:p>
        </w:tc>
      </w:tr>
      <w:tr w:rsidR="005C4379" w:rsidRPr="00D46126" w:rsidTr="00B36EF2">
        <w:tc>
          <w:tcPr>
            <w:tcW w:w="2600" w:type="dxa"/>
          </w:tcPr>
          <w:p w:rsidR="005C4379" w:rsidRPr="005C06FD" w:rsidRDefault="005C4379" w:rsidP="00206326">
            <w:pPr>
              <w:spacing w:before="60" w:after="60"/>
              <w:jc w:val="left"/>
              <w:rPr>
                <w:szCs w:val="18"/>
              </w:rPr>
            </w:pPr>
            <w:r>
              <w:rPr>
                <w:szCs w:val="18"/>
              </w:rPr>
              <w:t>UK Appraisal</w:t>
            </w:r>
          </w:p>
        </w:tc>
        <w:tc>
          <w:tcPr>
            <w:tcW w:w="6621" w:type="dxa"/>
          </w:tcPr>
          <w:p w:rsidR="005C4379" w:rsidRPr="005C06FD" w:rsidRDefault="008C597E" w:rsidP="00206326">
            <w:pPr>
              <w:spacing w:before="60" w:after="60"/>
              <w:jc w:val="left"/>
              <w:rPr>
                <w:szCs w:val="18"/>
              </w:rPr>
            </w:pPr>
            <w:r>
              <w:t>a written assessment by the UK Government of the merits of Airbus' request for A350XWB LA/MSF</w:t>
            </w:r>
          </w:p>
        </w:tc>
      </w:tr>
      <w:tr w:rsidR="00203411" w:rsidRPr="00D46126" w:rsidTr="00B36EF2">
        <w:trPr>
          <w:cnfStyle w:val="000000010000" w:firstRow="0" w:lastRow="0" w:firstColumn="0" w:lastColumn="0" w:oddVBand="0" w:evenVBand="0" w:oddHBand="0" w:evenHBand="1" w:firstRowFirstColumn="0" w:firstRowLastColumn="0" w:lastRowFirstColumn="0" w:lastRowLastColumn="0"/>
        </w:trPr>
        <w:tc>
          <w:tcPr>
            <w:tcW w:w="2600" w:type="dxa"/>
          </w:tcPr>
          <w:p w:rsidR="00203411" w:rsidRDefault="00203411" w:rsidP="00206326">
            <w:pPr>
              <w:spacing w:before="60" w:after="60"/>
              <w:jc w:val="left"/>
              <w:rPr>
                <w:szCs w:val="18"/>
              </w:rPr>
            </w:pPr>
            <w:r>
              <w:rPr>
                <w:szCs w:val="18"/>
              </w:rPr>
              <w:t>United States' compliance panel request</w:t>
            </w:r>
          </w:p>
        </w:tc>
        <w:tc>
          <w:tcPr>
            <w:tcW w:w="6621" w:type="dxa"/>
          </w:tcPr>
          <w:p w:rsidR="00203411" w:rsidRPr="005C06FD" w:rsidRDefault="00203411" w:rsidP="00206326">
            <w:pPr>
              <w:spacing w:before="60" w:after="60"/>
              <w:jc w:val="left"/>
              <w:rPr>
                <w:szCs w:val="18"/>
              </w:rPr>
            </w:pPr>
            <w:r w:rsidRPr="008752DF">
              <w:t xml:space="preserve">Request for </w:t>
            </w:r>
            <w:r>
              <w:t>the Establishment of a Panel by the United States pursuant to Article 21.5 of the DSU</w:t>
            </w:r>
            <w:r w:rsidRPr="008752DF">
              <w:t>, WT/D</w:t>
            </w:r>
            <w:r>
              <w:t>S316/23</w:t>
            </w:r>
          </w:p>
        </w:tc>
      </w:tr>
      <w:tr w:rsidR="00B36EF2" w:rsidRPr="00D46126" w:rsidTr="00B36EF2">
        <w:tc>
          <w:tcPr>
            <w:tcW w:w="2600" w:type="dxa"/>
          </w:tcPr>
          <w:p w:rsidR="00B36EF2" w:rsidRPr="005C06FD" w:rsidRDefault="00B36EF2" w:rsidP="00206326">
            <w:pPr>
              <w:spacing w:before="60" w:after="60"/>
              <w:jc w:val="left"/>
              <w:rPr>
                <w:szCs w:val="18"/>
              </w:rPr>
            </w:pPr>
            <w:r w:rsidRPr="005C06FD">
              <w:rPr>
                <w:szCs w:val="18"/>
              </w:rPr>
              <w:t>USDOC</w:t>
            </w:r>
          </w:p>
        </w:tc>
        <w:tc>
          <w:tcPr>
            <w:tcW w:w="6621" w:type="dxa"/>
          </w:tcPr>
          <w:p w:rsidR="00B36EF2" w:rsidRPr="005C06FD" w:rsidRDefault="000A10EA" w:rsidP="00206326">
            <w:pPr>
              <w:spacing w:before="60" w:after="60"/>
              <w:jc w:val="left"/>
              <w:rPr>
                <w:szCs w:val="18"/>
              </w:rPr>
            </w:pPr>
            <w:r w:rsidRPr="005C06FD">
              <w:rPr>
                <w:szCs w:val="18"/>
              </w:rPr>
              <w:t>United States</w:t>
            </w:r>
            <w:r w:rsidR="00B36EF2" w:rsidRPr="005C06FD">
              <w:rPr>
                <w:szCs w:val="18"/>
              </w:rPr>
              <w:t xml:space="preserve"> Department of Commerce</w:t>
            </w:r>
          </w:p>
        </w:tc>
      </w:tr>
      <w:tr w:rsidR="0007161B" w:rsidRPr="00D46126" w:rsidTr="00B36EF2">
        <w:trPr>
          <w:cnfStyle w:val="000000010000" w:firstRow="0" w:lastRow="0" w:firstColumn="0" w:lastColumn="0" w:oddVBand="0" w:evenVBand="0" w:oddHBand="0" w:evenHBand="1" w:firstRowFirstColumn="0" w:firstRowLastColumn="0" w:lastRowFirstColumn="0" w:lastRowLastColumn="0"/>
        </w:trPr>
        <w:tc>
          <w:tcPr>
            <w:tcW w:w="2600" w:type="dxa"/>
          </w:tcPr>
          <w:p w:rsidR="0007161B" w:rsidRPr="002139E2" w:rsidRDefault="0007161B" w:rsidP="00206326">
            <w:pPr>
              <w:pStyle w:val="Footer"/>
              <w:tabs>
                <w:tab w:val="clear" w:pos="4513"/>
                <w:tab w:val="clear" w:pos="9027"/>
              </w:tabs>
              <w:spacing w:before="60" w:after="60"/>
              <w:ind w:right="5"/>
              <w:jc w:val="left"/>
            </w:pPr>
            <w:r w:rsidRPr="002139E2">
              <w:t>VLA</w:t>
            </w:r>
          </w:p>
        </w:tc>
        <w:tc>
          <w:tcPr>
            <w:tcW w:w="6621" w:type="dxa"/>
          </w:tcPr>
          <w:p w:rsidR="0007161B" w:rsidRPr="002139E2" w:rsidRDefault="0007161B" w:rsidP="00206326">
            <w:pPr>
              <w:pStyle w:val="Footer"/>
              <w:tabs>
                <w:tab w:val="clear" w:pos="4513"/>
                <w:tab w:val="clear" w:pos="9027"/>
              </w:tabs>
              <w:spacing w:before="60" w:after="60"/>
              <w:ind w:right="95"/>
              <w:jc w:val="left"/>
            </w:pPr>
            <w:r w:rsidRPr="002139E2">
              <w:t>very large aircraft</w:t>
            </w:r>
          </w:p>
        </w:tc>
      </w:tr>
      <w:tr w:rsidR="005C06FD" w:rsidRPr="00D46126" w:rsidTr="00B36EF2">
        <w:tc>
          <w:tcPr>
            <w:tcW w:w="2600" w:type="dxa"/>
          </w:tcPr>
          <w:p w:rsidR="005C06FD" w:rsidRPr="005C06FD" w:rsidRDefault="005C06FD" w:rsidP="00206326">
            <w:pPr>
              <w:tabs>
                <w:tab w:val="left" w:pos="0"/>
              </w:tabs>
              <w:spacing w:before="60" w:after="60"/>
              <w:jc w:val="left"/>
              <w:rPr>
                <w:szCs w:val="18"/>
              </w:rPr>
            </w:pPr>
            <w:r>
              <w:rPr>
                <w:szCs w:val="18"/>
              </w:rPr>
              <w:t>Whitelaw Response to Jordan</w:t>
            </w:r>
          </w:p>
        </w:tc>
        <w:tc>
          <w:tcPr>
            <w:tcW w:w="6621" w:type="dxa"/>
          </w:tcPr>
          <w:p w:rsidR="005C06FD" w:rsidRPr="005C06FD" w:rsidRDefault="005C06FD" w:rsidP="005C06FD">
            <w:pPr>
              <w:tabs>
                <w:tab w:val="left" w:pos="0"/>
              </w:tabs>
              <w:spacing w:before="60" w:after="60"/>
              <w:jc w:val="left"/>
              <w:rPr>
                <w:szCs w:val="18"/>
              </w:rPr>
            </w:pPr>
            <w:r>
              <w:rPr>
                <w:lang w:val="en-US"/>
              </w:rPr>
              <w:t>Professor Robert Whitelaw, "Response to Dr Jordan's report on the benefits of MSF", 13 Dece</w:t>
            </w:r>
            <w:r w:rsidR="000405DB">
              <w:rPr>
                <w:lang w:val="en-US"/>
              </w:rPr>
              <w:t>mber 2012 (Panel Exhibit EU</w:t>
            </w:r>
            <w:r w:rsidR="000405DB">
              <w:rPr>
                <w:lang w:val="en-US"/>
              </w:rPr>
              <w:noBreakHyphen/>
              <w:t>121 </w:t>
            </w:r>
            <w:r>
              <w:rPr>
                <w:lang w:val="en-US"/>
              </w:rPr>
              <w:t>(BCI/HSBI))</w:t>
            </w:r>
          </w:p>
        </w:tc>
      </w:tr>
      <w:tr w:rsidR="005C06FD" w:rsidRPr="00D46126" w:rsidTr="00B36EF2">
        <w:trPr>
          <w:cnfStyle w:val="000000010000" w:firstRow="0" w:lastRow="0" w:firstColumn="0" w:lastColumn="0" w:oddVBand="0" w:evenVBand="0" w:oddHBand="0" w:evenHBand="1" w:firstRowFirstColumn="0" w:firstRowLastColumn="0" w:lastRowFirstColumn="0" w:lastRowLastColumn="0"/>
        </w:trPr>
        <w:tc>
          <w:tcPr>
            <w:tcW w:w="2600" w:type="dxa"/>
          </w:tcPr>
          <w:p w:rsidR="005C06FD" w:rsidRDefault="005C06FD" w:rsidP="00206326">
            <w:pPr>
              <w:tabs>
                <w:tab w:val="left" w:pos="0"/>
              </w:tabs>
              <w:spacing w:before="60" w:after="60"/>
              <w:jc w:val="left"/>
              <w:rPr>
                <w:szCs w:val="18"/>
              </w:rPr>
            </w:pPr>
            <w:r>
              <w:rPr>
                <w:szCs w:val="18"/>
              </w:rPr>
              <w:t>Williams Statement</w:t>
            </w:r>
          </w:p>
        </w:tc>
        <w:tc>
          <w:tcPr>
            <w:tcW w:w="6621" w:type="dxa"/>
          </w:tcPr>
          <w:p w:rsidR="005C06FD" w:rsidRDefault="005C06FD" w:rsidP="005C06FD">
            <w:pPr>
              <w:tabs>
                <w:tab w:val="left" w:pos="0"/>
              </w:tabs>
              <w:spacing w:before="60" w:after="60"/>
              <w:jc w:val="left"/>
              <w:rPr>
                <w:lang w:val="en-US"/>
              </w:rPr>
            </w:pPr>
            <w:r w:rsidRPr="006477CA">
              <w:t xml:space="preserve">Statement by Tom Williams, Executive Vice President, Programmes, Airbus SAS, </w:t>
            </w:r>
            <w:r w:rsidRPr="00845341">
              <w:t>17</w:t>
            </w:r>
            <w:r>
              <w:t> May 20</w:t>
            </w:r>
            <w:r w:rsidRPr="0097319F">
              <w:t xml:space="preserve">13 (Panel </w:t>
            </w:r>
            <w:r>
              <w:t>Exhibit</w:t>
            </w:r>
            <w:r w:rsidRPr="0097319F">
              <w:t xml:space="preserve"> EU-354 (BCI))</w:t>
            </w:r>
          </w:p>
        </w:tc>
      </w:tr>
      <w:tr w:rsidR="0007161B" w:rsidRPr="00D46126" w:rsidTr="00B36EF2">
        <w:tc>
          <w:tcPr>
            <w:tcW w:w="2600" w:type="dxa"/>
          </w:tcPr>
          <w:p w:rsidR="0007161B" w:rsidRPr="005C06FD" w:rsidRDefault="0007161B" w:rsidP="00206326">
            <w:pPr>
              <w:tabs>
                <w:tab w:val="left" w:pos="0"/>
              </w:tabs>
              <w:spacing w:before="60" w:after="60"/>
              <w:jc w:val="left"/>
              <w:rPr>
                <w:szCs w:val="18"/>
              </w:rPr>
            </w:pPr>
            <w:r w:rsidRPr="005C06FD">
              <w:rPr>
                <w:szCs w:val="18"/>
              </w:rPr>
              <w:t>Working Procedures</w:t>
            </w:r>
          </w:p>
        </w:tc>
        <w:tc>
          <w:tcPr>
            <w:tcW w:w="6621" w:type="dxa"/>
          </w:tcPr>
          <w:p w:rsidR="0007161B" w:rsidRPr="005C06FD" w:rsidRDefault="0007161B" w:rsidP="00206326">
            <w:pPr>
              <w:tabs>
                <w:tab w:val="left" w:pos="0"/>
              </w:tabs>
              <w:spacing w:before="60" w:after="60"/>
              <w:jc w:val="left"/>
              <w:rPr>
                <w:szCs w:val="18"/>
              </w:rPr>
            </w:pPr>
            <w:r w:rsidRPr="005C06FD">
              <w:rPr>
                <w:szCs w:val="18"/>
              </w:rPr>
              <w:t>Working Procedures for Appellate Review, WT/AB/WP/6</w:t>
            </w:r>
            <w:r w:rsidR="00846F05" w:rsidRPr="005C06FD">
              <w:rPr>
                <w:spacing w:val="-2"/>
                <w:szCs w:val="18"/>
              </w:rPr>
              <w:t>, 16</w:t>
            </w:r>
            <w:r w:rsidR="000A18DA" w:rsidRPr="005C06FD">
              <w:rPr>
                <w:spacing w:val="-2"/>
                <w:szCs w:val="18"/>
              </w:rPr>
              <w:t> August</w:t>
            </w:r>
            <w:r w:rsidR="000A10EA" w:rsidRPr="005C06FD">
              <w:rPr>
                <w:spacing w:val="-2"/>
                <w:szCs w:val="18"/>
              </w:rPr>
              <w:t> 20</w:t>
            </w:r>
            <w:r w:rsidRPr="005C06FD">
              <w:rPr>
                <w:spacing w:val="-2"/>
                <w:szCs w:val="18"/>
              </w:rPr>
              <w:t>10</w:t>
            </w:r>
          </w:p>
        </w:tc>
      </w:tr>
      <w:tr w:rsidR="00B36EF2" w:rsidRPr="00D46126" w:rsidTr="00B36EF2">
        <w:trPr>
          <w:cnfStyle w:val="000000010000" w:firstRow="0" w:lastRow="0" w:firstColumn="0" w:lastColumn="0" w:oddVBand="0" w:evenVBand="0" w:oddHBand="0" w:evenHBand="1" w:firstRowFirstColumn="0" w:firstRowLastColumn="0" w:lastRowFirstColumn="0" w:lastRowLastColumn="0"/>
        </w:trPr>
        <w:tc>
          <w:tcPr>
            <w:tcW w:w="2600" w:type="dxa"/>
          </w:tcPr>
          <w:p w:rsidR="00B36EF2" w:rsidRPr="005C06FD" w:rsidRDefault="00B36EF2" w:rsidP="00206326">
            <w:pPr>
              <w:tabs>
                <w:tab w:val="left" w:pos="0"/>
              </w:tabs>
              <w:spacing w:before="60" w:after="60"/>
              <w:jc w:val="left"/>
              <w:rPr>
                <w:szCs w:val="18"/>
              </w:rPr>
            </w:pPr>
            <w:r w:rsidRPr="005C06FD">
              <w:rPr>
                <w:szCs w:val="18"/>
              </w:rPr>
              <w:t>WRP</w:t>
            </w:r>
          </w:p>
        </w:tc>
        <w:tc>
          <w:tcPr>
            <w:tcW w:w="6621" w:type="dxa"/>
          </w:tcPr>
          <w:p w:rsidR="00B36EF2" w:rsidRPr="005C06FD" w:rsidRDefault="00B36EF2" w:rsidP="00206326">
            <w:pPr>
              <w:tabs>
                <w:tab w:val="left" w:pos="0"/>
              </w:tabs>
              <w:spacing w:before="60" w:after="60"/>
              <w:jc w:val="left"/>
              <w:rPr>
                <w:szCs w:val="18"/>
              </w:rPr>
            </w:pPr>
            <w:r w:rsidRPr="005C06FD">
              <w:rPr>
                <w:szCs w:val="18"/>
              </w:rPr>
              <w:t>Whitelaw Risk Premium</w:t>
            </w:r>
          </w:p>
        </w:tc>
      </w:tr>
      <w:tr w:rsidR="0007161B" w:rsidRPr="00D46126" w:rsidTr="00B36EF2">
        <w:tc>
          <w:tcPr>
            <w:tcW w:w="2600" w:type="dxa"/>
          </w:tcPr>
          <w:p w:rsidR="0007161B" w:rsidRPr="005C06FD" w:rsidRDefault="0007161B" w:rsidP="00206326">
            <w:pPr>
              <w:pStyle w:val="Footer"/>
              <w:tabs>
                <w:tab w:val="clear" w:pos="4513"/>
                <w:tab w:val="clear" w:pos="9027"/>
              </w:tabs>
              <w:spacing w:before="60" w:after="60"/>
              <w:ind w:right="5"/>
              <w:jc w:val="left"/>
            </w:pPr>
            <w:r w:rsidRPr="005C06FD">
              <w:t>WTO</w:t>
            </w:r>
          </w:p>
        </w:tc>
        <w:tc>
          <w:tcPr>
            <w:tcW w:w="6621" w:type="dxa"/>
          </w:tcPr>
          <w:p w:rsidR="0007161B" w:rsidRPr="005C06FD" w:rsidRDefault="0007161B" w:rsidP="00206326">
            <w:pPr>
              <w:pStyle w:val="Footer"/>
              <w:tabs>
                <w:tab w:val="clear" w:pos="4513"/>
                <w:tab w:val="clear" w:pos="9027"/>
              </w:tabs>
              <w:spacing w:before="60" w:after="60"/>
              <w:ind w:right="95"/>
              <w:jc w:val="left"/>
            </w:pPr>
            <w:r w:rsidRPr="005C06FD">
              <w:t>World Trade Organization</w:t>
            </w:r>
          </w:p>
        </w:tc>
      </w:tr>
      <w:tr w:rsidR="00B36EF2" w:rsidRPr="00D46126" w:rsidTr="00B36EF2">
        <w:trPr>
          <w:cnfStyle w:val="000000010000" w:firstRow="0" w:lastRow="0" w:firstColumn="0" w:lastColumn="0" w:oddVBand="0" w:evenVBand="0" w:oddHBand="0" w:evenHBand="1" w:firstRowFirstColumn="0" w:firstRowLastColumn="0" w:lastRowFirstColumn="0" w:lastRowLastColumn="0"/>
        </w:trPr>
        <w:tc>
          <w:tcPr>
            <w:tcW w:w="2600" w:type="dxa"/>
          </w:tcPr>
          <w:p w:rsidR="00B36EF2" w:rsidRPr="005C06FD" w:rsidRDefault="00B36EF2" w:rsidP="00206326">
            <w:pPr>
              <w:pStyle w:val="Footer"/>
              <w:tabs>
                <w:tab w:val="clear" w:pos="4513"/>
                <w:tab w:val="clear" w:pos="9027"/>
              </w:tabs>
              <w:spacing w:before="60" w:after="60"/>
              <w:ind w:right="5"/>
              <w:jc w:val="left"/>
            </w:pPr>
            <w:r w:rsidRPr="005C06FD">
              <w:t>YTM</w:t>
            </w:r>
          </w:p>
        </w:tc>
        <w:tc>
          <w:tcPr>
            <w:tcW w:w="6621" w:type="dxa"/>
          </w:tcPr>
          <w:p w:rsidR="00B36EF2" w:rsidRPr="005C06FD" w:rsidRDefault="00B36EF2" w:rsidP="00206326">
            <w:pPr>
              <w:pStyle w:val="Footer"/>
              <w:tabs>
                <w:tab w:val="clear" w:pos="4513"/>
                <w:tab w:val="clear" w:pos="9027"/>
              </w:tabs>
              <w:spacing w:before="60" w:after="60"/>
              <w:ind w:right="95"/>
              <w:jc w:val="left"/>
            </w:pPr>
            <w:r w:rsidRPr="005C06FD">
              <w:t>yield to maturity</w:t>
            </w:r>
          </w:p>
        </w:tc>
      </w:tr>
    </w:tbl>
    <w:p w:rsidR="00D46126" w:rsidRDefault="00D46126" w:rsidP="00206326"/>
    <w:p w:rsidR="00D46126" w:rsidRDefault="00D46126">
      <w:pPr>
        <w:spacing w:after="200" w:line="276" w:lineRule="auto"/>
        <w:jc w:val="left"/>
      </w:pPr>
    </w:p>
    <w:p w:rsidR="0007161B" w:rsidRPr="00B55651" w:rsidRDefault="0007161B" w:rsidP="00413A0B">
      <w:pPr>
        <w:pStyle w:val="Title"/>
        <w:keepNext/>
        <w:keepLines/>
      </w:pPr>
      <w:r w:rsidRPr="00B55651">
        <w:lastRenderedPageBreak/>
        <w:t>CASES CITED IN THIS REPORT</w:t>
      </w:r>
    </w:p>
    <w:tbl>
      <w:tblPr>
        <w:tblStyle w:val="WTOTable1"/>
        <w:tblW w:w="9221" w:type="dxa"/>
        <w:tblLayout w:type="fixed"/>
        <w:tblLook w:val="0060" w:firstRow="1" w:lastRow="1" w:firstColumn="0" w:lastColumn="0" w:noHBand="0" w:noVBand="0"/>
      </w:tblPr>
      <w:tblGrid>
        <w:gridCol w:w="2600"/>
        <w:gridCol w:w="6621"/>
      </w:tblGrid>
      <w:tr w:rsidR="0007161B" w:rsidRPr="00D46126" w:rsidTr="004526E3">
        <w:trPr>
          <w:cnfStyle w:val="100000000000" w:firstRow="1" w:lastRow="0" w:firstColumn="0" w:lastColumn="0" w:oddVBand="0" w:evenVBand="0" w:oddHBand="0" w:evenHBand="0" w:firstRowFirstColumn="0" w:firstRowLastColumn="0" w:lastRowFirstColumn="0" w:lastRowLastColumn="0"/>
          <w:cantSplit/>
          <w:tblHeader/>
        </w:trPr>
        <w:tc>
          <w:tcPr>
            <w:tcW w:w="2600" w:type="dxa"/>
          </w:tcPr>
          <w:p w:rsidR="0007161B" w:rsidRPr="00D46126" w:rsidRDefault="0007161B" w:rsidP="004526E3">
            <w:pPr>
              <w:keepNext/>
              <w:keepLines/>
              <w:tabs>
                <w:tab w:val="left" w:pos="2268"/>
                <w:tab w:val="left" w:pos="4536"/>
              </w:tabs>
              <w:spacing w:before="60" w:after="60"/>
              <w:jc w:val="center"/>
              <w:rPr>
                <w:szCs w:val="18"/>
              </w:rPr>
            </w:pPr>
            <w:r w:rsidRPr="00D46126">
              <w:rPr>
                <w:szCs w:val="18"/>
              </w:rPr>
              <w:t>Short Title</w:t>
            </w:r>
          </w:p>
        </w:tc>
        <w:tc>
          <w:tcPr>
            <w:tcW w:w="6621" w:type="dxa"/>
          </w:tcPr>
          <w:p w:rsidR="0007161B" w:rsidRPr="00D46126" w:rsidRDefault="0007161B" w:rsidP="004526E3">
            <w:pPr>
              <w:keepNext/>
              <w:keepLines/>
              <w:tabs>
                <w:tab w:val="left" w:pos="2268"/>
                <w:tab w:val="left" w:pos="4536"/>
              </w:tabs>
              <w:spacing w:before="60" w:after="60"/>
              <w:jc w:val="center"/>
              <w:rPr>
                <w:szCs w:val="18"/>
              </w:rPr>
            </w:pPr>
            <w:r w:rsidRPr="00D46126">
              <w:rPr>
                <w:szCs w:val="18"/>
              </w:rPr>
              <w:t>Full Case Title and Citation</w:t>
            </w:r>
          </w:p>
        </w:tc>
      </w:tr>
      <w:tr w:rsidR="00412491" w:rsidRPr="00D46126" w:rsidTr="004526E3">
        <w:trPr>
          <w:cantSplit/>
        </w:trPr>
        <w:tc>
          <w:tcPr>
            <w:tcW w:w="2600" w:type="dxa"/>
          </w:tcPr>
          <w:p w:rsidR="00412491" w:rsidRPr="00D46126" w:rsidRDefault="00412491" w:rsidP="004526E3">
            <w:pPr>
              <w:spacing w:before="60" w:after="60"/>
              <w:jc w:val="left"/>
              <w:rPr>
                <w:i/>
                <w:color w:val="000000"/>
                <w:sz w:val="16"/>
                <w:szCs w:val="16"/>
              </w:rPr>
            </w:pPr>
            <w:r w:rsidRPr="00D46126">
              <w:rPr>
                <w:i/>
                <w:color w:val="000000"/>
                <w:sz w:val="16"/>
                <w:szCs w:val="16"/>
              </w:rPr>
              <w:t>Australia – Salmon</w:t>
            </w:r>
          </w:p>
        </w:tc>
        <w:tc>
          <w:tcPr>
            <w:tcW w:w="6621" w:type="dxa"/>
          </w:tcPr>
          <w:p w:rsidR="00412491" w:rsidRPr="00D46126" w:rsidRDefault="000A10EA" w:rsidP="004526E3">
            <w:pPr>
              <w:tabs>
                <w:tab w:val="left" w:pos="1605"/>
              </w:tabs>
              <w:spacing w:before="60" w:after="60"/>
              <w:jc w:val="left"/>
              <w:rPr>
                <w:color w:val="000000"/>
                <w:sz w:val="16"/>
                <w:szCs w:val="16"/>
              </w:rPr>
            </w:pPr>
            <w:r w:rsidRPr="00D46126">
              <w:rPr>
                <w:color w:val="000000"/>
                <w:sz w:val="16"/>
                <w:szCs w:val="16"/>
              </w:rPr>
              <w:t>Appellate Body</w:t>
            </w:r>
            <w:r w:rsidR="00412491" w:rsidRPr="00D46126">
              <w:rPr>
                <w:color w:val="000000"/>
                <w:sz w:val="16"/>
                <w:szCs w:val="16"/>
              </w:rPr>
              <w:t xml:space="preserve"> Report, </w:t>
            </w:r>
            <w:r w:rsidR="00412491" w:rsidRPr="00D46126">
              <w:rPr>
                <w:i/>
                <w:color w:val="000000"/>
                <w:sz w:val="16"/>
                <w:szCs w:val="16"/>
              </w:rPr>
              <w:t>Australia – Measures Affecting Importation of Salmon</w:t>
            </w:r>
            <w:r w:rsidR="00412491" w:rsidRPr="00D46126">
              <w:rPr>
                <w:color w:val="000000"/>
                <w:sz w:val="16"/>
                <w:szCs w:val="16"/>
              </w:rPr>
              <w:t xml:space="preserve">, </w:t>
            </w:r>
            <w:r w:rsidR="00412491" w:rsidRPr="004728B7">
              <w:rPr>
                <w:sz w:val="16"/>
                <w:szCs w:val="16"/>
              </w:rPr>
              <w:t>WT/DS18/AB/R</w:t>
            </w:r>
            <w:r w:rsidR="00412491" w:rsidRPr="00D46126">
              <w:rPr>
                <w:color w:val="000000"/>
                <w:sz w:val="16"/>
                <w:szCs w:val="16"/>
              </w:rPr>
              <w:t>, adopted 6</w:t>
            </w:r>
            <w:r w:rsidR="000A18DA" w:rsidRPr="00D46126">
              <w:rPr>
                <w:color w:val="000000"/>
                <w:sz w:val="16"/>
                <w:szCs w:val="16"/>
              </w:rPr>
              <w:t> November</w:t>
            </w:r>
            <w:r w:rsidR="00412491" w:rsidRPr="00D46126">
              <w:rPr>
                <w:color w:val="000000"/>
                <w:sz w:val="16"/>
                <w:szCs w:val="16"/>
              </w:rPr>
              <w:t xml:space="preserve"> 1998, DSR 1998:VIII, p. 3327</w:t>
            </w:r>
          </w:p>
        </w:tc>
      </w:tr>
      <w:tr w:rsidR="00412491" w:rsidRPr="00D46126" w:rsidTr="004526E3">
        <w:trPr>
          <w:cnfStyle w:val="000000010000" w:firstRow="0" w:lastRow="0" w:firstColumn="0" w:lastColumn="0" w:oddVBand="0" w:evenVBand="0" w:oddHBand="0" w:evenHBand="1" w:firstRowFirstColumn="0" w:firstRowLastColumn="0" w:lastRowFirstColumn="0" w:lastRowLastColumn="0"/>
          <w:cantSplit/>
        </w:trPr>
        <w:tc>
          <w:tcPr>
            <w:tcW w:w="2600" w:type="dxa"/>
          </w:tcPr>
          <w:p w:rsidR="00412491" w:rsidRPr="00D46126" w:rsidRDefault="00412491" w:rsidP="004526E3">
            <w:pPr>
              <w:spacing w:before="60" w:after="60"/>
              <w:jc w:val="left"/>
              <w:rPr>
                <w:i/>
                <w:color w:val="000000"/>
                <w:sz w:val="16"/>
                <w:szCs w:val="16"/>
              </w:rPr>
            </w:pPr>
            <w:r w:rsidRPr="00D46126">
              <w:rPr>
                <w:i/>
                <w:color w:val="000000"/>
                <w:sz w:val="16"/>
                <w:szCs w:val="16"/>
              </w:rPr>
              <w:t>Brazil – Retreaded Tyres</w:t>
            </w:r>
          </w:p>
        </w:tc>
        <w:tc>
          <w:tcPr>
            <w:tcW w:w="6621" w:type="dxa"/>
          </w:tcPr>
          <w:p w:rsidR="00412491" w:rsidRPr="00D46126" w:rsidRDefault="000A10EA" w:rsidP="004526E3">
            <w:pPr>
              <w:tabs>
                <w:tab w:val="left" w:pos="1605"/>
              </w:tabs>
              <w:spacing w:before="60" w:after="60"/>
              <w:jc w:val="left"/>
              <w:rPr>
                <w:color w:val="000000"/>
                <w:sz w:val="16"/>
                <w:szCs w:val="16"/>
              </w:rPr>
            </w:pPr>
            <w:r w:rsidRPr="00D46126">
              <w:rPr>
                <w:color w:val="000000"/>
                <w:sz w:val="16"/>
                <w:szCs w:val="16"/>
              </w:rPr>
              <w:t>Appellate Body</w:t>
            </w:r>
            <w:r w:rsidR="00412491" w:rsidRPr="00D46126">
              <w:rPr>
                <w:color w:val="000000"/>
                <w:sz w:val="16"/>
                <w:szCs w:val="16"/>
              </w:rPr>
              <w:t xml:space="preserve"> Report, </w:t>
            </w:r>
            <w:r w:rsidR="00412491" w:rsidRPr="00D46126">
              <w:rPr>
                <w:i/>
                <w:color w:val="000000"/>
                <w:sz w:val="16"/>
                <w:szCs w:val="16"/>
              </w:rPr>
              <w:t>Brazil – Measures Affecting Imports of Retreaded Tyres</w:t>
            </w:r>
            <w:r w:rsidR="00412491" w:rsidRPr="00D46126">
              <w:rPr>
                <w:color w:val="000000"/>
                <w:sz w:val="16"/>
                <w:szCs w:val="16"/>
              </w:rPr>
              <w:t xml:space="preserve">, </w:t>
            </w:r>
            <w:r w:rsidR="00412491" w:rsidRPr="004728B7">
              <w:rPr>
                <w:sz w:val="16"/>
                <w:szCs w:val="16"/>
              </w:rPr>
              <w:t>WT/DS332/AB/R</w:t>
            </w:r>
            <w:r w:rsidR="00412491" w:rsidRPr="00D46126">
              <w:rPr>
                <w:color w:val="000000"/>
                <w:sz w:val="16"/>
                <w:szCs w:val="16"/>
              </w:rPr>
              <w:t>, adopted 17</w:t>
            </w:r>
            <w:r w:rsidR="000A18DA" w:rsidRPr="00D46126">
              <w:rPr>
                <w:color w:val="000000"/>
                <w:sz w:val="16"/>
                <w:szCs w:val="16"/>
              </w:rPr>
              <w:t> December</w:t>
            </w:r>
            <w:r w:rsidRPr="00D46126">
              <w:rPr>
                <w:color w:val="000000"/>
                <w:sz w:val="16"/>
                <w:szCs w:val="16"/>
              </w:rPr>
              <w:t> 20</w:t>
            </w:r>
            <w:r w:rsidR="00412491" w:rsidRPr="00D46126">
              <w:rPr>
                <w:color w:val="000000"/>
                <w:sz w:val="16"/>
                <w:szCs w:val="16"/>
              </w:rPr>
              <w:t>07, DSR</w:t>
            </w:r>
            <w:r w:rsidRPr="00D46126">
              <w:rPr>
                <w:color w:val="000000"/>
                <w:sz w:val="16"/>
                <w:szCs w:val="16"/>
              </w:rPr>
              <w:t> 20</w:t>
            </w:r>
            <w:r w:rsidR="00412491" w:rsidRPr="00D46126">
              <w:rPr>
                <w:color w:val="000000"/>
                <w:sz w:val="16"/>
                <w:szCs w:val="16"/>
              </w:rPr>
              <w:t>07:IV, p. 1527</w:t>
            </w:r>
          </w:p>
        </w:tc>
      </w:tr>
      <w:tr w:rsidR="005D430E" w:rsidRPr="00D46126" w:rsidTr="004526E3">
        <w:trPr>
          <w:cantSplit/>
        </w:trPr>
        <w:tc>
          <w:tcPr>
            <w:tcW w:w="2600" w:type="dxa"/>
          </w:tcPr>
          <w:p w:rsidR="005D430E" w:rsidRPr="00D46126" w:rsidRDefault="005D430E" w:rsidP="004526E3">
            <w:pPr>
              <w:spacing w:before="60" w:after="60"/>
              <w:jc w:val="left"/>
              <w:rPr>
                <w:i/>
                <w:color w:val="000000"/>
                <w:sz w:val="16"/>
                <w:szCs w:val="16"/>
                <w:lang w:val="fr-CH"/>
              </w:rPr>
            </w:pPr>
            <w:r w:rsidRPr="00D46126">
              <w:rPr>
                <w:i/>
                <w:color w:val="000000"/>
                <w:sz w:val="16"/>
                <w:szCs w:val="16"/>
              </w:rPr>
              <w:t>Canada – Aircraft</w:t>
            </w:r>
          </w:p>
        </w:tc>
        <w:tc>
          <w:tcPr>
            <w:tcW w:w="6621" w:type="dxa"/>
          </w:tcPr>
          <w:p w:rsidR="005D430E" w:rsidRPr="00D46126" w:rsidRDefault="000A10EA" w:rsidP="004526E3">
            <w:pPr>
              <w:tabs>
                <w:tab w:val="left" w:pos="1605"/>
              </w:tabs>
              <w:spacing w:before="60" w:after="60"/>
              <w:jc w:val="left"/>
              <w:rPr>
                <w:color w:val="000000"/>
                <w:sz w:val="16"/>
                <w:szCs w:val="16"/>
              </w:rPr>
            </w:pPr>
            <w:r w:rsidRPr="00D46126">
              <w:rPr>
                <w:color w:val="000000"/>
                <w:sz w:val="16"/>
                <w:szCs w:val="16"/>
              </w:rPr>
              <w:t>Appellate Body</w:t>
            </w:r>
            <w:r w:rsidR="005D430E" w:rsidRPr="00D46126">
              <w:rPr>
                <w:color w:val="000000"/>
                <w:sz w:val="16"/>
                <w:szCs w:val="16"/>
              </w:rPr>
              <w:t xml:space="preserve"> Report, </w:t>
            </w:r>
            <w:r w:rsidR="005D430E" w:rsidRPr="00D46126">
              <w:rPr>
                <w:i/>
                <w:color w:val="000000"/>
                <w:sz w:val="16"/>
                <w:szCs w:val="16"/>
              </w:rPr>
              <w:t>Canada – Measures Affecting the Export of Civilian Aircraft</w:t>
            </w:r>
            <w:r w:rsidR="005D430E" w:rsidRPr="00D46126">
              <w:rPr>
                <w:color w:val="000000"/>
                <w:sz w:val="16"/>
                <w:szCs w:val="16"/>
              </w:rPr>
              <w:t xml:space="preserve">, </w:t>
            </w:r>
            <w:r w:rsidR="005D430E" w:rsidRPr="004728B7">
              <w:rPr>
                <w:sz w:val="16"/>
                <w:szCs w:val="16"/>
              </w:rPr>
              <w:t>WT/DS70/AB/R</w:t>
            </w:r>
            <w:r w:rsidR="005D430E" w:rsidRPr="00D46126">
              <w:rPr>
                <w:color w:val="000000"/>
                <w:sz w:val="16"/>
                <w:szCs w:val="16"/>
              </w:rPr>
              <w:t>, adopted</w:t>
            </w:r>
            <w:r w:rsidRPr="00D46126">
              <w:rPr>
                <w:color w:val="000000"/>
                <w:sz w:val="16"/>
                <w:szCs w:val="16"/>
              </w:rPr>
              <w:t> 20</w:t>
            </w:r>
            <w:r w:rsidR="000A18DA" w:rsidRPr="00D46126">
              <w:rPr>
                <w:color w:val="000000"/>
                <w:sz w:val="16"/>
                <w:szCs w:val="16"/>
              </w:rPr>
              <w:t> August</w:t>
            </w:r>
            <w:r w:rsidR="005D430E" w:rsidRPr="00D46126">
              <w:rPr>
                <w:color w:val="000000"/>
                <w:sz w:val="16"/>
                <w:szCs w:val="16"/>
              </w:rPr>
              <w:t xml:space="preserve"> 1999, DSR 1999:III, p. 1377</w:t>
            </w:r>
          </w:p>
        </w:tc>
      </w:tr>
      <w:tr w:rsidR="004D0A48" w:rsidRPr="00D46126" w:rsidTr="004526E3">
        <w:trPr>
          <w:cnfStyle w:val="000000010000" w:firstRow="0" w:lastRow="0" w:firstColumn="0" w:lastColumn="0" w:oddVBand="0" w:evenVBand="0" w:oddHBand="0" w:evenHBand="1" w:firstRowFirstColumn="0" w:firstRowLastColumn="0" w:lastRowFirstColumn="0" w:lastRowLastColumn="0"/>
          <w:cantSplit/>
        </w:trPr>
        <w:tc>
          <w:tcPr>
            <w:tcW w:w="2600" w:type="dxa"/>
          </w:tcPr>
          <w:p w:rsidR="004D0A48" w:rsidRPr="00D46126" w:rsidRDefault="004D0A48" w:rsidP="004526E3">
            <w:pPr>
              <w:spacing w:before="60" w:after="60"/>
              <w:jc w:val="left"/>
              <w:rPr>
                <w:i/>
                <w:color w:val="000000"/>
                <w:sz w:val="16"/>
                <w:szCs w:val="16"/>
              </w:rPr>
            </w:pPr>
            <w:r w:rsidRPr="00D46126">
              <w:rPr>
                <w:i/>
                <w:color w:val="000000"/>
                <w:sz w:val="16"/>
                <w:szCs w:val="16"/>
              </w:rPr>
              <w:t>Canada – Aircraft (</w:t>
            </w:r>
            <w:r w:rsidR="000A10EA" w:rsidRPr="00D46126">
              <w:rPr>
                <w:i/>
                <w:color w:val="000000"/>
                <w:sz w:val="16"/>
                <w:szCs w:val="16"/>
              </w:rPr>
              <w:t>Article </w:t>
            </w:r>
            <w:r w:rsidRPr="00D46126">
              <w:rPr>
                <w:i/>
                <w:color w:val="000000"/>
                <w:sz w:val="16"/>
                <w:szCs w:val="16"/>
              </w:rPr>
              <w:t>21.5 – Brazil)</w:t>
            </w:r>
          </w:p>
        </w:tc>
        <w:tc>
          <w:tcPr>
            <w:tcW w:w="6621" w:type="dxa"/>
          </w:tcPr>
          <w:p w:rsidR="004D0A48" w:rsidRPr="00D46126" w:rsidRDefault="000A10EA" w:rsidP="004526E3">
            <w:pPr>
              <w:tabs>
                <w:tab w:val="left" w:pos="1605"/>
              </w:tabs>
              <w:spacing w:before="60" w:after="60"/>
              <w:jc w:val="left"/>
              <w:rPr>
                <w:color w:val="000000"/>
                <w:sz w:val="16"/>
                <w:szCs w:val="16"/>
              </w:rPr>
            </w:pPr>
            <w:r w:rsidRPr="00D46126">
              <w:rPr>
                <w:color w:val="000000"/>
                <w:sz w:val="16"/>
                <w:szCs w:val="16"/>
              </w:rPr>
              <w:t>Appellate Body</w:t>
            </w:r>
            <w:r w:rsidR="004D0A48" w:rsidRPr="00D46126">
              <w:rPr>
                <w:color w:val="000000"/>
                <w:sz w:val="16"/>
                <w:szCs w:val="16"/>
              </w:rPr>
              <w:t xml:space="preserve"> Report, </w:t>
            </w:r>
            <w:r w:rsidR="004D0A48" w:rsidRPr="00D46126">
              <w:rPr>
                <w:i/>
                <w:color w:val="000000"/>
                <w:sz w:val="16"/>
                <w:szCs w:val="16"/>
              </w:rPr>
              <w:t xml:space="preserve">Canada – Measures Affecting the Export of Civilian Aircraft – Recourse by Brazil to </w:t>
            </w:r>
            <w:r w:rsidRPr="00D46126">
              <w:rPr>
                <w:i/>
                <w:color w:val="000000"/>
                <w:sz w:val="16"/>
                <w:szCs w:val="16"/>
              </w:rPr>
              <w:t>Article </w:t>
            </w:r>
            <w:r w:rsidR="004D0A48" w:rsidRPr="00D46126">
              <w:rPr>
                <w:i/>
                <w:color w:val="000000"/>
                <w:sz w:val="16"/>
                <w:szCs w:val="16"/>
              </w:rPr>
              <w:t>21.5 of the DSU</w:t>
            </w:r>
            <w:r w:rsidR="004D0A48" w:rsidRPr="00D46126">
              <w:rPr>
                <w:color w:val="000000"/>
                <w:sz w:val="16"/>
                <w:szCs w:val="16"/>
              </w:rPr>
              <w:t xml:space="preserve">, </w:t>
            </w:r>
            <w:r w:rsidR="004D0A48" w:rsidRPr="004728B7">
              <w:rPr>
                <w:sz w:val="16"/>
                <w:szCs w:val="16"/>
              </w:rPr>
              <w:t>WT/DS70/AB/RW</w:t>
            </w:r>
            <w:r w:rsidR="004D0A48" w:rsidRPr="00D46126">
              <w:rPr>
                <w:color w:val="000000"/>
                <w:sz w:val="16"/>
                <w:szCs w:val="16"/>
              </w:rPr>
              <w:t>, adopted 4</w:t>
            </w:r>
            <w:r w:rsidR="000A18DA" w:rsidRPr="00D46126">
              <w:rPr>
                <w:color w:val="000000"/>
                <w:sz w:val="16"/>
                <w:szCs w:val="16"/>
              </w:rPr>
              <w:t> August</w:t>
            </w:r>
            <w:r w:rsidRPr="00D46126">
              <w:rPr>
                <w:color w:val="000000"/>
                <w:sz w:val="16"/>
                <w:szCs w:val="16"/>
              </w:rPr>
              <w:t> 20</w:t>
            </w:r>
            <w:r w:rsidR="004D0A48" w:rsidRPr="00D46126">
              <w:rPr>
                <w:color w:val="000000"/>
                <w:sz w:val="16"/>
                <w:szCs w:val="16"/>
              </w:rPr>
              <w:t>00, DSR</w:t>
            </w:r>
            <w:r w:rsidRPr="00D46126">
              <w:rPr>
                <w:color w:val="000000"/>
                <w:sz w:val="16"/>
                <w:szCs w:val="16"/>
              </w:rPr>
              <w:t> 20</w:t>
            </w:r>
            <w:r w:rsidR="004D0A48" w:rsidRPr="00D46126">
              <w:rPr>
                <w:color w:val="000000"/>
                <w:sz w:val="16"/>
                <w:szCs w:val="16"/>
              </w:rPr>
              <w:t>00:IX, p. 4299</w:t>
            </w:r>
          </w:p>
        </w:tc>
      </w:tr>
      <w:tr w:rsidR="008304B3" w:rsidRPr="00D46126" w:rsidTr="004526E3">
        <w:trPr>
          <w:cantSplit/>
        </w:trPr>
        <w:tc>
          <w:tcPr>
            <w:tcW w:w="2600" w:type="dxa"/>
          </w:tcPr>
          <w:p w:rsidR="008304B3" w:rsidRPr="00D46126" w:rsidRDefault="008304B3" w:rsidP="004526E3">
            <w:pPr>
              <w:keepNext/>
              <w:keepLines/>
              <w:spacing w:before="60" w:after="60"/>
              <w:jc w:val="left"/>
              <w:rPr>
                <w:i/>
                <w:color w:val="000000"/>
                <w:sz w:val="16"/>
                <w:szCs w:val="16"/>
              </w:rPr>
            </w:pPr>
            <w:r w:rsidRPr="00D46126">
              <w:rPr>
                <w:i/>
                <w:color w:val="000000"/>
                <w:sz w:val="16"/>
                <w:szCs w:val="16"/>
              </w:rPr>
              <w:t>Canada – Autos</w:t>
            </w:r>
          </w:p>
        </w:tc>
        <w:tc>
          <w:tcPr>
            <w:tcW w:w="6621" w:type="dxa"/>
          </w:tcPr>
          <w:p w:rsidR="008304B3" w:rsidRPr="00D46126" w:rsidRDefault="000A10EA" w:rsidP="004526E3">
            <w:pPr>
              <w:keepNext/>
              <w:keepLines/>
              <w:tabs>
                <w:tab w:val="left" w:pos="1605"/>
              </w:tabs>
              <w:spacing w:before="60" w:after="60"/>
              <w:jc w:val="left"/>
              <w:rPr>
                <w:color w:val="000000"/>
                <w:sz w:val="16"/>
                <w:szCs w:val="16"/>
              </w:rPr>
            </w:pPr>
            <w:r w:rsidRPr="00D46126">
              <w:rPr>
                <w:color w:val="000000"/>
                <w:sz w:val="16"/>
                <w:szCs w:val="16"/>
              </w:rPr>
              <w:t>Appellate Body</w:t>
            </w:r>
            <w:r w:rsidR="008304B3" w:rsidRPr="00D46126">
              <w:rPr>
                <w:color w:val="000000"/>
                <w:sz w:val="16"/>
                <w:szCs w:val="16"/>
              </w:rPr>
              <w:t xml:space="preserve"> Report, </w:t>
            </w:r>
            <w:r w:rsidR="008304B3" w:rsidRPr="00D46126">
              <w:rPr>
                <w:i/>
                <w:color w:val="000000"/>
                <w:sz w:val="16"/>
                <w:szCs w:val="16"/>
              </w:rPr>
              <w:t>Canada – Certain Measures Affecting the Automotive Industry</w:t>
            </w:r>
            <w:r w:rsidR="008304B3" w:rsidRPr="00D46126">
              <w:rPr>
                <w:color w:val="000000"/>
                <w:sz w:val="16"/>
                <w:szCs w:val="16"/>
              </w:rPr>
              <w:t xml:space="preserve">, </w:t>
            </w:r>
            <w:r w:rsidR="008304B3" w:rsidRPr="004728B7">
              <w:rPr>
                <w:sz w:val="16"/>
                <w:szCs w:val="16"/>
              </w:rPr>
              <w:t>WT/DS139/AB/R</w:t>
            </w:r>
            <w:r w:rsidR="008304B3" w:rsidRPr="00D46126">
              <w:rPr>
                <w:color w:val="000000"/>
                <w:sz w:val="16"/>
                <w:szCs w:val="16"/>
              </w:rPr>
              <w:t xml:space="preserve">, </w:t>
            </w:r>
            <w:r w:rsidR="008304B3" w:rsidRPr="004728B7">
              <w:rPr>
                <w:sz w:val="16"/>
                <w:szCs w:val="16"/>
              </w:rPr>
              <w:t>WT/DS142/AB/R</w:t>
            </w:r>
            <w:r w:rsidR="00D26146" w:rsidRPr="00D46126">
              <w:rPr>
                <w:color w:val="000000"/>
                <w:sz w:val="16"/>
                <w:szCs w:val="16"/>
              </w:rPr>
              <w:t>, adopted 19</w:t>
            </w:r>
            <w:r w:rsidR="000A18DA" w:rsidRPr="00D46126">
              <w:rPr>
                <w:color w:val="000000"/>
                <w:sz w:val="16"/>
                <w:szCs w:val="16"/>
              </w:rPr>
              <w:t> June</w:t>
            </w:r>
            <w:r w:rsidRPr="00D46126">
              <w:rPr>
                <w:color w:val="000000"/>
                <w:sz w:val="16"/>
                <w:szCs w:val="16"/>
              </w:rPr>
              <w:t> 20</w:t>
            </w:r>
            <w:r w:rsidR="00D26146" w:rsidRPr="00D46126">
              <w:rPr>
                <w:color w:val="000000"/>
                <w:sz w:val="16"/>
                <w:szCs w:val="16"/>
              </w:rPr>
              <w:t>00, DSR</w:t>
            </w:r>
            <w:r w:rsidRPr="00D46126">
              <w:rPr>
                <w:color w:val="000000"/>
                <w:sz w:val="16"/>
                <w:szCs w:val="16"/>
              </w:rPr>
              <w:t> 20</w:t>
            </w:r>
            <w:r w:rsidR="008304B3" w:rsidRPr="00D46126">
              <w:rPr>
                <w:color w:val="000000"/>
                <w:sz w:val="16"/>
                <w:szCs w:val="16"/>
              </w:rPr>
              <w:t>00:VI, p. 2985</w:t>
            </w:r>
          </w:p>
        </w:tc>
      </w:tr>
      <w:tr w:rsidR="003A1A96" w:rsidRPr="00D46126" w:rsidTr="004526E3">
        <w:trPr>
          <w:cnfStyle w:val="000000010000" w:firstRow="0" w:lastRow="0" w:firstColumn="0" w:lastColumn="0" w:oddVBand="0" w:evenVBand="0" w:oddHBand="0" w:evenHBand="1" w:firstRowFirstColumn="0" w:firstRowLastColumn="0" w:lastRowFirstColumn="0" w:lastRowLastColumn="0"/>
          <w:cantSplit/>
        </w:trPr>
        <w:tc>
          <w:tcPr>
            <w:tcW w:w="2600" w:type="dxa"/>
          </w:tcPr>
          <w:p w:rsidR="003A1A96" w:rsidRPr="00D46126" w:rsidRDefault="003A1A96" w:rsidP="004526E3">
            <w:pPr>
              <w:spacing w:before="60" w:after="60"/>
              <w:jc w:val="left"/>
              <w:rPr>
                <w:i/>
                <w:color w:val="000000"/>
                <w:sz w:val="16"/>
                <w:szCs w:val="16"/>
              </w:rPr>
            </w:pPr>
            <w:r w:rsidRPr="00D46126">
              <w:rPr>
                <w:i/>
                <w:color w:val="000000"/>
                <w:sz w:val="16"/>
                <w:szCs w:val="16"/>
              </w:rPr>
              <w:t>Canada – Continued Suspension</w:t>
            </w:r>
          </w:p>
        </w:tc>
        <w:tc>
          <w:tcPr>
            <w:tcW w:w="6621" w:type="dxa"/>
          </w:tcPr>
          <w:p w:rsidR="003A1A96" w:rsidRPr="00D46126" w:rsidRDefault="000A10EA" w:rsidP="004526E3">
            <w:pPr>
              <w:tabs>
                <w:tab w:val="left" w:pos="1605"/>
              </w:tabs>
              <w:spacing w:before="60" w:after="60"/>
              <w:jc w:val="left"/>
              <w:rPr>
                <w:color w:val="000000"/>
                <w:sz w:val="16"/>
                <w:szCs w:val="16"/>
              </w:rPr>
            </w:pPr>
            <w:r w:rsidRPr="00D46126">
              <w:rPr>
                <w:color w:val="000000"/>
                <w:sz w:val="16"/>
                <w:szCs w:val="16"/>
              </w:rPr>
              <w:t>Appellate Body</w:t>
            </w:r>
            <w:r w:rsidR="003A1A96" w:rsidRPr="00D46126">
              <w:rPr>
                <w:color w:val="000000"/>
                <w:sz w:val="16"/>
                <w:szCs w:val="16"/>
              </w:rPr>
              <w:t xml:space="preserve"> Report, </w:t>
            </w:r>
            <w:r w:rsidR="003A1A96" w:rsidRPr="00D46126">
              <w:rPr>
                <w:i/>
                <w:color w:val="000000"/>
                <w:sz w:val="16"/>
                <w:szCs w:val="16"/>
              </w:rPr>
              <w:t>Canada – Continued Suspension of Obligations in the EC – Hormones Dispute</w:t>
            </w:r>
            <w:r w:rsidR="003A1A96" w:rsidRPr="00D46126">
              <w:rPr>
                <w:color w:val="000000"/>
                <w:sz w:val="16"/>
                <w:szCs w:val="16"/>
              </w:rPr>
              <w:t xml:space="preserve">, </w:t>
            </w:r>
            <w:r w:rsidR="003A1A96" w:rsidRPr="004728B7">
              <w:rPr>
                <w:sz w:val="16"/>
                <w:szCs w:val="16"/>
              </w:rPr>
              <w:t>WT/DS321/AB/R</w:t>
            </w:r>
            <w:r w:rsidR="003A1A96" w:rsidRPr="00D46126">
              <w:rPr>
                <w:color w:val="000000"/>
                <w:sz w:val="16"/>
                <w:szCs w:val="16"/>
              </w:rPr>
              <w:t xml:space="preserve">, </w:t>
            </w:r>
            <w:r w:rsidR="00D26146" w:rsidRPr="00D46126">
              <w:rPr>
                <w:color w:val="000000"/>
                <w:sz w:val="16"/>
                <w:szCs w:val="16"/>
              </w:rPr>
              <w:t>adopted 14</w:t>
            </w:r>
            <w:r w:rsidR="000A18DA" w:rsidRPr="00D46126">
              <w:rPr>
                <w:color w:val="000000"/>
                <w:sz w:val="16"/>
                <w:szCs w:val="16"/>
              </w:rPr>
              <w:t> November</w:t>
            </w:r>
            <w:r w:rsidRPr="00D46126">
              <w:rPr>
                <w:color w:val="000000"/>
                <w:sz w:val="16"/>
                <w:szCs w:val="16"/>
              </w:rPr>
              <w:t> 20</w:t>
            </w:r>
            <w:r w:rsidR="00D26146" w:rsidRPr="00D46126">
              <w:rPr>
                <w:color w:val="000000"/>
                <w:sz w:val="16"/>
                <w:szCs w:val="16"/>
              </w:rPr>
              <w:t>08, DSR</w:t>
            </w:r>
            <w:r w:rsidRPr="00D46126">
              <w:rPr>
                <w:color w:val="000000"/>
                <w:sz w:val="16"/>
                <w:szCs w:val="16"/>
              </w:rPr>
              <w:t> 20</w:t>
            </w:r>
            <w:r w:rsidR="003A1A96" w:rsidRPr="00D46126">
              <w:rPr>
                <w:color w:val="000000"/>
                <w:sz w:val="16"/>
                <w:szCs w:val="16"/>
              </w:rPr>
              <w:t>08:XIV, p. 5373</w:t>
            </w:r>
          </w:p>
        </w:tc>
      </w:tr>
      <w:tr w:rsidR="008304B3" w:rsidRPr="00D46126" w:rsidTr="004526E3">
        <w:trPr>
          <w:cantSplit/>
        </w:trPr>
        <w:tc>
          <w:tcPr>
            <w:tcW w:w="2600" w:type="dxa"/>
          </w:tcPr>
          <w:p w:rsidR="008304B3" w:rsidRPr="00D46126" w:rsidRDefault="008304B3" w:rsidP="004526E3">
            <w:pPr>
              <w:spacing w:before="60" w:after="60"/>
              <w:jc w:val="left"/>
              <w:rPr>
                <w:i/>
                <w:color w:val="000000"/>
                <w:sz w:val="16"/>
                <w:szCs w:val="16"/>
              </w:rPr>
            </w:pPr>
            <w:r w:rsidRPr="00D46126">
              <w:rPr>
                <w:i/>
                <w:color w:val="000000"/>
                <w:sz w:val="16"/>
                <w:szCs w:val="16"/>
              </w:rPr>
              <w:t>Canada – R</w:t>
            </w:r>
            <w:r w:rsidR="00413A0B" w:rsidRPr="00D46126">
              <w:rPr>
                <w:i/>
                <w:color w:val="000000"/>
                <w:sz w:val="16"/>
                <w:szCs w:val="16"/>
              </w:rPr>
              <w:t>enewable Energy / Canada – Feed</w:t>
            </w:r>
            <w:r w:rsidR="00413A0B" w:rsidRPr="00D46126">
              <w:rPr>
                <w:i/>
                <w:color w:val="000000"/>
                <w:sz w:val="16"/>
                <w:szCs w:val="16"/>
              </w:rPr>
              <w:noBreakHyphen/>
            </w:r>
            <w:r w:rsidRPr="00D46126">
              <w:rPr>
                <w:i/>
                <w:color w:val="000000"/>
                <w:sz w:val="16"/>
                <w:szCs w:val="16"/>
              </w:rPr>
              <w:t>in Tariff Program</w:t>
            </w:r>
          </w:p>
        </w:tc>
        <w:tc>
          <w:tcPr>
            <w:tcW w:w="6621" w:type="dxa"/>
          </w:tcPr>
          <w:p w:rsidR="008304B3" w:rsidRPr="00D46126" w:rsidRDefault="000A10EA" w:rsidP="004526E3">
            <w:pPr>
              <w:tabs>
                <w:tab w:val="left" w:pos="1605"/>
              </w:tabs>
              <w:spacing w:before="60" w:after="60"/>
              <w:jc w:val="left"/>
              <w:rPr>
                <w:sz w:val="16"/>
                <w:szCs w:val="16"/>
              </w:rPr>
            </w:pPr>
            <w:r w:rsidRPr="00D46126">
              <w:rPr>
                <w:color w:val="000000"/>
                <w:sz w:val="16"/>
                <w:szCs w:val="16"/>
              </w:rPr>
              <w:t>Appellate Body</w:t>
            </w:r>
            <w:r w:rsidR="008304B3" w:rsidRPr="00D46126">
              <w:rPr>
                <w:color w:val="000000"/>
                <w:sz w:val="16"/>
                <w:szCs w:val="16"/>
              </w:rPr>
              <w:t xml:space="preserve"> Reports, </w:t>
            </w:r>
            <w:r w:rsidR="008304B3" w:rsidRPr="00D46126">
              <w:rPr>
                <w:i/>
                <w:color w:val="000000"/>
                <w:sz w:val="16"/>
                <w:szCs w:val="16"/>
              </w:rPr>
              <w:t>Canada – Certain Measures Affecting the Renewable Energy Generation Sector / Canada – Measures Relating to the Feed-in Tariff Program</w:t>
            </w:r>
            <w:r w:rsidR="008304B3" w:rsidRPr="00D46126">
              <w:rPr>
                <w:color w:val="000000"/>
                <w:sz w:val="16"/>
                <w:szCs w:val="16"/>
              </w:rPr>
              <w:t xml:space="preserve">, </w:t>
            </w:r>
            <w:r w:rsidR="008304B3" w:rsidRPr="004728B7">
              <w:rPr>
                <w:sz w:val="16"/>
                <w:szCs w:val="16"/>
              </w:rPr>
              <w:t>WT/DS412/AB/R</w:t>
            </w:r>
            <w:r w:rsidR="008304B3" w:rsidRPr="00D46126">
              <w:rPr>
                <w:color w:val="000000"/>
                <w:sz w:val="16"/>
                <w:szCs w:val="16"/>
              </w:rPr>
              <w:t xml:space="preserve"> / </w:t>
            </w:r>
            <w:r w:rsidR="008304B3" w:rsidRPr="004728B7">
              <w:rPr>
                <w:sz w:val="16"/>
                <w:szCs w:val="16"/>
              </w:rPr>
              <w:t>WT/DS426/AB/R</w:t>
            </w:r>
            <w:r w:rsidR="008304B3" w:rsidRPr="00D46126">
              <w:rPr>
                <w:color w:val="000000"/>
                <w:sz w:val="16"/>
                <w:szCs w:val="16"/>
              </w:rPr>
              <w:t>, adopted 24</w:t>
            </w:r>
            <w:r w:rsidR="000A18DA" w:rsidRPr="00D46126">
              <w:rPr>
                <w:color w:val="000000"/>
                <w:sz w:val="16"/>
                <w:szCs w:val="16"/>
              </w:rPr>
              <w:t> May</w:t>
            </w:r>
            <w:r w:rsidRPr="00D46126">
              <w:rPr>
                <w:color w:val="000000"/>
                <w:sz w:val="16"/>
                <w:szCs w:val="16"/>
              </w:rPr>
              <w:t> 20</w:t>
            </w:r>
            <w:r w:rsidR="008304B3" w:rsidRPr="00D46126">
              <w:rPr>
                <w:color w:val="000000"/>
                <w:sz w:val="16"/>
                <w:szCs w:val="16"/>
              </w:rPr>
              <w:t xml:space="preserve">13, </w:t>
            </w:r>
            <w:r w:rsidR="00D26146" w:rsidRPr="00D46126">
              <w:rPr>
                <w:color w:val="000000"/>
                <w:spacing w:val="-2"/>
                <w:sz w:val="16"/>
                <w:szCs w:val="16"/>
              </w:rPr>
              <w:t>DSR</w:t>
            </w:r>
            <w:r w:rsidRPr="00D46126">
              <w:rPr>
                <w:color w:val="000000"/>
                <w:spacing w:val="-2"/>
                <w:sz w:val="16"/>
                <w:szCs w:val="16"/>
              </w:rPr>
              <w:t> 20</w:t>
            </w:r>
            <w:r w:rsidR="008304B3" w:rsidRPr="00D46126">
              <w:rPr>
                <w:color w:val="000000"/>
                <w:spacing w:val="-2"/>
                <w:sz w:val="16"/>
                <w:szCs w:val="16"/>
              </w:rPr>
              <w:t>13:I, p. 7</w:t>
            </w:r>
          </w:p>
        </w:tc>
      </w:tr>
      <w:tr w:rsidR="004D0A0F" w:rsidRPr="00D46126" w:rsidTr="004526E3">
        <w:trPr>
          <w:cnfStyle w:val="000000010000" w:firstRow="0" w:lastRow="0" w:firstColumn="0" w:lastColumn="0" w:oddVBand="0" w:evenVBand="0" w:oddHBand="0" w:evenHBand="1" w:firstRowFirstColumn="0" w:firstRowLastColumn="0" w:lastRowFirstColumn="0" w:lastRowLastColumn="0"/>
          <w:cantSplit/>
        </w:trPr>
        <w:tc>
          <w:tcPr>
            <w:tcW w:w="2600" w:type="dxa"/>
          </w:tcPr>
          <w:p w:rsidR="004D0A0F" w:rsidRPr="00D46126" w:rsidRDefault="004D0A0F" w:rsidP="004526E3">
            <w:pPr>
              <w:spacing w:before="60" w:after="60"/>
              <w:jc w:val="left"/>
              <w:rPr>
                <w:i/>
                <w:color w:val="000000"/>
                <w:sz w:val="16"/>
                <w:szCs w:val="16"/>
              </w:rPr>
            </w:pPr>
            <w:r w:rsidRPr="00D46126">
              <w:rPr>
                <w:i/>
                <w:color w:val="000000"/>
                <w:sz w:val="16"/>
                <w:szCs w:val="16"/>
              </w:rPr>
              <w:t>Canada – Wheat Exports and Grain Imports</w:t>
            </w:r>
          </w:p>
        </w:tc>
        <w:tc>
          <w:tcPr>
            <w:tcW w:w="6621" w:type="dxa"/>
          </w:tcPr>
          <w:p w:rsidR="004D0A0F" w:rsidRPr="00D46126" w:rsidRDefault="000A10EA" w:rsidP="004526E3">
            <w:pPr>
              <w:tabs>
                <w:tab w:val="left" w:pos="1605"/>
              </w:tabs>
              <w:spacing w:before="60" w:after="60"/>
              <w:jc w:val="left"/>
              <w:rPr>
                <w:color w:val="000000"/>
                <w:sz w:val="16"/>
                <w:szCs w:val="16"/>
              </w:rPr>
            </w:pPr>
            <w:r w:rsidRPr="00D46126">
              <w:rPr>
                <w:color w:val="000000"/>
                <w:sz w:val="16"/>
                <w:szCs w:val="16"/>
              </w:rPr>
              <w:t>Appellate Body</w:t>
            </w:r>
            <w:r w:rsidR="004D0A0F" w:rsidRPr="00D46126">
              <w:rPr>
                <w:color w:val="000000"/>
                <w:sz w:val="16"/>
                <w:szCs w:val="16"/>
              </w:rPr>
              <w:t xml:space="preserve"> Report, </w:t>
            </w:r>
            <w:r w:rsidR="004D0A0F" w:rsidRPr="00D46126">
              <w:rPr>
                <w:i/>
                <w:color w:val="000000"/>
                <w:sz w:val="16"/>
                <w:szCs w:val="16"/>
              </w:rPr>
              <w:t>Canada – Measures Relating to Exports of Wheat and Treatment of Imported Grain</w:t>
            </w:r>
            <w:r w:rsidR="004D0A0F" w:rsidRPr="00D46126">
              <w:rPr>
                <w:color w:val="000000"/>
                <w:sz w:val="16"/>
                <w:szCs w:val="16"/>
              </w:rPr>
              <w:t xml:space="preserve">, </w:t>
            </w:r>
            <w:r w:rsidR="004D0A0F" w:rsidRPr="004728B7">
              <w:rPr>
                <w:sz w:val="16"/>
                <w:szCs w:val="16"/>
              </w:rPr>
              <w:t>WT/DS276/AB/R</w:t>
            </w:r>
            <w:r w:rsidR="004D0A0F" w:rsidRPr="00D46126">
              <w:rPr>
                <w:color w:val="000000"/>
                <w:sz w:val="16"/>
                <w:szCs w:val="16"/>
              </w:rPr>
              <w:t>, adopted 27</w:t>
            </w:r>
            <w:r w:rsidR="000A18DA" w:rsidRPr="00D46126">
              <w:rPr>
                <w:color w:val="000000"/>
                <w:sz w:val="16"/>
                <w:szCs w:val="16"/>
              </w:rPr>
              <w:t> September</w:t>
            </w:r>
            <w:r w:rsidRPr="00D46126">
              <w:rPr>
                <w:color w:val="000000"/>
                <w:sz w:val="16"/>
                <w:szCs w:val="16"/>
              </w:rPr>
              <w:t> 20</w:t>
            </w:r>
            <w:r w:rsidR="004D0A0F" w:rsidRPr="00D46126">
              <w:rPr>
                <w:color w:val="000000"/>
                <w:sz w:val="16"/>
                <w:szCs w:val="16"/>
              </w:rPr>
              <w:t>04, DSR</w:t>
            </w:r>
            <w:r w:rsidRPr="00D46126">
              <w:rPr>
                <w:color w:val="000000"/>
                <w:sz w:val="16"/>
                <w:szCs w:val="16"/>
              </w:rPr>
              <w:t> 20</w:t>
            </w:r>
            <w:r w:rsidR="004D0A0F" w:rsidRPr="00D46126">
              <w:rPr>
                <w:color w:val="000000"/>
                <w:sz w:val="16"/>
                <w:szCs w:val="16"/>
              </w:rPr>
              <w:t>04:VI, p. 2739</w:t>
            </w:r>
          </w:p>
        </w:tc>
      </w:tr>
      <w:tr w:rsidR="004D0A48" w:rsidRPr="00D46126" w:rsidTr="004526E3">
        <w:trPr>
          <w:cantSplit/>
        </w:trPr>
        <w:tc>
          <w:tcPr>
            <w:tcW w:w="2600" w:type="dxa"/>
          </w:tcPr>
          <w:p w:rsidR="004D0A48" w:rsidRPr="00D46126" w:rsidRDefault="004D0A48" w:rsidP="004526E3">
            <w:pPr>
              <w:spacing w:before="60" w:after="60"/>
              <w:jc w:val="left"/>
              <w:rPr>
                <w:i/>
                <w:color w:val="000000"/>
                <w:sz w:val="16"/>
                <w:szCs w:val="16"/>
              </w:rPr>
            </w:pPr>
            <w:r w:rsidRPr="00D46126">
              <w:rPr>
                <w:i/>
                <w:color w:val="000000"/>
                <w:sz w:val="16"/>
                <w:szCs w:val="16"/>
              </w:rPr>
              <w:t>Chile – Price Band System (</w:t>
            </w:r>
            <w:r w:rsidR="000A10EA" w:rsidRPr="00D46126">
              <w:rPr>
                <w:i/>
                <w:color w:val="000000"/>
                <w:sz w:val="16"/>
                <w:szCs w:val="16"/>
              </w:rPr>
              <w:t>Article </w:t>
            </w:r>
            <w:r w:rsidRPr="00D46126">
              <w:rPr>
                <w:i/>
                <w:color w:val="000000"/>
                <w:sz w:val="16"/>
                <w:szCs w:val="16"/>
              </w:rPr>
              <w:t>21.5 – Argentina)</w:t>
            </w:r>
          </w:p>
        </w:tc>
        <w:tc>
          <w:tcPr>
            <w:tcW w:w="6621" w:type="dxa"/>
          </w:tcPr>
          <w:p w:rsidR="004D0A48" w:rsidRPr="00D46126" w:rsidRDefault="000A10EA" w:rsidP="004526E3">
            <w:pPr>
              <w:tabs>
                <w:tab w:val="left" w:pos="1605"/>
              </w:tabs>
              <w:spacing w:before="60" w:after="60"/>
              <w:jc w:val="left"/>
              <w:rPr>
                <w:color w:val="000000"/>
                <w:sz w:val="16"/>
                <w:szCs w:val="16"/>
              </w:rPr>
            </w:pPr>
            <w:r w:rsidRPr="00D46126">
              <w:rPr>
                <w:color w:val="000000"/>
                <w:sz w:val="16"/>
                <w:szCs w:val="16"/>
              </w:rPr>
              <w:t>Appellate Body</w:t>
            </w:r>
            <w:r w:rsidR="004D0A48" w:rsidRPr="00D46126">
              <w:rPr>
                <w:color w:val="000000"/>
                <w:sz w:val="16"/>
                <w:szCs w:val="16"/>
              </w:rPr>
              <w:t xml:space="preserve"> Report, </w:t>
            </w:r>
            <w:r w:rsidR="004D0A48" w:rsidRPr="00D46126">
              <w:rPr>
                <w:i/>
                <w:color w:val="000000"/>
                <w:sz w:val="16"/>
                <w:szCs w:val="16"/>
              </w:rPr>
              <w:t xml:space="preserve">Chile – Price Band System and Safeguard Measures Relating to Certain Agricultural Products – Recourse to </w:t>
            </w:r>
            <w:r w:rsidRPr="00D46126">
              <w:rPr>
                <w:i/>
                <w:color w:val="000000"/>
                <w:sz w:val="16"/>
                <w:szCs w:val="16"/>
              </w:rPr>
              <w:t>Article </w:t>
            </w:r>
            <w:r w:rsidR="004D0A48" w:rsidRPr="00D46126">
              <w:rPr>
                <w:i/>
                <w:color w:val="000000"/>
                <w:sz w:val="16"/>
                <w:szCs w:val="16"/>
              </w:rPr>
              <w:t>21.5 of the DSU by Argentina</w:t>
            </w:r>
            <w:r w:rsidR="004D0A48" w:rsidRPr="00D46126">
              <w:rPr>
                <w:color w:val="000000"/>
                <w:sz w:val="16"/>
                <w:szCs w:val="16"/>
              </w:rPr>
              <w:t xml:space="preserve">, </w:t>
            </w:r>
            <w:r w:rsidR="004D0A48" w:rsidRPr="004728B7">
              <w:rPr>
                <w:sz w:val="16"/>
                <w:szCs w:val="16"/>
              </w:rPr>
              <w:t>WT/DS207/AB/RW</w:t>
            </w:r>
            <w:r w:rsidR="004D0A48" w:rsidRPr="00D46126">
              <w:rPr>
                <w:color w:val="000000"/>
                <w:sz w:val="16"/>
                <w:szCs w:val="16"/>
              </w:rPr>
              <w:t>, adopted 22</w:t>
            </w:r>
            <w:r w:rsidR="000A18DA" w:rsidRPr="00D46126">
              <w:rPr>
                <w:color w:val="000000"/>
                <w:sz w:val="16"/>
                <w:szCs w:val="16"/>
              </w:rPr>
              <w:t> May</w:t>
            </w:r>
            <w:r w:rsidRPr="00D46126">
              <w:rPr>
                <w:color w:val="000000"/>
                <w:sz w:val="16"/>
                <w:szCs w:val="16"/>
              </w:rPr>
              <w:t> 20</w:t>
            </w:r>
            <w:r w:rsidR="004D0A48" w:rsidRPr="00D46126">
              <w:rPr>
                <w:color w:val="000000"/>
                <w:sz w:val="16"/>
                <w:szCs w:val="16"/>
              </w:rPr>
              <w:t>07, DSR</w:t>
            </w:r>
            <w:r w:rsidRPr="00D46126">
              <w:rPr>
                <w:color w:val="000000"/>
                <w:sz w:val="16"/>
                <w:szCs w:val="16"/>
              </w:rPr>
              <w:t> 20</w:t>
            </w:r>
            <w:r w:rsidR="004D0A48" w:rsidRPr="00D46126">
              <w:rPr>
                <w:color w:val="000000"/>
                <w:sz w:val="16"/>
                <w:szCs w:val="16"/>
              </w:rPr>
              <w:t>07:II, p. 513</w:t>
            </w:r>
          </w:p>
        </w:tc>
      </w:tr>
      <w:tr w:rsidR="004D0A48" w:rsidRPr="00D46126" w:rsidTr="004526E3">
        <w:trPr>
          <w:cnfStyle w:val="000000010000" w:firstRow="0" w:lastRow="0" w:firstColumn="0" w:lastColumn="0" w:oddVBand="0" w:evenVBand="0" w:oddHBand="0" w:evenHBand="1" w:firstRowFirstColumn="0" w:firstRowLastColumn="0" w:lastRowFirstColumn="0" w:lastRowLastColumn="0"/>
          <w:cantSplit/>
        </w:trPr>
        <w:tc>
          <w:tcPr>
            <w:tcW w:w="2600" w:type="dxa"/>
          </w:tcPr>
          <w:p w:rsidR="004D0A48" w:rsidRPr="00D46126" w:rsidRDefault="004D0A48" w:rsidP="004526E3">
            <w:pPr>
              <w:spacing w:before="60" w:after="60"/>
              <w:jc w:val="left"/>
              <w:rPr>
                <w:i/>
                <w:color w:val="000000"/>
                <w:sz w:val="16"/>
                <w:szCs w:val="16"/>
              </w:rPr>
            </w:pPr>
            <w:r w:rsidRPr="00D46126">
              <w:rPr>
                <w:i/>
                <w:color w:val="000000"/>
                <w:sz w:val="16"/>
                <w:szCs w:val="16"/>
              </w:rPr>
              <w:t>China – Auto Parts</w:t>
            </w:r>
          </w:p>
        </w:tc>
        <w:tc>
          <w:tcPr>
            <w:tcW w:w="6621" w:type="dxa"/>
          </w:tcPr>
          <w:p w:rsidR="004D0A48" w:rsidRPr="00D46126" w:rsidRDefault="000A10EA" w:rsidP="004526E3">
            <w:pPr>
              <w:tabs>
                <w:tab w:val="left" w:pos="1605"/>
              </w:tabs>
              <w:spacing w:before="60" w:after="60"/>
              <w:jc w:val="left"/>
              <w:rPr>
                <w:color w:val="000000"/>
                <w:sz w:val="16"/>
                <w:szCs w:val="16"/>
              </w:rPr>
            </w:pPr>
            <w:r w:rsidRPr="00D46126">
              <w:rPr>
                <w:color w:val="000000"/>
                <w:sz w:val="16"/>
                <w:szCs w:val="16"/>
              </w:rPr>
              <w:t>Appellate Body</w:t>
            </w:r>
            <w:r w:rsidR="004D0A48" w:rsidRPr="00D46126">
              <w:rPr>
                <w:color w:val="000000"/>
                <w:sz w:val="16"/>
                <w:szCs w:val="16"/>
              </w:rPr>
              <w:t xml:space="preserve"> Reports, </w:t>
            </w:r>
            <w:r w:rsidR="004D0A48" w:rsidRPr="00D46126">
              <w:rPr>
                <w:i/>
                <w:color w:val="000000"/>
                <w:sz w:val="16"/>
                <w:szCs w:val="16"/>
              </w:rPr>
              <w:t>China – Measures Affecting Imports of Automobile Parts</w:t>
            </w:r>
            <w:r w:rsidR="004D0A48" w:rsidRPr="00D46126">
              <w:rPr>
                <w:color w:val="000000"/>
                <w:sz w:val="16"/>
                <w:szCs w:val="16"/>
              </w:rPr>
              <w:t xml:space="preserve">, </w:t>
            </w:r>
            <w:r w:rsidR="004D0A48" w:rsidRPr="004728B7">
              <w:rPr>
                <w:sz w:val="16"/>
                <w:szCs w:val="16"/>
              </w:rPr>
              <w:t>WT/DS339/AB/R</w:t>
            </w:r>
            <w:r w:rsidR="004D0A48" w:rsidRPr="00D46126">
              <w:rPr>
                <w:color w:val="000000"/>
                <w:sz w:val="16"/>
                <w:szCs w:val="16"/>
              </w:rPr>
              <w:t xml:space="preserve"> / </w:t>
            </w:r>
            <w:r w:rsidR="004D0A48" w:rsidRPr="004728B7">
              <w:rPr>
                <w:sz w:val="16"/>
                <w:szCs w:val="16"/>
              </w:rPr>
              <w:t>WT/DS340/AB/R</w:t>
            </w:r>
            <w:r w:rsidR="004D0A48" w:rsidRPr="00D46126">
              <w:rPr>
                <w:color w:val="000000"/>
                <w:sz w:val="16"/>
                <w:szCs w:val="16"/>
              </w:rPr>
              <w:t xml:space="preserve"> / </w:t>
            </w:r>
            <w:r w:rsidR="004D0A48" w:rsidRPr="004728B7">
              <w:rPr>
                <w:sz w:val="16"/>
                <w:szCs w:val="16"/>
              </w:rPr>
              <w:t>WT/DS342/AB/R</w:t>
            </w:r>
            <w:r w:rsidR="00D26146" w:rsidRPr="00D46126">
              <w:rPr>
                <w:color w:val="000000"/>
                <w:sz w:val="16"/>
                <w:szCs w:val="16"/>
              </w:rPr>
              <w:t>, adopted 12</w:t>
            </w:r>
            <w:r w:rsidR="000A18DA" w:rsidRPr="00D46126">
              <w:rPr>
                <w:color w:val="000000"/>
                <w:sz w:val="16"/>
                <w:szCs w:val="16"/>
              </w:rPr>
              <w:t> January</w:t>
            </w:r>
            <w:r w:rsidRPr="00D46126">
              <w:rPr>
                <w:color w:val="000000"/>
                <w:sz w:val="16"/>
                <w:szCs w:val="16"/>
              </w:rPr>
              <w:t> 20</w:t>
            </w:r>
            <w:r w:rsidR="004D0A48" w:rsidRPr="00D46126">
              <w:rPr>
                <w:color w:val="000000"/>
                <w:sz w:val="16"/>
                <w:szCs w:val="16"/>
              </w:rPr>
              <w:t>09, DSR</w:t>
            </w:r>
            <w:r w:rsidRPr="00D46126">
              <w:rPr>
                <w:color w:val="000000"/>
                <w:sz w:val="16"/>
                <w:szCs w:val="16"/>
              </w:rPr>
              <w:t> 20</w:t>
            </w:r>
            <w:r w:rsidR="004D0A48" w:rsidRPr="00D46126">
              <w:rPr>
                <w:color w:val="000000"/>
                <w:sz w:val="16"/>
                <w:szCs w:val="16"/>
              </w:rPr>
              <w:t>09:I, p. 3</w:t>
            </w:r>
          </w:p>
        </w:tc>
      </w:tr>
      <w:tr w:rsidR="005D430E" w:rsidRPr="00D46126" w:rsidTr="004526E3">
        <w:trPr>
          <w:cantSplit/>
        </w:trPr>
        <w:tc>
          <w:tcPr>
            <w:tcW w:w="2600" w:type="dxa"/>
          </w:tcPr>
          <w:p w:rsidR="005D430E" w:rsidRPr="00D46126" w:rsidRDefault="005D430E" w:rsidP="004526E3">
            <w:pPr>
              <w:spacing w:before="60" w:after="60"/>
              <w:jc w:val="left"/>
              <w:rPr>
                <w:sz w:val="16"/>
                <w:szCs w:val="16"/>
                <w:lang w:val="fr-CH"/>
              </w:rPr>
            </w:pPr>
            <w:r w:rsidRPr="00D46126">
              <w:rPr>
                <w:i/>
                <w:color w:val="000000"/>
                <w:sz w:val="16"/>
                <w:szCs w:val="16"/>
                <w:lang w:val="fr-CH"/>
              </w:rPr>
              <w:t>China – HP-SSST (Japan) / China – HP-SSST (EU)</w:t>
            </w:r>
          </w:p>
        </w:tc>
        <w:tc>
          <w:tcPr>
            <w:tcW w:w="6621" w:type="dxa"/>
          </w:tcPr>
          <w:p w:rsidR="005D430E" w:rsidRPr="00D46126" w:rsidRDefault="000A10EA" w:rsidP="004526E3">
            <w:pPr>
              <w:spacing w:before="60" w:after="60"/>
              <w:jc w:val="left"/>
              <w:rPr>
                <w:sz w:val="16"/>
                <w:szCs w:val="16"/>
              </w:rPr>
            </w:pPr>
            <w:r w:rsidRPr="00D46126">
              <w:rPr>
                <w:color w:val="000000"/>
                <w:sz w:val="16"/>
                <w:szCs w:val="16"/>
              </w:rPr>
              <w:t>Appellate Body</w:t>
            </w:r>
            <w:r w:rsidR="005D430E" w:rsidRPr="00D46126">
              <w:rPr>
                <w:color w:val="000000"/>
                <w:sz w:val="16"/>
                <w:szCs w:val="16"/>
              </w:rPr>
              <w:t xml:space="preserve"> Reports, </w:t>
            </w:r>
            <w:r w:rsidR="005D430E" w:rsidRPr="00D46126">
              <w:rPr>
                <w:i/>
                <w:color w:val="000000"/>
                <w:sz w:val="16"/>
                <w:szCs w:val="16"/>
              </w:rPr>
              <w:t>China – Measures Imposing Anti-Dumping Duties on High-Performance Stai</w:t>
            </w:r>
            <w:r w:rsidR="00BB61C1" w:rsidRPr="00D46126">
              <w:rPr>
                <w:i/>
                <w:color w:val="000000"/>
                <w:sz w:val="16"/>
                <w:szCs w:val="16"/>
              </w:rPr>
              <w:t>nless Steel Seamless Tubes ("HP</w:t>
            </w:r>
            <w:r w:rsidR="00BB61C1" w:rsidRPr="00D46126">
              <w:rPr>
                <w:i/>
                <w:color w:val="000000"/>
                <w:sz w:val="16"/>
                <w:szCs w:val="16"/>
              </w:rPr>
              <w:noBreakHyphen/>
            </w:r>
            <w:r w:rsidR="005D430E" w:rsidRPr="00D46126">
              <w:rPr>
                <w:i/>
                <w:color w:val="000000"/>
                <w:sz w:val="16"/>
                <w:szCs w:val="16"/>
              </w:rPr>
              <w:t>SSST") from Japan / China – Measures Imposing Anti-Dumping Duties on High-Performance Stai</w:t>
            </w:r>
            <w:r w:rsidR="00BB61C1" w:rsidRPr="00D46126">
              <w:rPr>
                <w:i/>
                <w:color w:val="000000"/>
                <w:sz w:val="16"/>
                <w:szCs w:val="16"/>
              </w:rPr>
              <w:t>nless Steel Seamless Tubes ("HP</w:t>
            </w:r>
            <w:r w:rsidR="00BB61C1" w:rsidRPr="00D46126">
              <w:rPr>
                <w:i/>
                <w:color w:val="000000"/>
                <w:sz w:val="16"/>
                <w:szCs w:val="16"/>
              </w:rPr>
              <w:noBreakHyphen/>
            </w:r>
            <w:r w:rsidR="005D430E" w:rsidRPr="00D46126">
              <w:rPr>
                <w:i/>
                <w:color w:val="000000"/>
                <w:sz w:val="16"/>
                <w:szCs w:val="16"/>
              </w:rPr>
              <w:t xml:space="preserve">SSST") from the </w:t>
            </w:r>
            <w:r w:rsidRPr="00D46126">
              <w:rPr>
                <w:i/>
                <w:color w:val="000000"/>
                <w:sz w:val="16"/>
                <w:szCs w:val="16"/>
              </w:rPr>
              <w:t>European Union</w:t>
            </w:r>
            <w:r w:rsidR="005D430E" w:rsidRPr="00D46126">
              <w:rPr>
                <w:color w:val="000000"/>
                <w:sz w:val="16"/>
                <w:szCs w:val="16"/>
              </w:rPr>
              <w:t xml:space="preserve">, </w:t>
            </w:r>
            <w:r w:rsidR="005D430E" w:rsidRPr="004728B7">
              <w:rPr>
                <w:sz w:val="16"/>
                <w:szCs w:val="16"/>
              </w:rPr>
              <w:t>WT/DS454/AB/R</w:t>
            </w:r>
            <w:r w:rsidR="005D430E" w:rsidRPr="00D46126">
              <w:rPr>
                <w:color w:val="000000"/>
                <w:sz w:val="16"/>
                <w:szCs w:val="16"/>
              </w:rPr>
              <w:t xml:space="preserve"> and Add.1 / </w:t>
            </w:r>
            <w:r w:rsidR="005D430E" w:rsidRPr="004728B7">
              <w:rPr>
                <w:sz w:val="16"/>
                <w:szCs w:val="16"/>
              </w:rPr>
              <w:t>WT/DS460/AB/R</w:t>
            </w:r>
            <w:r w:rsidR="00D26146" w:rsidRPr="00D46126">
              <w:rPr>
                <w:color w:val="000000"/>
                <w:sz w:val="16"/>
                <w:szCs w:val="16"/>
              </w:rPr>
              <w:t xml:space="preserve"> and Add.1, adopted 28</w:t>
            </w:r>
            <w:r w:rsidR="000A18DA" w:rsidRPr="00D46126">
              <w:rPr>
                <w:color w:val="000000"/>
                <w:sz w:val="16"/>
                <w:szCs w:val="16"/>
              </w:rPr>
              <w:t> October</w:t>
            </w:r>
            <w:r w:rsidRPr="00D46126">
              <w:rPr>
                <w:color w:val="000000"/>
                <w:sz w:val="16"/>
                <w:szCs w:val="16"/>
              </w:rPr>
              <w:t> 20</w:t>
            </w:r>
            <w:r w:rsidR="005D430E" w:rsidRPr="00D46126">
              <w:rPr>
                <w:color w:val="000000"/>
                <w:sz w:val="16"/>
                <w:szCs w:val="16"/>
              </w:rPr>
              <w:t>15</w:t>
            </w:r>
          </w:p>
        </w:tc>
      </w:tr>
      <w:tr w:rsidR="004D0A48" w:rsidRPr="00D46126" w:rsidTr="004526E3">
        <w:trPr>
          <w:cnfStyle w:val="000000010000" w:firstRow="0" w:lastRow="0" w:firstColumn="0" w:lastColumn="0" w:oddVBand="0" w:evenVBand="0" w:oddHBand="0" w:evenHBand="1" w:firstRowFirstColumn="0" w:firstRowLastColumn="0" w:lastRowFirstColumn="0" w:lastRowLastColumn="0"/>
          <w:cantSplit/>
        </w:trPr>
        <w:tc>
          <w:tcPr>
            <w:tcW w:w="2600" w:type="dxa"/>
          </w:tcPr>
          <w:p w:rsidR="004D0A48" w:rsidRPr="00D46126" w:rsidRDefault="004D0A48" w:rsidP="004526E3">
            <w:pPr>
              <w:spacing w:before="60" w:after="60"/>
              <w:jc w:val="left"/>
              <w:rPr>
                <w:i/>
                <w:color w:val="000000"/>
                <w:sz w:val="16"/>
                <w:szCs w:val="16"/>
              </w:rPr>
            </w:pPr>
            <w:r w:rsidRPr="00D46126">
              <w:rPr>
                <w:i/>
                <w:color w:val="000000"/>
                <w:sz w:val="16"/>
                <w:szCs w:val="16"/>
              </w:rPr>
              <w:t>China – Publications and Audiovisual Products</w:t>
            </w:r>
          </w:p>
        </w:tc>
        <w:tc>
          <w:tcPr>
            <w:tcW w:w="6621" w:type="dxa"/>
          </w:tcPr>
          <w:p w:rsidR="004D0A48" w:rsidRPr="00D46126" w:rsidRDefault="000A10EA" w:rsidP="004526E3">
            <w:pPr>
              <w:spacing w:before="60" w:after="60"/>
              <w:jc w:val="left"/>
              <w:rPr>
                <w:color w:val="000000"/>
                <w:sz w:val="16"/>
                <w:szCs w:val="16"/>
              </w:rPr>
            </w:pPr>
            <w:r w:rsidRPr="00D46126">
              <w:rPr>
                <w:color w:val="000000"/>
                <w:sz w:val="16"/>
                <w:szCs w:val="16"/>
              </w:rPr>
              <w:t>Appellate Body</w:t>
            </w:r>
            <w:r w:rsidR="004D0A48" w:rsidRPr="00D46126">
              <w:rPr>
                <w:color w:val="000000"/>
                <w:sz w:val="16"/>
                <w:szCs w:val="16"/>
              </w:rPr>
              <w:t xml:space="preserve"> Report, </w:t>
            </w:r>
            <w:r w:rsidR="004D0A48" w:rsidRPr="00D46126">
              <w:rPr>
                <w:i/>
                <w:color w:val="000000"/>
                <w:sz w:val="16"/>
                <w:szCs w:val="16"/>
              </w:rPr>
              <w:t>China –</w:t>
            </w:r>
            <w:r w:rsidR="004D0A48" w:rsidRPr="00D46126">
              <w:rPr>
                <w:color w:val="000000"/>
                <w:sz w:val="16"/>
                <w:szCs w:val="16"/>
              </w:rPr>
              <w:t xml:space="preserve"> </w:t>
            </w:r>
            <w:r w:rsidR="004D0A48" w:rsidRPr="00D46126">
              <w:rPr>
                <w:i/>
                <w:color w:val="000000"/>
                <w:sz w:val="16"/>
                <w:szCs w:val="16"/>
              </w:rPr>
              <w:t>Measures Affecting Trading Rights and Distribution Services for Certain Publications and Audiovisual Entertainment Products</w:t>
            </w:r>
            <w:r w:rsidR="004D0A48" w:rsidRPr="00D46126">
              <w:rPr>
                <w:color w:val="000000"/>
                <w:sz w:val="16"/>
                <w:szCs w:val="16"/>
              </w:rPr>
              <w:t xml:space="preserve">, </w:t>
            </w:r>
            <w:r w:rsidR="004D0A48" w:rsidRPr="003B6E3D">
              <w:rPr>
                <w:sz w:val="16"/>
                <w:szCs w:val="16"/>
              </w:rPr>
              <w:t>WT/DS363/AB/R</w:t>
            </w:r>
            <w:r w:rsidR="004D0A48" w:rsidRPr="00D46126">
              <w:rPr>
                <w:color w:val="000000"/>
                <w:sz w:val="16"/>
                <w:szCs w:val="16"/>
              </w:rPr>
              <w:t>, adopted 19</w:t>
            </w:r>
            <w:r w:rsidR="000A18DA" w:rsidRPr="00D46126">
              <w:rPr>
                <w:color w:val="000000"/>
                <w:sz w:val="16"/>
                <w:szCs w:val="16"/>
              </w:rPr>
              <w:t> January</w:t>
            </w:r>
            <w:r w:rsidRPr="00D46126">
              <w:rPr>
                <w:color w:val="000000"/>
                <w:sz w:val="16"/>
                <w:szCs w:val="16"/>
              </w:rPr>
              <w:t> 20</w:t>
            </w:r>
            <w:r w:rsidR="004D0A48" w:rsidRPr="00D46126">
              <w:rPr>
                <w:color w:val="000000"/>
                <w:sz w:val="16"/>
                <w:szCs w:val="16"/>
              </w:rPr>
              <w:t>10, DSR</w:t>
            </w:r>
            <w:r w:rsidRPr="00D46126">
              <w:rPr>
                <w:color w:val="000000"/>
                <w:sz w:val="16"/>
                <w:szCs w:val="16"/>
              </w:rPr>
              <w:t> 20</w:t>
            </w:r>
            <w:r w:rsidR="004D0A48" w:rsidRPr="00D46126">
              <w:rPr>
                <w:color w:val="000000"/>
                <w:sz w:val="16"/>
                <w:szCs w:val="16"/>
              </w:rPr>
              <w:t>10:I, p. 3</w:t>
            </w:r>
          </w:p>
        </w:tc>
      </w:tr>
      <w:tr w:rsidR="00412491" w:rsidRPr="00D46126" w:rsidTr="004526E3">
        <w:trPr>
          <w:cantSplit/>
        </w:trPr>
        <w:tc>
          <w:tcPr>
            <w:tcW w:w="2600" w:type="dxa"/>
          </w:tcPr>
          <w:p w:rsidR="00412491" w:rsidRPr="00D46126" w:rsidRDefault="00412491" w:rsidP="004526E3">
            <w:pPr>
              <w:spacing w:before="60" w:after="60"/>
              <w:jc w:val="left"/>
              <w:rPr>
                <w:i/>
                <w:color w:val="000000"/>
                <w:sz w:val="16"/>
                <w:szCs w:val="16"/>
              </w:rPr>
            </w:pPr>
            <w:r w:rsidRPr="00D46126">
              <w:rPr>
                <w:i/>
                <w:color w:val="000000"/>
                <w:sz w:val="16"/>
                <w:szCs w:val="16"/>
              </w:rPr>
              <w:t>China – Rare Earths</w:t>
            </w:r>
          </w:p>
        </w:tc>
        <w:tc>
          <w:tcPr>
            <w:tcW w:w="6621" w:type="dxa"/>
          </w:tcPr>
          <w:p w:rsidR="00412491" w:rsidRPr="00D46126" w:rsidRDefault="000A10EA" w:rsidP="004526E3">
            <w:pPr>
              <w:spacing w:before="60" w:after="60"/>
              <w:jc w:val="left"/>
              <w:rPr>
                <w:color w:val="000000"/>
                <w:sz w:val="16"/>
                <w:szCs w:val="16"/>
              </w:rPr>
            </w:pPr>
            <w:r w:rsidRPr="00D46126">
              <w:rPr>
                <w:color w:val="000000"/>
                <w:sz w:val="16"/>
                <w:szCs w:val="16"/>
              </w:rPr>
              <w:t>Appellate Body</w:t>
            </w:r>
            <w:r w:rsidR="00412491" w:rsidRPr="00D46126">
              <w:rPr>
                <w:color w:val="000000"/>
                <w:sz w:val="16"/>
                <w:szCs w:val="16"/>
              </w:rPr>
              <w:t xml:space="preserve"> Reports, </w:t>
            </w:r>
            <w:r w:rsidR="00412491" w:rsidRPr="00D46126">
              <w:rPr>
                <w:i/>
                <w:color w:val="000000"/>
                <w:sz w:val="16"/>
                <w:szCs w:val="16"/>
              </w:rPr>
              <w:t>China – Measures Related to the Exportation of Rare Earths, Tungsten, and Molybdenum</w:t>
            </w:r>
            <w:r w:rsidR="00412491" w:rsidRPr="00D46126">
              <w:rPr>
                <w:color w:val="000000"/>
                <w:sz w:val="16"/>
                <w:szCs w:val="16"/>
              </w:rPr>
              <w:t xml:space="preserve">, </w:t>
            </w:r>
            <w:r w:rsidR="00412491" w:rsidRPr="003B6E3D">
              <w:rPr>
                <w:sz w:val="16"/>
                <w:szCs w:val="16"/>
              </w:rPr>
              <w:t>WT/DS431/AB/R</w:t>
            </w:r>
            <w:r w:rsidR="00412491" w:rsidRPr="00D46126">
              <w:rPr>
                <w:color w:val="000000"/>
                <w:sz w:val="16"/>
                <w:szCs w:val="16"/>
              </w:rPr>
              <w:t xml:space="preserve"> / </w:t>
            </w:r>
            <w:r w:rsidR="00412491" w:rsidRPr="003B6E3D">
              <w:rPr>
                <w:sz w:val="16"/>
                <w:szCs w:val="16"/>
              </w:rPr>
              <w:t>WT/DS432/AB/R</w:t>
            </w:r>
            <w:r w:rsidR="00412491" w:rsidRPr="00D46126">
              <w:rPr>
                <w:color w:val="000000"/>
                <w:sz w:val="16"/>
                <w:szCs w:val="16"/>
              </w:rPr>
              <w:t xml:space="preserve"> / </w:t>
            </w:r>
            <w:r w:rsidR="00412491" w:rsidRPr="003B6E3D">
              <w:rPr>
                <w:sz w:val="16"/>
                <w:szCs w:val="16"/>
              </w:rPr>
              <w:t>WT/DS433/AB/R</w:t>
            </w:r>
            <w:r w:rsidR="00412491" w:rsidRPr="00D46126">
              <w:rPr>
                <w:color w:val="000000"/>
                <w:sz w:val="16"/>
                <w:szCs w:val="16"/>
              </w:rPr>
              <w:t>, adopted 29</w:t>
            </w:r>
            <w:r w:rsidR="000A18DA" w:rsidRPr="00D46126">
              <w:rPr>
                <w:color w:val="000000"/>
                <w:sz w:val="16"/>
                <w:szCs w:val="16"/>
              </w:rPr>
              <w:t> August</w:t>
            </w:r>
            <w:r w:rsidRPr="00D46126">
              <w:rPr>
                <w:color w:val="000000"/>
                <w:sz w:val="16"/>
                <w:szCs w:val="16"/>
              </w:rPr>
              <w:t> 20</w:t>
            </w:r>
            <w:r w:rsidR="00412491" w:rsidRPr="00D46126">
              <w:rPr>
                <w:color w:val="000000"/>
                <w:sz w:val="16"/>
                <w:szCs w:val="16"/>
              </w:rPr>
              <w:t>14, DSR</w:t>
            </w:r>
            <w:r w:rsidRPr="00D46126">
              <w:rPr>
                <w:color w:val="000000"/>
                <w:sz w:val="16"/>
                <w:szCs w:val="16"/>
              </w:rPr>
              <w:t> 20</w:t>
            </w:r>
            <w:r w:rsidR="00412491" w:rsidRPr="00D46126">
              <w:rPr>
                <w:color w:val="000000"/>
                <w:sz w:val="16"/>
                <w:szCs w:val="16"/>
              </w:rPr>
              <w:t>14:III, p. 805</w:t>
            </w:r>
          </w:p>
        </w:tc>
      </w:tr>
      <w:tr w:rsidR="00746DB9" w:rsidRPr="00D46126" w:rsidTr="004526E3">
        <w:trPr>
          <w:cnfStyle w:val="000000010000" w:firstRow="0" w:lastRow="0" w:firstColumn="0" w:lastColumn="0" w:oddVBand="0" w:evenVBand="0" w:oddHBand="0" w:evenHBand="1" w:firstRowFirstColumn="0" w:firstRowLastColumn="0" w:lastRowFirstColumn="0" w:lastRowLastColumn="0"/>
          <w:cantSplit/>
        </w:trPr>
        <w:tc>
          <w:tcPr>
            <w:tcW w:w="2600" w:type="dxa"/>
          </w:tcPr>
          <w:p w:rsidR="00746DB9" w:rsidRPr="00D46126" w:rsidRDefault="00746DB9" w:rsidP="004526E3">
            <w:pPr>
              <w:spacing w:before="60" w:after="60"/>
              <w:jc w:val="left"/>
              <w:rPr>
                <w:i/>
                <w:color w:val="000000"/>
                <w:sz w:val="16"/>
                <w:szCs w:val="16"/>
              </w:rPr>
            </w:pPr>
            <w:r w:rsidRPr="00D46126">
              <w:rPr>
                <w:i/>
                <w:color w:val="000000"/>
                <w:sz w:val="16"/>
                <w:szCs w:val="16"/>
              </w:rPr>
              <w:t>China – Rare Earths</w:t>
            </w:r>
          </w:p>
        </w:tc>
        <w:tc>
          <w:tcPr>
            <w:tcW w:w="6621" w:type="dxa"/>
          </w:tcPr>
          <w:p w:rsidR="00746DB9" w:rsidRPr="00D46126" w:rsidRDefault="00746DB9" w:rsidP="004526E3">
            <w:pPr>
              <w:spacing w:before="60" w:after="60"/>
              <w:jc w:val="left"/>
              <w:rPr>
                <w:color w:val="000000"/>
                <w:sz w:val="16"/>
                <w:szCs w:val="16"/>
              </w:rPr>
            </w:pPr>
            <w:r w:rsidRPr="00D46126">
              <w:rPr>
                <w:color w:val="000000"/>
                <w:sz w:val="16"/>
                <w:szCs w:val="16"/>
              </w:rPr>
              <w:t xml:space="preserve">Panel Reports, </w:t>
            </w:r>
            <w:r w:rsidRPr="00D46126">
              <w:rPr>
                <w:i/>
                <w:color w:val="000000"/>
                <w:sz w:val="16"/>
                <w:szCs w:val="16"/>
              </w:rPr>
              <w:t>China – Measures Related to the Exportation of Rare Earths, Tungsten, and Molybdenum</w:t>
            </w:r>
            <w:r w:rsidRPr="00D46126">
              <w:rPr>
                <w:color w:val="000000"/>
                <w:sz w:val="16"/>
                <w:szCs w:val="16"/>
              </w:rPr>
              <w:t xml:space="preserve">, </w:t>
            </w:r>
            <w:r w:rsidRPr="003B6E3D">
              <w:rPr>
                <w:sz w:val="16"/>
                <w:szCs w:val="16"/>
              </w:rPr>
              <w:t>WT/DS431/R</w:t>
            </w:r>
            <w:r w:rsidRPr="00D46126">
              <w:rPr>
                <w:color w:val="000000"/>
                <w:sz w:val="16"/>
                <w:szCs w:val="16"/>
              </w:rPr>
              <w:t xml:space="preserve"> and Add.1 / </w:t>
            </w:r>
            <w:r w:rsidRPr="003B6E3D">
              <w:rPr>
                <w:sz w:val="16"/>
                <w:szCs w:val="16"/>
              </w:rPr>
              <w:t>WT/DS432/R</w:t>
            </w:r>
            <w:r w:rsidRPr="00D46126">
              <w:rPr>
                <w:color w:val="000000"/>
                <w:sz w:val="16"/>
                <w:szCs w:val="16"/>
              </w:rPr>
              <w:t xml:space="preserve"> and Add.1 / </w:t>
            </w:r>
            <w:r w:rsidRPr="003B6E3D">
              <w:rPr>
                <w:sz w:val="16"/>
                <w:szCs w:val="16"/>
              </w:rPr>
              <w:t>WT/DS433/R</w:t>
            </w:r>
            <w:r w:rsidRPr="00D46126">
              <w:rPr>
                <w:color w:val="000000"/>
                <w:sz w:val="16"/>
                <w:szCs w:val="16"/>
              </w:rPr>
              <w:t xml:space="preserve"> and Add.1, adopted 29 August 2014, upheld by Appellate Body Reports WT/DS431/AB/R / WT/DS432/AB/R / WT/DS433/AB/R, DSR 2014:IV, p. 1127</w:t>
            </w:r>
          </w:p>
        </w:tc>
      </w:tr>
      <w:tr w:rsidR="00746DB9" w:rsidRPr="00D46126" w:rsidTr="004526E3">
        <w:trPr>
          <w:cantSplit/>
        </w:trPr>
        <w:tc>
          <w:tcPr>
            <w:tcW w:w="2600" w:type="dxa"/>
          </w:tcPr>
          <w:p w:rsidR="00746DB9" w:rsidRPr="00D46126" w:rsidRDefault="00746DB9" w:rsidP="004526E3">
            <w:pPr>
              <w:spacing w:before="60" w:after="60"/>
              <w:jc w:val="left"/>
              <w:rPr>
                <w:i/>
                <w:color w:val="000000"/>
                <w:sz w:val="16"/>
                <w:szCs w:val="16"/>
              </w:rPr>
            </w:pPr>
            <w:r w:rsidRPr="00D46126">
              <w:rPr>
                <w:i/>
                <w:color w:val="000000"/>
                <w:sz w:val="16"/>
                <w:szCs w:val="16"/>
              </w:rPr>
              <w:t>China – Raw Materials</w:t>
            </w:r>
          </w:p>
        </w:tc>
        <w:tc>
          <w:tcPr>
            <w:tcW w:w="6621" w:type="dxa"/>
          </w:tcPr>
          <w:p w:rsidR="00746DB9" w:rsidRPr="00D46126" w:rsidRDefault="00746DB9" w:rsidP="004526E3">
            <w:pPr>
              <w:spacing w:before="60" w:after="60"/>
              <w:jc w:val="left"/>
              <w:rPr>
                <w:color w:val="000000"/>
                <w:sz w:val="16"/>
                <w:szCs w:val="16"/>
              </w:rPr>
            </w:pPr>
            <w:r w:rsidRPr="00D46126">
              <w:rPr>
                <w:color w:val="000000"/>
                <w:sz w:val="16"/>
                <w:szCs w:val="16"/>
              </w:rPr>
              <w:t xml:space="preserve">Appellate Body Reports, </w:t>
            </w:r>
            <w:r w:rsidRPr="00D46126">
              <w:rPr>
                <w:i/>
                <w:color w:val="000000"/>
                <w:sz w:val="16"/>
                <w:szCs w:val="16"/>
              </w:rPr>
              <w:t>China – Measures Related to the Exportation of Various Raw Materials</w:t>
            </w:r>
            <w:r w:rsidRPr="00D46126">
              <w:rPr>
                <w:color w:val="000000"/>
                <w:sz w:val="16"/>
                <w:szCs w:val="16"/>
              </w:rPr>
              <w:t xml:space="preserve">, </w:t>
            </w:r>
            <w:r w:rsidRPr="003B6E3D">
              <w:rPr>
                <w:sz w:val="16"/>
                <w:szCs w:val="16"/>
              </w:rPr>
              <w:t>WT/DS394/AB/R</w:t>
            </w:r>
            <w:r w:rsidRPr="00D46126">
              <w:rPr>
                <w:color w:val="000000"/>
                <w:sz w:val="16"/>
                <w:szCs w:val="16"/>
              </w:rPr>
              <w:t xml:space="preserve"> / </w:t>
            </w:r>
            <w:r w:rsidRPr="003B6E3D">
              <w:rPr>
                <w:sz w:val="16"/>
                <w:szCs w:val="16"/>
              </w:rPr>
              <w:t>WT/DS395/AB/R</w:t>
            </w:r>
            <w:r w:rsidRPr="00D46126">
              <w:rPr>
                <w:color w:val="000000"/>
                <w:sz w:val="16"/>
                <w:szCs w:val="16"/>
              </w:rPr>
              <w:t xml:space="preserve"> / </w:t>
            </w:r>
            <w:r w:rsidRPr="003B6E3D">
              <w:rPr>
                <w:sz w:val="16"/>
                <w:szCs w:val="16"/>
              </w:rPr>
              <w:t>WT/DS398/AB/R</w:t>
            </w:r>
            <w:r w:rsidRPr="00D46126">
              <w:rPr>
                <w:color w:val="000000"/>
                <w:sz w:val="16"/>
                <w:szCs w:val="16"/>
              </w:rPr>
              <w:t>, adopted 22 February 2012, DSR 2012:VII, p. 3295</w:t>
            </w:r>
          </w:p>
        </w:tc>
      </w:tr>
      <w:tr w:rsidR="00D46126" w:rsidRPr="00D46126" w:rsidTr="004526E3">
        <w:trPr>
          <w:cnfStyle w:val="000000010000" w:firstRow="0" w:lastRow="0" w:firstColumn="0" w:lastColumn="0" w:oddVBand="0" w:evenVBand="0" w:oddHBand="0" w:evenHBand="1" w:firstRowFirstColumn="0" w:firstRowLastColumn="0" w:lastRowFirstColumn="0" w:lastRowLastColumn="0"/>
          <w:cantSplit/>
        </w:trPr>
        <w:tc>
          <w:tcPr>
            <w:tcW w:w="2600" w:type="dxa"/>
          </w:tcPr>
          <w:p w:rsidR="00D46126" w:rsidRPr="00D46126" w:rsidRDefault="00D46126" w:rsidP="004526E3">
            <w:pPr>
              <w:spacing w:before="60" w:after="60"/>
              <w:rPr>
                <w:sz w:val="16"/>
                <w:szCs w:val="16"/>
              </w:rPr>
            </w:pPr>
            <w:r w:rsidRPr="00D46126">
              <w:rPr>
                <w:i/>
                <w:color w:val="000000"/>
                <w:sz w:val="16"/>
                <w:szCs w:val="16"/>
              </w:rPr>
              <w:t>Dominican Republic – Import and Sale of Cigarettes</w:t>
            </w:r>
          </w:p>
        </w:tc>
        <w:tc>
          <w:tcPr>
            <w:tcW w:w="6621" w:type="dxa"/>
          </w:tcPr>
          <w:p w:rsidR="00D46126" w:rsidRPr="00D46126" w:rsidRDefault="00D46126" w:rsidP="004526E3">
            <w:pPr>
              <w:spacing w:before="60" w:after="60"/>
              <w:jc w:val="left"/>
              <w:rPr>
                <w:sz w:val="16"/>
                <w:szCs w:val="16"/>
              </w:rPr>
            </w:pPr>
            <w:r w:rsidRPr="00D46126">
              <w:rPr>
                <w:color w:val="000000"/>
                <w:sz w:val="16"/>
                <w:szCs w:val="16"/>
              </w:rPr>
              <w:t xml:space="preserve">Appellate Body Report, </w:t>
            </w:r>
            <w:r w:rsidRPr="00D46126">
              <w:rPr>
                <w:i/>
                <w:color w:val="000000"/>
                <w:sz w:val="16"/>
                <w:szCs w:val="16"/>
              </w:rPr>
              <w:t>Dominican Republic – Measures Affecting the Importation and Internal Sale of Cigarettes</w:t>
            </w:r>
            <w:r w:rsidRPr="00D46126">
              <w:rPr>
                <w:color w:val="000000"/>
                <w:sz w:val="16"/>
                <w:szCs w:val="16"/>
              </w:rPr>
              <w:t xml:space="preserve">, </w:t>
            </w:r>
            <w:r w:rsidRPr="003B6E3D">
              <w:rPr>
                <w:sz w:val="16"/>
                <w:szCs w:val="16"/>
              </w:rPr>
              <w:t>WT/DS302/AB/R</w:t>
            </w:r>
            <w:r w:rsidR="00933169">
              <w:rPr>
                <w:color w:val="000000"/>
                <w:sz w:val="16"/>
                <w:szCs w:val="16"/>
              </w:rPr>
              <w:t>, adopted 19 </w:t>
            </w:r>
            <w:r w:rsidRPr="00D46126">
              <w:rPr>
                <w:color w:val="000000"/>
                <w:sz w:val="16"/>
                <w:szCs w:val="16"/>
              </w:rPr>
              <w:t>May</w:t>
            </w:r>
            <w:r w:rsidR="00933169">
              <w:rPr>
                <w:color w:val="000000"/>
                <w:sz w:val="16"/>
                <w:szCs w:val="16"/>
              </w:rPr>
              <w:t> </w:t>
            </w:r>
            <w:r w:rsidRPr="00D46126">
              <w:rPr>
                <w:color w:val="000000"/>
                <w:sz w:val="16"/>
                <w:szCs w:val="16"/>
              </w:rPr>
              <w:t>2005, DSR 2005:XV, p. 7367</w:t>
            </w:r>
          </w:p>
        </w:tc>
      </w:tr>
      <w:tr w:rsidR="00412491" w:rsidRPr="00D46126" w:rsidTr="004526E3">
        <w:trPr>
          <w:cantSplit/>
        </w:trPr>
        <w:tc>
          <w:tcPr>
            <w:tcW w:w="2600" w:type="dxa"/>
          </w:tcPr>
          <w:p w:rsidR="00412491" w:rsidRPr="00D46126" w:rsidRDefault="00412491" w:rsidP="004526E3">
            <w:pPr>
              <w:spacing w:before="60" w:after="60"/>
              <w:jc w:val="left"/>
              <w:rPr>
                <w:i/>
                <w:color w:val="000000"/>
                <w:sz w:val="16"/>
                <w:szCs w:val="16"/>
              </w:rPr>
            </w:pPr>
            <w:r w:rsidRPr="00D46126">
              <w:rPr>
                <w:i/>
                <w:color w:val="000000"/>
                <w:sz w:val="16"/>
                <w:szCs w:val="16"/>
              </w:rPr>
              <w:t>EC – Asbestos</w:t>
            </w:r>
          </w:p>
        </w:tc>
        <w:tc>
          <w:tcPr>
            <w:tcW w:w="6621" w:type="dxa"/>
          </w:tcPr>
          <w:p w:rsidR="00412491" w:rsidRPr="00D46126" w:rsidRDefault="000A10EA" w:rsidP="004526E3">
            <w:pPr>
              <w:spacing w:before="60" w:after="60"/>
              <w:jc w:val="left"/>
              <w:rPr>
                <w:color w:val="000000"/>
                <w:sz w:val="16"/>
                <w:szCs w:val="16"/>
              </w:rPr>
            </w:pPr>
            <w:r w:rsidRPr="00D46126">
              <w:rPr>
                <w:color w:val="000000"/>
                <w:sz w:val="16"/>
                <w:szCs w:val="16"/>
              </w:rPr>
              <w:t>Appellate Body</w:t>
            </w:r>
            <w:r w:rsidR="00412491" w:rsidRPr="00D46126">
              <w:rPr>
                <w:color w:val="000000"/>
                <w:sz w:val="16"/>
                <w:szCs w:val="16"/>
              </w:rPr>
              <w:t xml:space="preserve"> Report, </w:t>
            </w:r>
            <w:r w:rsidR="00412491" w:rsidRPr="00D46126">
              <w:rPr>
                <w:i/>
                <w:color w:val="000000"/>
                <w:sz w:val="16"/>
                <w:szCs w:val="16"/>
              </w:rPr>
              <w:t>European Communities – Measures Affecting Asbestos and Asbestos-Containing Products</w:t>
            </w:r>
            <w:r w:rsidR="00412491" w:rsidRPr="00D46126">
              <w:rPr>
                <w:color w:val="000000"/>
                <w:sz w:val="16"/>
                <w:szCs w:val="16"/>
              </w:rPr>
              <w:t xml:space="preserve">, </w:t>
            </w:r>
            <w:r w:rsidR="00412491" w:rsidRPr="003B6E3D">
              <w:rPr>
                <w:sz w:val="16"/>
                <w:szCs w:val="16"/>
              </w:rPr>
              <w:t>WT/DS135/AB/R</w:t>
            </w:r>
            <w:r w:rsidR="00412491" w:rsidRPr="00D46126">
              <w:rPr>
                <w:color w:val="000000"/>
                <w:sz w:val="16"/>
                <w:szCs w:val="16"/>
              </w:rPr>
              <w:t>, adopted 5</w:t>
            </w:r>
            <w:r w:rsidR="000A18DA" w:rsidRPr="00D46126">
              <w:rPr>
                <w:color w:val="000000"/>
                <w:sz w:val="16"/>
                <w:szCs w:val="16"/>
              </w:rPr>
              <w:t> April</w:t>
            </w:r>
            <w:r w:rsidRPr="00D46126">
              <w:rPr>
                <w:color w:val="000000"/>
                <w:sz w:val="16"/>
                <w:szCs w:val="16"/>
              </w:rPr>
              <w:t> 20</w:t>
            </w:r>
            <w:r w:rsidR="00412491" w:rsidRPr="00D46126">
              <w:rPr>
                <w:color w:val="000000"/>
                <w:sz w:val="16"/>
                <w:szCs w:val="16"/>
              </w:rPr>
              <w:t>01, DSR</w:t>
            </w:r>
            <w:r w:rsidRPr="00D46126">
              <w:rPr>
                <w:color w:val="000000"/>
                <w:sz w:val="16"/>
                <w:szCs w:val="16"/>
              </w:rPr>
              <w:t> 20</w:t>
            </w:r>
            <w:r w:rsidR="00412491" w:rsidRPr="00D46126">
              <w:rPr>
                <w:color w:val="000000"/>
                <w:sz w:val="16"/>
                <w:szCs w:val="16"/>
              </w:rPr>
              <w:t>01:VII, p. 3243</w:t>
            </w:r>
          </w:p>
        </w:tc>
      </w:tr>
      <w:tr w:rsidR="003A1A96" w:rsidRPr="00D46126" w:rsidTr="004526E3">
        <w:trPr>
          <w:cnfStyle w:val="000000010000" w:firstRow="0" w:lastRow="0" w:firstColumn="0" w:lastColumn="0" w:oddVBand="0" w:evenVBand="0" w:oddHBand="0" w:evenHBand="1" w:firstRowFirstColumn="0" w:firstRowLastColumn="0" w:lastRowFirstColumn="0" w:lastRowLastColumn="0"/>
          <w:cantSplit/>
        </w:trPr>
        <w:tc>
          <w:tcPr>
            <w:tcW w:w="2600" w:type="dxa"/>
          </w:tcPr>
          <w:p w:rsidR="003A1A96" w:rsidRPr="00D46126" w:rsidRDefault="003A1A96" w:rsidP="004526E3">
            <w:pPr>
              <w:keepNext/>
              <w:keepLines/>
              <w:spacing w:before="60" w:after="60"/>
              <w:jc w:val="left"/>
              <w:rPr>
                <w:sz w:val="16"/>
                <w:szCs w:val="16"/>
              </w:rPr>
            </w:pPr>
            <w:r w:rsidRPr="00D46126">
              <w:rPr>
                <w:i/>
                <w:color w:val="000000"/>
                <w:sz w:val="16"/>
                <w:szCs w:val="16"/>
              </w:rPr>
              <w:lastRenderedPageBreak/>
              <w:t xml:space="preserve">EC – Bed Linen </w:t>
            </w:r>
            <w:r w:rsidRPr="00D46126">
              <w:rPr>
                <w:i/>
                <w:color w:val="000000"/>
                <w:sz w:val="16"/>
                <w:szCs w:val="16"/>
              </w:rPr>
              <w:br/>
              <w:t>(</w:t>
            </w:r>
            <w:r w:rsidR="000A10EA" w:rsidRPr="00D46126">
              <w:rPr>
                <w:i/>
                <w:color w:val="000000"/>
                <w:sz w:val="16"/>
                <w:szCs w:val="16"/>
              </w:rPr>
              <w:t>Article </w:t>
            </w:r>
            <w:r w:rsidRPr="00D46126">
              <w:rPr>
                <w:i/>
                <w:color w:val="000000"/>
                <w:sz w:val="16"/>
                <w:szCs w:val="16"/>
              </w:rPr>
              <w:t>21.5 – India)</w:t>
            </w:r>
          </w:p>
        </w:tc>
        <w:tc>
          <w:tcPr>
            <w:tcW w:w="6621" w:type="dxa"/>
          </w:tcPr>
          <w:p w:rsidR="003A1A96" w:rsidRPr="00D46126" w:rsidRDefault="000A10EA" w:rsidP="004526E3">
            <w:pPr>
              <w:keepNext/>
              <w:keepLines/>
              <w:spacing w:before="60" w:after="60"/>
              <w:jc w:val="left"/>
              <w:rPr>
                <w:sz w:val="16"/>
                <w:szCs w:val="16"/>
              </w:rPr>
            </w:pPr>
            <w:r w:rsidRPr="00D46126">
              <w:rPr>
                <w:color w:val="000000"/>
                <w:sz w:val="16"/>
                <w:szCs w:val="16"/>
              </w:rPr>
              <w:t>Appellate Body</w:t>
            </w:r>
            <w:r w:rsidR="003A1A96" w:rsidRPr="00D46126">
              <w:rPr>
                <w:color w:val="000000"/>
                <w:sz w:val="16"/>
                <w:szCs w:val="16"/>
              </w:rPr>
              <w:t xml:space="preserve"> Report, </w:t>
            </w:r>
            <w:r w:rsidR="003A1A96" w:rsidRPr="00D46126">
              <w:rPr>
                <w:i/>
                <w:color w:val="000000"/>
                <w:sz w:val="16"/>
                <w:szCs w:val="16"/>
              </w:rPr>
              <w:t xml:space="preserve">European Communities – Anti-Dumping Duties on Imports of Cotton-Type Bed Linen from India – Recourse to </w:t>
            </w:r>
            <w:r w:rsidRPr="00D46126">
              <w:rPr>
                <w:i/>
                <w:color w:val="000000"/>
                <w:sz w:val="16"/>
                <w:szCs w:val="16"/>
              </w:rPr>
              <w:t>Article </w:t>
            </w:r>
            <w:r w:rsidR="003A1A96" w:rsidRPr="00D46126">
              <w:rPr>
                <w:i/>
                <w:color w:val="000000"/>
                <w:sz w:val="16"/>
                <w:szCs w:val="16"/>
              </w:rPr>
              <w:t>21.5 of the DSU</w:t>
            </w:r>
            <w:r w:rsidR="003A1A96" w:rsidRPr="00D46126">
              <w:rPr>
                <w:color w:val="000000"/>
                <w:sz w:val="16"/>
                <w:szCs w:val="16"/>
              </w:rPr>
              <w:t xml:space="preserve"> </w:t>
            </w:r>
            <w:r w:rsidR="003A1A96" w:rsidRPr="00D46126">
              <w:rPr>
                <w:i/>
                <w:color w:val="000000"/>
                <w:sz w:val="16"/>
                <w:szCs w:val="16"/>
              </w:rPr>
              <w:t>by India</w:t>
            </w:r>
            <w:r w:rsidR="003A1A96" w:rsidRPr="00D46126">
              <w:rPr>
                <w:color w:val="000000"/>
                <w:sz w:val="16"/>
                <w:szCs w:val="16"/>
              </w:rPr>
              <w:t xml:space="preserve">, </w:t>
            </w:r>
            <w:r w:rsidR="003A1A96" w:rsidRPr="003B6E3D">
              <w:rPr>
                <w:sz w:val="16"/>
                <w:szCs w:val="16"/>
              </w:rPr>
              <w:t>WT/DS141/AB/RW</w:t>
            </w:r>
            <w:r w:rsidR="003A1A96" w:rsidRPr="00D46126">
              <w:rPr>
                <w:color w:val="000000"/>
                <w:sz w:val="16"/>
                <w:szCs w:val="16"/>
              </w:rPr>
              <w:t>, adopted 24</w:t>
            </w:r>
            <w:r w:rsidR="000A18DA" w:rsidRPr="00D46126">
              <w:rPr>
                <w:color w:val="000000"/>
                <w:sz w:val="16"/>
                <w:szCs w:val="16"/>
              </w:rPr>
              <w:t> April</w:t>
            </w:r>
            <w:r w:rsidRPr="00D46126">
              <w:rPr>
                <w:color w:val="000000"/>
                <w:sz w:val="16"/>
                <w:szCs w:val="16"/>
              </w:rPr>
              <w:t> 20</w:t>
            </w:r>
            <w:r w:rsidR="003A1A96" w:rsidRPr="00D46126">
              <w:rPr>
                <w:color w:val="000000"/>
                <w:sz w:val="16"/>
                <w:szCs w:val="16"/>
              </w:rPr>
              <w:t>03, DSR</w:t>
            </w:r>
            <w:r w:rsidRPr="00D46126">
              <w:rPr>
                <w:color w:val="000000"/>
                <w:sz w:val="16"/>
                <w:szCs w:val="16"/>
              </w:rPr>
              <w:t> 20</w:t>
            </w:r>
            <w:r w:rsidR="003A1A96" w:rsidRPr="00D46126">
              <w:rPr>
                <w:color w:val="000000"/>
                <w:sz w:val="16"/>
                <w:szCs w:val="16"/>
              </w:rPr>
              <w:t>03:III, p. 965</w:t>
            </w:r>
          </w:p>
        </w:tc>
      </w:tr>
      <w:tr w:rsidR="003C1ECC" w:rsidRPr="00D46126" w:rsidTr="004526E3">
        <w:trPr>
          <w:cantSplit/>
        </w:trPr>
        <w:tc>
          <w:tcPr>
            <w:tcW w:w="2600" w:type="dxa"/>
          </w:tcPr>
          <w:p w:rsidR="003C1ECC" w:rsidRPr="00D46126" w:rsidRDefault="003C1ECC" w:rsidP="004526E3">
            <w:pPr>
              <w:keepNext/>
              <w:keepLines/>
              <w:spacing w:before="60" w:after="60"/>
              <w:jc w:val="left"/>
              <w:rPr>
                <w:i/>
                <w:color w:val="000000"/>
                <w:sz w:val="16"/>
                <w:szCs w:val="16"/>
              </w:rPr>
            </w:pPr>
            <w:r w:rsidRPr="00A10219">
              <w:rPr>
                <w:i/>
                <w:color w:val="000000"/>
                <w:sz w:val="16"/>
                <w:szCs w:val="16"/>
              </w:rPr>
              <w:t>EC – Commercial Vessels</w:t>
            </w:r>
          </w:p>
        </w:tc>
        <w:tc>
          <w:tcPr>
            <w:tcW w:w="6621" w:type="dxa"/>
          </w:tcPr>
          <w:p w:rsidR="003C1ECC" w:rsidRPr="00D46126" w:rsidRDefault="003C1ECC" w:rsidP="004526E3">
            <w:pPr>
              <w:keepNext/>
              <w:keepLines/>
              <w:spacing w:before="60" w:after="60"/>
              <w:jc w:val="left"/>
              <w:rPr>
                <w:color w:val="000000"/>
                <w:sz w:val="16"/>
                <w:szCs w:val="16"/>
              </w:rPr>
            </w:pPr>
            <w:r w:rsidRPr="00A10219">
              <w:rPr>
                <w:color w:val="000000"/>
                <w:sz w:val="16"/>
                <w:szCs w:val="16"/>
              </w:rPr>
              <w:t xml:space="preserve">Panel Report, </w:t>
            </w:r>
            <w:r w:rsidRPr="00A10219">
              <w:rPr>
                <w:i/>
                <w:color w:val="000000"/>
                <w:sz w:val="16"/>
                <w:szCs w:val="16"/>
              </w:rPr>
              <w:t>European Communities – Measures Affecting Trade in Commercial Vessels</w:t>
            </w:r>
            <w:r w:rsidRPr="00A10219">
              <w:rPr>
                <w:color w:val="000000"/>
                <w:sz w:val="16"/>
                <w:szCs w:val="16"/>
              </w:rPr>
              <w:t xml:space="preserve">, </w:t>
            </w:r>
            <w:r w:rsidRPr="003B6E3D">
              <w:rPr>
                <w:sz w:val="16"/>
                <w:szCs w:val="16"/>
              </w:rPr>
              <w:t>WT/DS301/R</w:t>
            </w:r>
            <w:r w:rsidRPr="00A10219">
              <w:rPr>
                <w:color w:val="000000"/>
                <w:sz w:val="16"/>
                <w:szCs w:val="16"/>
              </w:rPr>
              <w:t>, adopte</w:t>
            </w:r>
            <w:r>
              <w:rPr>
                <w:color w:val="000000"/>
                <w:sz w:val="16"/>
                <w:szCs w:val="16"/>
              </w:rPr>
              <w:t>d 20 June 2005, DSR 2005:XV, p. </w:t>
            </w:r>
            <w:r w:rsidRPr="00A10219">
              <w:rPr>
                <w:color w:val="000000"/>
                <w:sz w:val="16"/>
                <w:szCs w:val="16"/>
              </w:rPr>
              <w:t>7713</w:t>
            </w:r>
          </w:p>
        </w:tc>
      </w:tr>
      <w:tr w:rsidR="005D430E" w:rsidRPr="00D46126" w:rsidTr="004526E3">
        <w:trPr>
          <w:cnfStyle w:val="000000010000" w:firstRow="0" w:lastRow="0" w:firstColumn="0" w:lastColumn="0" w:oddVBand="0" w:evenVBand="0" w:oddHBand="0" w:evenHBand="1" w:firstRowFirstColumn="0" w:firstRowLastColumn="0" w:lastRowFirstColumn="0" w:lastRowLastColumn="0"/>
          <w:cantSplit/>
        </w:trPr>
        <w:tc>
          <w:tcPr>
            <w:tcW w:w="2600" w:type="dxa"/>
          </w:tcPr>
          <w:p w:rsidR="005D430E" w:rsidRPr="00D46126" w:rsidRDefault="005D430E" w:rsidP="004526E3">
            <w:pPr>
              <w:spacing w:before="60" w:after="60"/>
              <w:jc w:val="left"/>
              <w:rPr>
                <w:i/>
                <w:color w:val="000000"/>
                <w:sz w:val="16"/>
                <w:szCs w:val="16"/>
              </w:rPr>
            </w:pPr>
            <w:r w:rsidRPr="00D46126">
              <w:rPr>
                <w:i/>
                <w:color w:val="000000"/>
                <w:sz w:val="16"/>
                <w:szCs w:val="16"/>
              </w:rPr>
              <w:t>EC – Export Subsidies on Sugar</w:t>
            </w:r>
          </w:p>
        </w:tc>
        <w:tc>
          <w:tcPr>
            <w:tcW w:w="6621" w:type="dxa"/>
          </w:tcPr>
          <w:p w:rsidR="005D430E" w:rsidRPr="00D46126" w:rsidRDefault="000A10EA" w:rsidP="004526E3">
            <w:pPr>
              <w:keepLines/>
              <w:tabs>
                <w:tab w:val="left" w:pos="2268"/>
                <w:tab w:val="left" w:pos="4536"/>
              </w:tabs>
              <w:spacing w:before="60" w:after="60"/>
              <w:jc w:val="left"/>
              <w:rPr>
                <w:color w:val="000000"/>
                <w:sz w:val="16"/>
                <w:szCs w:val="16"/>
              </w:rPr>
            </w:pPr>
            <w:r w:rsidRPr="00D46126">
              <w:rPr>
                <w:color w:val="000000"/>
                <w:sz w:val="16"/>
                <w:szCs w:val="16"/>
              </w:rPr>
              <w:t>Appellate Body</w:t>
            </w:r>
            <w:r w:rsidR="005D430E" w:rsidRPr="00D46126">
              <w:rPr>
                <w:color w:val="000000"/>
                <w:sz w:val="16"/>
                <w:szCs w:val="16"/>
              </w:rPr>
              <w:t xml:space="preserve"> Report, </w:t>
            </w:r>
            <w:r w:rsidR="005D430E" w:rsidRPr="00D46126">
              <w:rPr>
                <w:i/>
                <w:color w:val="000000"/>
                <w:sz w:val="16"/>
                <w:szCs w:val="16"/>
              </w:rPr>
              <w:t>European Communities – Export Subsidies on Sugar</w:t>
            </w:r>
            <w:r w:rsidR="005D430E" w:rsidRPr="00D46126">
              <w:rPr>
                <w:color w:val="000000"/>
                <w:sz w:val="16"/>
                <w:szCs w:val="16"/>
              </w:rPr>
              <w:t xml:space="preserve">, </w:t>
            </w:r>
            <w:r w:rsidR="005D430E" w:rsidRPr="003B6E3D">
              <w:rPr>
                <w:sz w:val="16"/>
                <w:szCs w:val="16"/>
              </w:rPr>
              <w:t>WT/DS265/AB/R</w:t>
            </w:r>
            <w:r w:rsidR="005D430E" w:rsidRPr="00D46126">
              <w:rPr>
                <w:color w:val="000000"/>
                <w:sz w:val="16"/>
                <w:szCs w:val="16"/>
              </w:rPr>
              <w:t xml:space="preserve">, </w:t>
            </w:r>
            <w:r w:rsidR="005D430E" w:rsidRPr="003B6E3D">
              <w:rPr>
                <w:sz w:val="16"/>
                <w:szCs w:val="16"/>
              </w:rPr>
              <w:t>WT/DS266/AB/R</w:t>
            </w:r>
            <w:r w:rsidR="005D430E" w:rsidRPr="00D46126">
              <w:rPr>
                <w:color w:val="000000"/>
                <w:sz w:val="16"/>
                <w:szCs w:val="16"/>
              </w:rPr>
              <w:t xml:space="preserve">, </w:t>
            </w:r>
            <w:r w:rsidR="005D430E" w:rsidRPr="003B6E3D">
              <w:rPr>
                <w:sz w:val="16"/>
                <w:szCs w:val="16"/>
              </w:rPr>
              <w:t>WT/DS283/AB/R</w:t>
            </w:r>
            <w:r w:rsidR="005D430E" w:rsidRPr="00D46126">
              <w:rPr>
                <w:color w:val="000000"/>
                <w:sz w:val="16"/>
                <w:szCs w:val="16"/>
              </w:rPr>
              <w:t>, adopted 19</w:t>
            </w:r>
            <w:r w:rsidR="000A18DA" w:rsidRPr="00D46126">
              <w:rPr>
                <w:color w:val="000000"/>
                <w:sz w:val="16"/>
                <w:szCs w:val="16"/>
              </w:rPr>
              <w:t> May</w:t>
            </w:r>
            <w:r w:rsidRPr="00D46126">
              <w:rPr>
                <w:color w:val="000000"/>
                <w:sz w:val="16"/>
                <w:szCs w:val="16"/>
              </w:rPr>
              <w:t> 20</w:t>
            </w:r>
            <w:r w:rsidR="005D430E" w:rsidRPr="00D46126">
              <w:rPr>
                <w:color w:val="000000"/>
                <w:sz w:val="16"/>
                <w:szCs w:val="16"/>
              </w:rPr>
              <w:t>05, DSR</w:t>
            </w:r>
            <w:r w:rsidRPr="00D46126">
              <w:rPr>
                <w:color w:val="000000"/>
                <w:sz w:val="16"/>
                <w:szCs w:val="16"/>
              </w:rPr>
              <w:t> 20</w:t>
            </w:r>
            <w:r w:rsidR="005D430E" w:rsidRPr="00D46126">
              <w:rPr>
                <w:color w:val="000000"/>
                <w:sz w:val="16"/>
                <w:szCs w:val="16"/>
              </w:rPr>
              <w:t>05:XIII, p. 6365</w:t>
            </w:r>
          </w:p>
        </w:tc>
      </w:tr>
      <w:tr w:rsidR="003A1A96" w:rsidRPr="00D46126" w:rsidTr="004526E3">
        <w:trPr>
          <w:cantSplit/>
        </w:trPr>
        <w:tc>
          <w:tcPr>
            <w:tcW w:w="2600" w:type="dxa"/>
          </w:tcPr>
          <w:p w:rsidR="003A1A96" w:rsidRPr="00D46126" w:rsidRDefault="003A1A96" w:rsidP="004526E3">
            <w:pPr>
              <w:spacing w:before="60" w:after="60"/>
              <w:jc w:val="left"/>
              <w:rPr>
                <w:i/>
                <w:color w:val="000000"/>
                <w:sz w:val="16"/>
                <w:szCs w:val="16"/>
              </w:rPr>
            </w:pPr>
            <w:r w:rsidRPr="00D46126">
              <w:rPr>
                <w:i/>
                <w:iCs/>
                <w:color w:val="000000"/>
                <w:sz w:val="16"/>
                <w:szCs w:val="16"/>
              </w:rPr>
              <w:t>EC – Fasteners (China)</w:t>
            </w:r>
          </w:p>
        </w:tc>
        <w:tc>
          <w:tcPr>
            <w:tcW w:w="6621" w:type="dxa"/>
          </w:tcPr>
          <w:p w:rsidR="003A1A96" w:rsidRPr="00D46126" w:rsidRDefault="000A10EA" w:rsidP="004526E3">
            <w:pPr>
              <w:keepLines/>
              <w:tabs>
                <w:tab w:val="left" w:pos="2268"/>
                <w:tab w:val="left" w:pos="4536"/>
              </w:tabs>
              <w:spacing w:before="60" w:after="60"/>
              <w:jc w:val="left"/>
              <w:rPr>
                <w:color w:val="000000"/>
                <w:sz w:val="16"/>
                <w:szCs w:val="16"/>
              </w:rPr>
            </w:pPr>
            <w:r w:rsidRPr="00D46126">
              <w:rPr>
                <w:color w:val="000000"/>
                <w:sz w:val="16"/>
                <w:szCs w:val="16"/>
              </w:rPr>
              <w:t>Appellate Body</w:t>
            </w:r>
            <w:r w:rsidR="003A1A96" w:rsidRPr="00D46126">
              <w:rPr>
                <w:color w:val="000000"/>
                <w:sz w:val="16"/>
                <w:szCs w:val="16"/>
              </w:rPr>
              <w:t xml:space="preserve"> Report, </w:t>
            </w:r>
            <w:r w:rsidR="003A1A96" w:rsidRPr="00D46126">
              <w:rPr>
                <w:i/>
                <w:iCs/>
                <w:color w:val="000000"/>
                <w:sz w:val="16"/>
                <w:szCs w:val="16"/>
              </w:rPr>
              <w:t>Europea</w:t>
            </w:r>
            <w:r w:rsidR="00206309" w:rsidRPr="00D46126">
              <w:rPr>
                <w:i/>
                <w:iCs/>
                <w:color w:val="000000"/>
                <w:sz w:val="16"/>
                <w:szCs w:val="16"/>
              </w:rPr>
              <w:t>n Communities – Definitive Anti</w:t>
            </w:r>
            <w:r w:rsidR="00206309" w:rsidRPr="00D46126">
              <w:rPr>
                <w:i/>
                <w:iCs/>
                <w:color w:val="000000"/>
                <w:sz w:val="16"/>
                <w:szCs w:val="16"/>
              </w:rPr>
              <w:noBreakHyphen/>
            </w:r>
            <w:r w:rsidR="003A1A96" w:rsidRPr="00D46126">
              <w:rPr>
                <w:i/>
                <w:iCs/>
                <w:color w:val="000000"/>
                <w:sz w:val="16"/>
                <w:szCs w:val="16"/>
              </w:rPr>
              <w:t>Dumping Measures on Certain Iron or Steel Fasteners from China</w:t>
            </w:r>
            <w:r w:rsidR="003A1A96" w:rsidRPr="00D46126">
              <w:rPr>
                <w:color w:val="000000"/>
                <w:sz w:val="16"/>
                <w:szCs w:val="16"/>
              </w:rPr>
              <w:t xml:space="preserve">, </w:t>
            </w:r>
            <w:r w:rsidR="003A1A96" w:rsidRPr="003B6E3D">
              <w:rPr>
                <w:sz w:val="16"/>
                <w:szCs w:val="16"/>
              </w:rPr>
              <w:t>WT/DS397/AB/R</w:t>
            </w:r>
            <w:r w:rsidR="003A1A96" w:rsidRPr="00D46126">
              <w:rPr>
                <w:color w:val="000000"/>
                <w:sz w:val="16"/>
                <w:szCs w:val="16"/>
              </w:rPr>
              <w:t>, adopted 28</w:t>
            </w:r>
            <w:r w:rsidR="000A18DA" w:rsidRPr="00D46126">
              <w:rPr>
                <w:color w:val="000000"/>
                <w:sz w:val="16"/>
                <w:szCs w:val="16"/>
              </w:rPr>
              <w:t> July</w:t>
            </w:r>
            <w:r w:rsidRPr="00D46126">
              <w:rPr>
                <w:color w:val="000000"/>
                <w:sz w:val="16"/>
                <w:szCs w:val="16"/>
              </w:rPr>
              <w:t> 20</w:t>
            </w:r>
            <w:r w:rsidR="003A1A96" w:rsidRPr="00D46126">
              <w:rPr>
                <w:color w:val="000000"/>
                <w:sz w:val="16"/>
                <w:szCs w:val="16"/>
              </w:rPr>
              <w:t>11, DSR</w:t>
            </w:r>
            <w:r w:rsidRPr="00D46126">
              <w:rPr>
                <w:color w:val="000000"/>
                <w:sz w:val="16"/>
                <w:szCs w:val="16"/>
              </w:rPr>
              <w:t> 20</w:t>
            </w:r>
            <w:r w:rsidR="00206309" w:rsidRPr="00D46126">
              <w:rPr>
                <w:color w:val="000000"/>
                <w:sz w:val="16"/>
                <w:szCs w:val="16"/>
              </w:rPr>
              <w:t>11:VII, p. </w:t>
            </w:r>
            <w:r w:rsidR="003A1A96" w:rsidRPr="00D46126">
              <w:rPr>
                <w:color w:val="000000"/>
                <w:sz w:val="16"/>
                <w:szCs w:val="16"/>
              </w:rPr>
              <w:t>3995</w:t>
            </w:r>
          </w:p>
        </w:tc>
      </w:tr>
      <w:tr w:rsidR="00412491" w:rsidRPr="00D46126" w:rsidTr="004526E3">
        <w:trPr>
          <w:cnfStyle w:val="000000010000" w:firstRow="0" w:lastRow="0" w:firstColumn="0" w:lastColumn="0" w:oddVBand="0" w:evenVBand="0" w:oddHBand="0" w:evenHBand="1" w:firstRowFirstColumn="0" w:firstRowLastColumn="0" w:lastRowFirstColumn="0" w:lastRowLastColumn="0"/>
          <w:cantSplit/>
        </w:trPr>
        <w:tc>
          <w:tcPr>
            <w:tcW w:w="2600" w:type="dxa"/>
          </w:tcPr>
          <w:p w:rsidR="00412491" w:rsidRPr="00D46126" w:rsidRDefault="00412491" w:rsidP="004526E3">
            <w:pPr>
              <w:spacing w:before="60" w:after="60"/>
              <w:jc w:val="left"/>
              <w:rPr>
                <w:i/>
                <w:color w:val="000000"/>
                <w:sz w:val="16"/>
                <w:szCs w:val="16"/>
              </w:rPr>
            </w:pPr>
            <w:r w:rsidRPr="00D46126">
              <w:rPr>
                <w:i/>
                <w:color w:val="000000"/>
                <w:sz w:val="16"/>
                <w:szCs w:val="16"/>
              </w:rPr>
              <w:t>EC – Hormones</w:t>
            </w:r>
          </w:p>
        </w:tc>
        <w:tc>
          <w:tcPr>
            <w:tcW w:w="6621" w:type="dxa"/>
          </w:tcPr>
          <w:p w:rsidR="00412491" w:rsidRPr="00D46126" w:rsidRDefault="000A10EA" w:rsidP="004526E3">
            <w:pPr>
              <w:keepLines/>
              <w:tabs>
                <w:tab w:val="left" w:pos="2268"/>
                <w:tab w:val="left" w:pos="4536"/>
              </w:tabs>
              <w:spacing w:before="60" w:after="60"/>
              <w:jc w:val="left"/>
              <w:rPr>
                <w:color w:val="000000"/>
                <w:sz w:val="16"/>
                <w:szCs w:val="16"/>
              </w:rPr>
            </w:pPr>
            <w:r w:rsidRPr="00D46126">
              <w:rPr>
                <w:color w:val="000000"/>
                <w:sz w:val="16"/>
                <w:szCs w:val="16"/>
              </w:rPr>
              <w:t>Appellate Body</w:t>
            </w:r>
            <w:r w:rsidR="00412491" w:rsidRPr="00D46126">
              <w:rPr>
                <w:color w:val="000000"/>
                <w:sz w:val="16"/>
                <w:szCs w:val="16"/>
              </w:rPr>
              <w:t xml:space="preserve"> Report, </w:t>
            </w:r>
            <w:r w:rsidR="00412491" w:rsidRPr="00D46126">
              <w:rPr>
                <w:i/>
                <w:color w:val="000000"/>
                <w:sz w:val="16"/>
                <w:szCs w:val="16"/>
              </w:rPr>
              <w:t>EC Measures Concerning Meat and Meat Products (Hormones)</w:t>
            </w:r>
            <w:r w:rsidR="00412491" w:rsidRPr="00D46126">
              <w:rPr>
                <w:color w:val="000000"/>
                <w:sz w:val="16"/>
                <w:szCs w:val="16"/>
              </w:rPr>
              <w:t xml:space="preserve">, </w:t>
            </w:r>
            <w:r w:rsidR="00412491" w:rsidRPr="003B6E3D">
              <w:rPr>
                <w:sz w:val="16"/>
                <w:szCs w:val="16"/>
              </w:rPr>
              <w:t>WT/DS26/AB/R</w:t>
            </w:r>
            <w:r w:rsidR="00412491" w:rsidRPr="00D46126">
              <w:rPr>
                <w:color w:val="000000"/>
                <w:sz w:val="16"/>
                <w:szCs w:val="16"/>
              </w:rPr>
              <w:t xml:space="preserve">, </w:t>
            </w:r>
            <w:r w:rsidR="00412491" w:rsidRPr="003B6E3D">
              <w:rPr>
                <w:sz w:val="16"/>
                <w:szCs w:val="16"/>
              </w:rPr>
              <w:t>WT/DS48/AB/R</w:t>
            </w:r>
            <w:r w:rsidR="00412491" w:rsidRPr="00D46126">
              <w:rPr>
                <w:color w:val="000000"/>
                <w:sz w:val="16"/>
                <w:szCs w:val="16"/>
              </w:rPr>
              <w:t>, adopted 13</w:t>
            </w:r>
            <w:r w:rsidR="000A18DA" w:rsidRPr="00D46126">
              <w:rPr>
                <w:color w:val="000000"/>
                <w:sz w:val="16"/>
                <w:szCs w:val="16"/>
              </w:rPr>
              <w:t> February</w:t>
            </w:r>
            <w:r w:rsidR="00933169">
              <w:rPr>
                <w:color w:val="000000"/>
                <w:sz w:val="16"/>
                <w:szCs w:val="16"/>
              </w:rPr>
              <w:t xml:space="preserve"> 1998, DSR </w:t>
            </w:r>
            <w:r w:rsidR="00412491" w:rsidRPr="00D46126">
              <w:rPr>
                <w:color w:val="000000"/>
                <w:sz w:val="16"/>
                <w:szCs w:val="16"/>
              </w:rPr>
              <w:t>1998:I, p. 135</w:t>
            </w:r>
          </w:p>
        </w:tc>
      </w:tr>
      <w:tr w:rsidR="00412491" w:rsidRPr="00D46126" w:rsidTr="004526E3">
        <w:trPr>
          <w:cantSplit/>
        </w:trPr>
        <w:tc>
          <w:tcPr>
            <w:tcW w:w="2600" w:type="dxa"/>
          </w:tcPr>
          <w:p w:rsidR="00412491" w:rsidRPr="00D46126" w:rsidRDefault="00412491" w:rsidP="004526E3">
            <w:pPr>
              <w:keepNext/>
              <w:keepLines/>
              <w:spacing w:before="60" w:after="60"/>
              <w:jc w:val="left"/>
              <w:rPr>
                <w:i/>
                <w:color w:val="000000"/>
                <w:sz w:val="16"/>
                <w:szCs w:val="16"/>
              </w:rPr>
            </w:pPr>
            <w:r w:rsidRPr="00D46126">
              <w:rPr>
                <w:i/>
                <w:color w:val="000000"/>
                <w:sz w:val="16"/>
                <w:szCs w:val="16"/>
              </w:rPr>
              <w:t>EC – Poultry</w:t>
            </w:r>
          </w:p>
        </w:tc>
        <w:tc>
          <w:tcPr>
            <w:tcW w:w="6621" w:type="dxa"/>
          </w:tcPr>
          <w:p w:rsidR="00412491" w:rsidRPr="00D46126" w:rsidRDefault="000A10EA" w:rsidP="004526E3">
            <w:pPr>
              <w:keepNext/>
              <w:keepLines/>
              <w:tabs>
                <w:tab w:val="left" w:pos="2268"/>
                <w:tab w:val="left" w:pos="4536"/>
              </w:tabs>
              <w:spacing w:before="60" w:after="60"/>
              <w:jc w:val="left"/>
              <w:rPr>
                <w:color w:val="000000"/>
                <w:sz w:val="16"/>
                <w:szCs w:val="16"/>
              </w:rPr>
            </w:pPr>
            <w:r w:rsidRPr="00D46126">
              <w:rPr>
                <w:color w:val="000000"/>
                <w:sz w:val="16"/>
                <w:szCs w:val="16"/>
              </w:rPr>
              <w:t>Appellate Body</w:t>
            </w:r>
            <w:r w:rsidR="00412491" w:rsidRPr="00D46126">
              <w:rPr>
                <w:color w:val="000000"/>
                <w:sz w:val="16"/>
                <w:szCs w:val="16"/>
              </w:rPr>
              <w:t xml:space="preserve"> Report, </w:t>
            </w:r>
            <w:r w:rsidR="00412491" w:rsidRPr="00D46126">
              <w:rPr>
                <w:i/>
                <w:color w:val="000000"/>
                <w:sz w:val="16"/>
                <w:szCs w:val="16"/>
              </w:rPr>
              <w:t>European Communities – Measures Affecting the Importation of Certain Poultry Products</w:t>
            </w:r>
            <w:r w:rsidR="00412491" w:rsidRPr="00D46126">
              <w:rPr>
                <w:color w:val="000000"/>
                <w:sz w:val="16"/>
                <w:szCs w:val="16"/>
              </w:rPr>
              <w:t xml:space="preserve">, </w:t>
            </w:r>
            <w:r w:rsidR="00412491" w:rsidRPr="003B6E3D">
              <w:rPr>
                <w:sz w:val="16"/>
                <w:szCs w:val="16"/>
              </w:rPr>
              <w:t>WT/DS69/AB/R</w:t>
            </w:r>
            <w:r w:rsidR="00412491" w:rsidRPr="00D46126">
              <w:rPr>
                <w:color w:val="000000"/>
                <w:sz w:val="16"/>
                <w:szCs w:val="16"/>
              </w:rPr>
              <w:t>, adopted 23</w:t>
            </w:r>
            <w:r w:rsidR="000A18DA" w:rsidRPr="00D46126">
              <w:rPr>
                <w:color w:val="000000"/>
                <w:sz w:val="16"/>
                <w:szCs w:val="16"/>
              </w:rPr>
              <w:t> July</w:t>
            </w:r>
            <w:r w:rsidR="00BB61C1" w:rsidRPr="00D46126">
              <w:rPr>
                <w:color w:val="000000"/>
                <w:sz w:val="16"/>
                <w:szCs w:val="16"/>
              </w:rPr>
              <w:t> </w:t>
            </w:r>
            <w:r w:rsidR="00412491" w:rsidRPr="00D46126">
              <w:rPr>
                <w:color w:val="000000"/>
                <w:sz w:val="16"/>
                <w:szCs w:val="16"/>
              </w:rPr>
              <w:t>1998, DSR 1998:V, p.</w:t>
            </w:r>
            <w:r w:rsidRPr="00D46126">
              <w:rPr>
                <w:color w:val="000000"/>
                <w:sz w:val="16"/>
                <w:szCs w:val="16"/>
              </w:rPr>
              <w:t> 20</w:t>
            </w:r>
            <w:r w:rsidR="00412491" w:rsidRPr="00D46126">
              <w:rPr>
                <w:color w:val="000000"/>
                <w:sz w:val="16"/>
                <w:szCs w:val="16"/>
              </w:rPr>
              <w:t>31</w:t>
            </w:r>
          </w:p>
        </w:tc>
      </w:tr>
      <w:tr w:rsidR="00412491" w:rsidRPr="00D46126" w:rsidTr="004526E3">
        <w:trPr>
          <w:cnfStyle w:val="000000010000" w:firstRow="0" w:lastRow="0" w:firstColumn="0" w:lastColumn="0" w:oddVBand="0" w:evenVBand="0" w:oddHBand="0" w:evenHBand="1" w:firstRowFirstColumn="0" w:firstRowLastColumn="0" w:lastRowFirstColumn="0" w:lastRowLastColumn="0"/>
          <w:cantSplit/>
        </w:trPr>
        <w:tc>
          <w:tcPr>
            <w:tcW w:w="2600" w:type="dxa"/>
          </w:tcPr>
          <w:p w:rsidR="00412491" w:rsidRPr="00D46126" w:rsidRDefault="00412491" w:rsidP="004526E3">
            <w:pPr>
              <w:spacing w:before="60" w:after="60"/>
              <w:jc w:val="left"/>
              <w:rPr>
                <w:i/>
                <w:color w:val="000000"/>
                <w:sz w:val="16"/>
                <w:szCs w:val="16"/>
              </w:rPr>
            </w:pPr>
            <w:r w:rsidRPr="00D46126">
              <w:rPr>
                <w:i/>
                <w:color w:val="000000"/>
                <w:sz w:val="16"/>
                <w:szCs w:val="16"/>
              </w:rPr>
              <w:t>EC – Sardines</w:t>
            </w:r>
          </w:p>
        </w:tc>
        <w:tc>
          <w:tcPr>
            <w:tcW w:w="6621" w:type="dxa"/>
          </w:tcPr>
          <w:p w:rsidR="00412491" w:rsidRPr="00D46126" w:rsidRDefault="000A10EA" w:rsidP="004526E3">
            <w:pPr>
              <w:keepLines/>
              <w:tabs>
                <w:tab w:val="left" w:pos="2268"/>
                <w:tab w:val="left" w:pos="4536"/>
              </w:tabs>
              <w:spacing w:before="60" w:after="60"/>
              <w:jc w:val="left"/>
              <w:rPr>
                <w:color w:val="000000"/>
                <w:sz w:val="16"/>
                <w:szCs w:val="16"/>
              </w:rPr>
            </w:pPr>
            <w:r w:rsidRPr="00D46126">
              <w:rPr>
                <w:color w:val="000000"/>
                <w:sz w:val="16"/>
                <w:szCs w:val="16"/>
              </w:rPr>
              <w:t>Appellate Body</w:t>
            </w:r>
            <w:r w:rsidR="00412491" w:rsidRPr="00D46126">
              <w:rPr>
                <w:color w:val="000000"/>
                <w:sz w:val="16"/>
                <w:szCs w:val="16"/>
              </w:rPr>
              <w:t xml:space="preserve"> Report, </w:t>
            </w:r>
            <w:r w:rsidR="00412491" w:rsidRPr="00D46126">
              <w:rPr>
                <w:i/>
                <w:color w:val="000000"/>
                <w:sz w:val="16"/>
                <w:szCs w:val="16"/>
              </w:rPr>
              <w:t>European Communities – Trade Description of Sardines</w:t>
            </w:r>
            <w:r w:rsidR="00412491" w:rsidRPr="00D46126">
              <w:rPr>
                <w:color w:val="000000"/>
                <w:sz w:val="16"/>
                <w:szCs w:val="16"/>
              </w:rPr>
              <w:t xml:space="preserve">, </w:t>
            </w:r>
            <w:r w:rsidR="00412491" w:rsidRPr="003B6E3D">
              <w:rPr>
                <w:sz w:val="16"/>
                <w:szCs w:val="16"/>
              </w:rPr>
              <w:t>WT/DS231/AB/R</w:t>
            </w:r>
            <w:r w:rsidR="00412491" w:rsidRPr="00D46126">
              <w:rPr>
                <w:color w:val="000000"/>
                <w:sz w:val="16"/>
                <w:szCs w:val="16"/>
              </w:rPr>
              <w:t>, adopted 23</w:t>
            </w:r>
            <w:r w:rsidR="000A18DA" w:rsidRPr="00D46126">
              <w:rPr>
                <w:color w:val="000000"/>
                <w:sz w:val="16"/>
                <w:szCs w:val="16"/>
              </w:rPr>
              <w:t> October</w:t>
            </w:r>
            <w:r w:rsidRPr="00D46126">
              <w:rPr>
                <w:color w:val="000000"/>
                <w:sz w:val="16"/>
                <w:szCs w:val="16"/>
              </w:rPr>
              <w:t> 20</w:t>
            </w:r>
            <w:r w:rsidR="00412491" w:rsidRPr="00D46126">
              <w:rPr>
                <w:color w:val="000000"/>
                <w:sz w:val="16"/>
                <w:szCs w:val="16"/>
              </w:rPr>
              <w:t>02, DSR</w:t>
            </w:r>
            <w:r w:rsidRPr="00D46126">
              <w:rPr>
                <w:color w:val="000000"/>
                <w:sz w:val="16"/>
                <w:szCs w:val="16"/>
              </w:rPr>
              <w:t> 20</w:t>
            </w:r>
            <w:r w:rsidR="00412491" w:rsidRPr="00D46126">
              <w:rPr>
                <w:color w:val="000000"/>
                <w:sz w:val="16"/>
                <w:szCs w:val="16"/>
              </w:rPr>
              <w:t>02:VIII, p. 3359</w:t>
            </w:r>
          </w:p>
        </w:tc>
      </w:tr>
      <w:tr w:rsidR="00412491" w:rsidRPr="00D46126" w:rsidTr="004526E3">
        <w:trPr>
          <w:cantSplit/>
        </w:trPr>
        <w:tc>
          <w:tcPr>
            <w:tcW w:w="2600" w:type="dxa"/>
          </w:tcPr>
          <w:p w:rsidR="00412491" w:rsidRPr="00D46126" w:rsidRDefault="00412491" w:rsidP="004526E3">
            <w:pPr>
              <w:keepNext/>
              <w:keepLines/>
              <w:spacing w:before="60" w:after="60"/>
              <w:jc w:val="left"/>
              <w:rPr>
                <w:i/>
                <w:color w:val="000000"/>
                <w:sz w:val="16"/>
                <w:szCs w:val="16"/>
              </w:rPr>
            </w:pPr>
            <w:r w:rsidRPr="00D46126">
              <w:rPr>
                <w:i/>
                <w:color w:val="000000"/>
                <w:sz w:val="16"/>
                <w:szCs w:val="16"/>
              </w:rPr>
              <w:t>EC – Selected Customs Matters</w:t>
            </w:r>
          </w:p>
        </w:tc>
        <w:tc>
          <w:tcPr>
            <w:tcW w:w="6621" w:type="dxa"/>
          </w:tcPr>
          <w:p w:rsidR="00412491" w:rsidRPr="00D46126" w:rsidRDefault="000A10EA" w:rsidP="004526E3">
            <w:pPr>
              <w:keepNext/>
              <w:keepLines/>
              <w:tabs>
                <w:tab w:val="left" w:pos="2268"/>
                <w:tab w:val="left" w:pos="4536"/>
              </w:tabs>
              <w:spacing w:before="60" w:after="60"/>
              <w:jc w:val="left"/>
              <w:rPr>
                <w:color w:val="000000"/>
                <w:sz w:val="16"/>
                <w:szCs w:val="16"/>
              </w:rPr>
            </w:pPr>
            <w:r w:rsidRPr="00D46126">
              <w:rPr>
                <w:color w:val="000000"/>
                <w:sz w:val="16"/>
                <w:szCs w:val="16"/>
              </w:rPr>
              <w:t>Appellate Body</w:t>
            </w:r>
            <w:r w:rsidR="00412491" w:rsidRPr="00D46126">
              <w:rPr>
                <w:color w:val="000000"/>
                <w:sz w:val="16"/>
                <w:szCs w:val="16"/>
              </w:rPr>
              <w:t xml:space="preserve"> Report, </w:t>
            </w:r>
            <w:r w:rsidR="00412491" w:rsidRPr="00D46126">
              <w:rPr>
                <w:i/>
                <w:color w:val="000000"/>
                <w:sz w:val="16"/>
                <w:szCs w:val="16"/>
              </w:rPr>
              <w:t>European Communities – Selected Customs Matters</w:t>
            </w:r>
            <w:r w:rsidR="00412491" w:rsidRPr="00D46126">
              <w:rPr>
                <w:color w:val="000000"/>
                <w:sz w:val="16"/>
                <w:szCs w:val="16"/>
              </w:rPr>
              <w:t xml:space="preserve">, </w:t>
            </w:r>
            <w:r w:rsidR="00412491" w:rsidRPr="003B6E3D">
              <w:rPr>
                <w:sz w:val="16"/>
                <w:szCs w:val="16"/>
              </w:rPr>
              <w:t>WT/DS315/AB/R</w:t>
            </w:r>
            <w:r w:rsidR="00412491" w:rsidRPr="00D46126">
              <w:rPr>
                <w:color w:val="000000"/>
                <w:sz w:val="16"/>
                <w:szCs w:val="16"/>
              </w:rPr>
              <w:t>, adopted 11</w:t>
            </w:r>
            <w:r w:rsidR="000A18DA" w:rsidRPr="00D46126">
              <w:rPr>
                <w:color w:val="000000"/>
                <w:sz w:val="16"/>
                <w:szCs w:val="16"/>
              </w:rPr>
              <w:t> December</w:t>
            </w:r>
            <w:r w:rsidRPr="00D46126">
              <w:rPr>
                <w:color w:val="000000"/>
                <w:sz w:val="16"/>
                <w:szCs w:val="16"/>
              </w:rPr>
              <w:t> 20</w:t>
            </w:r>
            <w:r w:rsidR="00412491" w:rsidRPr="00D46126">
              <w:rPr>
                <w:color w:val="000000"/>
                <w:sz w:val="16"/>
                <w:szCs w:val="16"/>
              </w:rPr>
              <w:t>06, DSR</w:t>
            </w:r>
            <w:r w:rsidRPr="00D46126">
              <w:rPr>
                <w:color w:val="000000"/>
                <w:sz w:val="16"/>
                <w:szCs w:val="16"/>
              </w:rPr>
              <w:t> 20</w:t>
            </w:r>
            <w:r w:rsidR="00412491" w:rsidRPr="00D46126">
              <w:rPr>
                <w:color w:val="000000"/>
                <w:sz w:val="16"/>
                <w:szCs w:val="16"/>
              </w:rPr>
              <w:t>06:IX, p. 3791</w:t>
            </w:r>
          </w:p>
        </w:tc>
      </w:tr>
      <w:tr w:rsidR="005D430E" w:rsidRPr="00D46126" w:rsidTr="004526E3">
        <w:trPr>
          <w:cnfStyle w:val="000000010000" w:firstRow="0" w:lastRow="0" w:firstColumn="0" w:lastColumn="0" w:oddVBand="0" w:evenVBand="0" w:oddHBand="0" w:evenHBand="1" w:firstRowFirstColumn="0" w:firstRowLastColumn="0" w:lastRowFirstColumn="0" w:lastRowLastColumn="0"/>
          <w:cantSplit/>
        </w:trPr>
        <w:tc>
          <w:tcPr>
            <w:tcW w:w="2600" w:type="dxa"/>
          </w:tcPr>
          <w:p w:rsidR="005D430E" w:rsidRPr="00D46126" w:rsidRDefault="005D430E" w:rsidP="004526E3">
            <w:pPr>
              <w:spacing w:before="60" w:after="60"/>
              <w:jc w:val="left"/>
              <w:rPr>
                <w:i/>
                <w:iCs/>
                <w:color w:val="000000"/>
                <w:sz w:val="16"/>
                <w:szCs w:val="16"/>
              </w:rPr>
            </w:pPr>
            <w:r w:rsidRPr="00D46126">
              <w:rPr>
                <w:i/>
                <w:color w:val="000000"/>
                <w:sz w:val="16"/>
                <w:szCs w:val="16"/>
              </w:rPr>
              <w:t>EC – Tariff Preferences</w:t>
            </w:r>
          </w:p>
        </w:tc>
        <w:tc>
          <w:tcPr>
            <w:tcW w:w="6621" w:type="dxa"/>
          </w:tcPr>
          <w:p w:rsidR="005D430E" w:rsidRPr="00D46126" w:rsidRDefault="000A10EA" w:rsidP="004526E3">
            <w:pPr>
              <w:keepLines/>
              <w:tabs>
                <w:tab w:val="left" w:pos="2268"/>
                <w:tab w:val="left" w:pos="4536"/>
              </w:tabs>
              <w:spacing w:before="60" w:after="60"/>
              <w:jc w:val="left"/>
              <w:rPr>
                <w:bCs/>
                <w:sz w:val="16"/>
                <w:szCs w:val="16"/>
                <w:lang w:eastAsia="ja-JP"/>
              </w:rPr>
            </w:pPr>
            <w:r w:rsidRPr="00D46126">
              <w:rPr>
                <w:color w:val="000000"/>
                <w:sz w:val="16"/>
                <w:szCs w:val="16"/>
              </w:rPr>
              <w:t>Appellate Body</w:t>
            </w:r>
            <w:r w:rsidR="005D430E" w:rsidRPr="00D46126">
              <w:rPr>
                <w:color w:val="000000"/>
                <w:sz w:val="16"/>
                <w:szCs w:val="16"/>
              </w:rPr>
              <w:t xml:space="preserve"> Report, </w:t>
            </w:r>
            <w:r w:rsidR="005D430E" w:rsidRPr="00D46126">
              <w:rPr>
                <w:i/>
                <w:color w:val="000000"/>
                <w:sz w:val="16"/>
                <w:szCs w:val="16"/>
              </w:rPr>
              <w:t>European Communities – Conditions for the Granting of Tariff Preferences to Developing Countries</w:t>
            </w:r>
            <w:r w:rsidR="005D430E" w:rsidRPr="00D46126">
              <w:rPr>
                <w:color w:val="000000"/>
                <w:sz w:val="16"/>
                <w:szCs w:val="16"/>
              </w:rPr>
              <w:t xml:space="preserve">, </w:t>
            </w:r>
            <w:r w:rsidR="005D430E" w:rsidRPr="003B6E3D">
              <w:rPr>
                <w:sz w:val="16"/>
                <w:szCs w:val="16"/>
              </w:rPr>
              <w:t>WT/DS246/AB/R</w:t>
            </w:r>
            <w:r w:rsidR="005D430E" w:rsidRPr="00D46126">
              <w:rPr>
                <w:color w:val="000000"/>
                <w:sz w:val="16"/>
                <w:szCs w:val="16"/>
              </w:rPr>
              <w:t>, adopted</w:t>
            </w:r>
            <w:r w:rsidRPr="00D46126">
              <w:rPr>
                <w:color w:val="000000"/>
                <w:sz w:val="16"/>
                <w:szCs w:val="16"/>
              </w:rPr>
              <w:t> 20</w:t>
            </w:r>
            <w:r w:rsidR="000A18DA" w:rsidRPr="00D46126">
              <w:rPr>
                <w:color w:val="000000"/>
                <w:sz w:val="16"/>
                <w:szCs w:val="16"/>
              </w:rPr>
              <w:t> April</w:t>
            </w:r>
            <w:r w:rsidRPr="00D46126">
              <w:rPr>
                <w:color w:val="000000"/>
                <w:sz w:val="16"/>
                <w:szCs w:val="16"/>
              </w:rPr>
              <w:t> 20</w:t>
            </w:r>
            <w:r w:rsidR="005D430E" w:rsidRPr="00D46126">
              <w:rPr>
                <w:color w:val="000000"/>
                <w:sz w:val="16"/>
                <w:szCs w:val="16"/>
              </w:rPr>
              <w:t>04, DSR</w:t>
            </w:r>
            <w:r w:rsidRPr="00D46126">
              <w:rPr>
                <w:color w:val="000000"/>
                <w:sz w:val="16"/>
                <w:szCs w:val="16"/>
              </w:rPr>
              <w:t> 20</w:t>
            </w:r>
            <w:r w:rsidR="005D430E" w:rsidRPr="00D46126">
              <w:rPr>
                <w:color w:val="000000"/>
                <w:sz w:val="16"/>
                <w:szCs w:val="16"/>
              </w:rPr>
              <w:t>04:III, p. 925</w:t>
            </w:r>
          </w:p>
        </w:tc>
      </w:tr>
      <w:tr w:rsidR="00412491" w:rsidRPr="00D46126" w:rsidTr="004526E3">
        <w:trPr>
          <w:cantSplit/>
        </w:trPr>
        <w:tc>
          <w:tcPr>
            <w:tcW w:w="2600" w:type="dxa"/>
          </w:tcPr>
          <w:p w:rsidR="00412491" w:rsidRPr="00D46126" w:rsidRDefault="00412491" w:rsidP="004526E3">
            <w:pPr>
              <w:spacing w:before="60" w:after="60"/>
              <w:jc w:val="left"/>
              <w:rPr>
                <w:i/>
                <w:color w:val="000000"/>
                <w:sz w:val="16"/>
                <w:szCs w:val="16"/>
              </w:rPr>
            </w:pPr>
            <w:r w:rsidRPr="00D46126">
              <w:rPr>
                <w:i/>
                <w:color w:val="000000"/>
                <w:sz w:val="16"/>
                <w:szCs w:val="16"/>
              </w:rPr>
              <w:t>EC – Tube or Pipe Fittings</w:t>
            </w:r>
          </w:p>
        </w:tc>
        <w:tc>
          <w:tcPr>
            <w:tcW w:w="6621" w:type="dxa"/>
          </w:tcPr>
          <w:p w:rsidR="00412491" w:rsidRPr="00D46126" w:rsidRDefault="000A10EA" w:rsidP="004526E3">
            <w:pPr>
              <w:keepLines/>
              <w:tabs>
                <w:tab w:val="left" w:pos="2268"/>
                <w:tab w:val="left" w:pos="4536"/>
              </w:tabs>
              <w:spacing w:before="60" w:after="60"/>
              <w:jc w:val="left"/>
              <w:rPr>
                <w:color w:val="000000"/>
                <w:sz w:val="16"/>
                <w:szCs w:val="16"/>
              </w:rPr>
            </w:pPr>
            <w:r w:rsidRPr="00D46126">
              <w:rPr>
                <w:color w:val="000000"/>
                <w:sz w:val="16"/>
                <w:szCs w:val="16"/>
              </w:rPr>
              <w:t>Appellate Body</w:t>
            </w:r>
            <w:r w:rsidR="00412491" w:rsidRPr="00D46126">
              <w:rPr>
                <w:color w:val="000000"/>
                <w:sz w:val="16"/>
                <w:szCs w:val="16"/>
              </w:rPr>
              <w:t xml:space="preserve"> Report, </w:t>
            </w:r>
            <w:r w:rsidR="00412491" w:rsidRPr="00D46126">
              <w:rPr>
                <w:i/>
                <w:color w:val="000000"/>
                <w:sz w:val="16"/>
                <w:szCs w:val="16"/>
              </w:rPr>
              <w:t>European Communities – Anti-Dumping Duties on Malleable Cast Iron Tube or Pipe Fittings from Brazil</w:t>
            </w:r>
            <w:r w:rsidR="00412491" w:rsidRPr="00D46126">
              <w:rPr>
                <w:color w:val="000000"/>
                <w:sz w:val="16"/>
                <w:szCs w:val="16"/>
              </w:rPr>
              <w:t xml:space="preserve">, </w:t>
            </w:r>
            <w:r w:rsidR="00412491" w:rsidRPr="003B6E3D">
              <w:rPr>
                <w:sz w:val="16"/>
                <w:szCs w:val="16"/>
              </w:rPr>
              <w:t>WT/DS219/AB/R</w:t>
            </w:r>
            <w:r w:rsidR="00412491" w:rsidRPr="00D46126">
              <w:rPr>
                <w:color w:val="000000"/>
                <w:sz w:val="16"/>
                <w:szCs w:val="16"/>
              </w:rPr>
              <w:t>, adopted 18</w:t>
            </w:r>
            <w:r w:rsidR="000A18DA" w:rsidRPr="00D46126">
              <w:rPr>
                <w:color w:val="000000"/>
                <w:sz w:val="16"/>
                <w:szCs w:val="16"/>
              </w:rPr>
              <w:t> August</w:t>
            </w:r>
            <w:r w:rsidRPr="00D46126">
              <w:rPr>
                <w:color w:val="000000"/>
                <w:sz w:val="16"/>
                <w:szCs w:val="16"/>
              </w:rPr>
              <w:t> 20</w:t>
            </w:r>
            <w:r w:rsidR="00412491" w:rsidRPr="00D46126">
              <w:rPr>
                <w:color w:val="000000"/>
                <w:sz w:val="16"/>
                <w:szCs w:val="16"/>
              </w:rPr>
              <w:t>03, DSR</w:t>
            </w:r>
            <w:r w:rsidRPr="00D46126">
              <w:rPr>
                <w:color w:val="000000"/>
                <w:sz w:val="16"/>
                <w:szCs w:val="16"/>
              </w:rPr>
              <w:t> 20</w:t>
            </w:r>
            <w:r w:rsidR="00412491" w:rsidRPr="00D46126">
              <w:rPr>
                <w:color w:val="000000"/>
                <w:sz w:val="16"/>
                <w:szCs w:val="16"/>
              </w:rPr>
              <w:t>03:VI, p. 2613</w:t>
            </w:r>
          </w:p>
        </w:tc>
      </w:tr>
      <w:tr w:rsidR="0007161B" w:rsidRPr="00D46126" w:rsidTr="004526E3">
        <w:trPr>
          <w:cnfStyle w:val="000000010000" w:firstRow="0" w:lastRow="0" w:firstColumn="0" w:lastColumn="0" w:oddVBand="0" w:evenVBand="0" w:oddHBand="0" w:evenHBand="1" w:firstRowFirstColumn="0" w:firstRowLastColumn="0" w:lastRowFirstColumn="0" w:lastRowLastColumn="0"/>
          <w:cantSplit/>
        </w:trPr>
        <w:tc>
          <w:tcPr>
            <w:tcW w:w="2600" w:type="dxa"/>
          </w:tcPr>
          <w:p w:rsidR="0007161B" w:rsidRPr="00D46126" w:rsidRDefault="0007161B" w:rsidP="004526E3">
            <w:pPr>
              <w:spacing w:before="60" w:after="60"/>
              <w:jc w:val="left"/>
              <w:rPr>
                <w:i/>
                <w:sz w:val="16"/>
                <w:szCs w:val="16"/>
              </w:rPr>
            </w:pPr>
            <w:r w:rsidRPr="00D46126">
              <w:rPr>
                <w:i/>
                <w:iCs/>
                <w:color w:val="000000"/>
                <w:sz w:val="16"/>
                <w:szCs w:val="16"/>
              </w:rPr>
              <w:t>EC and certain member States – Large Civil Aircraft</w:t>
            </w:r>
          </w:p>
        </w:tc>
        <w:tc>
          <w:tcPr>
            <w:tcW w:w="6621" w:type="dxa"/>
          </w:tcPr>
          <w:p w:rsidR="0007161B" w:rsidRPr="00D46126" w:rsidRDefault="000A10EA" w:rsidP="004526E3">
            <w:pPr>
              <w:keepLines/>
              <w:tabs>
                <w:tab w:val="left" w:pos="2268"/>
                <w:tab w:val="left" w:pos="4536"/>
              </w:tabs>
              <w:spacing w:before="60" w:after="60"/>
              <w:jc w:val="left"/>
              <w:rPr>
                <w:sz w:val="16"/>
                <w:szCs w:val="16"/>
              </w:rPr>
            </w:pPr>
            <w:r w:rsidRPr="00D46126">
              <w:rPr>
                <w:bCs/>
                <w:sz w:val="16"/>
                <w:szCs w:val="16"/>
                <w:lang w:eastAsia="ja-JP"/>
              </w:rPr>
              <w:t>Appellate Body</w:t>
            </w:r>
            <w:r w:rsidR="0007161B" w:rsidRPr="00D46126">
              <w:rPr>
                <w:bCs/>
                <w:sz w:val="16"/>
                <w:szCs w:val="16"/>
                <w:lang w:eastAsia="ja-JP"/>
              </w:rPr>
              <w:t xml:space="preserve"> Report, </w:t>
            </w:r>
            <w:r w:rsidR="0007161B" w:rsidRPr="00D46126">
              <w:rPr>
                <w:i/>
                <w:sz w:val="16"/>
                <w:szCs w:val="16"/>
              </w:rPr>
              <w:t>European Communities and Certain Member States – Measures Affecting Trade in Large Civil Aircraft</w:t>
            </w:r>
            <w:r w:rsidR="0007161B" w:rsidRPr="00D46126">
              <w:rPr>
                <w:sz w:val="16"/>
                <w:szCs w:val="16"/>
              </w:rPr>
              <w:t>, WT/DS316/AB/R,</w:t>
            </w:r>
            <w:r w:rsidR="0007161B" w:rsidRPr="00D46126">
              <w:rPr>
                <w:color w:val="000000"/>
                <w:sz w:val="16"/>
                <w:szCs w:val="16"/>
              </w:rPr>
              <w:t xml:space="preserve"> adopted 1</w:t>
            </w:r>
            <w:r w:rsidR="000A18DA" w:rsidRPr="00D46126">
              <w:rPr>
                <w:color w:val="000000"/>
                <w:sz w:val="16"/>
                <w:szCs w:val="16"/>
              </w:rPr>
              <w:t> June</w:t>
            </w:r>
            <w:r w:rsidRPr="00D46126">
              <w:rPr>
                <w:color w:val="000000"/>
                <w:sz w:val="16"/>
                <w:szCs w:val="16"/>
              </w:rPr>
              <w:t> 20</w:t>
            </w:r>
            <w:r w:rsidR="0007161B" w:rsidRPr="00D46126">
              <w:rPr>
                <w:color w:val="000000"/>
                <w:sz w:val="16"/>
                <w:szCs w:val="16"/>
              </w:rPr>
              <w:t>11, DSR</w:t>
            </w:r>
            <w:r w:rsidRPr="00D46126">
              <w:rPr>
                <w:color w:val="000000"/>
                <w:sz w:val="16"/>
                <w:szCs w:val="16"/>
              </w:rPr>
              <w:t> 20</w:t>
            </w:r>
            <w:r w:rsidR="0007161B" w:rsidRPr="00D46126">
              <w:rPr>
                <w:color w:val="000000"/>
                <w:sz w:val="16"/>
                <w:szCs w:val="16"/>
              </w:rPr>
              <w:t>11:I, p. 7</w:t>
            </w:r>
          </w:p>
        </w:tc>
      </w:tr>
      <w:tr w:rsidR="0007161B" w:rsidRPr="00D46126" w:rsidTr="004526E3">
        <w:trPr>
          <w:cantSplit/>
        </w:trPr>
        <w:tc>
          <w:tcPr>
            <w:tcW w:w="2600" w:type="dxa"/>
          </w:tcPr>
          <w:p w:rsidR="0007161B" w:rsidRPr="00D46126" w:rsidRDefault="0007161B" w:rsidP="004526E3">
            <w:pPr>
              <w:spacing w:before="60" w:after="60"/>
              <w:jc w:val="left"/>
              <w:rPr>
                <w:i/>
                <w:sz w:val="16"/>
                <w:szCs w:val="16"/>
              </w:rPr>
            </w:pPr>
            <w:r w:rsidRPr="00D46126">
              <w:rPr>
                <w:i/>
                <w:iCs/>
                <w:color w:val="000000"/>
                <w:sz w:val="16"/>
                <w:szCs w:val="16"/>
              </w:rPr>
              <w:t>EC and certain member States – Large Civil Aircraft</w:t>
            </w:r>
          </w:p>
        </w:tc>
        <w:tc>
          <w:tcPr>
            <w:tcW w:w="6621" w:type="dxa"/>
          </w:tcPr>
          <w:p w:rsidR="0007161B" w:rsidRPr="00D46126" w:rsidRDefault="0007161B" w:rsidP="004526E3">
            <w:pPr>
              <w:keepLines/>
              <w:tabs>
                <w:tab w:val="left" w:pos="2268"/>
                <w:tab w:val="left" w:pos="4536"/>
              </w:tabs>
              <w:spacing w:before="60" w:after="60"/>
              <w:jc w:val="left"/>
              <w:rPr>
                <w:sz w:val="16"/>
                <w:szCs w:val="16"/>
              </w:rPr>
            </w:pPr>
            <w:r w:rsidRPr="00D46126">
              <w:rPr>
                <w:color w:val="000000"/>
                <w:sz w:val="16"/>
                <w:szCs w:val="16"/>
              </w:rPr>
              <w:t xml:space="preserve">Panel Report, </w:t>
            </w:r>
            <w:r w:rsidRPr="00D46126">
              <w:rPr>
                <w:i/>
                <w:iCs/>
                <w:color w:val="000000"/>
                <w:sz w:val="16"/>
                <w:szCs w:val="16"/>
              </w:rPr>
              <w:t>European Communities and Certain Member States – Measures Affecting Trade in Large Civil Aircraft</w:t>
            </w:r>
            <w:r w:rsidRPr="00D46126">
              <w:rPr>
                <w:color w:val="000000"/>
                <w:sz w:val="16"/>
                <w:szCs w:val="16"/>
              </w:rPr>
              <w:t xml:space="preserve">, </w:t>
            </w:r>
            <w:r w:rsidRPr="003B6E3D">
              <w:rPr>
                <w:sz w:val="16"/>
                <w:szCs w:val="16"/>
              </w:rPr>
              <w:t>WT/DS316/R</w:t>
            </w:r>
            <w:r w:rsidRPr="00D46126">
              <w:rPr>
                <w:color w:val="000000"/>
                <w:sz w:val="16"/>
                <w:szCs w:val="16"/>
              </w:rPr>
              <w:t>, adopted 1</w:t>
            </w:r>
            <w:r w:rsidR="000A18DA" w:rsidRPr="00D46126">
              <w:rPr>
                <w:color w:val="000000"/>
                <w:sz w:val="16"/>
                <w:szCs w:val="16"/>
              </w:rPr>
              <w:t> June</w:t>
            </w:r>
            <w:r w:rsidR="000A10EA" w:rsidRPr="00D46126">
              <w:rPr>
                <w:color w:val="000000"/>
                <w:sz w:val="16"/>
                <w:szCs w:val="16"/>
              </w:rPr>
              <w:t> 20</w:t>
            </w:r>
            <w:r w:rsidR="00933169">
              <w:rPr>
                <w:color w:val="000000"/>
                <w:sz w:val="16"/>
                <w:szCs w:val="16"/>
              </w:rPr>
              <w:t>11, as </w:t>
            </w:r>
            <w:r w:rsidRPr="00D46126">
              <w:rPr>
                <w:color w:val="000000"/>
                <w:sz w:val="16"/>
                <w:szCs w:val="16"/>
              </w:rPr>
              <w:t xml:space="preserve">modified by </w:t>
            </w:r>
            <w:r w:rsidR="000A10EA" w:rsidRPr="00D46126">
              <w:rPr>
                <w:color w:val="000000"/>
                <w:sz w:val="16"/>
                <w:szCs w:val="16"/>
              </w:rPr>
              <w:t>Appellate Body</w:t>
            </w:r>
            <w:r w:rsidRPr="00D46126">
              <w:rPr>
                <w:color w:val="000000"/>
                <w:sz w:val="16"/>
                <w:szCs w:val="16"/>
              </w:rPr>
              <w:t xml:space="preserve"> Report WT/DS316/AB/R, DSR</w:t>
            </w:r>
            <w:r w:rsidR="000A10EA" w:rsidRPr="00D46126">
              <w:rPr>
                <w:color w:val="000000"/>
                <w:sz w:val="16"/>
                <w:szCs w:val="16"/>
              </w:rPr>
              <w:t> 20</w:t>
            </w:r>
            <w:r w:rsidRPr="00D46126">
              <w:rPr>
                <w:color w:val="000000"/>
                <w:sz w:val="16"/>
                <w:szCs w:val="16"/>
              </w:rPr>
              <w:t>11:II, p. 685</w:t>
            </w:r>
          </w:p>
        </w:tc>
      </w:tr>
      <w:tr w:rsidR="0007161B" w:rsidRPr="00D46126" w:rsidTr="004526E3">
        <w:trPr>
          <w:cnfStyle w:val="000000010000" w:firstRow="0" w:lastRow="0" w:firstColumn="0" w:lastColumn="0" w:oddVBand="0" w:evenVBand="0" w:oddHBand="0" w:evenHBand="1" w:firstRowFirstColumn="0" w:firstRowLastColumn="0" w:lastRowFirstColumn="0" w:lastRowLastColumn="0"/>
          <w:cantSplit/>
        </w:trPr>
        <w:tc>
          <w:tcPr>
            <w:tcW w:w="2600" w:type="dxa"/>
          </w:tcPr>
          <w:p w:rsidR="0007161B" w:rsidRPr="00D46126" w:rsidRDefault="0007161B" w:rsidP="004526E3">
            <w:pPr>
              <w:spacing w:before="60" w:after="60"/>
              <w:jc w:val="left"/>
              <w:rPr>
                <w:i/>
                <w:sz w:val="16"/>
                <w:szCs w:val="16"/>
              </w:rPr>
            </w:pPr>
            <w:r w:rsidRPr="00D46126">
              <w:rPr>
                <w:i/>
                <w:iCs/>
                <w:color w:val="000000"/>
                <w:sz w:val="16"/>
                <w:szCs w:val="16"/>
              </w:rPr>
              <w:t xml:space="preserve">EC and certain member States – Large Civil Aircraft </w:t>
            </w:r>
            <w:r w:rsidRPr="00D46126">
              <w:rPr>
                <w:i/>
                <w:color w:val="000000"/>
                <w:sz w:val="16"/>
                <w:szCs w:val="16"/>
              </w:rPr>
              <w:t>(</w:t>
            </w:r>
            <w:r w:rsidR="000A10EA" w:rsidRPr="00D46126">
              <w:rPr>
                <w:i/>
                <w:color w:val="000000"/>
                <w:sz w:val="16"/>
                <w:szCs w:val="16"/>
              </w:rPr>
              <w:t>Article </w:t>
            </w:r>
            <w:r w:rsidRPr="00D46126">
              <w:rPr>
                <w:i/>
                <w:color w:val="000000"/>
                <w:sz w:val="16"/>
                <w:szCs w:val="16"/>
              </w:rPr>
              <w:t>21.5 – US)</w:t>
            </w:r>
          </w:p>
        </w:tc>
        <w:tc>
          <w:tcPr>
            <w:tcW w:w="6621" w:type="dxa"/>
          </w:tcPr>
          <w:p w:rsidR="0007161B" w:rsidRPr="00D46126" w:rsidRDefault="0007161B" w:rsidP="004526E3">
            <w:pPr>
              <w:keepLines/>
              <w:tabs>
                <w:tab w:val="left" w:pos="2268"/>
                <w:tab w:val="left" w:pos="4536"/>
              </w:tabs>
              <w:spacing w:before="60" w:after="60"/>
              <w:jc w:val="left"/>
              <w:rPr>
                <w:sz w:val="16"/>
                <w:szCs w:val="16"/>
              </w:rPr>
            </w:pPr>
            <w:r w:rsidRPr="00D46126">
              <w:rPr>
                <w:color w:val="000000"/>
                <w:sz w:val="16"/>
                <w:szCs w:val="16"/>
              </w:rPr>
              <w:t xml:space="preserve">Panel Report, </w:t>
            </w:r>
            <w:r w:rsidRPr="00D46126">
              <w:rPr>
                <w:i/>
                <w:iCs/>
                <w:color w:val="000000"/>
                <w:sz w:val="16"/>
                <w:szCs w:val="16"/>
              </w:rPr>
              <w:t>European Communities and Certain Member States – Measures Affecting Trade in Large Civil Aircraft</w:t>
            </w:r>
            <w:r w:rsidRPr="00D46126">
              <w:rPr>
                <w:i/>
                <w:color w:val="000000"/>
                <w:sz w:val="16"/>
                <w:szCs w:val="16"/>
              </w:rPr>
              <w:t xml:space="preserve"> – Recourse to </w:t>
            </w:r>
            <w:r w:rsidR="000A10EA" w:rsidRPr="00D46126">
              <w:rPr>
                <w:i/>
                <w:color w:val="000000"/>
                <w:sz w:val="16"/>
                <w:szCs w:val="16"/>
              </w:rPr>
              <w:t>Article </w:t>
            </w:r>
            <w:r w:rsidRPr="00D46126">
              <w:rPr>
                <w:i/>
                <w:color w:val="000000"/>
                <w:sz w:val="16"/>
                <w:szCs w:val="16"/>
              </w:rPr>
              <w:t xml:space="preserve">21.5 of the DSU by the </w:t>
            </w:r>
            <w:r w:rsidR="000A10EA" w:rsidRPr="00D46126">
              <w:rPr>
                <w:i/>
                <w:color w:val="000000"/>
                <w:sz w:val="16"/>
                <w:szCs w:val="16"/>
              </w:rPr>
              <w:t>United States</w:t>
            </w:r>
            <w:r w:rsidRPr="00D46126">
              <w:rPr>
                <w:color w:val="000000"/>
                <w:sz w:val="16"/>
                <w:szCs w:val="16"/>
              </w:rPr>
              <w:t xml:space="preserve">, </w:t>
            </w:r>
            <w:r w:rsidRPr="003B6E3D">
              <w:rPr>
                <w:sz w:val="16"/>
                <w:szCs w:val="16"/>
              </w:rPr>
              <w:t>WT/DS316/RW</w:t>
            </w:r>
            <w:r w:rsidRPr="00D46126">
              <w:rPr>
                <w:color w:val="000000"/>
                <w:sz w:val="16"/>
                <w:szCs w:val="16"/>
              </w:rPr>
              <w:t xml:space="preserve"> and Add.1, circulated to WTO Members 22</w:t>
            </w:r>
            <w:r w:rsidR="000A18DA" w:rsidRPr="00D46126">
              <w:rPr>
                <w:color w:val="000000"/>
                <w:sz w:val="16"/>
                <w:szCs w:val="16"/>
              </w:rPr>
              <w:t> September</w:t>
            </w:r>
            <w:r w:rsidR="000A10EA" w:rsidRPr="00D46126">
              <w:rPr>
                <w:color w:val="000000"/>
                <w:sz w:val="16"/>
                <w:szCs w:val="16"/>
              </w:rPr>
              <w:t> 20</w:t>
            </w:r>
            <w:r w:rsidRPr="00D46126">
              <w:rPr>
                <w:color w:val="000000"/>
                <w:sz w:val="16"/>
                <w:szCs w:val="16"/>
              </w:rPr>
              <w:t xml:space="preserve">16 </w:t>
            </w:r>
          </w:p>
        </w:tc>
      </w:tr>
      <w:tr w:rsidR="00746DB9" w:rsidRPr="00D46126" w:rsidTr="004526E3">
        <w:trPr>
          <w:cantSplit/>
        </w:trPr>
        <w:tc>
          <w:tcPr>
            <w:tcW w:w="2600" w:type="dxa"/>
          </w:tcPr>
          <w:p w:rsidR="00746DB9" w:rsidRPr="00D46126" w:rsidRDefault="00746DB9" w:rsidP="004526E3">
            <w:pPr>
              <w:spacing w:before="60" w:after="60"/>
              <w:jc w:val="left"/>
              <w:rPr>
                <w:i/>
                <w:color w:val="000000"/>
                <w:sz w:val="16"/>
                <w:szCs w:val="16"/>
              </w:rPr>
            </w:pPr>
            <w:r w:rsidRPr="00D46126">
              <w:rPr>
                <w:i/>
                <w:color w:val="000000"/>
                <w:sz w:val="16"/>
                <w:szCs w:val="16"/>
              </w:rPr>
              <w:t>Guatemala – Cement I</w:t>
            </w:r>
          </w:p>
        </w:tc>
        <w:tc>
          <w:tcPr>
            <w:tcW w:w="6621" w:type="dxa"/>
          </w:tcPr>
          <w:p w:rsidR="00746DB9" w:rsidRPr="00D46126" w:rsidRDefault="00746DB9" w:rsidP="004526E3">
            <w:pPr>
              <w:keepLines/>
              <w:tabs>
                <w:tab w:val="left" w:pos="2268"/>
                <w:tab w:val="left" w:pos="4536"/>
              </w:tabs>
              <w:spacing w:before="60" w:after="60"/>
              <w:jc w:val="left"/>
              <w:rPr>
                <w:color w:val="000000"/>
                <w:sz w:val="16"/>
                <w:szCs w:val="16"/>
              </w:rPr>
            </w:pPr>
            <w:r w:rsidRPr="00D46126">
              <w:rPr>
                <w:color w:val="000000"/>
                <w:sz w:val="16"/>
                <w:szCs w:val="16"/>
              </w:rPr>
              <w:t xml:space="preserve">Appellate Body Report, </w:t>
            </w:r>
            <w:r w:rsidRPr="00D46126">
              <w:rPr>
                <w:i/>
                <w:color w:val="000000"/>
                <w:sz w:val="16"/>
                <w:szCs w:val="16"/>
              </w:rPr>
              <w:t>Guatemala – Anti-Dumping Investigation Regarding Portland Cement from Mexico</w:t>
            </w:r>
            <w:r w:rsidRPr="00D46126">
              <w:rPr>
                <w:color w:val="000000"/>
                <w:sz w:val="16"/>
                <w:szCs w:val="16"/>
              </w:rPr>
              <w:t xml:space="preserve">, </w:t>
            </w:r>
            <w:r w:rsidRPr="003B6E3D">
              <w:rPr>
                <w:sz w:val="16"/>
                <w:szCs w:val="16"/>
              </w:rPr>
              <w:t>WT/DS60/AB/R</w:t>
            </w:r>
            <w:r w:rsidRPr="00D46126">
              <w:rPr>
                <w:color w:val="000000"/>
                <w:sz w:val="16"/>
                <w:szCs w:val="16"/>
              </w:rPr>
              <w:t>, adopted 25 November 1998, DSR 1998:IX, p. 3767</w:t>
            </w:r>
          </w:p>
        </w:tc>
      </w:tr>
      <w:tr w:rsidR="008304B3" w:rsidRPr="00D46126" w:rsidTr="004526E3">
        <w:trPr>
          <w:cnfStyle w:val="000000010000" w:firstRow="0" w:lastRow="0" w:firstColumn="0" w:lastColumn="0" w:oddVBand="0" w:evenVBand="0" w:oddHBand="0" w:evenHBand="1" w:firstRowFirstColumn="0" w:firstRowLastColumn="0" w:lastRowFirstColumn="0" w:lastRowLastColumn="0"/>
          <w:cantSplit/>
        </w:trPr>
        <w:tc>
          <w:tcPr>
            <w:tcW w:w="2600" w:type="dxa"/>
          </w:tcPr>
          <w:p w:rsidR="008304B3" w:rsidRPr="00D46126" w:rsidRDefault="008304B3" w:rsidP="004526E3">
            <w:pPr>
              <w:spacing w:before="60" w:after="60"/>
              <w:jc w:val="left"/>
              <w:rPr>
                <w:i/>
                <w:iCs/>
                <w:color w:val="000000"/>
                <w:sz w:val="16"/>
                <w:szCs w:val="16"/>
              </w:rPr>
            </w:pPr>
            <w:r w:rsidRPr="00D46126">
              <w:rPr>
                <w:i/>
                <w:color w:val="000000"/>
                <w:sz w:val="16"/>
                <w:szCs w:val="16"/>
              </w:rPr>
              <w:t>Indonesia – Autos</w:t>
            </w:r>
          </w:p>
        </w:tc>
        <w:tc>
          <w:tcPr>
            <w:tcW w:w="6621" w:type="dxa"/>
          </w:tcPr>
          <w:p w:rsidR="008304B3" w:rsidRPr="00D46126" w:rsidRDefault="008304B3" w:rsidP="004526E3">
            <w:pPr>
              <w:keepLines/>
              <w:tabs>
                <w:tab w:val="left" w:pos="2268"/>
                <w:tab w:val="left" w:pos="4536"/>
              </w:tabs>
              <w:spacing w:before="60" w:after="60"/>
              <w:jc w:val="left"/>
              <w:rPr>
                <w:color w:val="000000"/>
                <w:sz w:val="16"/>
                <w:szCs w:val="16"/>
              </w:rPr>
            </w:pPr>
            <w:r w:rsidRPr="00D46126">
              <w:rPr>
                <w:color w:val="000000"/>
                <w:sz w:val="16"/>
                <w:szCs w:val="16"/>
              </w:rPr>
              <w:t xml:space="preserve">Panel Report, </w:t>
            </w:r>
            <w:r w:rsidRPr="00D46126">
              <w:rPr>
                <w:i/>
                <w:color w:val="000000"/>
                <w:sz w:val="16"/>
                <w:szCs w:val="16"/>
              </w:rPr>
              <w:t>Indonesia – Certain Measures Affecting the Automobile Industry</w:t>
            </w:r>
            <w:r w:rsidRPr="00D46126">
              <w:rPr>
                <w:color w:val="000000"/>
                <w:sz w:val="16"/>
                <w:szCs w:val="16"/>
              </w:rPr>
              <w:t xml:space="preserve">, </w:t>
            </w:r>
            <w:r w:rsidRPr="003B6E3D">
              <w:rPr>
                <w:sz w:val="16"/>
                <w:szCs w:val="16"/>
              </w:rPr>
              <w:t>WT/DS54/R</w:t>
            </w:r>
            <w:r w:rsidRPr="00D46126">
              <w:rPr>
                <w:color w:val="000000"/>
                <w:sz w:val="16"/>
                <w:szCs w:val="16"/>
              </w:rPr>
              <w:t xml:space="preserve">, </w:t>
            </w:r>
            <w:r w:rsidRPr="003B6E3D">
              <w:rPr>
                <w:sz w:val="16"/>
                <w:szCs w:val="16"/>
              </w:rPr>
              <w:t>WT/DS55/R</w:t>
            </w:r>
            <w:r w:rsidRPr="00D46126">
              <w:rPr>
                <w:color w:val="000000"/>
                <w:sz w:val="16"/>
                <w:szCs w:val="16"/>
              </w:rPr>
              <w:t xml:space="preserve">, </w:t>
            </w:r>
            <w:r w:rsidRPr="003B6E3D">
              <w:rPr>
                <w:sz w:val="16"/>
                <w:szCs w:val="16"/>
              </w:rPr>
              <w:t>WT/DS59/R</w:t>
            </w:r>
            <w:r w:rsidRPr="00D46126">
              <w:rPr>
                <w:color w:val="000000"/>
                <w:sz w:val="16"/>
                <w:szCs w:val="16"/>
              </w:rPr>
              <w:t xml:space="preserve">, </w:t>
            </w:r>
            <w:r w:rsidRPr="003B6E3D">
              <w:rPr>
                <w:sz w:val="16"/>
                <w:szCs w:val="16"/>
              </w:rPr>
              <w:t>WT/DS64/R</w:t>
            </w:r>
            <w:r w:rsidRPr="00D46126">
              <w:rPr>
                <w:color w:val="000000"/>
                <w:sz w:val="16"/>
                <w:szCs w:val="16"/>
              </w:rPr>
              <w:t>, Corr.1 and Corr.2, adopted 23</w:t>
            </w:r>
            <w:r w:rsidR="000A18DA" w:rsidRPr="00D46126">
              <w:rPr>
                <w:color w:val="000000"/>
                <w:sz w:val="16"/>
                <w:szCs w:val="16"/>
              </w:rPr>
              <w:t> July</w:t>
            </w:r>
            <w:r w:rsidRPr="00D46126">
              <w:rPr>
                <w:color w:val="000000"/>
                <w:sz w:val="16"/>
                <w:szCs w:val="16"/>
              </w:rPr>
              <w:t xml:space="preserve"> 1998, and Corr.3 and Corr.4, DSR 1998:VI, p. 2201</w:t>
            </w:r>
          </w:p>
        </w:tc>
      </w:tr>
      <w:tr w:rsidR="00412491" w:rsidRPr="00D46126" w:rsidTr="004526E3">
        <w:trPr>
          <w:cantSplit/>
        </w:trPr>
        <w:tc>
          <w:tcPr>
            <w:tcW w:w="2600" w:type="dxa"/>
          </w:tcPr>
          <w:p w:rsidR="00412491" w:rsidRPr="00D46126" w:rsidRDefault="00412491" w:rsidP="004526E3">
            <w:pPr>
              <w:spacing w:before="60" w:after="60"/>
              <w:jc w:val="left"/>
              <w:rPr>
                <w:i/>
                <w:color w:val="000000"/>
                <w:sz w:val="16"/>
                <w:szCs w:val="16"/>
              </w:rPr>
            </w:pPr>
            <w:r w:rsidRPr="00D46126">
              <w:rPr>
                <w:i/>
                <w:color w:val="000000"/>
                <w:sz w:val="16"/>
                <w:szCs w:val="16"/>
              </w:rPr>
              <w:t>Japan – Agricultural Products</w:t>
            </w:r>
            <w:r w:rsidR="00626A85" w:rsidRPr="00D46126">
              <w:rPr>
                <w:i/>
                <w:color w:val="000000"/>
                <w:sz w:val="16"/>
                <w:szCs w:val="16"/>
              </w:rPr>
              <w:t> </w:t>
            </w:r>
            <w:r w:rsidRPr="00D46126">
              <w:rPr>
                <w:i/>
                <w:color w:val="000000"/>
                <w:sz w:val="16"/>
                <w:szCs w:val="16"/>
              </w:rPr>
              <w:t>II</w:t>
            </w:r>
          </w:p>
        </w:tc>
        <w:tc>
          <w:tcPr>
            <w:tcW w:w="6621" w:type="dxa"/>
          </w:tcPr>
          <w:p w:rsidR="00412491" w:rsidRPr="00D46126" w:rsidRDefault="000A10EA" w:rsidP="004526E3">
            <w:pPr>
              <w:keepLines/>
              <w:tabs>
                <w:tab w:val="left" w:pos="2268"/>
                <w:tab w:val="left" w:pos="4536"/>
              </w:tabs>
              <w:spacing w:before="60" w:after="60"/>
              <w:jc w:val="left"/>
              <w:rPr>
                <w:color w:val="000000"/>
                <w:sz w:val="16"/>
                <w:szCs w:val="16"/>
              </w:rPr>
            </w:pPr>
            <w:r w:rsidRPr="00D46126">
              <w:rPr>
                <w:color w:val="000000"/>
                <w:sz w:val="16"/>
                <w:szCs w:val="16"/>
              </w:rPr>
              <w:t>Appellate Body</w:t>
            </w:r>
            <w:r w:rsidR="00412491" w:rsidRPr="00D46126">
              <w:rPr>
                <w:color w:val="000000"/>
                <w:sz w:val="16"/>
                <w:szCs w:val="16"/>
              </w:rPr>
              <w:t xml:space="preserve"> Report, </w:t>
            </w:r>
            <w:r w:rsidR="00412491" w:rsidRPr="00D46126">
              <w:rPr>
                <w:i/>
                <w:color w:val="000000"/>
                <w:sz w:val="16"/>
                <w:szCs w:val="16"/>
              </w:rPr>
              <w:t>Japan – Measures Affecting Agricultural Products</w:t>
            </w:r>
            <w:r w:rsidR="00412491" w:rsidRPr="00D46126">
              <w:rPr>
                <w:color w:val="000000"/>
                <w:sz w:val="16"/>
                <w:szCs w:val="16"/>
              </w:rPr>
              <w:t xml:space="preserve">, </w:t>
            </w:r>
            <w:r w:rsidR="00412491" w:rsidRPr="003B6E3D">
              <w:rPr>
                <w:sz w:val="16"/>
                <w:szCs w:val="16"/>
              </w:rPr>
              <w:t>WT/DS76/AB/R</w:t>
            </w:r>
            <w:r w:rsidR="00412491" w:rsidRPr="00D46126">
              <w:rPr>
                <w:color w:val="000000"/>
                <w:sz w:val="16"/>
                <w:szCs w:val="16"/>
              </w:rPr>
              <w:t>, adopted 19</w:t>
            </w:r>
            <w:r w:rsidR="000A18DA" w:rsidRPr="00D46126">
              <w:rPr>
                <w:color w:val="000000"/>
                <w:sz w:val="16"/>
                <w:szCs w:val="16"/>
              </w:rPr>
              <w:t> March</w:t>
            </w:r>
            <w:r w:rsidR="00206309" w:rsidRPr="00D46126">
              <w:rPr>
                <w:color w:val="000000"/>
                <w:sz w:val="16"/>
                <w:szCs w:val="16"/>
              </w:rPr>
              <w:t xml:space="preserve"> 1999, DSR 1999:I, p. </w:t>
            </w:r>
            <w:r w:rsidR="00412491" w:rsidRPr="00D46126">
              <w:rPr>
                <w:color w:val="000000"/>
                <w:sz w:val="16"/>
                <w:szCs w:val="16"/>
              </w:rPr>
              <w:t>277</w:t>
            </w:r>
          </w:p>
        </w:tc>
      </w:tr>
      <w:tr w:rsidR="00412491" w:rsidRPr="00D46126" w:rsidTr="004526E3">
        <w:trPr>
          <w:cnfStyle w:val="000000010000" w:firstRow="0" w:lastRow="0" w:firstColumn="0" w:lastColumn="0" w:oddVBand="0" w:evenVBand="0" w:oddHBand="0" w:evenHBand="1" w:firstRowFirstColumn="0" w:firstRowLastColumn="0" w:lastRowFirstColumn="0" w:lastRowLastColumn="0"/>
          <w:cantSplit/>
        </w:trPr>
        <w:tc>
          <w:tcPr>
            <w:tcW w:w="2600" w:type="dxa"/>
          </w:tcPr>
          <w:p w:rsidR="00412491" w:rsidRPr="00D46126" w:rsidRDefault="00412491" w:rsidP="004526E3">
            <w:pPr>
              <w:spacing w:before="60" w:after="60"/>
              <w:jc w:val="left"/>
              <w:rPr>
                <w:i/>
                <w:color w:val="000000"/>
                <w:sz w:val="16"/>
                <w:szCs w:val="16"/>
              </w:rPr>
            </w:pPr>
            <w:r w:rsidRPr="00D46126">
              <w:rPr>
                <w:i/>
                <w:color w:val="000000"/>
                <w:sz w:val="16"/>
                <w:szCs w:val="16"/>
              </w:rPr>
              <w:t>Japan – Apples</w:t>
            </w:r>
          </w:p>
        </w:tc>
        <w:tc>
          <w:tcPr>
            <w:tcW w:w="6621" w:type="dxa"/>
          </w:tcPr>
          <w:p w:rsidR="00412491" w:rsidRPr="00D46126" w:rsidRDefault="000A10EA" w:rsidP="004526E3">
            <w:pPr>
              <w:keepLines/>
              <w:tabs>
                <w:tab w:val="left" w:pos="2268"/>
                <w:tab w:val="left" w:pos="4536"/>
              </w:tabs>
              <w:spacing w:before="60" w:after="60"/>
              <w:jc w:val="left"/>
              <w:rPr>
                <w:color w:val="000000"/>
                <w:sz w:val="16"/>
                <w:szCs w:val="16"/>
              </w:rPr>
            </w:pPr>
            <w:r w:rsidRPr="00D46126">
              <w:rPr>
                <w:color w:val="000000"/>
                <w:sz w:val="16"/>
                <w:szCs w:val="16"/>
              </w:rPr>
              <w:t>Appellate Body</w:t>
            </w:r>
            <w:r w:rsidR="00412491" w:rsidRPr="00D46126">
              <w:rPr>
                <w:color w:val="000000"/>
                <w:sz w:val="16"/>
                <w:szCs w:val="16"/>
              </w:rPr>
              <w:t xml:space="preserve"> Report, </w:t>
            </w:r>
            <w:r w:rsidR="00412491" w:rsidRPr="00D46126">
              <w:rPr>
                <w:i/>
                <w:color w:val="000000"/>
                <w:sz w:val="16"/>
                <w:szCs w:val="16"/>
              </w:rPr>
              <w:t>Japan – Measures Affecting the Importation of Apples</w:t>
            </w:r>
            <w:r w:rsidR="00412491" w:rsidRPr="00D46126">
              <w:rPr>
                <w:color w:val="000000"/>
                <w:sz w:val="16"/>
                <w:szCs w:val="16"/>
              </w:rPr>
              <w:t xml:space="preserve">, </w:t>
            </w:r>
            <w:r w:rsidR="00412491" w:rsidRPr="003B6E3D">
              <w:rPr>
                <w:sz w:val="16"/>
                <w:szCs w:val="16"/>
              </w:rPr>
              <w:t>WT/DS245/AB/R</w:t>
            </w:r>
            <w:r w:rsidR="00412491" w:rsidRPr="00D46126">
              <w:rPr>
                <w:color w:val="000000"/>
                <w:sz w:val="16"/>
                <w:szCs w:val="16"/>
              </w:rPr>
              <w:t>, adopted 10</w:t>
            </w:r>
            <w:r w:rsidR="000A18DA" w:rsidRPr="00D46126">
              <w:rPr>
                <w:color w:val="000000"/>
                <w:sz w:val="16"/>
                <w:szCs w:val="16"/>
              </w:rPr>
              <w:t> December</w:t>
            </w:r>
            <w:r w:rsidRPr="00D46126">
              <w:rPr>
                <w:color w:val="000000"/>
                <w:sz w:val="16"/>
                <w:szCs w:val="16"/>
              </w:rPr>
              <w:t> 20</w:t>
            </w:r>
            <w:r w:rsidR="00412491" w:rsidRPr="00D46126">
              <w:rPr>
                <w:color w:val="000000"/>
                <w:sz w:val="16"/>
                <w:szCs w:val="16"/>
              </w:rPr>
              <w:t>03, DSR</w:t>
            </w:r>
            <w:r w:rsidRPr="00D46126">
              <w:rPr>
                <w:color w:val="000000"/>
                <w:sz w:val="16"/>
                <w:szCs w:val="16"/>
              </w:rPr>
              <w:t> 20</w:t>
            </w:r>
            <w:r w:rsidR="00412491" w:rsidRPr="00D46126">
              <w:rPr>
                <w:color w:val="000000"/>
                <w:sz w:val="16"/>
                <w:szCs w:val="16"/>
              </w:rPr>
              <w:t>03:IX, p. 4391</w:t>
            </w:r>
          </w:p>
        </w:tc>
      </w:tr>
      <w:tr w:rsidR="00412491" w:rsidRPr="00D46126" w:rsidTr="004526E3">
        <w:trPr>
          <w:cantSplit/>
        </w:trPr>
        <w:tc>
          <w:tcPr>
            <w:tcW w:w="2600" w:type="dxa"/>
          </w:tcPr>
          <w:p w:rsidR="00412491" w:rsidRPr="00D46126" w:rsidRDefault="00412491" w:rsidP="004526E3">
            <w:pPr>
              <w:keepNext/>
              <w:keepLines/>
              <w:spacing w:before="60" w:after="60"/>
              <w:jc w:val="left"/>
              <w:rPr>
                <w:i/>
                <w:color w:val="000000"/>
                <w:sz w:val="16"/>
                <w:szCs w:val="16"/>
              </w:rPr>
            </w:pPr>
            <w:r w:rsidRPr="00D46126">
              <w:rPr>
                <w:i/>
                <w:color w:val="000000"/>
                <w:sz w:val="16"/>
                <w:szCs w:val="16"/>
              </w:rPr>
              <w:t>Korea – Alcoholic Beverages</w:t>
            </w:r>
          </w:p>
        </w:tc>
        <w:tc>
          <w:tcPr>
            <w:tcW w:w="6621" w:type="dxa"/>
          </w:tcPr>
          <w:p w:rsidR="00412491" w:rsidRPr="00D46126" w:rsidRDefault="000A10EA" w:rsidP="004526E3">
            <w:pPr>
              <w:keepNext/>
              <w:keepLines/>
              <w:tabs>
                <w:tab w:val="left" w:pos="2268"/>
                <w:tab w:val="left" w:pos="4536"/>
              </w:tabs>
              <w:spacing w:before="60" w:after="60"/>
              <w:jc w:val="left"/>
              <w:rPr>
                <w:color w:val="000000"/>
                <w:sz w:val="16"/>
                <w:szCs w:val="16"/>
              </w:rPr>
            </w:pPr>
            <w:r w:rsidRPr="00D46126">
              <w:rPr>
                <w:color w:val="000000"/>
                <w:sz w:val="16"/>
                <w:szCs w:val="16"/>
              </w:rPr>
              <w:t>Appellate Body</w:t>
            </w:r>
            <w:r w:rsidR="00412491" w:rsidRPr="00D46126">
              <w:rPr>
                <w:color w:val="000000"/>
                <w:sz w:val="16"/>
                <w:szCs w:val="16"/>
              </w:rPr>
              <w:t xml:space="preserve"> Report, </w:t>
            </w:r>
            <w:r w:rsidR="00412491" w:rsidRPr="00D46126">
              <w:rPr>
                <w:i/>
                <w:color w:val="000000"/>
                <w:sz w:val="16"/>
                <w:szCs w:val="16"/>
              </w:rPr>
              <w:t>Korea – Taxes on Alcoholic Beverages</w:t>
            </w:r>
            <w:r w:rsidR="00412491" w:rsidRPr="00D46126">
              <w:rPr>
                <w:color w:val="000000"/>
                <w:sz w:val="16"/>
                <w:szCs w:val="16"/>
              </w:rPr>
              <w:t xml:space="preserve">, </w:t>
            </w:r>
            <w:r w:rsidR="00412491" w:rsidRPr="003B6E3D">
              <w:rPr>
                <w:sz w:val="16"/>
                <w:szCs w:val="16"/>
              </w:rPr>
              <w:t>WT/DS75/AB/R</w:t>
            </w:r>
            <w:r w:rsidR="00412491" w:rsidRPr="00D46126">
              <w:rPr>
                <w:color w:val="000000"/>
                <w:sz w:val="16"/>
                <w:szCs w:val="16"/>
              </w:rPr>
              <w:t xml:space="preserve">, </w:t>
            </w:r>
            <w:r w:rsidR="00412491" w:rsidRPr="003B6E3D">
              <w:rPr>
                <w:sz w:val="16"/>
                <w:szCs w:val="16"/>
              </w:rPr>
              <w:t>WT/DS84/AB/R</w:t>
            </w:r>
            <w:r w:rsidR="00412491" w:rsidRPr="00D46126">
              <w:rPr>
                <w:color w:val="000000"/>
                <w:sz w:val="16"/>
                <w:szCs w:val="16"/>
              </w:rPr>
              <w:t>, adopted 17</w:t>
            </w:r>
            <w:r w:rsidR="000A18DA" w:rsidRPr="00D46126">
              <w:rPr>
                <w:color w:val="000000"/>
                <w:sz w:val="16"/>
                <w:szCs w:val="16"/>
              </w:rPr>
              <w:t> February</w:t>
            </w:r>
            <w:r w:rsidR="00412491" w:rsidRPr="00D46126">
              <w:rPr>
                <w:color w:val="000000"/>
                <w:sz w:val="16"/>
                <w:szCs w:val="16"/>
              </w:rPr>
              <w:t xml:space="preserve"> 1999, DSR</w:t>
            </w:r>
            <w:r w:rsidR="00206309" w:rsidRPr="00D46126">
              <w:rPr>
                <w:color w:val="000000"/>
                <w:sz w:val="16"/>
                <w:szCs w:val="16"/>
              </w:rPr>
              <w:t> </w:t>
            </w:r>
            <w:r w:rsidR="00412491" w:rsidRPr="00D46126">
              <w:rPr>
                <w:color w:val="000000"/>
                <w:sz w:val="16"/>
                <w:szCs w:val="16"/>
              </w:rPr>
              <w:t>1999:I, p. 3</w:t>
            </w:r>
          </w:p>
        </w:tc>
      </w:tr>
      <w:tr w:rsidR="00412491" w:rsidRPr="00D46126" w:rsidTr="004526E3">
        <w:trPr>
          <w:cnfStyle w:val="000000010000" w:firstRow="0" w:lastRow="0" w:firstColumn="0" w:lastColumn="0" w:oddVBand="0" w:evenVBand="0" w:oddHBand="0" w:evenHBand="1" w:firstRowFirstColumn="0" w:firstRowLastColumn="0" w:lastRowFirstColumn="0" w:lastRowLastColumn="0"/>
          <w:cantSplit/>
        </w:trPr>
        <w:tc>
          <w:tcPr>
            <w:tcW w:w="2600" w:type="dxa"/>
          </w:tcPr>
          <w:p w:rsidR="00412491" w:rsidRPr="00D46126" w:rsidRDefault="00412491" w:rsidP="004526E3">
            <w:pPr>
              <w:spacing w:before="60" w:after="60"/>
              <w:jc w:val="left"/>
              <w:rPr>
                <w:i/>
                <w:color w:val="000000"/>
                <w:sz w:val="16"/>
                <w:szCs w:val="16"/>
              </w:rPr>
            </w:pPr>
            <w:r w:rsidRPr="00D46126">
              <w:rPr>
                <w:i/>
                <w:color w:val="000000"/>
                <w:sz w:val="16"/>
                <w:szCs w:val="16"/>
              </w:rPr>
              <w:t>Korea – Dairy</w:t>
            </w:r>
          </w:p>
        </w:tc>
        <w:tc>
          <w:tcPr>
            <w:tcW w:w="6621" w:type="dxa"/>
          </w:tcPr>
          <w:p w:rsidR="00412491" w:rsidRPr="00D46126" w:rsidRDefault="000A10EA" w:rsidP="004526E3">
            <w:pPr>
              <w:keepLines/>
              <w:tabs>
                <w:tab w:val="left" w:pos="2268"/>
                <w:tab w:val="left" w:pos="4536"/>
              </w:tabs>
              <w:spacing w:before="60" w:after="60"/>
              <w:jc w:val="left"/>
              <w:rPr>
                <w:color w:val="000000"/>
                <w:sz w:val="16"/>
                <w:szCs w:val="16"/>
              </w:rPr>
            </w:pPr>
            <w:r w:rsidRPr="00D46126">
              <w:rPr>
                <w:color w:val="000000"/>
                <w:sz w:val="16"/>
                <w:szCs w:val="16"/>
              </w:rPr>
              <w:t>Appellate Body</w:t>
            </w:r>
            <w:r w:rsidR="00412491" w:rsidRPr="00D46126">
              <w:rPr>
                <w:color w:val="000000"/>
                <w:sz w:val="16"/>
                <w:szCs w:val="16"/>
              </w:rPr>
              <w:t xml:space="preserve"> Report, </w:t>
            </w:r>
            <w:r w:rsidR="00412491" w:rsidRPr="00D46126">
              <w:rPr>
                <w:i/>
                <w:color w:val="000000"/>
                <w:sz w:val="16"/>
                <w:szCs w:val="16"/>
              </w:rPr>
              <w:t>Korea – Definitive Safeguard Measure on Imports of Certain Dairy Products</w:t>
            </w:r>
            <w:r w:rsidR="00412491" w:rsidRPr="00D46126">
              <w:rPr>
                <w:color w:val="000000"/>
                <w:sz w:val="16"/>
                <w:szCs w:val="16"/>
              </w:rPr>
              <w:t xml:space="preserve">, </w:t>
            </w:r>
            <w:r w:rsidR="00412491" w:rsidRPr="003B6E3D">
              <w:rPr>
                <w:sz w:val="16"/>
                <w:szCs w:val="16"/>
              </w:rPr>
              <w:t>WT/DS98/AB/R</w:t>
            </w:r>
            <w:r w:rsidR="00D26146" w:rsidRPr="00D46126">
              <w:rPr>
                <w:color w:val="000000"/>
                <w:sz w:val="16"/>
                <w:szCs w:val="16"/>
              </w:rPr>
              <w:t>, adopted 12</w:t>
            </w:r>
            <w:r w:rsidR="000A18DA" w:rsidRPr="00D46126">
              <w:rPr>
                <w:color w:val="000000"/>
                <w:sz w:val="16"/>
                <w:szCs w:val="16"/>
              </w:rPr>
              <w:t> January</w:t>
            </w:r>
            <w:r w:rsidRPr="00D46126">
              <w:rPr>
                <w:color w:val="000000"/>
                <w:sz w:val="16"/>
                <w:szCs w:val="16"/>
              </w:rPr>
              <w:t> 20</w:t>
            </w:r>
            <w:r w:rsidR="00D26146" w:rsidRPr="00D46126">
              <w:rPr>
                <w:color w:val="000000"/>
                <w:sz w:val="16"/>
                <w:szCs w:val="16"/>
              </w:rPr>
              <w:t>00, DSR</w:t>
            </w:r>
            <w:r w:rsidRPr="00D46126">
              <w:rPr>
                <w:color w:val="000000"/>
                <w:sz w:val="16"/>
                <w:szCs w:val="16"/>
              </w:rPr>
              <w:t> 20</w:t>
            </w:r>
            <w:r w:rsidR="00412491" w:rsidRPr="00D46126">
              <w:rPr>
                <w:color w:val="000000"/>
                <w:sz w:val="16"/>
                <w:szCs w:val="16"/>
              </w:rPr>
              <w:t>00:I, p. 3</w:t>
            </w:r>
          </w:p>
        </w:tc>
      </w:tr>
      <w:tr w:rsidR="00746DB9" w:rsidRPr="00D46126" w:rsidTr="004526E3">
        <w:trPr>
          <w:cantSplit/>
        </w:trPr>
        <w:tc>
          <w:tcPr>
            <w:tcW w:w="2600" w:type="dxa"/>
          </w:tcPr>
          <w:p w:rsidR="00746DB9" w:rsidRPr="00D46126" w:rsidRDefault="00746DB9" w:rsidP="004526E3">
            <w:pPr>
              <w:spacing w:before="60" w:after="60"/>
              <w:jc w:val="left"/>
              <w:rPr>
                <w:i/>
                <w:color w:val="000000"/>
                <w:sz w:val="16"/>
                <w:szCs w:val="16"/>
              </w:rPr>
            </w:pPr>
            <w:r w:rsidRPr="00D46126">
              <w:rPr>
                <w:i/>
                <w:color w:val="000000"/>
                <w:sz w:val="16"/>
                <w:szCs w:val="16"/>
              </w:rPr>
              <w:lastRenderedPageBreak/>
              <w:t>Mexico – Corn Syrup (Article 21.5 – US)</w:t>
            </w:r>
          </w:p>
        </w:tc>
        <w:tc>
          <w:tcPr>
            <w:tcW w:w="6621" w:type="dxa"/>
          </w:tcPr>
          <w:p w:rsidR="00746DB9" w:rsidRPr="00D46126" w:rsidRDefault="00746DB9" w:rsidP="004526E3">
            <w:pPr>
              <w:keepLines/>
              <w:tabs>
                <w:tab w:val="left" w:pos="2268"/>
                <w:tab w:val="left" w:pos="4536"/>
              </w:tabs>
              <w:spacing w:before="60" w:after="60"/>
              <w:jc w:val="left"/>
              <w:rPr>
                <w:color w:val="000000"/>
                <w:sz w:val="16"/>
                <w:szCs w:val="16"/>
              </w:rPr>
            </w:pPr>
            <w:r w:rsidRPr="00D46126">
              <w:rPr>
                <w:color w:val="000000"/>
                <w:sz w:val="16"/>
                <w:szCs w:val="16"/>
              </w:rPr>
              <w:t xml:space="preserve">Appellate Body Report, </w:t>
            </w:r>
            <w:r w:rsidRPr="00D46126">
              <w:rPr>
                <w:i/>
                <w:color w:val="000000"/>
                <w:sz w:val="16"/>
                <w:szCs w:val="16"/>
              </w:rPr>
              <w:t>Mexico – Anti-Dumping Investigation of High Fructose Corn Syrup (HFCS) from the United States – Recourse to Article 21.5 of the DSU</w:t>
            </w:r>
            <w:r w:rsidRPr="00D46126">
              <w:rPr>
                <w:color w:val="000000"/>
                <w:sz w:val="16"/>
                <w:szCs w:val="16"/>
              </w:rPr>
              <w:t xml:space="preserve"> </w:t>
            </w:r>
            <w:r w:rsidRPr="00D46126">
              <w:rPr>
                <w:i/>
                <w:color w:val="000000"/>
                <w:sz w:val="16"/>
                <w:szCs w:val="16"/>
              </w:rPr>
              <w:t>by the United States</w:t>
            </w:r>
            <w:r w:rsidRPr="00D46126">
              <w:rPr>
                <w:color w:val="000000"/>
                <w:sz w:val="16"/>
                <w:szCs w:val="16"/>
              </w:rPr>
              <w:t xml:space="preserve">, </w:t>
            </w:r>
            <w:r w:rsidRPr="003B6E3D">
              <w:rPr>
                <w:sz w:val="16"/>
                <w:szCs w:val="16"/>
              </w:rPr>
              <w:t>WT/DS132/AB/RW</w:t>
            </w:r>
            <w:r w:rsidRPr="00D46126">
              <w:rPr>
                <w:color w:val="000000"/>
                <w:sz w:val="16"/>
                <w:szCs w:val="16"/>
              </w:rPr>
              <w:t>, adopted 21 November 2001, DSR 2001:XIII, p. 6675</w:t>
            </w:r>
          </w:p>
        </w:tc>
      </w:tr>
      <w:tr w:rsidR="003A1A96" w:rsidRPr="00D46126" w:rsidTr="004526E3">
        <w:trPr>
          <w:cnfStyle w:val="000000010000" w:firstRow="0" w:lastRow="0" w:firstColumn="0" w:lastColumn="0" w:oddVBand="0" w:evenVBand="0" w:oddHBand="0" w:evenHBand="1" w:firstRowFirstColumn="0" w:firstRowLastColumn="0" w:lastRowFirstColumn="0" w:lastRowLastColumn="0"/>
          <w:cantSplit/>
        </w:trPr>
        <w:tc>
          <w:tcPr>
            <w:tcW w:w="2600" w:type="dxa"/>
          </w:tcPr>
          <w:p w:rsidR="003A1A96" w:rsidRPr="00D46126" w:rsidRDefault="003A1A96" w:rsidP="004526E3">
            <w:pPr>
              <w:spacing w:before="60" w:after="60"/>
              <w:jc w:val="left"/>
              <w:rPr>
                <w:i/>
                <w:color w:val="000000"/>
                <w:sz w:val="16"/>
                <w:szCs w:val="16"/>
              </w:rPr>
            </w:pPr>
            <w:r w:rsidRPr="00D46126">
              <w:rPr>
                <w:i/>
                <w:color w:val="000000"/>
                <w:sz w:val="16"/>
                <w:szCs w:val="16"/>
              </w:rPr>
              <w:t>Mexico – Taxes on Soft Drinks</w:t>
            </w:r>
          </w:p>
        </w:tc>
        <w:tc>
          <w:tcPr>
            <w:tcW w:w="6621" w:type="dxa"/>
          </w:tcPr>
          <w:p w:rsidR="003A1A96" w:rsidRPr="00D46126" w:rsidRDefault="000A10EA" w:rsidP="004526E3">
            <w:pPr>
              <w:keepLines/>
              <w:tabs>
                <w:tab w:val="left" w:pos="2268"/>
                <w:tab w:val="left" w:pos="4536"/>
              </w:tabs>
              <w:spacing w:before="60" w:after="60"/>
              <w:jc w:val="left"/>
              <w:rPr>
                <w:color w:val="000000"/>
                <w:sz w:val="16"/>
                <w:szCs w:val="16"/>
              </w:rPr>
            </w:pPr>
            <w:r w:rsidRPr="00D46126">
              <w:rPr>
                <w:color w:val="000000"/>
                <w:sz w:val="16"/>
                <w:szCs w:val="16"/>
              </w:rPr>
              <w:t>Appellate Body</w:t>
            </w:r>
            <w:r w:rsidR="003A1A96" w:rsidRPr="00D46126">
              <w:rPr>
                <w:color w:val="000000"/>
                <w:sz w:val="16"/>
                <w:szCs w:val="16"/>
              </w:rPr>
              <w:t xml:space="preserve"> Report, </w:t>
            </w:r>
            <w:r w:rsidR="003A1A96" w:rsidRPr="00D46126">
              <w:rPr>
                <w:i/>
                <w:color w:val="000000"/>
                <w:sz w:val="16"/>
                <w:szCs w:val="16"/>
              </w:rPr>
              <w:t>Mexico – Tax Measures on Soft Drinks and Other Beverages</w:t>
            </w:r>
            <w:r w:rsidR="003A1A96" w:rsidRPr="00D46126">
              <w:rPr>
                <w:color w:val="000000"/>
                <w:sz w:val="16"/>
                <w:szCs w:val="16"/>
              </w:rPr>
              <w:t xml:space="preserve">, </w:t>
            </w:r>
            <w:r w:rsidR="003A1A96" w:rsidRPr="003421E2">
              <w:rPr>
                <w:sz w:val="16"/>
                <w:szCs w:val="16"/>
              </w:rPr>
              <w:t>WT/DS308/AB/R</w:t>
            </w:r>
            <w:r w:rsidR="003A1A96" w:rsidRPr="00D46126">
              <w:rPr>
                <w:color w:val="000000"/>
                <w:sz w:val="16"/>
                <w:szCs w:val="16"/>
              </w:rPr>
              <w:t>, adopted 24</w:t>
            </w:r>
            <w:r w:rsidR="000A18DA" w:rsidRPr="00D46126">
              <w:rPr>
                <w:color w:val="000000"/>
                <w:sz w:val="16"/>
                <w:szCs w:val="16"/>
              </w:rPr>
              <w:t> March</w:t>
            </w:r>
            <w:r w:rsidRPr="00D46126">
              <w:rPr>
                <w:color w:val="000000"/>
                <w:sz w:val="16"/>
                <w:szCs w:val="16"/>
              </w:rPr>
              <w:t> 20</w:t>
            </w:r>
            <w:r w:rsidR="003A1A96" w:rsidRPr="00D46126">
              <w:rPr>
                <w:color w:val="000000"/>
                <w:sz w:val="16"/>
                <w:szCs w:val="16"/>
              </w:rPr>
              <w:t>06, DSR</w:t>
            </w:r>
            <w:r w:rsidRPr="00D46126">
              <w:rPr>
                <w:color w:val="000000"/>
                <w:sz w:val="16"/>
                <w:szCs w:val="16"/>
              </w:rPr>
              <w:t> 20</w:t>
            </w:r>
            <w:r w:rsidR="003A1A96" w:rsidRPr="00D46126">
              <w:rPr>
                <w:color w:val="000000"/>
                <w:sz w:val="16"/>
                <w:szCs w:val="16"/>
              </w:rPr>
              <w:t>06:I, p. 3</w:t>
            </w:r>
          </w:p>
        </w:tc>
      </w:tr>
      <w:tr w:rsidR="00746DB9" w:rsidRPr="00D46126" w:rsidTr="004526E3">
        <w:trPr>
          <w:cantSplit/>
        </w:trPr>
        <w:tc>
          <w:tcPr>
            <w:tcW w:w="2600" w:type="dxa"/>
          </w:tcPr>
          <w:p w:rsidR="00746DB9" w:rsidRPr="00D46126" w:rsidRDefault="00746DB9" w:rsidP="004526E3">
            <w:pPr>
              <w:spacing w:before="60" w:after="60"/>
              <w:jc w:val="left"/>
              <w:rPr>
                <w:i/>
                <w:color w:val="000000"/>
                <w:sz w:val="16"/>
                <w:szCs w:val="16"/>
                <w:highlight w:val="yellow"/>
              </w:rPr>
            </w:pPr>
            <w:r w:rsidRPr="00D46126">
              <w:rPr>
                <w:i/>
                <w:color w:val="000000"/>
                <w:sz w:val="16"/>
                <w:szCs w:val="16"/>
              </w:rPr>
              <w:t>Peru – Agricultural Products</w:t>
            </w:r>
          </w:p>
        </w:tc>
        <w:tc>
          <w:tcPr>
            <w:tcW w:w="6621" w:type="dxa"/>
          </w:tcPr>
          <w:p w:rsidR="00746DB9" w:rsidRPr="00D46126" w:rsidRDefault="00746DB9" w:rsidP="004526E3">
            <w:pPr>
              <w:keepLines/>
              <w:tabs>
                <w:tab w:val="left" w:pos="2268"/>
                <w:tab w:val="left" w:pos="4536"/>
              </w:tabs>
              <w:spacing w:before="60" w:after="60"/>
              <w:jc w:val="left"/>
              <w:rPr>
                <w:color w:val="000000"/>
                <w:sz w:val="16"/>
                <w:szCs w:val="16"/>
                <w:highlight w:val="yellow"/>
              </w:rPr>
            </w:pPr>
            <w:r w:rsidRPr="00D46126">
              <w:rPr>
                <w:color w:val="000000"/>
                <w:sz w:val="16"/>
                <w:szCs w:val="16"/>
              </w:rPr>
              <w:t xml:space="preserve">Appellate Body Report, </w:t>
            </w:r>
            <w:r w:rsidRPr="00D46126">
              <w:rPr>
                <w:i/>
                <w:color w:val="000000"/>
                <w:sz w:val="16"/>
                <w:szCs w:val="16"/>
              </w:rPr>
              <w:t>Peru – Additional Duty on Imports of Certain Agricultural Products</w:t>
            </w:r>
            <w:r w:rsidRPr="00D46126">
              <w:rPr>
                <w:color w:val="000000"/>
                <w:sz w:val="16"/>
                <w:szCs w:val="16"/>
              </w:rPr>
              <w:t xml:space="preserve">, </w:t>
            </w:r>
            <w:r w:rsidRPr="003421E2">
              <w:rPr>
                <w:sz w:val="16"/>
                <w:szCs w:val="16"/>
              </w:rPr>
              <w:t>WT/DS457/AB/R</w:t>
            </w:r>
            <w:r w:rsidRPr="00D46126">
              <w:rPr>
                <w:color w:val="000000"/>
                <w:sz w:val="16"/>
                <w:szCs w:val="16"/>
              </w:rPr>
              <w:t xml:space="preserve"> and Add.1, adopted 31 July 2015</w:t>
            </w:r>
          </w:p>
        </w:tc>
      </w:tr>
      <w:tr w:rsidR="003A1A96" w:rsidRPr="00D46126" w:rsidTr="004526E3">
        <w:trPr>
          <w:cnfStyle w:val="000000010000" w:firstRow="0" w:lastRow="0" w:firstColumn="0" w:lastColumn="0" w:oddVBand="0" w:evenVBand="0" w:oddHBand="0" w:evenHBand="1" w:firstRowFirstColumn="0" w:firstRowLastColumn="0" w:lastRowFirstColumn="0" w:lastRowLastColumn="0"/>
          <w:cantSplit/>
        </w:trPr>
        <w:tc>
          <w:tcPr>
            <w:tcW w:w="2600" w:type="dxa"/>
          </w:tcPr>
          <w:p w:rsidR="003A1A96" w:rsidRPr="00D46126" w:rsidRDefault="003A1A96" w:rsidP="004526E3">
            <w:pPr>
              <w:tabs>
                <w:tab w:val="left" w:pos="1660"/>
              </w:tabs>
              <w:spacing w:before="60" w:after="60"/>
              <w:jc w:val="left"/>
              <w:rPr>
                <w:i/>
                <w:color w:val="000000"/>
                <w:sz w:val="16"/>
                <w:szCs w:val="16"/>
              </w:rPr>
            </w:pPr>
            <w:r w:rsidRPr="00D46126">
              <w:rPr>
                <w:i/>
                <w:iCs/>
                <w:color w:val="000000"/>
                <w:sz w:val="16"/>
                <w:szCs w:val="16"/>
              </w:rPr>
              <w:t>US – Anti-Dumping and Countervailing Duties (China)</w:t>
            </w:r>
          </w:p>
        </w:tc>
        <w:tc>
          <w:tcPr>
            <w:tcW w:w="6621" w:type="dxa"/>
          </w:tcPr>
          <w:p w:rsidR="003A1A96" w:rsidRPr="00D46126" w:rsidRDefault="000A10EA" w:rsidP="004526E3">
            <w:pPr>
              <w:keepLines/>
              <w:tabs>
                <w:tab w:val="left" w:pos="780"/>
              </w:tabs>
              <w:spacing w:before="60" w:after="60"/>
              <w:jc w:val="left"/>
              <w:rPr>
                <w:color w:val="000000"/>
                <w:sz w:val="16"/>
                <w:szCs w:val="16"/>
              </w:rPr>
            </w:pPr>
            <w:r w:rsidRPr="00D46126">
              <w:rPr>
                <w:color w:val="000000"/>
                <w:sz w:val="16"/>
                <w:szCs w:val="16"/>
              </w:rPr>
              <w:t>Appellate Body</w:t>
            </w:r>
            <w:r w:rsidR="003A1A96" w:rsidRPr="00D46126">
              <w:rPr>
                <w:color w:val="000000"/>
                <w:sz w:val="16"/>
                <w:szCs w:val="16"/>
              </w:rPr>
              <w:t xml:space="preserve"> Report, </w:t>
            </w:r>
            <w:r w:rsidRPr="00D46126">
              <w:rPr>
                <w:i/>
                <w:iCs/>
                <w:color w:val="000000"/>
                <w:sz w:val="16"/>
                <w:szCs w:val="16"/>
              </w:rPr>
              <w:t>United States</w:t>
            </w:r>
            <w:r w:rsidR="003A1A96" w:rsidRPr="00D46126">
              <w:rPr>
                <w:i/>
                <w:iCs/>
                <w:color w:val="000000"/>
                <w:sz w:val="16"/>
                <w:szCs w:val="16"/>
              </w:rPr>
              <w:t xml:space="preserve"> – Definitive Anti-Dumping and Countervailing Duties on Certain Products from China</w:t>
            </w:r>
            <w:r w:rsidR="003A1A96" w:rsidRPr="00D46126">
              <w:rPr>
                <w:color w:val="000000"/>
                <w:sz w:val="16"/>
                <w:szCs w:val="16"/>
              </w:rPr>
              <w:t xml:space="preserve">, </w:t>
            </w:r>
            <w:r w:rsidR="003A1A96" w:rsidRPr="003421E2">
              <w:rPr>
                <w:sz w:val="16"/>
                <w:szCs w:val="16"/>
              </w:rPr>
              <w:t>WT/DS379/AB/R</w:t>
            </w:r>
            <w:r w:rsidR="003A1A96" w:rsidRPr="00D46126">
              <w:rPr>
                <w:color w:val="000000"/>
                <w:sz w:val="16"/>
                <w:szCs w:val="16"/>
              </w:rPr>
              <w:t>, adopted 25</w:t>
            </w:r>
            <w:r w:rsidR="000A18DA" w:rsidRPr="00D46126">
              <w:rPr>
                <w:color w:val="000000"/>
                <w:sz w:val="16"/>
                <w:szCs w:val="16"/>
              </w:rPr>
              <w:t> March</w:t>
            </w:r>
            <w:r w:rsidRPr="00D46126">
              <w:rPr>
                <w:color w:val="000000"/>
                <w:sz w:val="16"/>
                <w:szCs w:val="16"/>
              </w:rPr>
              <w:t> 20</w:t>
            </w:r>
            <w:r w:rsidR="003A1A96" w:rsidRPr="00D46126">
              <w:rPr>
                <w:color w:val="000000"/>
                <w:sz w:val="16"/>
                <w:szCs w:val="16"/>
              </w:rPr>
              <w:t>11, DSR</w:t>
            </w:r>
            <w:r w:rsidRPr="00D46126">
              <w:rPr>
                <w:color w:val="000000"/>
                <w:sz w:val="16"/>
                <w:szCs w:val="16"/>
              </w:rPr>
              <w:t> 20</w:t>
            </w:r>
            <w:r w:rsidR="003A1A96" w:rsidRPr="00D46126">
              <w:rPr>
                <w:color w:val="000000"/>
                <w:sz w:val="16"/>
                <w:szCs w:val="16"/>
              </w:rPr>
              <w:t>11:V, p. 2869</w:t>
            </w:r>
          </w:p>
        </w:tc>
      </w:tr>
      <w:tr w:rsidR="004D0A0F" w:rsidRPr="00D46126" w:rsidTr="004526E3">
        <w:trPr>
          <w:cantSplit/>
        </w:trPr>
        <w:tc>
          <w:tcPr>
            <w:tcW w:w="2600" w:type="dxa"/>
          </w:tcPr>
          <w:p w:rsidR="004D0A0F" w:rsidRPr="00D46126" w:rsidRDefault="004D0A0F" w:rsidP="004526E3">
            <w:pPr>
              <w:keepNext/>
              <w:keepLines/>
              <w:tabs>
                <w:tab w:val="left" w:pos="1660"/>
              </w:tabs>
              <w:spacing w:before="60" w:after="60"/>
              <w:jc w:val="left"/>
              <w:rPr>
                <w:i/>
                <w:color w:val="000000"/>
                <w:sz w:val="16"/>
                <w:szCs w:val="16"/>
              </w:rPr>
            </w:pPr>
            <w:r w:rsidRPr="00D46126">
              <w:rPr>
                <w:i/>
                <w:color w:val="000000"/>
                <w:sz w:val="16"/>
                <w:szCs w:val="16"/>
              </w:rPr>
              <w:t>US – Carbon Steel</w:t>
            </w:r>
          </w:p>
        </w:tc>
        <w:tc>
          <w:tcPr>
            <w:tcW w:w="6621" w:type="dxa"/>
          </w:tcPr>
          <w:p w:rsidR="004D0A0F" w:rsidRPr="00D46126" w:rsidRDefault="000A10EA" w:rsidP="004526E3">
            <w:pPr>
              <w:keepNext/>
              <w:keepLines/>
              <w:tabs>
                <w:tab w:val="left" w:pos="2268"/>
                <w:tab w:val="left" w:pos="4536"/>
              </w:tabs>
              <w:spacing w:before="60" w:after="60"/>
              <w:jc w:val="left"/>
              <w:rPr>
                <w:color w:val="000000"/>
                <w:sz w:val="16"/>
                <w:szCs w:val="16"/>
              </w:rPr>
            </w:pPr>
            <w:r w:rsidRPr="00D46126">
              <w:rPr>
                <w:color w:val="000000"/>
                <w:sz w:val="16"/>
                <w:szCs w:val="16"/>
              </w:rPr>
              <w:t>Appellate Body</w:t>
            </w:r>
            <w:r w:rsidR="004D0A0F" w:rsidRPr="00D46126">
              <w:rPr>
                <w:color w:val="000000"/>
                <w:sz w:val="16"/>
                <w:szCs w:val="16"/>
              </w:rPr>
              <w:t xml:space="preserve"> Report, </w:t>
            </w:r>
            <w:r w:rsidRPr="00D46126">
              <w:rPr>
                <w:i/>
                <w:color w:val="000000"/>
                <w:sz w:val="16"/>
                <w:szCs w:val="16"/>
              </w:rPr>
              <w:t>United States</w:t>
            </w:r>
            <w:r w:rsidR="004D0A0F" w:rsidRPr="00D46126">
              <w:rPr>
                <w:i/>
                <w:color w:val="000000"/>
                <w:sz w:val="16"/>
                <w:szCs w:val="16"/>
              </w:rPr>
              <w:t xml:space="preserve"> – Countervailing Duties on Certain Corrosion-Resistant Carbon Steel Flat Products from Germany</w:t>
            </w:r>
            <w:r w:rsidR="004D0A0F" w:rsidRPr="00D46126">
              <w:rPr>
                <w:color w:val="000000"/>
                <w:sz w:val="16"/>
                <w:szCs w:val="16"/>
              </w:rPr>
              <w:t xml:space="preserve">, </w:t>
            </w:r>
            <w:r w:rsidR="004D0A0F" w:rsidRPr="003421E2">
              <w:rPr>
                <w:sz w:val="16"/>
                <w:szCs w:val="16"/>
              </w:rPr>
              <w:t>WT/DS213/AB/R</w:t>
            </w:r>
            <w:r w:rsidR="004D0A0F" w:rsidRPr="00D46126">
              <w:rPr>
                <w:color w:val="000000"/>
                <w:sz w:val="16"/>
                <w:szCs w:val="16"/>
              </w:rPr>
              <w:t xml:space="preserve"> and Corr.1, adopted 19</w:t>
            </w:r>
            <w:r w:rsidR="000A18DA" w:rsidRPr="00D46126">
              <w:rPr>
                <w:color w:val="000000"/>
                <w:sz w:val="16"/>
                <w:szCs w:val="16"/>
              </w:rPr>
              <w:t> December</w:t>
            </w:r>
            <w:r w:rsidRPr="00D46126">
              <w:rPr>
                <w:color w:val="000000"/>
                <w:sz w:val="16"/>
                <w:szCs w:val="16"/>
              </w:rPr>
              <w:t> 20</w:t>
            </w:r>
            <w:r w:rsidR="00D26146" w:rsidRPr="00D46126">
              <w:rPr>
                <w:color w:val="000000"/>
                <w:sz w:val="16"/>
                <w:szCs w:val="16"/>
              </w:rPr>
              <w:t>02, DSR</w:t>
            </w:r>
            <w:r w:rsidRPr="00D46126">
              <w:rPr>
                <w:color w:val="000000"/>
                <w:sz w:val="16"/>
                <w:szCs w:val="16"/>
              </w:rPr>
              <w:t> 20</w:t>
            </w:r>
            <w:r w:rsidR="00D26146" w:rsidRPr="00D46126">
              <w:rPr>
                <w:color w:val="000000"/>
                <w:sz w:val="16"/>
                <w:szCs w:val="16"/>
              </w:rPr>
              <w:t>02:IX, p. </w:t>
            </w:r>
            <w:r w:rsidR="004D0A0F" w:rsidRPr="00D46126">
              <w:rPr>
                <w:color w:val="000000"/>
                <w:sz w:val="16"/>
                <w:szCs w:val="16"/>
              </w:rPr>
              <w:t>3779</w:t>
            </w:r>
          </w:p>
        </w:tc>
      </w:tr>
      <w:tr w:rsidR="005D430E" w:rsidRPr="00D46126" w:rsidTr="004526E3">
        <w:trPr>
          <w:cnfStyle w:val="000000010000" w:firstRow="0" w:lastRow="0" w:firstColumn="0" w:lastColumn="0" w:oddVBand="0" w:evenVBand="0" w:oddHBand="0" w:evenHBand="1" w:firstRowFirstColumn="0" w:firstRowLastColumn="0" w:lastRowFirstColumn="0" w:lastRowLastColumn="0"/>
          <w:cantSplit/>
        </w:trPr>
        <w:tc>
          <w:tcPr>
            <w:tcW w:w="2600" w:type="dxa"/>
          </w:tcPr>
          <w:p w:rsidR="005D430E" w:rsidRPr="00D46126" w:rsidRDefault="005D430E" w:rsidP="004526E3">
            <w:pPr>
              <w:tabs>
                <w:tab w:val="left" w:pos="1660"/>
              </w:tabs>
              <w:spacing w:before="60" w:after="60"/>
              <w:jc w:val="left"/>
              <w:rPr>
                <w:i/>
                <w:color w:val="000000"/>
                <w:sz w:val="16"/>
                <w:szCs w:val="16"/>
              </w:rPr>
            </w:pPr>
            <w:r w:rsidRPr="00D46126">
              <w:rPr>
                <w:i/>
                <w:color w:val="000000"/>
                <w:sz w:val="16"/>
                <w:szCs w:val="16"/>
              </w:rPr>
              <w:t>US – Carbon Steel (India)</w:t>
            </w:r>
          </w:p>
        </w:tc>
        <w:tc>
          <w:tcPr>
            <w:tcW w:w="6621" w:type="dxa"/>
          </w:tcPr>
          <w:p w:rsidR="005D430E" w:rsidRPr="00D46126" w:rsidRDefault="000A10EA" w:rsidP="004526E3">
            <w:pPr>
              <w:keepLines/>
              <w:tabs>
                <w:tab w:val="left" w:pos="2268"/>
                <w:tab w:val="left" w:pos="4536"/>
              </w:tabs>
              <w:spacing w:before="60" w:after="60"/>
              <w:jc w:val="left"/>
              <w:rPr>
                <w:color w:val="000000"/>
                <w:sz w:val="16"/>
                <w:szCs w:val="16"/>
              </w:rPr>
            </w:pPr>
            <w:r w:rsidRPr="00D46126">
              <w:rPr>
                <w:color w:val="000000"/>
                <w:sz w:val="16"/>
                <w:szCs w:val="16"/>
              </w:rPr>
              <w:t>Appellate Body</w:t>
            </w:r>
            <w:r w:rsidR="005D430E" w:rsidRPr="00D46126">
              <w:rPr>
                <w:color w:val="000000"/>
                <w:sz w:val="16"/>
                <w:szCs w:val="16"/>
              </w:rPr>
              <w:t xml:space="preserve"> Report, </w:t>
            </w:r>
            <w:r w:rsidRPr="00D46126">
              <w:rPr>
                <w:i/>
                <w:color w:val="000000"/>
                <w:sz w:val="16"/>
                <w:szCs w:val="16"/>
              </w:rPr>
              <w:t>United States</w:t>
            </w:r>
            <w:r w:rsidR="005D430E" w:rsidRPr="00D46126">
              <w:rPr>
                <w:i/>
                <w:color w:val="000000"/>
                <w:sz w:val="16"/>
                <w:szCs w:val="16"/>
              </w:rPr>
              <w:t xml:space="preserve"> – Countervailing Measures on Certain Hot-Rolled Carbon Steel Flat Products from India</w:t>
            </w:r>
            <w:r w:rsidR="005D430E" w:rsidRPr="00D46126">
              <w:rPr>
                <w:color w:val="000000"/>
                <w:sz w:val="16"/>
                <w:szCs w:val="16"/>
              </w:rPr>
              <w:t xml:space="preserve">, </w:t>
            </w:r>
            <w:r w:rsidR="005D430E" w:rsidRPr="003421E2">
              <w:rPr>
                <w:sz w:val="16"/>
                <w:szCs w:val="16"/>
              </w:rPr>
              <w:t>WT/DS436/AB/R</w:t>
            </w:r>
            <w:r w:rsidR="005D430E" w:rsidRPr="00D46126">
              <w:rPr>
                <w:color w:val="000000"/>
                <w:sz w:val="16"/>
                <w:szCs w:val="16"/>
              </w:rPr>
              <w:t>, adopted 19</w:t>
            </w:r>
            <w:r w:rsidR="000A18DA" w:rsidRPr="00D46126">
              <w:rPr>
                <w:color w:val="000000"/>
                <w:sz w:val="16"/>
                <w:szCs w:val="16"/>
              </w:rPr>
              <w:t> December</w:t>
            </w:r>
            <w:r w:rsidRPr="00D46126">
              <w:rPr>
                <w:color w:val="000000"/>
                <w:sz w:val="16"/>
                <w:szCs w:val="16"/>
              </w:rPr>
              <w:t> 20</w:t>
            </w:r>
            <w:r w:rsidR="005D430E" w:rsidRPr="00D46126">
              <w:rPr>
                <w:color w:val="000000"/>
                <w:sz w:val="16"/>
                <w:szCs w:val="16"/>
              </w:rPr>
              <w:t>14, DSR</w:t>
            </w:r>
            <w:r w:rsidRPr="00D46126">
              <w:rPr>
                <w:color w:val="000000"/>
                <w:sz w:val="16"/>
                <w:szCs w:val="16"/>
              </w:rPr>
              <w:t> 20</w:t>
            </w:r>
            <w:r w:rsidR="005D430E" w:rsidRPr="00D46126">
              <w:rPr>
                <w:color w:val="000000"/>
                <w:sz w:val="16"/>
                <w:szCs w:val="16"/>
              </w:rPr>
              <w:t>14:V, p. 1727</w:t>
            </w:r>
          </w:p>
        </w:tc>
      </w:tr>
      <w:tr w:rsidR="00B74B31" w:rsidRPr="00D46126" w:rsidTr="004526E3">
        <w:trPr>
          <w:cantSplit/>
        </w:trPr>
        <w:tc>
          <w:tcPr>
            <w:tcW w:w="2600" w:type="dxa"/>
          </w:tcPr>
          <w:p w:rsidR="00B74B31" w:rsidRPr="00D46126" w:rsidRDefault="003A1A96" w:rsidP="004526E3">
            <w:pPr>
              <w:keepNext/>
              <w:keepLines/>
              <w:tabs>
                <w:tab w:val="left" w:pos="1660"/>
              </w:tabs>
              <w:spacing w:before="60" w:after="60"/>
              <w:jc w:val="left"/>
              <w:rPr>
                <w:i/>
                <w:color w:val="000000"/>
                <w:sz w:val="16"/>
                <w:szCs w:val="16"/>
              </w:rPr>
            </w:pPr>
            <w:r w:rsidRPr="00D46126">
              <w:rPr>
                <w:i/>
                <w:color w:val="000000"/>
                <w:sz w:val="16"/>
                <w:szCs w:val="16"/>
              </w:rPr>
              <w:t>US – Continued Suspension</w:t>
            </w:r>
          </w:p>
        </w:tc>
        <w:tc>
          <w:tcPr>
            <w:tcW w:w="6621" w:type="dxa"/>
          </w:tcPr>
          <w:p w:rsidR="00B74B31" w:rsidRPr="00D46126" w:rsidRDefault="000A10EA" w:rsidP="004526E3">
            <w:pPr>
              <w:keepNext/>
              <w:keepLines/>
              <w:tabs>
                <w:tab w:val="left" w:pos="2268"/>
                <w:tab w:val="left" w:pos="4536"/>
              </w:tabs>
              <w:spacing w:before="60" w:after="60"/>
              <w:jc w:val="left"/>
              <w:rPr>
                <w:color w:val="000000"/>
                <w:sz w:val="16"/>
                <w:szCs w:val="16"/>
              </w:rPr>
            </w:pPr>
            <w:r w:rsidRPr="00D46126">
              <w:rPr>
                <w:color w:val="000000"/>
                <w:sz w:val="16"/>
                <w:szCs w:val="16"/>
              </w:rPr>
              <w:t>Appellate Body</w:t>
            </w:r>
            <w:r w:rsidR="003A1A96" w:rsidRPr="00D46126">
              <w:rPr>
                <w:color w:val="000000"/>
                <w:sz w:val="16"/>
                <w:szCs w:val="16"/>
              </w:rPr>
              <w:t xml:space="preserve"> Report, </w:t>
            </w:r>
            <w:r w:rsidRPr="00D46126">
              <w:rPr>
                <w:i/>
                <w:color w:val="000000"/>
                <w:sz w:val="16"/>
                <w:szCs w:val="16"/>
              </w:rPr>
              <w:t>United States</w:t>
            </w:r>
            <w:r w:rsidR="003A1A96" w:rsidRPr="00D46126">
              <w:rPr>
                <w:i/>
                <w:color w:val="000000"/>
                <w:sz w:val="16"/>
                <w:szCs w:val="16"/>
              </w:rPr>
              <w:t xml:space="preserve"> – Continued Suspension of Obligations in the EC – Hormones Dispute</w:t>
            </w:r>
            <w:r w:rsidR="003A1A96" w:rsidRPr="00D46126">
              <w:rPr>
                <w:color w:val="000000"/>
                <w:sz w:val="16"/>
                <w:szCs w:val="16"/>
              </w:rPr>
              <w:t xml:space="preserve">, </w:t>
            </w:r>
            <w:r w:rsidR="003A1A96" w:rsidRPr="003421E2">
              <w:rPr>
                <w:sz w:val="16"/>
                <w:szCs w:val="16"/>
              </w:rPr>
              <w:t>WT/DS320/AB/R</w:t>
            </w:r>
            <w:r w:rsidR="003A1A96" w:rsidRPr="00D46126">
              <w:rPr>
                <w:color w:val="000000"/>
                <w:sz w:val="16"/>
                <w:szCs w:val="16"/>
              </w:rPr>
              <w:t>, adopted 14</w:t>
            </w:r>
            <w:r w:rsidR="000A18DA" w:rsidRPr="00D46126">
              <w:rPr>
                <w:color w:val="000000"/>
                <w:sz w:val="16"/>
                <w:szCs w:val="16"/>
              </w:rPr>
              <w:t> November</w:t>
            </w:r>
            <w:r w:rsidRPr="00D46126">
              <w:rPr>
                <w:color w:val="000000"/>
                <w:sz w:val="16"/>
                <w:szCs w:val="16"/>
              </w:rPr>
              <w:t> 20</w:t>
            </w:r>
            <w:r w:rsidR="003A1A96" w:rsidRPr="00D46126">
              <w:rPr>
                <w:color w:val="000000"/>
                <w:sz w:val="16"/>
                <w:szCs w:val="16"/>
              </w:rPr>
              <w:t>08, DSR</w:t>
            </w:r>
            <w:r w:rsidRPr="00D46126">
              <w:rPr>
                <w:color w:val="000000"/>
                <w:sz w:val="16"/>
                <w:szCs w:val="16"/>
              </w:rPr>
              <w:t> 20</w:t>
            </w:r>
            <w:r w:rsidR="003A1A96" w:rsidRPr="00D46126">
              <w:rPr>
                <w:color w:val="000000"/>
                <w:sz w:val="16"/>
                <w:szCs w:val="16"/>
              </w:rPr>
              <w:t>08:X, p. 3507</w:t>
            </w:r>
          </w:p>
        </w:tc>
      </w:tr>
      <w:tr w:rsidR="00746DB9" w:rsidRPr="00D46126" w:rsidTr="004526E3">
        <w:trPr>
          <w:cnfStyle w:val="000000010000" w:firstRow="0" w:lastRow="0" w:firstColumn="0" w:lastColumn="0" w:oddVBand="0" w:evenVBand="0" w:oddHBand="0" w:evenHBand="1" w:firstRowFirstColumn="0" w:firstRowLastColumn="0" w:lastRowFirstColumn="0" w:lastRowLastColumn="0"/>
          <w:cantSplit/>
        </w:trPr>
        <w:tc>
          <w:tcPr>
            <w:tcW w:w="2600" w:type="dxa"/>
          </w:tcPr>
          <w:p w:rsidR="00746DB9" w:rsidRPr="00D46126" w:rsidRDefault="00746DB9" w:rsidP="004526E3">
            <w:pPr>
              <w:keepNext/>
              <w:keepLines/>
              <w:tabs>
                <w:tab w:val="left" w:pos="1660"/>
              </w:tabs>
              <w:spacing w:before="60" w:after="60"/>
              <w:jc w:val="left"/>
              <w:rPr>
                <w:i/>
                <w:color w:val="000000"/>
                <w:sz w:val="16"/>
                <w:szCs w:val="16"/>
              </w:rPr>
            </w:pPr>
            <w:r w:rsidRPr="00D46126">
              <w:rPr>
                <w:i/>
                <w:color w:val="000000"/>
                <w:sz w:val="16"/>
                <w:szCs w:val="16"/>
              </w:rPr>
              <w:t>US – Continued Zeroing</w:t>
            </w:r>
          </w:p>
        </w:tc>
        <w:tc>
          <w:tcPr>
            <w:tcW w:w="6621" w:type="dxa"/>
          </w:tcPr>
          <w:p w:rsidR="00746DB9" w:rsidRPr="00D46126" w:rsidRDefault="00746DB9" w:rsidP="004526E3">
            <w:pPr>
              <w:keepNext/>
              <w:keepLines/>
              <w:tabs>
                <w:tab w:val="left" w:pos="2268"/>
                <w:tab w:val="left" w:pos="4536"/>
              </w:tabs>
              <w:spacing w:before="60" w:after="60"/>
              <w:jc w:val="left"/>
              <w:rPr>
                <w:color w:val="000000"/>
                <w:sz w:val="16"/>
                <w:szCs w:val="16"/>
              </w:rPr>
            </w:pPr>
            <w:r w:rsidRPr="00D46126">
              <w:rPr>
                <w:color w:val="000000"/>
                <w:sz w:val="16"/>
                <w:szCs w:val="16"/>
              </w:rPr>
              <w:t xml:space="preserve">Appellate Body Report, </w:t>
            </w:r>
            <w:r w:rsidRPr="00D46126">
              <w:rPr>
                <w:i/>
                <w:color w:val="000000"/>
                <w:sz w:val="16"/>
                <w:szCs w:val="16"/>
              </w:rPr>
              <w:t>United States – Continued Existence and Application of Zeroing Methodology</w:t>
            </w:r>
            <w:r w:rsidRPr="00D46126">
              <w:rPr>
                <w:color w:val="000000"/>
                <w:sz w:val="16"/>
                <w:szCs w:val="16"/>
              </w:rPr>
              <w:t xml:space="preserve">, </w:t>
            </w:r>
            <w:r w:rsidRPr="003421E2">
              <w:rPr>
                <w:sz w:val="16"/>
                <w:szCs w:val="16"/>
              </w:rPr>
              <w:t>WT/DS350/AB/R</w:t>
            </w:r>
            <w:r w:rsidR="00933169">
              <w:rPr>
                <w:color w:val="000000"/>
                <w:sz w:val="16"/>
                <w:szCs w:val="16"/>
              </w:rPr>
              <w:t>, adopted 19 February 2009, DSR </w:t>
            </w:r>
            <w:r w:rsidRPr="00D46126">
              <w:rPr>
                <w:color w:val="000000"/>
                <w:sz w:val="16"/>
                <w:szCs w:val="16"/>
              </w:rPr>
              <w:t>2009:III, p. 1291</w:t>
            </w:r>
          </w:p>
        </w:tc>
      </w:tr>
      <w:tr w:rsidR="005D430E" w:rsidRPr="00D46126" w:rsidTr="004526E3">
        <w:trPr>
          <w:cantSplit/>
        </w:trPr>
        <w:tc>
          <w:tcPr>
            <w:tcW w:w="2600" w:type="dxa"/>
          </w:tcPr>
          <w:p w:rsidR="005D430E" w:rsidRPr="00D46126" w:rsidRDefault="005D430E" w:rsidP="004526E3">
            <w:pPr>
              <w:tabs>
                <w:tab w:val="left" w:pos="1660"/>
              </w:tabs>
              <w:spacing w:before="60" w:after="60"/>
              <w:jc w:val="left"/>
              <w:rPr>
                <w:i/>
                <w:color w:val="000000"/>
                <w:sz w:val="16"/>
                <w:szCs w:val="16"/>
              </w:rPr>
            </w:pPr>
            <w:r w:rsidRPr="00D46126">
              <w:rPr>
                <w:i/>
                <w:color w:val="000000"/>
                <w:sz w:val="16"/>
                <w:szCs w:val="16"/>
              </w:rPr>
              <w:t>US – COOL (</w:t>
            </w:r>
            <w:r w:rsidR="000A10EA" w:rsidRPr="00D46126">
              <w:rPr>
                <w:i/>
                <w:color w:val="000000"/>
                <w:sz w:val="16"/>
                <w:szCs w:val="16"/>
              </w:rPr>
              <w:t>Article </w:t>
            </w:r>
            <w:r w:rsidR="003E77EE">
              <w:rPr>
                <w:i/>
                <w:color w:val="000000"/>
                <w:sz w:val="16"/>
                <w:szCs w:val="16"/>
              </w:rPr>
              <w:t>21.5 ‒ Canada and </w:t>
            </w:r>
            <w:r w:rsidRPr="00D46126">
              <w:rPr>
                <w:i/>
                <w:color w:val="000000"/>
                <w:sz w:val="16"/>
                <w:szCs w:val="16"/>
              </w:rPr>
              <w:t>Mexico)</w:t>
            </w:r>
          </w:p>
        </w:tc>
        <w:tc>
          <w:tcPr>
            <w:tcW w:w="6621" w:type="dxa"/>
          </w:tcPr>
          <w:p w:rsidR="005D430E" w:rsidRPr="00D46126" w:rsidRDefault="000A10EA" w:rsidP="004526E3">
            <w:pPr>
              <w:keepLines/>
              <w:tabs>
                <w:tab w:val="left" w:pos="2268"/>
                <w:tab w:val="left" w:pos="4536"/>
              </w:tabs>
              <w:spacing w:before="60" w:after="60"/>
              <w:jc w:val="left"/>
              <w:rPr>
                <w:color w:val="000000"/>
                <w:sz w:val="16"/>
                <w:szCs w:val="16"/>
              </w:rPr>
            </w:pPr>
            <w:r w:rsidRPr="00D46126">
              <w:rPr>
                <w:color w:val="000000"/>
                <w:sz w:val="16"/>
                <w:szCs w:val="16"/>
              </w:rPr>
              <w:t>Appellate Body</w:t>
            </w:r>
            <w:r w:rsidR="005D430E" w:rsidRPr="00D46126">
              <w:rPr>
                <w:color w:val="000000"/>
                <w:sz w:val="16"/>
                <w:szCs w:val="16"/>
              </w:rPr>
              <w:t xml:space="preserve"> Reports, </w:t>
            </w:r>
            <w:r w:rsidRPr="00D46126">
              <w:rPr>
                <w:i/>
                <w:color w:val="000000"/>
                <w:sz w:val="16"/>
                <w:szCs w:val="16"/>
              </w:rPr>
              <w:t>United States</w:t>
            </w:r>
            <w:r w:rsidR="005D430E" w:rsidRPr="00D46126">
              <w:rPr>
                <w:i/>
                <w:color w:val="000000"/>
                <w:sz w:val="16"/>
                <w:szCs w:val="16"/>
              </w:rPr>
              <w:t xml:space="preserve"> – Certain Country of Origin Labelling (COOL) Requirements – Recourse to </w:t>
            </w:r>
            <w:r w:rsidRPr="00D46126">
              <w:rPr>
                <w:i/>
                <w:color w:val="000000"/>
                <w:sz w:val="16"/>
                <w:szCs w:val="16"/>
              </w:rPr>
              <w:t>Article </w:t>
            </w:r>
            <w:r w:rsidR="005D430E" w:rsidRPr="00D46126">
              <w:rPr>
                <w:i/>
                <w:color w:val="000000"/>
                <w:sz w:val="16"/>
                <w:szCs w:val="16"/>
              </w:rPr>
              <w:t>21.5 of the DSU by Canada and Mexico</w:t>
            </w:r>
            <w:r w:rsidR="005D430E" w:rsidRPr="00D46126">
              <w:rPr>
                <w:color w:val="000000"/>
                <w:sz w:val="16"/>
                <w:szCs w:val="16"/>
              </w:rPr>
              <w:t xml:space="preserve">, </w:t>
            </w:r>
            <w:r w:rsidR="005D430E" w:rsidRPr="003421E2">
              <w:rPr>
                <w:sz w:val="16"/>
                <w:szCs w:val="16"/>
              </w:rPr>
              <w:t>WT/DS384/AB/RW</w:t>
            </w:r>
            <w:r w:rsidR="005D430E" w:rsidRPr="00D46126">
              <w:rPr>
                <w:color w:val="000000"/>
                <w:sz w:val="16"/>
                <w:szCs w:val="16"/>
              </w:rPr>
              <w:t xml:space="preserve"> / </w:t>
            </w:r>
            <w:r w:rsidR="005D430E" w:rsidRPr="003421E2">
              <w:rPr>
                <w:sz w:val="16"/>
                <w:szCs w:val="16"/>
              </w:rPr>
              <w:t>WT/DS386/AB/RW</w:t>
            </w:r>
            <w:r w:rsidR="005D430E" w:rsidRPr="00D46126">
              <w:rPr>
                <w:color w:val="000000"/>
                <w:sz w:val="16"/>
                <w:szCs w:val="16"/>
              </w:rPr>
              <w:t>, adopted 29</w:t>
            </w:r>
            <w:r w:rsidR="000A18DA" w:rsidRPr="00D46126">
              <w:rPr>
                <w:color w:val="000000"/>
                <w:sz w:val="16"/>
                <w:szCs w:val="16"/>
              </w:rPr>
              <w:t> May</w:t>
            </w:r>
            <w:r w:rsidRPr="00D46126">
              <w:rPr>
                <w:color w:val="000000"/>
                <w:sz w:val="16"/>
                <w:szCs w:val="16"/>
              </w:rPr>
              <w:t> 20</w:t>
            </w:r>
            <w:r w:rsidR="005D430E" w:rsidRPr="00D46126">
              <w:rPr>
                <w:color w:val="000000"/>
                <w:sz w:val="16"/>
                <w:szCs w:val="16"/>
              </w:rPr>
              <w:t>15</w:t>
            </w:r>
          </w:p>
        </w:tc>
      </w:tr>
      <w:tr w:rsidR="00A03352" w:rsidRPr="00D46126" w:rsidTr="004526E3">
        <w:trPr>
          <w:cnfStyle w:val="000000010000" w:firstRow="0" w:lastRow="0" w:firstColumn="0" w:lastColumn="0" w:oddVBand="0" w:evenVBand="0" w:oddHBand="0" w:evenHBand="1" w:firstRowFirstColumn="0" w:firstRowLastColumn="0" w:lastRowFirstColumn="0" w:lastRowLastColumn="0"/>
          <w:cantSplit/>
        </w:trPr>
        <w:tc>
          <w:tcPr>
            <w:tcW w:w="2600" w:type="dxa"/>
          </w:tcPr>
          <w:p w:rsidR="00A03352" w:rsidRPr="00D46126" w:rsidRDefault="00A03352" w:rsidP="004526E3">
            <w:pPr>
              <w:tabs>
                <w:tab w:val="left" w:pos="1660"/>
              </w:tabs>
              <w:spacing w:before="60" w:after="60"/>
              <w:jc w:val="left"/>
              <w:rPr>
                <w:i/>
                <w:color w:val="000000"/>
                <w:sz w:val="16"/>
                <w:szCs w:val="16"/>
              </w:rPr>
            </w:pPr>
            <w:r w:rsidRPr="00D46126">
              <w:rPr>
                <w:i/>
                <w:color w:val="000000"/>
                <w:sz w:val="16"/>
                <w:szCs w:val="16"/>
              </w:rPr>
              <w:t>US – Cotton Yarn</w:t>
            </w:r>
          </w:p>
        </w:tc>
        <w:tc>
          <w:tcPr>
            <w:tcW w:w="6621" w:type="dxa"/>
          </w:tcPr>
          <w:p w:rsidR="00A03352" w:rsidRPr="00D46126" w:rsidRDefault="00A03352" w:rsidP="004526E3">
            <w:pPr>
              <w:keepLines/>
              <w:tabs>
                <w:tab w:val="left" w:pos="2268"/>
                <w:tab w:val="left" w:pos="4536"/>
              </w:tabs>
              <w:spacing w:before="60" w:after="60"/>
              <w:jc w:val="left"/>
              <w:rPr>
                <w:color w:val="000000"/>
                <w:sz w:val="16"/>
                <w:szCs w:val="16"/>
              </w:rPr>
            </w:pPr>
            <w:r w:rsidRPr="00D46126">
              <w:rPr>
                <w:color w:val="000000"/>
                <w:sz w:val="16"/>
                <w:szCs w:val="16"/>
              </w:rPr>
              <w:t xml:space="preserve">Panel Report, </w:t>
            </w:r>
            <w:r w:rsidRPr="00D46126">
              <w:rPr>
                <w:i/>
                <w:color w:val="000000"/>
                <w:sz w:val="16"/>
                <w:szCs w:val="16"/>
              </w:rPr>
              <w:t>United States – Transitional Safeguard Measure on Combed Cotton Yarn from Pakistan</w:t>
            </w:r>
            <w:r w:rsidRPr="00D46126">
              <w:rPr>
                <w:color w:val="000000"/>
                <w:sz w:val="16"/>
                <w:szCs w:val="16"/>
              </w:rPr>
              <w:t xml:space="preserve">, </w:t>
            </w:r>
            <w:r w:rsidRPr="003421E2">
              <w:rPr>
                <w:sz w:val="16"/>
                <w:szCs w:val="16"/>
              </w:rPr>
              <w:t>WT/DS192/R</w:t>
            </w:r>
            <w:r w:rsidRPr="00D46126">
              <w:rPr>
                <w:color w:val="000000"/>
                <w:sz w:val="16"/>
                <w:szCs w:val="16"/>
              </w:rPr>
              <w:t>, adopted 5 November 2001, as modified by Appellate Body Report WT/DS192/AB/R, DSR 2001:XII, p. 6067</w:t>
            </w:r>
          </w:p>
        </w:tc>
      </w:tr>
      <w:tr w:rsidR="004D0A48" w:rsidRPr="00D46126" w:rsidTr="004526E3">
        <w:trPr>
          <w:cantSplit/>
        </w:trPr>
        <w:tc>
          <w:tcPr>
            <w:tcW w:w="2600" w:type="dxa"/>
          </w:tcPr>
          <w:p w:rsidR="004D0A48" w:rsidRPr="00D46126" w:rsidRDefault="004D0A48" w:rsidP="004526E3">
            <w:pPr>
              <w:tabs>
                <w:tab w:val="left" w:pos="1660"/>
              </w:tabs>
              <w:spacing w:before="60" w:after="60"/>
              <w:jc w:val="left"/>
              <w:rPr>
                <w:i/>
                <w:color w:val="000000"/>
                <w:sz w:val="16"/>
                <w:szCs w:val="16"/>
              </w:rPr>
            </w:pPr>
            <w:r w:rsidRPr="00D46126">
              <w:rPr>
                <w:i/>
                <w:color w:val="000000"/>
                <w:sz w:val="16"/>
                <w:szCs w:val="16"/>
              </w:rPr>
              <w:t>US – Countervailing and Anti-Dumping Measures (China)</w:t>
            </w:r>
          </w:p>
        </w:tc>
        <w:tc>
          <w:tcPr>
            <w:tcW w:w="6621" w:type="dxa"/>
          </w:tcPr>
          <w:p w:rsidR="004D0A48" w:rsidRPr="00D46126" w:rsidRDefault="000A10EA" w:rsidP="004526E3">
            <w:pPr>
              <w:keepLines/>
              <w:tabs>
                <w:tab w:val="left" w:pos="2268"/>
                <w:tab w:val="left" w:pos="4536"/>
              </w:tabs>
              <w:spacing w:before="60" w:after="60"/>
              <w:jc w:val="left"/>
              <w:rPr>
                <w:color w:val="000000"/>
                <w:sz w:val="16"/>
                <w:szCs w:val="16"/>
              </w:rPr>
            </w:pPr>
            <w:r w:rsidRPr="00D46126">
              <w:rPr>
                <w:color w:val="000000"/>
                <w:sz w:val="16"/>
                <w:szCs w:val="16"/>
              </w:rPr>
              <w:t>Appellate Body</w:t>
            </w:r>
            <w:r w:rsidR="004D0A48" w:rsidRPr="00D46126">
              <w:rPr>
                <w:color w:val="000000"/>
                <w:sz w:val="16"/>
                <w:szCs w:val="16"/>
              </w:rPr>
              <w:t xml:space="preserve"> Report, </w:t>
            </w:r>
            <w:r w:rsidRPr="00D46126">
              <w:rPr>
                <w:i/>
                <w:color w:val="000000"/>
                <w:sz w:val="16"/>
                <w:szCs w:val="16"/>
              </w:rPr>
              <w:t>United States</w:t>
            </w:r>
            <w:r w:rsidR="004D0A48" w:rsidRPr="00D46126">
              <w:rPr>
                <w:i/>
                <w:color w:val="000000"/>
                <w:sz w:val="16"/>
                <w:szCs w:val="16"/>
              </w:rPr>
              <w:t xml:space="preserve"> – Countervailing and Anti-Dumping Measures on Certain Products from China</w:t>
            </w:r>
            <w:r w:rsidR="004D0A48" w:rsidRPr="00D46126">
              <w:rPr>
                <w:color w:val="000000"/>
                <w:sz w:val="16"/>
                <w:szCs w:val="16"/>
              </w:rPr>
              <w:t xml:space="preserve">, </w:t>
            </w:r>
            <w:r w:rsidR="004D0A48" w:rsidRPr="003421E2">
              <w:rPr>
                <w:sz w:val="16"/>
                <w:szCs w:val="16"/>
              </w:rPr>
              <w:t>WT/DS449/AB/R</w:t>
            </w:r>
            <w:r w:rsidR="004D0A48" w:rsidRPr="00D46126">
              <w:rPr>
                <w:color w:val="000000"/>
                <w:sz w:val="16"/>
                <w:szCs w:val="16"/>
              </w:rPr>
              <w:t xml:space="preserve"> and Corr.1, adopted 22</w:t>
            </w:r>
            <w:r w:rsidR="000A18DA" w:rsidRPr="00D46126">
              <w:rPr>
                <w:color w:val="000000"/>
                <w:sz w:val="16"/>
                <w:szCs w:val="16"/>
              </w:rPr>
              <w:t> July</w:t>
            </w:r>
            <w:r w:rsidRPr="00D46126">
              <w:rPr>
                <w:color w:val="000000"/>
                <w:sz w:val="16"/>
                <w:szCs w:val="16"/>
              </w:rPr>
              <w:t> 20</w:t>
            </w:r>
            <w:r w:rsidR="004D0A48" w:rsidRPr="00D46126">
              <w:rPr>
                <w:color w:val="000000"/>
                <w:sz w:val="16"/>
                <w:szCs w:val="16"/>
              </w:rPr>
              <w:t>14, DSR</w:t>
            </w:r>
            <w:r w:rsidRPr="00D46126">
              <w:rPr>
                <w:color w:val="000000"/>
                <w:sz w:val="16"/>
                <w:szCs w:val="16"/>
              </w:rPr>
              <w:t> 20</w:t>
            </w:r>
            <w:r w:rsidR="004D0A48" w:rsidRPr="00D46126">
              <w:rPr>
                <w:color w:val="000000"/>
                <w:sz w:val="16"/>
                <w:szCs w:val="16"/>
              </w:rPr>
              <w:t>14:VIII, p. 3027</w:t>
            </w:r>
          </w:p>
        </w:tc>
      </w:tr>
      <w:tr w:rsidR="00746DB9" w:rsidRPr="00D46126" w:rsidTr="004526E3">
        <w:trPr>
          <w:cnfStyle w:val="000000010000" w:firstRow="0" w:lastRow="0" w:firstColumn="0" w:lastColumn="0" w:oddVBand="0" w:evenVBand="0" w:oddHBand="0" w:evenHBand="1" w:firstRowFirstColumn="0" w:firstRowLastColumn="0" w:lastRowFirstColumn="0" w:lastRowLastColumn="0"/>
          <w:cantSplit/>
        </w:trPr>
        <w:tc>
          <w:tcPr>
            <w:tcW w:w="2600" w:type="dxa"/>
          </w:tcPr>
          <w:p w:rsidR="00746DB9" w:rsidRPr="00D46126" w:rsidRDefault="00746DB9" w:rsidP="004526E3">
            <w:pPr>
              <w:tabs>
                <w:tab w:val="left" w:pos="1660"/>
              </w:tabs>
              <w:spacing w:before="60" w:after="60"/>
              <w:jc w:val="left"/>
              <w:rPr>
                <w:i/>
                <w:color w:val="000000"/>
                <w:sz w:val="16"/>
                <w:szCs w:val="16"/>
              </w:rPr>
            </w:pPr>
            <w:r w:rsidRPr="00D46126">
              <w:rPr>
                <w:i/>
                <w:color w:val="000000"/>
                <w:sz w:val="16"/>
                <w:szCs w:val="16"/>
              </w:rPr>
              <w:t>US – Countervailing and Anti-Dumping Measures (China)</w:t>
            </w:r>
          </w:p>
        </w:tc>
        <w:tc>
          <w:tcPr>
            <w:tcW w:w="6621" w:type="dxa"/>
          </w:tcPr>
          <w:p w:rsidR="00746DB9" w:rsidRPr="00D46126" w:rsidRDefault="00746DB9" w:rsidP="004526E3">
            <w:pPr>
              <w:keepLines/>
              <w:tabs>
                <w:tab w:val="left" w:pos="2268"/>
                <w:tab w:val="left" w:pos="4536"/>
              </w:tabs>
              <w:spacing w:before="60" w:after="60"/>
              <w:jc w:val="left"/>
              <w:rPr>
                <w:color w:val="000000"/>
                <w:sz w:val="16"/>
                <w:szCs w:val="16"/>
              </w:rPr>
            </w:pPr>
            <w:r w:rsidRPr="00D46126">
              <w:rPr>
                <w:color w:val="000000"/>
                <w:sz w:val="16"/>
                <w:szCs w:val="16"/>
              </w:rPr>
              <w:t xml:space="preserve">Panel Report, </w:t>
            </w:r>
            <w:r w:rsidRPr="00D46126">
              <w:rPr>
                <w:i/>
                <w:color w:val="000000"/>
                <w:sz w:val="16"/>
                <w:szCs w:val="16"/>
              </w:rPr>
              <w:t>United States – Countervailing and Anti-Dumping Measures on Certain Products from China</w:t>
            </w:r>
            <w:r w:rsidRPr="00D46126">
              <w:rPr>
                <w:color w:val="000000"/>
                <w:sz w:val="16"/>
                <w:szCs w:val="16"/>
              </w:rPr>
              <w:t xml:space="preserve">, </w:t>
            </w:r>
            <w:r w:rsidRPr="003421E2">
              <w:rPr>
                <w:sz w:val="16"/>
                <w:szCs w:val="16"/>
              </w:rPr>
              <w:t>WT/DS449/R</w:t>
            </w:r>
            <w:r w:rsidRPr="00D46126">
              <w:rPr>
                <w:color w:val="000000"/>
                <w:sz w:val="16"/>
                <w:szCs w:val="16"/>
              </w:rPr>
              <w:t xml:space="preserve"> and Add.1, adopted 22 July 2014, as modified by Appellate Body Report W</w:t>
            </w:r>
            <w:r w:rsidR="00933169">
              <w:rPr>
                <w:color w:val="000000"/>
                <w:sz w:val="16"/>
                <w:szCs w:val="16"/>
              </w:rPr>
              <w:t>T/DS449/AB/R, DSR 2014:VIII, p. </w:t>
            </w:r>
            <w:r w:rsidRPr="00D46126">
              <w:rPr>
                <w:color w:val="000000"/>
                <w:sz w:val="16"/>
                <w:szCs w:val="16"/>
              </w:rPr>
              <w:t>3175</w:t>
            </w:r>
          </w:p>
        </w:tc>
      </w:tr>
      <w:tr w:rsidR="00746DB9" w:rsidRPr="00D46126" w:rsidTr="004526E3">
        <w:trPr>
          <w:cantSplit/>
        </w:trPr>
        <w:tc>
          <w:tcPr>
            <w:tcW w:w="2600" w:type="dxa"/>
          </w:tcPr>
          <w:p w:rsidR="00746DB9" w:rsidRPr="00D46126" w:rsidRDefault="00746DB9" w:rsidP="004526E3">
            <w:pPr>
              <w:tabs>
                <w:tab w:val="left" w:pos="1660"/>
              </w:tabs>
              <w:spacing w:before="60" w:after="60"/>
              <w:jc w:val="left"/>
              <w:rPr>
                <w:i/>
                <w:color w:val="000000"/>
                <w:sz w:val="16"/>
                <w:szCs w:val="16"/>
              </w:rPr>
            </w:pPr>
            <w:r w:rsidRPr="00D46126">
              <w:rPr>
                <w:i/>
                <w:color w:val="000000"/>
                <w:sz w:val="16"/>
                <w:szCs w:val="16"/>
              </w:rPr>
              <w:t>US – Countervailing Duty Investigation on DRAMS</w:t>
            </w:r>
          </w:p>
        </w:tc>
        <w:tc>
          <w:tcPr>
            <w:tcW w:w="6621" w:type="dxa"/>
          </w:tcPr>
          <w:p w:rsidR="00746DB9" w:rsidRPr="00D46126" w:rsidRDefault="00746DB9" w:rsidP="004526E3">
            <w:pPr>
              <w:keepLines/>
              <w:tabs>
                <w:tab w:val="left" w:pos="2268"/>
                <w:tab w:val="left" w:pos="4536"/>
              </w:tabs>
              <w:spacing w:before="60" w:after="60"/>
              <w:jc w:val="left"/>
              <w:rPr>
                <w:color w:val="000000"/>
                <w:sz w:val="16"/>
                <w:szCs w:val="16"/>
              </w:rPr>
            </w:pPr>
            <w:r w:rsidRPr="00D46126">
              <w:rPr>
                <w:color w:val="000000"/>
                <w:sz w:val="16"/>
                <w:szCs w:val="16"/>
              </w:rPr>
              <w:t xml:space="preserve">Appellate Body Report, </w:t>
            </w:r>
            <w:r w:rsidRPr="00D46126">
              <w:rPr>
                <w:i/>
                <w:color w:val="000000"/>
                <w:sz w:val="16"/>
                <w:szCs w:val="16"/>
              </w:rPr>
              <w:t>United States – Countervailing Duty Investigation on Dynamic Random Access Memory Semiconductors (DRAMS) from Korea</w:t>
            </w:r>
            <w:r w:rsidRPr="00D46126">
              <w:rPr>
                <w:color w:val="000000"/>
                <w:sz w:val="16"/>
                <w:szCs w:val="16"/>
              </w:rPr>
              <w:t xml:space="preserve">, </w:t>
            </w:r>
            <w:r w:rsidRPr="003421E2">
              <w:rPr>
                <w:sz w:val="16"/>
                <w:szCs w:val="16"/>
              </w:rPr>
              <w:t>WT/DS296/AB/R</w:t>
            </w:r>
            <w:r w:rsidRPr="00D46126">
              <w:rPr>
                <w:color w:val="000000"/>
                <w:sz w:val="16"/>
                <w:szCs w:val="16"/>
              </w:rPr>
              <w:t>, adopted 20 July 2005, DSR 2005:XVI, p. 8131</w:t>
            </w:r>
          </w:p>
        </w:tc>
      </w:tr>
      <w:tr w:rsidR="005D430E" w:rsidRPr="00D46126" w:rsidTr="004526E3">
        <w:trPr>
          <w:cnfStyle w:val="000000010000" w:firstRow="0" w:lastRow="0" w:firstColumn="0" w:lastColumn="0" w:oddVBand="0" w:evenVBand="0" w:oddHBand="0" w:evenHBand="1" w:firstRowFirstColumn="0" w:firstRowLastColumn="0" w:lastRowFirstColumn="0" w:lastRowLastColumn="0"/>
          <w:cantSplit/>
        </w:trPr>
        <w:tc>
          <w:tcPr>
            <w:tcW w:w="2600" w:type="dxa"/>
          </w:tcPr>
          <w:p w:rsidR="005D430E" w:rsidRPr="00D46126" w:rsidRDefault="005D430E" w:rsidP="004526E3">
            <w:pPr>
              <w:tabs>
                <w:tab w:val="left" w:pos="1660"/>
              </w:tabs>
              <w:spacing w:before="60" w:after="60"/>
              <w:jc w:val="left"/>
              <w:rPr>
                <w:i/>
                <w:color w:val="000000"/>
                <w:sz w:val="16"/>
                <w:szCs w:val="16"/>
              </w:rPr>
            </w:pPr>
            <w:r w:rsidRPr="00D46126">
              <w:rPr>
                <w:i/>
                <w:color w:val="000000"/>
                <w:sz w:val="16"/>
                <w:szCs w:val="16"/>
              </w:rPr>
              <w:t>US – FSC</w:t>
            </w:r>
          </w:p>
        </w:tc>
        <w:tc>
          <w:tcPr>
            <w:tcW w:w="6621" w:type="dxa"/>
          </w:tcPr>
          <w:p w:rsidR="005D430E" w:rsidRPr="00D46126" w:rsidRDefault="000A10EA" w:rsidP="004526E3">
            <w:pPr>
              <w:keepLines/>
              <w:tabs>
                <w:tab w:val="left" w:pos="2268"/>
                <w:tab w:val="left" w:pos="4536"/>
              </w:tabs>
              <w:spacing w:before="60" w:after="60"/>
              <w:jc w:val="left"/>
              <w:rPr>
                <w:color w:val="000000"/>
                <w:sz w:val="16"/>
                <w:szCs w:val="16"/>
              </w:rPr>
            </w:pPr>
            <w:r w:rsidRPr="00D46126">
              <w:rPr>
                <w:color w:val="000000"/>
                <w:sz w:val="16"/>
                <w:szCs w:val="16"/>
              </w:rPr>
              <w:t>Appellate Body</w:t>
            </w:r>
            <w:r w:rsidR="005D430E" w:rsidRPr="00D46126">
              <w:rPr>
                <w:color w:val="000000"/>
                <w:sz w:val="16"/>
                <w:szCs w:val="16"/>
              </w:rPr>
              <w:t xml:space="preserve"> Report, </w:t>
            </w:r>
            <w:r w:rsidRPr="00D46126">
              <w:rPr>
                <w:i/>
                <w:color w:val="000000"/>
                <w:sz w:val="16"/>
                <w:szCs w:val="16"/>
              </w:rPr>
              <w:t>United States</w:t>
            </w:r>
            <w:r w:rsidR="005D430E" w:rsidRPr="00D46126">
              <w:rPr>
                <w:i/>
                <w:color w:val="000000"/>
                <w:sz w:val="16"/>
                <w:szCs w:val="16"/>
              </w:rPr>
              <w:t xml:space="preserve"> – Tax Treatment for "Foreign Sales Corporations"</w:t>
            </w:r>
            <w:r w:rsidR="005D430E" w:rsidRPr="00D46126">
              <w:rPr>
                <w:color w:val="000000"/>
                <w:sz w:val="16"/>
                <w:szCs w:val="16"/>
              </w:rPr>
              <w:t xml:space="preserve">, </w:t>
            </w:r>
            <w:r w:rsidR="005D430E" w:rsidRPr="003421E2">
              <w:rPr>
                <w:rFonts w:eastAsia="Times New Roman"/>
                <w:bCs/>
                <w:sz w:val="16"/>
                <w:szCs w:val="16"/>
              </w:rPr>
              <w:t>WT/DS108/AB/R</w:t>
            </w:r>
            <w:r w:rsidR="005D430E" w:rsidRPr="00D46126">
              <w:rPr>
                <w:color w:val="000000"/>
                <w:sz w:val="16"/>
                <w:szCs w:val="16"/>
              </w:rPr>
              <w:t>, adopted</w:t>
            </w:r>
            <w:r w:rsidRPr="00D46126">
              <w:rPr>
                <w:color w:val="000000"/>
                <w:sz w:val="16"/>
                <w:szCs w:val="16"/>
              </w:rPr>
              <w:t> 20</w:t>
            </w:r>
            <w:r w:rsidR="000A18DA" w:rsidRPr="00D46126">
              <w:rPr>
                <w:color w:val="000000"/>
                <w:sz w:val="16"/>
                <w:szCs w:val="16"/>
              </w:rPr>
              <w:t> March</w:t>
            </w:r>
            <w:r w:rsidRPr="00D46126">
              <w:rPr>
                <w:color w:val="000000"/>
                <w:sz w:val="16"/>
                <w:szCs w:val="16"/>
              </w:rPr>
              <w:t> 20</w:t>
            </w:r>
            <w:r w:rsidR="00D26146" w:rsidRPr="00D46126">
              <w:rPr>
                <w:color w:val="000000"/>
                <w:sz w:val="16"/>
                <w:szCs w:val="16"/>
              </w:rPr>
              <w:t>00, DSR</w:t>
            </w:r>
            <w:r w:rsidRPr="00D46126">
              <w:rPr>
                <w:color w:val="000000"/>
                <w:sz w:val="16"/>
                <w:szCs w:val="16"/>
              </w:rPr>
              <w:t> 20</w:t>
            </w:r>
            <w:r w:rsidR="00D26146" w:rsidRPr="00D46126">
              <w:rPr>
                <w:color w:val="000000"/>
                <w:sz w:val="16"/>
                <w:szCs w:val="16"/>
              </w:rPr>
              <w:t>00:III, p. </w:t>
            </w:r>
            <w:r w:rsidR="005D430E" w:rsidRPr="00D46126">
              <w:rPr>
                <w:color w:val="000000"/>
                <w:sz w:val="16"/>
                <w:szCs w:val="16"/>
              </w:rPr>
              <w:t>1619</w:t>
            </w:r>
          </w:p>
        </w:tc>
      </w:tr>
      <w:tr w:rsidR="003A1A96" w:rsidRPr="00D46126" w:rsidTr="004526E3">
        <w:trPr>
          <w:cantSplit/>
        </w:trPr>
        <w:tc>
          <w:tcPr>
            <w:tcW w:w="2600" w:type="dxa"/>
          </w:tcPr>
          <w:p w:rsidR="003A1A96" w:rsidRPr="00D46126" w:rsidRDefault="003A1A96" w:rsidP="004526E3">
            <w:pPr>
              <w:tabs>
                <w:tab w:val="left" w:pos="1660"/>
              </w:tabs>
              <w:spacing w:before="60" w:after="60"/>
              <w:jc w:val="left"/>
              <w:rPr>
                <w:i/>
                <w:color w:val="000000"/>
                <w:sz w:val="16"/>
                <w:szCs w:val="16"/>
              </w:rPr>
            </w:pPr>
            <w:r w:rsidRPr="00D46126">
              <w:rPr>
                <w:i/>
                <w:color w:val="000000"/>
                <w:sz w:val="16"/>
                <w:szCs w:val="16"/>
              </w:rPr>
              <w:t>US – FSC (</w:t>
            </w:r>
            <w:r w:rsidR="000A10EA" w:rsidRPr="00D46126">
              <w:rPr>
                <w:i/>
                <w:color w:val="000000"/>
                <w:sz w:val="16"/>
                <w:szCs w:val="16"/>
              </w:rPr>
              <w:t>Article </w:t>
            </w:r>
            <w:r w:rsidR="00626A85" w:rsidRPr="00D46126">
              <w:rPr>
                <w:i/>
                <w:color w:val="000000"/>
                <w:sz w:val="16"/>
                <w:szCs w:val="16"/>
              </w:rPr>
              <w:t>21.5</w:t>
            </w:r>
            <w:r w:rsidR="003E77EE">
              <w:rPr>
                <w:i/>
                <w:color w:val="000000"/>
                <w:sz w:val="16"/>
                <w:szCs w:val="16"/>
              </w:rPr>
              <w:t> ‒ </w:t>
            </w:r>
            <w:r w:rsidR="00626A85" w:rsidRPr="00D46126">
              <w:rPr>
                <w:i/>
                <w:color w:val="000000"/>
                <w:sz w:val="16"/>
                <w:szCs w:val="16"/>
              </w:rPr>
              <w:t>EC </w:t>
            </w:r>
            <w:r w:rsidRPr="00D46126">
              <w:rPr>
                <w:i/>
                <w:color w:val="000000"/>
                <w:sz w:val="16"/>
                <w:szCs w:val="16"/>
              </w:rPr>
              <w:t>II)</w:t>
            </w:r>
          </w:p>
        </w:tc>
        <w:tc>
          <w:tcPr>
            <w:tcW w:w="6621" w:type="dxa"/>
          </w:tcPr>
          <w:p w:rsidR="003A1A96" w:rsidRPr="00D46126" w:rsidRDefault="000A10EA" w:rsidP="004526E3">
            <w:pPr>
              <w:keepLines/>
              <w:tabs>
                <w:tab w:val="left" w:pos="1050"/>
              </w:tabs>
              <w:spacing w:before="60" w:after="60"/>
              <w:jc w:val="left"/>
              <w:rPr>
                <w:color w:val="000000"/>
                <w:sz w:val="16"/>
                <w:szCs w:val="16"/>
              </w:rPr>
            </w:pPr>
            <w:r w:rsidRPr="00D46126">
              <w:rPr>
                <w:color w:val="000000"/>
                <w:sz w:val="16"/>
                <w:szCs w:val="16"/>
              </w:rPr>
              <w:t>Appellate Body</w:t>
            </w:r>
            <w:r w:rsidR="003A1A96" w:rsidRPr="00D46126">
              <w:rPr>
                <w:color w:val="000000"/>
                <w:sz w:val="16"/>
                <w:szCs w:val="16"/>
              </w:rPr>
              <w:t xml:space="preserve"> Report, </w:t>
            </w:r>
            <w:r w:rsidRPr="00D46126">
              <w:rPr>
                <w:i/>
                <w:color w:val="000000"/>
                <w:sz w:val="16"/>
                <w:szCs w:val="16"/>
              </w:rPr>
              <w:t>United States</w:t>
            </w:r>
            <w:r w:rsidR="003A1A96" w:rsidRPr="00D46126">
              <w:rPr>
                <w:i/>
                <w:color w:val="000000"/>
                <w:sz w:val="16"/>
                <w:szCs w:val="16"/>
              </w:rPr>
              <w:t xml:space="preserve"> – Tax Treatment for "Foreign Sales Corporations" – Recourse to </w:t>
            </w:r>
            <w:r w:rsidRPr="00D46126">
              <w:rPr>
                <w:i/>
                <w:color w:val="000000"/>
                <w:sz w:val="16"/>
                <w:szCs w:val="16"/>
              </w:rPr>
              <w:t>Article </w:t>
            </w:r>
            <w:r w:rsidR="003A1A96" w:rsidRPr="00D46126">
              <w:rPr>
                <w:i/>
                <w:color w:val="000000"/>
                <w:sz w:val="16"/>
                <w:szCs w:val="16"/>
              </w:rPr>
              <w:t>21.5 of the DSU by the European Communities</w:t>
            </w:r>
            <w:r w:rsidR="003A1A96" w:rsidRPr="00D46126">
              <w:rPr>
                <w:color w:val="000000"/>
                <w:sz w:val="16"/>
                <w:szCs w:val="16"/>
              </w:rPr>
              <w:t xml:space="preserve">, </w:t>
            </w:r>
            <w:r w:rsidR="003A1A96" w:rsidRPr="003421E2">
              <w:rPr>
                <w:rFonts w:eastAsia="Times New Roman"/>
                <w:bCs/>
                <w:sz w:val="16"/>
                <w:szCs w:val="16"/>
              </w:rPr>
              <w:t>WT/DS108/AB/RW</w:t>
            </w:r>
            <w:r w:rsidR="003A1A96" w:rsidRPr="00D46126">
              <w:rPr>
                <w:color w:val="000000"/>
                <w:sz w:val="16"/>
                <w:szCs w:val="16"/>
              </w:rPr>
              <w:t xml:space="preserve">, adopted </w:t>
            </w:r>
            <w:r w:rsidR="00D26146" w:rsidRPr="00D46126">
              <w:rPr>
                <w:color w:val="000000"/>
                <w:sz w:val="16"/>
                <w:szCs w:val="16"/>
              </w:rPr>
              <w:t>29</w:t>
            </w:r>
            <w:r w:rsidR="000A18DA" w:rsidRPr="00D46126">
              <w:rPr>
                <w:color w:val="000000"/>
                <w:sz w:val="16"/>
                <w:szCs w:val="16"/>
              </w:rPr>
              <w:t> January</w:t>
            </w:r>
            <w:r w:rsidRPr="00D46126">
              <w:rPr>
                <w:color w:val="000000"/>
                <w:sz w:val="16"/>
                <w:szCs w:val="16"/>
              </w:rPr>
              <w:t> 20</w:t>
            </w:r>
            <w:r w:rsidR="00D26146" w:rsidRPr="00D46126">
              <w:rPr>
                <w:color w:val="000000"/>
                <w:sz w:val="16"/>
                <w:szCs w:val="16"/>
              </w:rPr>
              <w:t>02, DSR</w:t>
            </w:r>
            <w:r w:rsidRPr="00D46126">
              <w:rPr>
                <w:color w:val="000000"/>
                <w:sz w:val="16"/>
                <w:szCs w:val="16"/>
              </w:rPr>
              <w:t> 20</w:t>
            </w:r>
            <w:r w:rsidR="00D26146" w:rsidRPr="00D46126">
              <w:rPr>
                <w:color w:val="000000"/>
                <w:sz w:val="16"/>
                <w:szCs w:val="16"/>
              </w:rPr>
              <w:t>02:I, p. </w:t>
            </w:r>
            <w:r w:rsidR="003A1A96" w:rsidRPr="00D46126">
              <w:rPr>
                <w:color w:val="000000"/>
                <w:sz w:val="16"/>
                <w:szCs w:val="16"/>
              </w:rPr>
              <w:t>55</w:t>
            </w:r>
          </w:p>
        </w:tc>
      </w:tr>
      <w:tr w:rsidR="00412491" w:rsidRPr="00D46126" w:rsidTr="004526E3">
        <w:trPr>
          <w:cnfStyle w:val="000000010000" w:firstRow="0" w:lastRow="0" w:firstColumn="0" w:lastColumn="0" w:oddVBand="0" w:evenVBand="0" w:oddHBand="0" w:evenHBand="1" w:firstRowFirstColumn="0" w:firstRowLastColumn="0" w:lastRowFirstColumn="0" w:lastRowLastColumn="0"/>
          <w:cantSplit/>
        </w:trPr>
        <w:tc>
          <w:tcPr>
            <w:tcW w:w="2600" w:type="dxa"/>
          </w:tcPr>
          <w:p w:rsidR="00412491" w:rsidRPr="00D46126" w:rsidRDefault="00412491" w:rsidP="004526E3">
            <w:pPr>
              <w:tabs>
                <w:tab w:val="left" w:pos="1660"/>
              </w:tabs>
              <w:spacing w:before="60" w:after="60"/>
              <w:jc w:val="left"/>
              <w:rPr>
                <w:i/>
                <w:color w:val="000000"/>
                <w:sz w:val="16"/>
                <w:szCs w:val="16"/>
              </w:rPr>
            </w:pPr>
            <w:r w:rsidRPr="00D46126">
              <w:rPr>
                <w:i/>
                <w:color w:val="000000"/>
                <w:sz w:val="16"/>
                <w:szCs w:val="16"/>
              </w:rPr>
              <w:t>US – Gambling</w:t>
            </w:r>
          </w:p>
        </w:tc>
        <w:tc>
          <w:tcPr>
            <w:tcW w:w="6621" w:type="dxa"/>
          </w:tcPr>
          <w:p w:rsidR="00412491" w:rsidRPr="00D46126" w:rsidRDefault="000A10EA" w:rsidP="004526E3">
            <w:pPr>
              <w:keepLines/>
              <w:tabs>
                <w:tab w:val="left" w:pos="1050"/>
              </w:tabs>
              <w:spacing w:before="60" w:after="60"/>
              <w:jc w:val="left"/>
              <w:rPr>
                <w:color w:val="000000"/>
                <w:sz w:val="16"/>
                <w:szCs w:val="16"/>
              </w:rPr>
            </w:pPr>
            <w:r w:rsidRPr="00D46126">
              <w:rPr>
                <w:color w:val="000000"/>
                <w:sz w:val="16"/>
                <w:szCs w:val="16"/>
              </w:rPr>
              <w:t>Appellate Body</w:t>
            </w:r>
            <w:r w:rsidR="00412491" w:rsidRPr="00D46126">
              <w:rPr>
                <w:color w:val="000000"/>
                <w:sz w:val="16"/>
                <w:szCs w:val="16"/>
              </w:rPr>
              <w:t xml:space="preserve"> Report, </w:t>
            </w:r>
            <w:r w:rsidRPr="00D46126">
              <w:rPr>
                <w:i/>
                <w:color w:val="000000"/>
                <w:sz w:val="16"/>
                <w:szCs w:val="16"/>
              </w:rPr>
              <w:t>United States</w:t>
            </w:r>
            <w:r w:rsidR="00206309" w:rsidRPr="00D46126">
              <w:rPr>
                <w:i/>
                <w:color w:val="000000"/>
                <w:sz w:val="16"/>
                <w:szCs w:val="16"/>
              </w:rPr>
              <w:t xml:space="preserve"> – Measures Affecting the Cross</w:t>
            </w:r>
            <w:r w:rsidR="00206309" w:rsidRPr="00D46126">
              <w:rPr>
                <w:i/>
                <w:color w:val="000000"/>
                <w:sz w:val="16"/>
                <w:szCs w:val="16"/>
              </w:rPr>
              <w:noBreakHyphen/>
            </w:r>
            <w:r w:rsidR="00412491" w:rsidRPr="00D46126">
              <w:rPr>
                <w:i/>
                <w:color w:val="000000"/>
                <w:sz w:val="16"/>
                <w:szCs w:val="16"/>
              </w:rPr>
              <w:t>Border Supply of Gambling and Betting Services</w:t>
            </w:r>
            <w:r w:rsidR="00412491" w:rsidRPr="00D46126">
              <w:rPr>
                <w:color w:val="000000"/>
                <w:sz w:val="16"/>
                <w:szCs w:val="16"/>
              </w:rPr>
              <w:t xml:space="preserve">, </w:t>
            </w:r>
            <w:r w:rsidR="00412491" w:rsidRPr="003421E2">
              <w:rPr>
                <w:sz w:val="16"/>
                <w:szCs w:val="16"/>
              </w:rPr>
              <w:t>WT/DS285/AB/R</w:t>
            </w:r>
            <w:r w:rsidR="00D26146" w:rsidRPr="00D46126">
              <w:rPr>
                <w:color w:val="000000"/>
                <w:sz w:val="16"/>
                <w:szCs w:val="16"/>
              </w:rPr>
              <w:t>, adopted</w:t>
            </w:r>
            <w:r w:rsidRPr="00D46126">
              <w:rPr>
                <w:color w:val="000000"/>
                <w:sz w:val="16"/>
                <w:szCs w:val="16"/>
              </w:rPr>
              <w:t> 20</w:t>
            </w:r>
            <w:r w:rsidR="000A18DA" w:rsidRPr="00D46126">
              <w:rPr>
                <w:color w:val="000000"/>
                <w:sz w:val="16"/>
                <w:szCs w:val="16"/>
              </w:rPr>
              <w:t> April</w:t>
            </w:r>
            <w:r w:rsidRPr="00D46126">
              <w:rPr>
                <w:color w:val="000000"/>
                <w:sz w:val="16"/>
                <w:szCs w:val="16"/>
              </w:rPr>
              <w:t> 20</w:t>
            </w:r>
            <w:r w:rsidR="00412491" w:rsidRPr="00D46126">
              <w:rPr>
                <w:color w:val="000000"/>
                <w:sz w:val="16"/>
                <w:szCs w:val="16"/>
              </w:rPr>
              <w:t>05, DSR</w:t>
            </w:r>
            <w:r w:rsidRPr="00D46126">
              <w:rPr>
                <w:color w:val="000000"/>
                <w:sz w:val="16"/>
                <w:szCs w:val="16"/>
              </w:rPr>
              <w:t> 20</w:t>
            </w:r>
            <w:r w:rsidR="00412491" w:rsidRPr="00D46126">
              <w:rPr>
                <w:color w:val="000000"/>
                <w:sz w:val="16"/>
                <w:szCs w:val="16"/>
              </w:rPr>
              <w:t>05:XII, p. 5663 (and Corr.1, DSR</w:t>
            </w:r>
            <w:r w:rsidRPr="00D46126">
              <w:rPr>
                <w:color w:val="000000"/>
                <w:sz w:val="16"/>
                <w:szCs w:val="16"/>
              </w:rPr>
              <w:t> 20</w:t>
            </w:r>
            <w:r w:rsidR="00933169">
              <w:rPr>
                <w:color w:val="000000"/>
                <w:sz w:val="16"/>
                <w:szCs w:val="16"/>
              </w:rPr>
              <w:t>06:XII, p. </w:t>
            </w:r>
            <w:r w:rsidR="00412491" w:rsidRPr="00D46126">
              <w:rPr>
                <w:color w:val="000000"/>
                <w:sz w:val="16"/>
                <w:szCs w:val="16"/>
              </w:rPr>
              <w:t>5475)</w:t>
            </w:r>
          </w:p>
        </w:tc>
      </w:tr>
      <w:tr w:rsidR="00412491" w:rsidRPr="00D46126" w:rsidTr="004526E3">
        <w:trPr>
          <w:cantSplit/>
        </w:trPr>
        <w:tc>
          <w:tcPr>
            <w:tcW w:w="2600" w:type="dxa"/>
          </w:tcPr>
          <w:p w:rsidR="00412491" w:rsidRPr="00D46126" w:rsidRDefault="00412491" w:rsidP="004526E3">
            <w:pPr>
              <w:tabs>
                <w:tab w:val="left" w:pos="1660"/>
              </w:tabs>
              <w:spacing w:before="60" w:after="60"/>
              <w:jc w:val="left"/>
              <w:rPr>
                <w:i/>
                <w:color w:val="000000"/>
                <w:sz w:val="16"/>
                <w:szCs w:val="16"/>
              </w:rPr>
            </w:pPr>
            <w:r w:rsidRPr="00D46126">
              <w:rPr>
                <w:i/>
                <w:color w:val="000000"/>
                <w:sz w:val="16"/>
                <w:szCs w:val="16"/>
              </w:rPr>
              <w:t>US – Hot-Rolled Steel</w:t>
            </w:r>
          </w:p>
        </w:tc>
        <w:tc>
          <w:tcPr>
            <w:tcW w:w="6621" w:type="dxa"/>
          </w:tcPr>
          <w:p w:rsidR="00412491" w:rsidRPr="00D46126" w:rsidRDefault="000A10EA" w:rsidP="004526E3">
            <w:pPr>
              <w:keepLines/>
              <w:tabs>
                <w:tab w:val="left" w:pos="1050"/>
              </w:tabs>
              <w:spacing w:before="60" w:after="60"/>
              <w:jc w:val="left"/>
              <w:rPr>
                <w:color w:val="000000"/>
                <w:sz w:val="16"/>
                <w:szCs w:val="16"/>
              </w:rPr>
            </w:pPr>
            <w:r w:rsidRPr="00D46126">
              <w:rPr>
                <w:color w:val="000000"/>
                <w:sz w:val="16"/>
                <w:szCs w:val="16"/>
              </w:rPr>
              <w:t>Appellate Body</w:t>
            </w:r>
            <w:r w:rsidR="00412491" w:rsidRPr="00D46126">
              <w:rPr>
                <w:color w:val="000000"/>
                <w:sz w:val="16"/>
                <w:szCs w:val="16"/>
              </w:rPr>
              <w:t xml:space="preserve"> Report, </w:t>
            </w:r>
            <w:r w:rsidRPr="00D46126">
              <w:rPr>
                <w:i/>
                <w:color w:val="000000"/>
                <w:sz w:val="16"/>
                <w:szCs w:val="16"/>
              </w:rPr>
              <w:t>United States</w:t>
            </w:r>
            <w:r w:rsidR="00412491" w:rsidRPr="00D46126">
              <w:rPr>
                <w:i/>
                <w:color w:val="000000"/>
                <w:sz w:val="16"/>
                <w:szCs w:val="16"/>
              </w:rPr>
              <w:t xml:space="preserve"> – Anti-Dumping Measures on Certain Hot-Rolled Steel Products from Japan</w:t>
            </w:r>
            <w:r w:rsidR="00412491" w:rsidRPr="00D46126">
              <w:rPr>
                <w:color w:val="000000"/>
                <w:sz w:val="16"/>
                <w:szCs w:val="16"/>
              </w:rPr>
              <w:t xml:space="preserve">, </w:t>
            </w:r>
            <w:r w:rsidR="00412491" w:rsidRPr="003421E2">
              <w:rPr>
                <w:sz w:val="16"/>
                <w:szCs w:val="16"/>
              </w:rPr>
              <w:t>WT/DS184/AB/R</w:t>
            </w:r>
            <w:r w:rsidR="00D26146" w:rsidRPr="00D46126">
              <w:rPr>
                <w:color w:val="000000"/>
                <w:sz w:val="16"/>
                <w:szCs w:val="16"/>
              </w:rPr>
              <w:t>, adopted 23</w:t>
            </w:r>
            <w:r w:rsidR="000A18DA" w:rsidRPr="00D46126">
              <w:rPr>
                <w:color w:val="000000"/>
                <w:sz w:val="16"/>
                <w:szCs w:val="16"/>
              </w:rPr>
              <w:t> August</w:t>
            </w:r>
            <w:r w:rsidRPr="00D46126">
              <w:rPr>
                <w:color w:val="000000"/>
                <w:sz w:val="16"/>
                <w:szCs w:val="16"/>
              </w:rPr>
              <w:t> 20</w:t>
            </w:r>
            <w:r w:rsidR="00412491" w:rsidRPr="00D46126">
              <w:rPr>
                <w:color w:val="000000"/>
                <w:sz w:val="16"/>
                <w:szCs w:val="16"/>
              </w:rPr>
              <w:t>01, DSR</w:t>
            </w:r>
            <w:r w:rsidRPr="00D46126">
              <w:rPr>
                <w:color w:val="000000"/>
                <w:sz w:val="16"/>
                <w:szCs w:val="16"/>
              </w:rPr>
              <w:t> 20</w:t>
            </w:r>
            <w:r w:rsidR="00412491" w:rsidRPr="00D46126">
              <w:rPr>
                <w:color w:val="000000"/>
                <w:sz w:val="16"/>
                <w:szCs w:val="16"/>
              </w:rPr>
              <w:t>01:X, p. 4697</w:t>
            </w:r>
          </w:p>
        </w:tc>
      </w:tr>
      <w:tr w:rsidR="0007161B" w:rsidRPr="00D46126" w:rsidTr="004526E3">
        <w:trPr>
          <w:cnfStyle w:val="000000010000" w:firstRow="0" w:lastRow="0" w:firstColumn="0" w:lastColumn="0" w:oddVBand="0" w:evenVBand="0" w:oddHBand="0" w:evenHBand="1" w:firstRowFirstColumn="0" w:firstRowLastColumn="0" w:lastRowFirstColumn="0" w:lastRowLastColumn="0"/>
          <w:cantSplit/>
        </w:trPr>
        <w:tc>
          <w:tcPr>
            <w:tcW w:w="2600" w:type="dxa"/>
          </w:tcPr>
          <w:p w:rsidR="0007161B" w:rsidRPr="00D46126" w:rsidRDefault="0007161B" w:rsidP="004526E3">
            <w:pPr>
              <w:keepNext/>
              <w:keepLines/>
              <w:tabs>
                <w:tab w:val="left" w:pos="1660"/>
              </w:tabs>
              <w:spacing w:before="60" w:after="60"/>
              <w:jc w:val="left"/>
              <w:rPr>
                <w:i/>
                <w:sz w:val="16"/>
                <w:szCs w:val="16"/>
              </w:rPr>
            </w:pPr>
            <w:r w:rsidRPr="00D46126">
              <w:rPr>
                <w:i/>
                <w:color w:val="000000"/>
                <w:sz w:val="16"/>
                <w:szCs w:val="16"/>
              </w:rPr>
              <w:lastRenderedPageBreak/>
              <w:t>US – Large Civil Aircraft (2</w:t>
            </w:r>
            <w:r w:rsidRPr="00D46126">
              <w:rPr>
                <w:i/>
                <w:color w:val="000000"/>
                <w:sz w:val="16"/>
                <w:szCs w:val="16"/>
                <w:vertAlign w:val="superscript"/>
              </w:rPr>
              <w:t>nd</w:t>
            </w:r>
            <w:r w:rsidRPr="00D46126">
              <w:rPr>
                <w:i/>
                <w:color w:val="000000"/>
                <w:sz w:val="16"/>
                <w:szCs w:val="16"/>
              </w:rPr>
              <w:t> complaint)</w:t>
            </w:r>
          </w:p>
        </w:tc>
        <w:tc>
          <w:tcPr>
            <w:tcW w:w="6621" w:type="dxa"/>
          </w:tcPr>
          <w:p w:rsidR="0007161B" w:rsidRPr="00D46126" w:rsidRDefault="000A10EA" w:rsidP="004526E3">
            <w:pPr>
              <w:keepNext/>
              <w:keepLines/>
              <w:tabs>
                <w:tab w:val="left" w:pos="2268"/>
                <w:tab w:val="left" w:pos="4536"/>
              </w:tabs>
              <w:spacing w:before="60" w:after="60"/>
              <w:jc w:val="left"/>
              <w:rPr>
                <w:sz w:val="16"/>
                <w:szCs w:val="16"/>
              </w:rPr>
            </w:pPr>
            <w:r w:rsidRPr="00D46126">
              <w:rPr>
                <w:color w:val="000000"/>
                <w:sz w:val="16"/>
                <w:szCs w:val="16"/>
              </w:rPr>
              <w:t>Appellate Body</w:t>
            </w:r>
            <w:r w:rsidR="0007161B" w:rsidRPr="00D46126">
              <w:rPr>
                <w:color w:val="000000"/>
                <w:sz w:val="16"/>
                <w:szCs w:val="16"/>
              </w:rPr>
              <w:t xml:space="preserve"> Report, </w:t>
            </w:r>
            <w:r w:rsidRPr="00D46126">
              <w:rPr>
                <w:i/>
                <w:color w:val="000000"/>
                <w:sz w:val="16"/>
                <w:szCs w:val="16"/>
              </w:rPr>
              <w:t>United States</w:t>
            </w:r>
            <w:r w:rsidR="0007161B" w:rsidRPr="00D46126">
              <w:rPr>
                <w:i/>
                <w:color w:val="000000"/>
                <w:sz w:val="16"/>
                <w:szCs w:val="16"/>
              </w:rPr>
              <w:t xml:space="preserve"> – Measures Affecting Trade in Large Civil Aircraft (Second Complaint)</w:t>
            </w:r>
            <w:r w:rsidR="0007161B" w:rsidRPr="00D46126">
              <w:rPr>
                <w:color w:val="000000"/>
                <w:sz w:val="16"/>
                <w:szCs w:val="16"/>
              </w:rPr>
              <w:t xml:space="preserve">, </w:t>
            </w:r>
            <w:r w:rsidR="0007161B" w:rsidRPr="003421E2">
              <w:rPr>
                <w:sz w:val="16"/>
                <w:szCs w:val="16"/>
              </w:rPr>
              <w:t>WT/DS353/AB/R</w:t>
            </w:r>
            <w:r w:rsidR="00D26146" w:rsidRPr="00D46126">
              <w:rPr>
                <w:color w:val="000000"/>
                <w:sz w:val="16"/>
                <w:szCs w:val="16"/>
              </w:rPr>
              <w:t>, adopted 23</w:t>
            </w:r>
            <w:r w:rsidR="000A18DA" w:rsidRPr="00D46126">
              <w:rPr>
                <w:color w:val="000000"/>
                <w:sz w:val="16"/>
                <w:szCs w:val="16"/>
              </w:rPr>
              <w:t> March</w:t>
            </w:r>
            <w:r w:rsidRPr="00D46126">
              <w:rPr>
                <w:color w:val="000000"/>
                <w:sz w:val="16"/>
                <w:szCs w:val="16"/>
              </w:rPr>
              <w:t> 20</w:t>
            </w:r>
            <w:r w:rsidR="00D26146" w:rsidRPr="00D46126">
              <w:rPr>
                <w:color w:val="000000"/>
                <w:sz w:val="16"/>
                <w:szCs w:val="16"/>
              </w:rPr>
              <w:t>12, DSR</w:t>
            </w:r>
            <w:r w:rsidRPr="00D46126">
              <w:rPr>
                <w:color w:val="000000"/>
                <w:sz w:val="16"/>
                <w:szCs w:val="16"/>
              </w:rPr>
              <w:t> 20</w:t>
            </w:r>
            <w:r w:rsidR="0007161B" w:rsidRPr="00D46126">
              <w:rPr>
                <w:color w:val="000000"/>
                <w:sz w:val="16"/>
                <w:szCs w:val="16"/>
              </w:rPr>
              <w:t>12:I, p. 7</w:t>
            </w:r>
          </w:p>
        </w:tc>
      </w:tr>
      <w:tr w:rsidR="005D430E" w:rsidRPr="00D46126" w:rsidTr="004526E3">
        <w:trPr>
          <w:cantSplit/>
        </w:trPr>
        <w:tc>
          <w:tcPr>
            <w:tcW w:w="2600" w:type="dxa"/>
          </w:tcPr>
          <w:p w:rsidR="005D430E" w:rsidRPr="00D46126" w:rsidRDefault="005D430E" w:rsidP="004526E3">
            <w:pPr>
              <w:keepNext/>
              <w:keepLines/>
              <w:spacing w:before="60" w:after="60"/>
              <w:jc w:val="left"/>
              <w:rPr>
                <w:i/>
                <w:color w:val="000000"/>
                <w:sz w:val="16"/>
                <w:szCs w:val="16"/>
              </w:rPr>
            </w:pPr>
            <w:r w:rsidRPr="00D46126">
              <w:rPr>
                <w:i/>
                <w:color w:val="000000"/>
                <w:sz w:val="16"/>
                <w:szCs w:val="16"/>
              </w:rPr>
              <w:t>US – Large Civil Aircraft (2</w:t>
            </w:r>
            <w:r w:rsidRPr="00D46126">
              <w:rPr>
                <w:i/>
                <w:color w:val="000000"/>
                <w:sz w:val="16"/>
                <w:szCs w:val="16"/>
                <w:vertAlign w:val="superscript"/>
              </w:rPr>
              <w:t>nd</w:t>
            </w:r>
            <w:r w:rsidR="00D26146" w:rsidRPr="00D46126">
              <w:rPr>
                <w:i/>
                <w:color w:val="000000"/>
                <w:sz w:val="16"/>
                <w:szCs w:val="16"/>
              </w:rPr>
              <w:t> complaint) (</w:t>
            </w:r>
            <w:r w:rsidR="000A10EA" w:rsidRPr="00D46126">
              <w:rPr>
                <w:i/>
                <w:color w:val="000000"/>
                <w:sz w:val="16"/>
                <w:szCs w:val="16"/>
              </w:rPr>
              <w:t>Article </w:t>
            </w:r>
            <w:r w:rsidR="00D26146" w:rsidRPr="00D46126">
              <w:rPr>
                <w:i/>
                <w:color w:val="000000"/>
                <w:sz w:val="16"/>
                <w:szCs w:val="16"/>
              </w:rPr>
              <w:t>21.5 </w:t>
            </w:r>
            <w:r w:rsidRPr="00D46126">
              <w:rPr>
                <w:i/>
                <w:color w:val="000000"/>
                <w:sz w:val="16"/>
                <w:szCs w:val="16"/>
              </w:rPr>
              <w:t>– EU)</w:t>
            </w:r>
          </w:p>
        </w:tc>
        <w:tc>
          <w:tcPr>
            <w:tcW w:w="6621" w:type="dxa"/>
          </w:tcPr>
          <w:p w:rsidR="005D430E" w:rsidRPr="00D46126" w:rsidRDefault="005D430E" w:rsidP="004526E3">
            <w:pPr>
              <w:keepNext/>
              <w:keepLines/>
              <w:tabs>
                <w:tab w:val="left" w:pos="2268"/>
                <w:tab w:val="left" w:pos="4536"/>
              </w:tabs>
              <w:spacing w:before="60" w:after="60"/>
              <w:jc w:val="left"/>
              <w:rPr>
                <w:color w:val="000000"/>
                <w:sz w:val="16"/>
                <w:szCs w:val="16"/>
              </w:rPr>
            </w:pPr>
            <w:r w:rsidRPr="00D46126">
              <w:rPr>
                <w:color w:val="000000"/>
                <w:sz w:val="16"/>
                <w:szCs w:val="16"/>
              </w:rPr>
              <w:t xml:space="preserve">Panel Report, </w:t>
            </w:r>
            <w:r w:rsidR="000A10EA" w:rsidRPr="00D46126">
              <w:rPr>
                <w:i/>
                <w:iCs/>
                <w:color w:val="000000"/>
                <w:sz w:val="16"/>
                <w:szCs w:val="16"/>
              </w:rPr>
              <w:t>United States</w:t>
            </w:r>
            <w:r w:rsidRPr="00D46126">
              <w:rPr>
                <w:i/>
                <w:iCs/>
                <w:color w:val="000000"/>
                <w:sz w:val="16"/>
                <w:szCs w:val="16"/>
              </w:rPr>
              <w:t xml:space="preserve"> – Measures Affecting Trade in Large Civil Aircraft (Second Complaint) – Recourse to </w:t>
            </w:r>
            <w:r w:rsidR="000A10EA" w:rsidRPr="00D46126">
              <w:rPr>
                <w:i/>
                <w:iCs/>
                <w:color w:val="000000"/>
                <w:sz w:val="16"/>
                <w:szCs w:val="16"/>
              </w:rPr>
              <w:t>Article </w:t>
            </w:r>
            <w:r w:rsidRPr="00D46126">
              <w:rPr>
                <w:i/>
                <w:iCs/>
                <w:color w:val="000000"/>
                <w:sz w:val="16"/>
                <w:szCs w:val="16"/>
              </w:rPr>
              <w:t xml:space="preserve">21.5 of the DSU by the </w:t>
            </w:r>
            <w:r w:rsidR="000A10EA" w:rsidRPr="00D46126">
              <w:rPr>
                <w:i/>
                <w:iCs/>
                <w:color w:val="000000"/>
                <w:sz w:val="16"/>
                <w:szCs w:val="16"/>
              </w:rPr>
              <w:t>European Union</w:t>
            </w:r>
            <w:r w:rsidRPr="00D46126">
              <w:rPr>
                <w:color w:val="000000"/>
                <w:sz w:val="16"/>
                <w:szCs w:val="16"/>
              </w:rPr>
              <w:t xml:space="preserve">, </w:t>
            </w:r>
            <w:r w:rsidRPr="003421E2">
              <w:rPr>
                <w:sz w:val="16"/>
                <w:szCs w:val="16"/>
              </w:rPr>
              <w:t>WT/DS353/RW</w:t>
            </w:r>
            <w:r w:rsidRPr="00D46126">
              <w:rPr>
                <w:color w:val="000000"/>
                <w:sz w:val="16"/>
                <w:szCs w:val="16"/>
              </w:rPr>
              <w:t xml:space="preserve"> and Add.1, circulated to WTO Members 9</w:t>
            </w:r>
            <w:r w:rsidR="000A18DA" w:rsidRPr="00D46126">
              <w:rPr>
                <w:color w:val="000000"/>
                <w:sz w:val="16"/>
                <w:szCs w:val="16"/>
              </w:rPr>
              <w:t> June</w:t>
            </w:r>
            <w:r w:rsidR="000A10EA" w:rsidRPr="00D46126">
              <w:rPr>
                <w:color w:val="000000"/>
                <w:sz w:val="16"/>
                <w:szCs w:val="16"/>
              </w:rPr>
              <w:t> 20</w:t>
            </w:r>
            <w:r w:rsidRPr="00D46126">
              <w:rPr>
                <w:color w:val="000000"/>
                <w:sz w:val="16"/>
                <w:szCs w:val="16"/>
              </w:rPr>
              <w:t>17</w:t>
            </w:r>
          </w:p>
        </w:tc>
      </w:tr>
      <w:tr w:rsidR="004D0A48" w:rsidRPr="00D46126" w:rsidTr="004526E3">
        <w:trPr>
          <w:cnfStyle w:val="000000010000" w:firstRow="0" w:lastRow="0" w:firstColumn="0" w:lastColumn="0" w:oddVBand="0" w:evenVBand="0" w:oddHBand="0" w:evenHBand="1" w:firstRowFirstColumn="0" w:firstRowLastColumn="0" w:lastRowFirstColumn="0" w:lastRowLastColumn="0"/>
          <w:cantSplit/>
        </w:trPr>
        <w:tc>
          <w:tcPr>
            <w:tcW w:w="2600" w:type="dxa"/>
          </w:tcPr>
          <w:p w:rsidR="004D0A48" w:rsidRPr="00D46126" w:rsidRDefault="004D0A48" w:rsidP="004526E3">
            <w:pPr>
              <w:spacing w:before="60" w:after="60"/>
              <w:jc w:val="left"/>
              <w:rPr>
                <w:sz w:val="16"/>
                <w:szCs w:val="16"/>
              </w:rPr>
            </w:pPr>
            <w:r w:rsidRPr="00D46126">
              <w:rPr>
                <w:i/>
                <w:color w:val="000000"/>
                <w:sz w:val="16"/>
                <w:szCs w:val="16"/>
              </w:rPr>
              <w:t>US</w:t>
            </w:r>
            <w:r w:rsidR="003E77EE">
              <w:rPr>
                <w:i/>
                <w:color w:val="000000"/>
                <w:sz w:val="16"/>
                <w:szCs w:val="16"/>
              </w:rPr>
              <w:t xml:space="preserve"> – Offset Act (Byrd </w:t>
            </w:r>
            <w:r w:rsidRPr="00D46126">
              <w:rPr>
                <w:i/>
                <w:color w:val="000000"/>
                <w:sz w:val="16"/>
                <w:szCs w:val="16"/>
              </w:rPr>
              <w:t>Amendment)</w:t>
            </w:r>
          </w:p>
        </w:tc>
        <w:tc>
          <w:tcPr>
            <w:tcW w:w="6621" w:type="dxa"/>
          </w:tcPr>
          <w:p w:rsidR="004D0A48" w:rsidRPr="00D46126" w:rsidRDefault="000A10EA" w:rsidP="004526E3">
            <w:pPr>
              <w:spacing w:before="60" w:after="60"/>
              <w:jc w:val="left"/>
              <w:rPr>
                <w:sz w:val="16"/>
                <w:szCs w:val="16"/>
              </w:rPr>
            </w:pPr>
            <w:r w:rsidRPr="00D46126">
              <w:rPr>
                <w:color w:val="000000"/>
                <w:sz w:val="16"/>
                <w:szCs w:val="16"/>
              </w:rPr>
              <w:t>Appellate Body</w:t>
            </w:r>
            <w:r w:rsidR="004D0A48" w:rsidRPr="00D46126">
              <w:rPr>
                <w:color w:val="000000"/>
                <w:sz w:val="16"/>
                <w:szCs w:val="16"/>
              </w:rPr>
              <w:t xml:space="preserve"> Report, </w:t>
            </w:r>
            <w:r w:rsidRPr="00D46126">
              <w:rPr>
                <w:i/>
                <w:color w:val="000000"/>
                <w:sz w:val="16"/>
                <w:szCs w:val="16"/>
              </w:rPr>
              <w:t>United States</w:t>
            </w:r>
            <w:r w:rsidR="004D0A48" w:rsidRPr="00D46126">
              <w:rPr>
                <w:i/>
                <w:color w:val="000000"/>
                <w:sz w:val="16"/>
                <w:szCs w:val="16"/>
              </w:rPr>
              <w:t xml:space="preserve"> – Continued Dumping and Subsidy Offset Act of</w:t>
            </w:r>
            <w:r w:rsidRPr="00D46126">
              <w:rPr>
                <w:i/>
                <w:color w:val="000000"/>
                <w:sz w:val="16"/>
                <w:szCs w:val="16"/>
              </w:rPr>
              <w:t> 20</w:t>
            </w:r>
            <w:r w:rsidR="004D0A48" w:rsidRPr="00D46126">
              <w:rPr>
                <w:i/>
                <w:color w:val="000000"/>
                <w:sz w:val="16"/>
                <w:szCs w:val="16"/>
              </w:rPr>
              <w:t>00</w:t>
            </w:r>
            <w:r w:rsidR="004D0A48" w:rsidRPr="00D46126">
              <w:rPr>
                <w:color w:val="000000"/>
                <w:sz w:val="16"/>
                <w:szCs w:val="16"/>
              </w:rPr>
              <w:t xml:space="preserve">, </w:t>
            </w:r>
            <w:r w:rsidR="004D0A48" w:rsidRPr="003421E2">
              <w:rPr>
                <w:sz w:val="16"/>
                <w:szCs w:val="16"/>
              </w:rPr>
              <w:t>WT/DS217/AB/R</w:t>
            </w:r>
            <w:r w:rsidR="004D0A48" w:rsidRPr="00D46126">
              <w:rPr>
                <w:color w:val="000000"/>
                <w:sz w:val="16"/>
                <w:szCs w:val="16"/>
              </w:rPr>
              <w:t xml:space="preserve">, </w:t>
            </w:r>
            <w:r w:rsidR="004D0A48" w:rsidRPr="003421E2">
              <w:rPr>
                <w:sz w:val="16"/>
                <w:szCs w:val="16"/>
              </w:rPr>
              <w:t>WT/DS234/AB/R</w:t>
            </w:r>
            <w:r w:rsidR="004D0A48" w:rsidRPr="00D46126">
              <w:rPr>
                <w:color w:val="000000"/>
                <w:sz w:val="16"/>
                <w:szCs w:val="16"/>
              </w:rPr>
              <w:t>, adopted 27</w:t>
            </w:r>
            <w:r w:rsidR="000A18DA" w:rsidRPr="00D46126">
              <w:rPr>
                <w:color w:val="000000"/>
                <w:sz w:val="16"/>
                <w:szCs w:val="16"/>
              </w:rPr>
              <w:t> January</w:t>
            </w:r>
            <w:r w:rsidRPr="00D46126">
              <w:rPr>
                <w:color w:val="000000"/>
                <w:sz w:val="16"/>
                <w:szCs w:val="16"/>
              </w:rPr>
              <w:t> 20</w:t>
            </w:r>
            <w:r w:rsidR="004D0A48" w:rsidRPr="00D46126">
              <w:rPr>
                <w:color w:val="000000"/>
                <w:sz w:val="16"/>
                <w:szCs w:val="16"/>
              </w:rPr>
              <w:t>03, DSR</w:t>
            </w:r>
            <w:r w:rsidRPr="00D46126">
              <w:rPr>
                <w:color w:val="000000"/>
                <w:sz w:val="16"/>
                <w:szCs w:val="16"/>
              </w:rPr>
              <w:t> 20</w:t>
            </w:r>
            <w:r w:rsidR="004D0A48" w:rsidRPr="00D46126">
              <w:rPr>
                <w:color w:val="000000"/>
                <w:sz w:val="16"/>
                <w:szCs w:val="16"/>
              </w:rPr>
              <w:t>03:I, p. 375</w:t>
            </w:r>
          </w:p>
        </w:tc>
      </w:tr>
      <w:tr w:rsidR="00412491" w:rsidRPr="00D46126" w:rsidTr="004526E3">
        <w:trPr>
          <w:cantSplit/>
        </w:trPr>
        <w:tc>
          <w:tcPr>
            <w:tcW w:w="2600" w:type="dxa"/>
          </w:tcPr>
          <w:p w:rsidR="00412491" w:rsidRPr="00D46126" w:rsidRDefault="00412491" w:rsidP="004526E3">
            <w:pPr>
              <w:spacing w:before="60" w:after="60"/>
              <w:jc w:val="left"/>
              <w:rPr>
                <w:i/>
                <w:color w:val="000000"/>
                <w:sz w:val="16"/>
                <w:szCs w:val="16"/>
              </w:rPr>
            </w:pPr>
            <w:r w:rsidRPr="00D46126">
              <w:rPr>
                <w:i/>
                <w:color w:val="000000"/>
                <w:sz w:val="16"/>
                <w:szCs w:val="16"/>
              </w:rPr>
              <w:t>US – Oil Country Tubular Goods Sunset Reviews</w:t>
            </w:r>
          </w:p>
        </w:tc>
        <w:tc>
          <w:tcPr>
            <w:tcW w:w="6621" w:type="dxa"/>
          </w:tcPr>
          <w:p w:rsidR="00412491" w:rsidRPr="00D46126" w:rsidRDefault="000A10EA" w:rsidP="004526E3">
            <w:pPr>
              <w:spacing w:before="60" w:after="60"/>
              <w:jc w:val="left"/>
              <w:rPr>
                <w:color w:val="000000"/>
                <w:sz w:val="16"/>
                <w:szCs w:val="16"/>
              </w:rPr>
            </w:pPr>
            <w:r w:rsidRPr="00D46126">
              <w:rPr>
                <w:color w:val="000000"/>
                <w:sz w:val="16"/>
                <w:szCs w:val="16"/>
              </w:rPr>
              <w:t>Appellate Body</w:t>
            </w:r>
            <w:r w:rsidR="00412491" w:rsidRPr="00D46126">
              <w:rPr>
                <w:color w:val="000000"/>
                <w:sz w:val="16"/>
                <w:szCs w:val="16"/>
              </w:rPr>
              <w:t xml:space="preserve"> Report, </w:t>
            </w:r>
            <w:r w:rsidRPr="00D46126">
              <w:rPr>
                <w:i/>
                <w:color w:val="000000"/>
                <w:sz w:val="16"/>
                <w:szCs w:val="16"/>
              </w:rPr>
              <w:t>United States</w:t>
            </w:r>
            <w:r w:rsidR="00206309" w:rsidRPr="00D46126">
              <w:rPr>
                <w:i/>
                <w:color w:val="000000"/>
                <w:sz w:val="16"/>
                <w:szCs w:val="16"/>
              </w:rPr>
              <w:t xml:space="preserve"> – Sunset Reviews of Anti</w:t>
            </w:r>
            <w:r w:rsidR="00206309" w:rsidRPr="00D46126">
              <w:rPr>
                <w:i/>
                <w:color w:val="000000"/>
                <w:sz w:val="16"/>
                <w:szCs w:val="16"/>
              </w:rPr>
              <w:noBreakHyphen/>
            </w:r>
            <w:r w:rsidR="00412491" w:rsidRPr="00D46126">
              <w:rPr>
                <w:i/>
                <w:color w:val="000000"/>
                <w:sz w:val="16"/>
                <w:szCs w:val="16"/>
              </w:rPr>
              <w:t>Dumping Measures on Oil Country Tubular Goods from Argentina</w:t>
            </w:r>
            <w:r w:rsidR="00412491" w:rsidRPr="00D46126">
              <w:rPr>
                <w:color w:val="000000"/>
                <w:sz w:val="16"/>
                <w:szCs w:val="16"/>
              </w:rPr>
              <w:t xml:space="preserve">, </w:t>
            </w:r>
            <w:r w:rsidR="00412491" w:rsidRPr="003421E2">
              <w:rPr>
                <w:sz w:val="16"/>
                <w:szCs w:val="16"/>
              </w:rPr>
              <w:t>WT/DS268/AB/R</w:t>
            </w:r>
            <w:r w:rsidR="00412491" w:rsidRPr="00D46126">
              <w:rPr>
                <w:color w:val="000000"/>
                <w:sz w:val="16"/>
                <w:szCs w:val="16"/>
              </w:rPr>
              <w:t>, adopted 17</w:t>
            </w:r>
            <w:r w:rsidR="000A18DA" w:rsidRPr="00D46126">
              <w:rPr>
                <w:color w:val="000000"/>
                <w:sz w:val="16"/>
                <w:szCs w:val="16"/>
              </w:rPr>
              <w:t> December</w:t>
            </w:r>
            <w:r w:rsidRPr="00D46126">
              <w:rPr>
                <w:color w:val="000000"/>
                <w:sz w:val="16"/>
                <w:szCs w:val="16"/>
              </w:rPr>
              <w:t> 20</w:t>
            </w:r>
            <w:r w:rsidR="00412491" w:rsidRPr="00D46126">
              <w:rPr>
                <w:color w:val="000000"/>
                <w:sz w:val="16"/>
                <w:szCs w:val="16"/>
              </w:rPr>
              <w:t>04, DSR</w:t>
            </w:r>
            <w:r w:rsidRPr="00D46126">
              <w:rPr>
                <w:color w:val="000000"/>
                <w:sz w:val="16"/>
                <w:szCs w:val="16"/>
              </w:rPr>
              <w:t> 20</w:t>
            </w:r>
            <w:r w:rsidR="00412491" w:rsidRPr="00D46126">
              <w:rPr>
                <w:color w:val="000000"/>
                <w:sz w:val="16"/>
                <w:szCs w:val="16"/>
              </w:rPr>
              <w:t>04:VII, p. 3257</w:t>
            </w:r>
          </w:p>
        </w:tc>
      </w:tr>
      <w:tr w:rsidR="003A1A96" w:rsidRPr="00D46126" w:rsidTr="004526E3">
        <w:trPr>
          <w:cnfStyle w:val="000000010000" w:firstRow="0" w:lastRow="0" w:firstColumn="0" w:lastColumn="0" w:oddVBand="0" w:evenVBand="0" w:oddHBand="0" w:evenHBand="1" w:firstRowFirstColumn="0" w:firstRowLastColumn="0" w:lastRowFirstColumn="0" w:lastRowLastColumn="0"/>
          <w:cantSplit/>
        </w:trPr>
        <w:tc>
          <w:tcPr>
            <w:tcW w:w="2600" w:type="dxa"/>
          </w:tcPr>
          <w:p w:rsidR="003A1A96" w:rsidRPr="00D46126" w:rsidRDefault="003A1A96" w:rsidP="004526E3">
            <w:pPr>
              <w:keepNext/>
              <w:keepLines/>
              <w:spacing w:before="60" w:after="60"/>
              <w:jc w:val="left"/>
              <w:rPr>
                <w:sz w:val="16"/>
                <w:szCs w:val="16"/>
              </w:rPr>
            </w:pPr>
            <w:r w:rsidRPr="00D46126">
              <w:rPr>
                <w:i/>
                <w:color w:val="000000"/>
                <w:sz w:val="16"/>
                <w:szCs w:val="16"/>
              </w:rPr>
              <w:t>US – Oil Country Tubular Goods Sunset Reviews (</w:t>
            </w:r>
            <w:r w:rsidR="000A10EA" w:rsidRPr="00D46126">
              <w:rPr>
                <w:i/>
                <w:color w:val="000000"/>
                <w:sz w:val="16"/>
                <w:szCs w:val="16"/>
              </w:rPr>
              <w:t>Article </w:t>
            </w:r>
            <w:r w:rsidRPr="00D46126">
              <w:rPr>
                <w:i/>
                <w:color w:val="000000"/>
                <w:sz w:val="16"/>
                <w:szCs w:val="16"/>
              </w:rPr>
              <w:t>21.5 – Argentina)</w:t>
            </w:r>
          </w:p>
        </w:tc>
        <w:tc>
          <w:tcPr>
            <w:tcW w:w="6621" w:type="dxa"/>
          </w:tcPr>
          <w:p w:rsidR="003A1A96" w:rsidRPr="00D46126" w:rsidRDefault="000A10EA" w:rsidP="004526E3">
            <w:pPr>
              <w:keepNext/>
              <w:keepLines/>
              <w:spacing w:before="60" w:after="60"/>
              <w:jc w:val="left"/>
              <w:rPr>
                <w:sz w:val="16"/>
                <w:szCs w:val="16"/>
              </w:rPr>
            </w:pPr>
            <w:r w:rsidRPr="00D46126">
              <w:rPr>
                <w:color w:val="000000"/>
                <w:sz w:val="16"/>
                <w:szCs w:val="16"/>
              </w:rPr>
              <w:t>Appellate Body</w:t>
            </w:r>
            <w:r w:rsidR="003A1A96" w:rsidRPr="00D46126">
              <w:rPr>
                <w:color w:val="000000"/>
                <w:sz w:val="16"/>
                <w:szCs w:val="16"/>
              </w:rPr>
              <w:t xml:space="preserve"> Report, </w:t>
            </w:r>
            <w:r w:rsidRPr="00D46126">
              <w:rPr>
                <w:i/>
                <w:color w:val="000000"/>
                <w:sz w:val="16"/>
                <w:szCs w:val="16"/>
              </w:rPr>
              <w:t>United States</w:t>
            </w:r>
            <w:r w:rsidR="00206309" w:rsidRPr="00D46126">
              <w:rPr>
                <w:i/>
                <w:color w:val="000000"/>
                <w:sz w:val="16"/>
                <w:szCs w:val="16"/>
              </w:rPr>
              <w:t xml:space="preserve"> – Sunset Reviews of Anti</w:t>
            </w:r>
            <w:r w:rsidR="00206309" w:rsidRPr="00D46126">
              <w:rPr>
                <w:i/>
                <w:color w:val="000000"/>
                <w:sz w:val="16"/>
                <w:szCs w:val="16"/>
              </w:rPr>
              <w:noBreakHyphen/>
            </w:r>
            <w:r w:rsidR="003A1A96" w:rsidRPr="00D46126">
              <w:rPr>
                <w:i/>
                <w:color w:val="000000"/>
                <w:sz w:val="16"/>
                <w:szCs w:val="16"/>
              </w:rPr>
              <w:t xml:space="preserve">Dumping Measures on Oil Country Tubular Goods from </w:t>
            </w:r>
            <w:r w:rsidR="00D26146" w:rsidRPr="00D46126">
              <w:rPr>
                <w:i/>
                <w:color w:val="000000"/>
                <w:sz w:val="16"/>
                <w:szCs w:val="16"/>
              </w:rPr>
              <w:t xml:space="preserve">Argentina – Recourse to </w:t>
            </w:r>
            <w:r w:rsidRPr="00D46126">
              <w:rPr>
                <w:i/>
                <w:color w:val="000000"/>
                <w:sz w:val="16"/>
                <w:szCs w:val="16"/>
              </w:rPr>
              <w:t>Article </w:t>
            </w:r>
            <w:r w:rsidR="003A1A96" w:rsidRPr="00D46126">
              <w:rPr>
                <w:i/>
                <w:color w:val="000000"/>
                <w:sz w:val="16"/>
                <w:szCs w:val="16"/>
              </w:rPr>
              <w:t>21.5 of the DSU by Argentina</w:t>
            </w:r>
            <w:r w:rsidR="003A1A96" w:rsidRPr="00D46126">
              <w:rPr>
                <w:color w:val="000000"/>
                <w:sz w:val="16"/>
                <w:szCs w:val="16"/>
              </w:rPr>
              <w:t xml:space="preserve">, </w:t>
            </w:r>
            <w:r w:rsidR="003A1A96" w:rsidRPr="003421E2">
              <w:rPr>
                <w:sz w:val="16"/>
                <w:szCs w:val="16"/>
              </w:rPr>
              <w:t>WT/DS268/AB/RW</w:t>
            </w:r>
            <w:r w:rsidR="00D26146" w:rsidRPr="00D46126">
              <w:rPr>
                <w:color w:val="000000"/>
                <w:sz w:val="16"/>
                <w:szCs w:val="16"/>
              </w:rPr>
              <w:t>, adopted 11</w:t>
            </w:r>
            <w:r w:rsidR="000A18DA" w:rsidRPr="00D46126">
              <w:rPr>
                <w:color w:val="000000"/>
                <w:sz w:val="16"/>
                <w:szCs w:val="16"/>
              </w:rPr>
              <w:t> May</w:t>
            </w:r>
            <w:r w:rsidRPr="00D46126">
              <w:rPr>
                <w:color w:val="000000"/>
                <w:sz w:val="16"/>
                <w:szCs w:val="16"/>
              </w:rPr>
              <w:t> 20</w:t>
            </w:r>
            <w:r w:rsidR="00D26146" w:rsidRPr="00D46126">
              <w:rPr>
                <w:color w:val="000000"/>
                <w:sz w:val="16"/>
                <w:szCs w:val="16"/>
              </w:rPr>
              <w:t>07, DSR</w:t>
            </w:r>
            <w:r w:rsidRPr="00D46126">
              <w:rPr>
                <w:color w:val="000000"/>
                <w:sz w:val="16"/>
                <w:szCs w:val="16"/>
              </w:rPr>
              <w:t> 20</w:t>
            </w:r>
            <w:r w:rsidR="003A1A96" w:rsidRPr="00D46126">
              <w:rPr>
                <w:color w:val="000000"/>
                <w:sz w:val="16"/>
                <w:szCs w:val="16"/>
              </w:rPr>
              <w:t>07:IX, p. 3523</w:t>
            </w:r>
          </w:p>
        </w:tc>
      </w:tr>
      <w:tr w:rsidR="00412491" w:rsidRPr="00D46126" w:rsidTr="004526E3">
        <w:trPr>
          <w:cantSplit/>
        </w:trPr>
        <w:tc>
          <w:tcPr>
            <w:tcW w:w="2600" w:type="dxa"/>
          </w:tcPr>
          <w:p w:rsidR="00412491" w:rsidRPr="00D46126" w:rsidRDefault="00412491" w:rsidP="004526E3">
            <w:pPr>
              <w:spacing w:before="60" w:after="60"/>
              <w:jc w:val="left"/>
              <w:rPr>
                <w:i/>
                <w:color w:val="000000"/>
                <w:sz w:val="16"/>
                <w:szCs w:val="16"/>
              </w:rPr>
            </w:pPr>
            <w:r w:rsidRPr="00D46126">
              <w:rPr>
                <w:i/>
                <w:color w:val="000000"/>
                <w:sz w:val="16"/>
                <w:szCs w:val="16"/>
              </w:rPr>
              <w:t>US – Softwood Lumber IV</w:t>
            </w:r>
          </w:p>
        </w:tc>
        <w:tc>
          <w:tcPr>
            <w:tcW w:w="6621" w:type="dxa"/>
          </w:tcPr>
          <w:p w:rsidR="00412491" w:rsidRPr="00D46126" w:rsidRDefault="000A10EA" w:rsidP="004526E3">
            <w:pPr>
              <w:spacing w:before="60" w:after="60"/>
              <w:jc w:val="left"/>
              <w:rPr>
                <w:color w:val="000000"/>
                <w:sz w:val="16"/>
                <w:szCs w:val="16"/>
              </w:rPr>
            </w:pPr>
            <w:r w:rsidRPr="00D46126">
              <w:rPr>
                <w:color w:val="000000"/>
                <w:sz w:val="16"/>
                <w:szCs w:val="16"/>
              </w:rPr>
              <w:t>Appellate Body</w:t>
            </w:r>
            <w:r w:rsidR="00412491" w:rsidRPr="00D46126">
              <w:rPr>
                <w:color w:val="000000"/>
                <w:sz w:val="16"/>
                <w:szCs w:val="16"/>
              </w:rPr>
              <w:t xml:space="preserve"> Report, </w:t>
            </w:r>
            <w:r w:rsidRPr="00D46126">
              <w:rPr>
                <w:i/>
                <w:color w:val="000000"/>
                <w:sz w:val="16"/>
                <w:szCs w:val="16"/>
              </w:rPr>
              <w:t>United States</w:t>
            </w:r>
            <w:r w:rsidR="00412491" w:rsidRPr="00D46126">
              <w:rPr>
                <w:i/>
                <w:color w:val="000000"/>
                <w:sz w:val="16"/>
                <w:szCs w:val="16"/>
              </w:rPr>
              <w:t xml:space="preserve"> – Final Countervailing Duty Determination with Respect to Certain Softwood Lumber from Canada</w:t>
            </w:r>
            <w:r w:rsidR="00412491" w:rsidRPr="00D46126">
              <w:rPr>
                <w:color w:val="000000"/>
                <w:sz w:val="16"/>
                <w:szCs w:val="16"/>
              </w:rPr>
              <w:t xml:space="preserve">, </w:t>
            </w:r>
            <w:r w:rsidR="00412491" w:rsidRPr="003421E2">
              <w:rPr>
                <w:sz w:val="16"/>
                <w:szCs w:val="16"/>
              </w:rPr>
              <w:t>WT/DS257/AB/R</w:t>
            </w:r>
            <w:r w:rsidR="00412491" w:rsidRPr="00D46126">
              <w:rPr>
                <w:color w:val="000000"/>
                <w:sz w:val="16"/>
                <w:szCs w:val="16"/>
              </w:rPr>
              <w:t>, adopted 17</w:t>
            </w:r>
            <w:r w:rsidR="000A18DA" w:rsidRPr="00D46126">
              <w:rPr>
                <w:color w:val="000000"/>
                <w:sz w:val="16"/>
                <w:szCs w:val="16"/>
              </w:rPr>
              <w:t> February</w:t>
            </w:r>
            <w:r w:rsidRPr="00D46126">
              <w:rPr>
                <w:color w:val="000000"/>
                <w:sz w:val="16"/>
                <w:szCs w:val="16"/>
              </w:rPr>
              <w:t> 20</w:t>
            </w:r>
            <w:r w:rsidR="00412491" w:rsidRPr="00D46126">
              <w:rPr>
                <w:color w:val="000000"/>
                <w:sz w:val="16"/>
                <w:szCs w:val="16"/>
              </w:rPr>
              <w:t>04, DSR</w:t>
            </w:r>
            <w:r w:rsidRPr="00D46126">
              <w:rPr>
                <w:color w:val="000000"/>
                <w:sz w:val="16"/>
                <w:szCs w:val="16"/>
              </w:rPr>
              <w:t> 20</w:t>
            </w:r>
            <w:r w:rsidR="00412491" w:rsidRPr="00D46126">
              <w:rPr>
                <w:color w:val="000000"/>
                <w:sz w:val="16"/>
                <w:szCs w:val="16"/>
              </w:rPr>
              <w:t>04:II, p. 571</w:t>
            </w:r>
          </w:p>
        </w:tc>
      </w:tr>
      <w:tr w:rsidR="00746DB9" w:rsidRPr="00D46126" w:rsidTr="004526E3">
        <w:trPr>
          <w:cnfStyle w:val="000000010000" w:firstRow="0" w:lastRow="0" w:firstColumn="0" w:lastColumn="0" w:oddVBand="0" w:evenVBand="0" w:oddHBand="0" w:evenHBand="1" w:firstRowFirstColumn="0" w:firstRowLastColumn="0" w:lastRowFirstColumn="0" w:lastRowLastColumn="0"/>
          <w:cantSplit/>
        </w:trPr>
        <w:tc>
          <w:tcPr>
            <w:tcW w:w="2600" w:type="dxa"/>
          </w:tcPr>
          <w:p w:rsidR="00746DB9" w:rsidRPr="00D46126" w:rsidRDefault="00746DB9" w:rsidP="004526E3">
            <w:pPr>
              <w:keepNext/>
              <w:keepLines/>
              <w:spacing w:before="60" w:after="60"/>
              <w:jc w:val="left"/>
              <w:rPr>
                <w:i/>
                <w:color w:val="000000"/>
                <w:sz w:val="16"/>
                <w:szCs w:val="16"/>
              </w:rPr>
            </w:pPr>
            <w:r w:rsidRPr="00D46126">
              <w:rPr>
                <w:i/>
                <w:color w:val="000000"/>
                <w:sz w:val="16"/>
                <w:szCs w:val="16"/>
              </w:rPr>
              <w:t>US – Softwood Lumber VI (Article 21.5 – Canada)</w:t>
            </w:r>
          </w:p>
        </w:tc>
        <w:tc>
          <w:tcPr>
            <w:tcW w:w="6621" w:type="dxa"/>
          </w:tcPr>
          <w:p w:rsidR="00746DB9" w:rsidRPr="00D46126" w:rsidRDefault="00746DB9" w:rsidP="004526E3">
            <w:pPr>
              <w:keepNext/>
              <w:keepLines/>
              <w:spacing w:before="60" w:after="60"/>
              <w:jc w:val="left"/>
              <w:rPr>
                <w:color w:val="000000"/>
                <w:sz w:val="16"/>
                <w:szCs w:val="16"/>
              </w:rPr>
            </w:pPr>
            <w:r w:rsidRPr="00D46126">
              <w:rPr>
                <w:color w:val="000000"/>
                <w:sz w:val="16"/>
                <w:szCs w:val="16"/>
              </w:rPr>
              <w:t xml:space="preserve">Appellate Body Report, </w:t>
            </w:r>
            <w:r w:rsidRPr="00D46126">
              <w:rPr>
                <w:i/>
                <w:color w:val="000000"/>
                <w:sz w:val="16"/>
                <w:szCs w:val="16"/>
              </w:rPr>
              <w:t>United States – Investigation of the International Trade Commission in Softwood Lumber from Canada – Recourse to Article 21.5 of the DSU by Canada</w:t>
            </w:r>
            <w:r w:rsidRPr="00D46126">
              <w:rPr>
                <w:color w:val="000000"/>
                <w:sz w:val="16"/>
                <w:szCs w:val="16"/>
              </w:rPr>
              <w:t xml:space="preserve">, </w:t>
            </w:r>
            <w:r w:rsidRPr="003421E2">
              <w:rPr>
                <w:sz w:val="16"/>
                <w:szCs w:val="16"/>
              </w:rPr>
              <w:t>WT/DS277/AB/RW</w:t>
            </w:r>
            <w:r w:rsidRPr="00D46126">
              <w:rPr>
                <w:color w:val="000000"/>
                <w:sz w:val="16"/>
                <w:szCs w:val="16"/>
              </w:rPr>
              <w:t>, adopted 9 May 2006, and Corr.1, DSR</w:t>
            </w:r>
            <w:r w:rsidR="00933169">
              <w:rPr>
                <w:color w:val="000000"/>
                <w:sz w:val="16"/>
                <w:szCs w:val="16"/>
              </w:rPr>
              <w:t> </w:t>
            </w:r>
            <w:r w:rsidRPr="00D46126">
              <w:rPr>
                <w:color w:val="000000"/>
                <w:sz w:val="16"/>
                <w:szCs w:val="16"/>
              </w:rPr>
              <w:t>2006:XI, p. 4865</w:t>
            </w:r>
          </w:p>
        </w:tc>
      </w:tr>
      <w:tr w:rsidR="005D430E" w:rsidRPr="00D46126" w:rsidTr="004526E3">
        <w:trPr>
          <w:cantSplit/>
        </w:trPr>
        <w:tc>
          <w:tcPr>
            <w:tcW w:w="2600" w:type="dxa"/>
          </w:tcPr>
          <w:p w:rsidR="005D430E" w:rsidRPr="00D46126" w:rsidRDefault="005D430E" w:rsidP="004526E3">
            <w:pPr>
              <w:spacing w:before="60" w:after="60"/>
              <w:jc w:val="left"/>
              <w:rPr>
                <w:sz w:val="16"/>
                <w:szCs w:val="16"/>
              </w:rPr>
            </w:pPr>
            <w:r w:rsidRPr="00D46126">
              <w:rPr>
                <w:i/>
                <w:color w:val="000000"/>
                <w:sz w:val="16"/>
                <w:szCs w:val="16"/>
              </w:rPr>
              <w:t>US – Stainless Steel (Mexico)</w:t>
            </w:r>
          </w:p>
        </w:tc>
        <w:tc>
          <w:tcPr>
            <w:tcW w:w="6621" w:type="dxa"/>
          </w:tcPr>
          <w:p w:rsidR="005D430E" w:rsidRPr="00D46126" w:rsidRDefault="000A10EA" w:rsidP="004526E3">
            <w:pPr>
              <w:spacing w:before="60" w:after="60"/>
              <w:jc w:val="left"/>
              <w:rPr>
                <w:sz w:val="16"/>
                <w:szCs w:val="16"/>
              </w:rPr>
            </w:pPr>
            <w:r w:rsidRPr="00D46126">
              <w:rPr>
                <w:color w:val="000000"/>
                <w:sz w:val="16"/>
                <w:szCs w:val="16"/>
              </w:rPr>
              <w:t>Appellate Body</w:t>
            </w:r>
            <w:r w:rsidR="005D430E" w:rsidRPr="00D46126">
              <w:rPr>
                <w:color w:val="000000"/>
                <w:sz w:val="16"/>
                <w:szCs w:val="16"/>
              </w:rPr>
              <w:t xml:space="preserve"> Report, </w:t>
            </w:r>
            <w:r w:rsidRPr="00D46126">
              <w:rPr>
                <w:i/>
                <w:color w:val="000000"/>
                <w:sz w:val="16"/>
                <w:szCs w:val="16"/>
              </w:rPr>
              <w:t>United States</w:t>
            </w:r>
            <w:r w:rsidR="005D430E" w:rsidRPr="00D46126">
              <w:rPr>
                <w:i/>
                <w:color w:val="000000"/>
                <w:sz w:val="16"/>
                <w:szCs w:val="16"/>
              </w:rPr>
              <w:t xml:space="preserve"> – Final Anti-Dumping Measures on Stainless Steel from Mexico</w:t>
            </w:r>
            <w:r w:rsidR="005D430E" w:rsidRPr="00D46126">
              <w:rPr>
                <w:color w:val="000000"/>
                <w:sz w:val="16"/>
                <w:szCs w:val="16"/>
              </w:rPr>
              <w:t xml:space="preserve">, </w:t>
            </w:r>
            <w:r w:rsidR="005D430E" w:rsidRPr="003421E2">
              <w:rPr>
                <w:sz w:val="16"/>
                <w:szCs w:val="16"/>
              </w:rPr>
              <w:t>WT/DS344/AB/R</w:t>
            </w:r>
            <w:r w:rsidR="00D26146" w:rsidRPr="00D46126">
              <w:rPr>
                <w:color w:val="000000"/>
                <w:sz w:val="16"/>
                <w:szCs w:val="16"/>
              </w:rPr>
              <w:t>, adopted</w:t>
            </w:r>
            <w:r w:rsidRPr="00D46126">
              <w:rPr>
                <w:color w:val="000000"/>
                <w:sz w:val="16"/>
                <w:szCs w:val="16"/>
              </w:rPr>
              <w:t> 20</w:t>
            </w:r>
            <w:r w:rsidR="000A18DA" w:rsidRPr="00D46126">
              <w:rPr>
                <w:color w:val="000000"/>
                <w:sz w:val="16"/>
                <w:szCs w:val="16"/>
              </w:rPr>
              <w:t> May</w:t>
            </w:r>
            <w:r w:rsidRPr="00D46126">
              <w:rPr>
                <w:color w:val="000000"/>
                <w:sz w:val="16"/>
                <w:szCs w:val="16"/>
              </w:rPr>
              <w:t> 20</w:t>
            </w:r>
            <w:r w:rsidR="00D26146" w:rsidRPr="00D46126">
              <w:rPr>
                <w:color w:val="000000"/>
                <w:sz w:val="16"/>
                <w:szCs w:val="16"/>
              </w:rPr>
              <w:t>08, DSR</w:t>
            </w:r>
            <w:r w:rsidRPr="00D46126">
              <w:rPr>
                <w:color w:val="000000"/>
                <w:sz w:val="16"/>
                <w:szCs w:val="16"/>
              </w:rPr>
              <w:t> 20</w:t>
            </w:r>
            <w:r w:rsidR="005D430E" w:rsidRPr="00D46126">
              <w:rPr>
                <w:color w:val="000000"/>
                <w:sz w:val="16"/>
                <w:szCs w:val="16"/>
              </w:rPr>
              <w:t>08:II, p. 513</w:t>
            </w:r>
          </w:p>
        </w:tc>
      </w:tr>
      <w:tr w:rsidR="00D46126" w:rsidRPr="00D46126" w:rsidTr="004526E3">
        <w:trPr>
          <w:cnfStyle w:val="000000010000" w:firstRow="0" w:lastRow="0" w:firstColumn="0" w:lastColumn="0" w:oddVBand="0" w:evenVBand="0" w:oddHBand="0" w:evenHBand="1" w:firstRowFirstColumn="0" w:firstRowLastColumn="0" w:lastRowFirstColumn="0" w:lastRowLastColumn="0"/>
          <w:cantSplit/>
        </w:trPr>
        <w:tc>
          <w:tcPr>
            <w:tcW w:w="2600" w:type="dxa"/>
          </w:tcPr>
          <w:p w:rsidR="00D46126" w:rsidRPr="00D46126" w:rsidRDefault="00D46126" w:rsidP="004526E3">
            <w:pPr>
              <w:spacing w:before="60" w:after="60"/>
              <w:jc w:val="left"/>
              <w:rPr>
                <w:i/>
                <w:color w:val="000000"/>
                <w:sz w:val="16"/>
                <w:szCs w:val="16"/>
              </w:rPr>
            </w:pPr>
            <w:r w:rsidRPr="00D46126">
              <w:rPr>
                <w:i/>
                <w:color w:val="000000"/>
                <w:sz w:val="16"/>
                <w:szCs w:val="16"/>
              </w:rPr>
              <w:t>US – Steel Safeguards</w:t>
            </w:r>
          </w:p>
        </w:tc>
        <w:tc>
          <w:tcPr>
            <w:tcW w:w="6621" w:type="dxa"/>
          </w:tcPr>
          <w:p w:rsidR="00D46126" w:rsidRPr="00D46126" w:rsidRDefault="00D46126" w:rsidP="004526E3">
            <w:pPr>
              <w:spacing w:before="60" w:after="60"/>
              <w:jc w:val="left"/>
              <w:rPr>
                <w:color w:val="000000"/>
                <w:sz w:val="16"/>
                <w:szCs w:val="16"/>
              </w:rPr>
            </w:pPr>
            <w:r w:rsidRPr="00D46126">
              <w:rPr>
                <w:color w:val="000000"/>
                <w:sz w:val="16"/>
                <w:szCs w:val="16"/>
              </w:rPr>
              <w:t xml:space="preserve">Appellate Body Report, </w:t>
            </w:r>
            <w:r w:rsidRPr="00D46126">
              <w:rPr>
                <w:i/>
                <w:color w:val="000000"/>
                <w:sz w:val="16"/>
                <w:szCs w:val="16"/>
              </w:rPr>
              <w:t>United States – Definitive Safeguard Measures on Imports of Certain Steel Products</w:t>
            </w:r>
            <w:r w:rsidRPr="00D46126">
              <w:rPr>
                <w:color w:val="000000"/>
                <w:sz w:val="16"/>
                <w:szCs w:val="16"/>
              </w:rPr>
              <w:t xml:space="preserve">, </w:t>
            </w:r>
            <w:r w:rsidRPr="003421E2">
              <w:rPr>
                <w:sz w:val="16"/>
                <w:szCs w:val="16"/>
              </w:rPr>
              <w:t>WT/DS248/AB/R</w:t>
            </w:r>
            <w:r w:rsidRPr="00D46126">
              <w:rPr>
                <w:color w:val="000000"/>
                <w:sz w:val="16"/>
                <w:szCs w:val="16"/>
              </w:rPr>
              <w:t xml:space="preserve">, </w:t>
            </w:r>
            <w:r w:rsidRPr="003421E2">
              <w:rPr>
                <w:sz w:val="16"/>
                <w:szCs w:val="16"/>
              </w:rPr>
              <w:t>WT/DS249/AB/R</w:t>
            </w:r>
            <w:r w:rsidRPr="00D46126">
              <w:rPr>
                <w:color w:val="000000"/>
                <w:sz w:val="16"/>
                <w:szCs w:val="16"/>
              </w:rPr>
              <w:t xml:space="preserve">, </w:t>
            </w:r>
            <w:r w:rsidRPr="003421E2">
              <w:rPr>
                <w:sz w:val="16"/>
                <w:szCs w:val="16"/>
              </w:rPr>
              <w:t>WT/DS251/AB/R</w:t>
            </w:r>
            <w:r w:rsidRPr="00D46126">
              <w:rPr>
                <w:color w:val="000000"/>
                <w:sz w:val="16"/>
                <w:szCs w:val="16"/>
              </w:rPr>
              <w:t xml:space="preserve">, </w:t>
            </w:r>
            <w:r w:rsidRPr="003421E2">
              <w:rPr>
                <w:sz w:val="16"/>
                <w:szCs w:val="16"/>
              </w:rPr>
              <w:t>WT/DS252/AB/R</w:t>
            </w:r>
            <w:r w:rsidRPr="00D46126">
              <w:rPr>
                <w:color w:val="000000"/>
                <w:sz w:val="16"/>
                <w:szCs w:val="16"/>
              </w:rPr>
              <w:t xml:space="preserve">, </w:t>
            </w:r>
            <w:r w:rsidRPr="003421E2">
              <w:rPr>
                <w:sz w:val="16"/>
                <w:szCs w:val="16"/>
              </w:rPr>
              <w:t>WT/DS253/AB/R</w:t>
            </w:r>
            <w:r w:rsidRPr="00D46126">
              <w:rPr>
                <w:color w:val="000000"/>
                <w:sz w:val="16"/>
                <w:szCs w:val="16"/>
              </w:rPr>
              <w:t xml:space="preserve">, </w:t>
            </w:r>
            <w:r w:rsidRPr="003421E2">
              <w:rPr>
                <w:sz w:val="16"/>
                <w:szCs w:val="16"/>
              </w:rPr>
              <w:t>WT/DS254/AB/R</w:t>
            </w:r>
            <w:r w:rsidRPr="00D46126">
              <w:rPr>
                <w:color w:val="000000"/>
                <w:sz w:val="16"/>
                <w:szCs w:val="16"/>
              </w:rPr>
              <w:t xml:space="preserve">, </w:t>
            </w:r>
            <w:r w:rsidRPr="003421E2">
              <w:rPr>
                <w:sz w:val="16"/>
                <w:szCs w:val="16"/>
              </w:rPr>
              <w:t>WT/DS258/AB/R</w:t>
            </w:r>
            <w:r w:rsidRPr="00D46126">
              <w:rPr>
                <w:color w:val="000000"/>
                <w:sz w:val="16"/>
                <w:szCs w:val="16"/>
              </w:rPr>
              <w:t xml:space="preserve">, </w:t>
            </w:r>
            <w:r w:rsidRPr="003421E2">
              <w:rPr>
                <w:sz w:val="16"/>
                <w:szCs w:val="16"/>
              </w:rPr>
              <w:t>WT/DS259/AB/R</w:t>
            </w:r>
            <w:r w:rsidRPr="00D46126">
              <w:rPr>
                <w:color w:val="000000"/>
                <w:sz w:val="16"/>
                <w:szCs w:val="16"/>
              </w:rPr>
              <w:t>, adopted 10 December 2003, DSR 2003:VII, p. 3117</w:t>
            </w:r>
          </w:p>
        </w:tc>
      </w:tr>
      <w:tr w:rsidR="0007161B" w:rsidRPr="00D46126" w:rsidTr="004526E3">
        <w:trPr>
          <w:cantSplit/>
        </w:trPr>
        <w:tc>
          <w:tcPr>
            <w:tcW w:w="2600" w:type="dxa"/>
          </w:tcPr>
          <w:p w:rsidR="0007161B" w:rsidRPr="00D46126" w:rsidRDefault="0007161B" w:rsidP="004526E3">
            <w:pPr>
              <w:spacing w:before="60" w:after="60"/>
              <w:jc w:val="left"/>
              <w:rPr>
                <w:i/>
                <w:sz w:val="16"/>
                <w:szCs w:val="16"/>
              </w:rPr>
            </w:pPr>
            <w:r w:rsidRPr="00D46126">
              <w:rPr>
                <w:i/>
                <w:color w:val="000000"/>
                <w:sz w:val="16"/>
                <w:szCs w:val="16"/>
              </w:rPr>
              <w:t>US – Tax Incentives</w:t>
            </w:r>
          </w:p>
        </w:tc>
        <w:tc>
          <w:tcPr>
            <w:tcW w:w="6621" w:type="dxa"/>
          </w:tcPr>
          <w:p w:rsidR="0007161B" w:rsidRPr="00D46126" w:rsidRDefault="000A10EA" w:rsidP="004526E3">
            <w:pPr>
              <w:keepLines/>
              <w:tabs>
                <w:tab w:val="left" w:pos="2268"/>
                <w:tab w:val="left" w:pos="4536"/>
              </w:tabs>
              <w:spacing w:before="60" w:after="60"/>
              <w:jc w:val="left"/>
              <w:rPr>
                <w:sz w:val="16"/>
                <w:szCs w:val="16"/>
              </w:rPr>
            </w:pPr>
            <w:r w:rsidRPr="00D46126">
              <w:rPr>
                <w:color w:val="000000"/>
                <w:sz w:val="16"/>
                <w:szCs w:val="16"/>
              </w:rPr>
              <w:t>Appellate Body</w:t>
            </w:r>
            <w:r w:rsidR="0007161B" w:rsidRPr="00D46126">
              <w:rPr>
                <w:color w:val="000000"/>
                <w:sz w:val="16"/>
                <w:szCs w:val="16"/>
              </w:rPr>
              <w:t xml:space="preserve"> Report, </w:t>
            </w:r>
            <w:r w:rsidRPr="00D46126">
              <w:rPr>
                <w:i/>
                <w:color w:val="000000"/>
                <w:sz w:val="16"/>
                <w:szCs w:val="16"/>
              </w:rPr>
              <w:t>United States</w:t>
            </w:r>
            <w:r w:rsidR="0007161B" w:rsidRPr="00D46126">
              <w:rPr>
                <w:i/>
                <w:color w:val="000000"/>
                <w:sz w:val="16"/>
                <w:szCs w:val="16"/>
              </w:rPr>
              <w:t xml:space="preserve"> – Conditional Tax Incentives for Large Civil Aircraft</w:t>
            </w:r>
            <w:r w:rsidR="0007161B" w:rsidRPr="00D46126">
              <w:rPr>
                <w:color w:val="000000"/>
                <w:sz w:val="16"/>
                <w:szCs w:val="16"/>
              </w:rPr>
              <w:t xml:space="preserve">, </w:t>
            </w:r>
            <w:r w:rsidR="0007161B" w:rsidRPr="00CE0C1F">
              <w:rPr>
                <w:sz w:val="16"/>
                <w:szCs w:val="16"/>
              </w:rPr>
              <w:t>WT/DS487/AB/R</w:t>
            </w:r>
            <w:r w:rsidR="0007161B" w:rsidRPr="00D46126">
              <w:rPr>
                <w:color w:val="000000"/>
                <w:sz w:val="16"/>
                <w:szCs w:val="16"/>
              </w:rPr>
              <w:t xml:space="preserve"> and Add.1, adopted 22</w:t>
            </w:r>
            <w:r w:rsidR="000A18DA" w:rsidRPr="00D46126">
              <w:rPr>
                <w:color w:val="000000"/>
                <w:sz w:val="16"/>
                <w:szCs w:val="16"/>
              </w:rPr>
              <w:t> September</w:t>
            </w:r>
            <w:r w:rsidRPr="00D46126">
              <w:rPr>
                <w:color w:val="000000"/>
                <w:sz w:val="16"/>
                <w:szCs w:val="16"/>
              </w:rPr>
              <w:t> 20</w:t>
            </w:r>
            <w:r w:rsidR="0007161B" w:rsidRPr="00D46126">
              <w:rPr>
                <w:color w:val="000000"/>
                <w:sz w:val="16"/>
                <w:szCs w:val="16"/>
              </w:rPr>
              <w:t>17</w:t>
            </w:r>
          </w:p>
        </w:tc>
      </w:tr>
      <w:tr w:rsidR="0007161B" w:rsidRPr="00D46126" w:rsidTr="004526E3">
        <w:trPr>
          <w:cnfStyle w:val="000000010000" w:firstRow="0" w:lastRow="0" w:firstColumn="0" w:lastColumn="0" w:oddVBand="0" w:evenVBand="0" w:oddHBand="0" w:evenHBand="1" w:firstRowFirstColumn="0" w:firstRowLastColumn="0" w:lastRowFirstColumn="0" w:lastRowLastColumn="0"/>
          <w:cantSplit/>
        </w:trPr>
        <w:tc>
          <w:tcPr>
            <w:tcW w:w="2600" w:type="dxa"/>
          </w:tcPr>
          <w:p w:rsidR="0007161B" w:rsidRPr="00D46126" w:rsidRDefault="0007161B" w:rsidP="004526E3">
            <w:pPr>
              <w:spacing w:before="60" w:after="60"/>
              <w:jc w:val="left"/>
              <w:rPr>
                <w:i/>
                <w:sz w:val="16"/>
                <w:szCs w:val="16"/>
              </w:rPr>
            </w:pPr>
            <w:r w:rsidRPr="00D46126">
              <w:rPr>
                <w:i/>
                <w:color w:val="000000"/>
                <w:sz w:val="16"/>
                <w:szCs w:val="16"/>
              </w:rPr>
              <w:t>US – Tax Incentives</w:t>
            </w:r>
          </w:p>
        </w:tc>
        <w:tc>
          <w:tcPr>
            <w:tcW w:w="6621" w:type="dxa"/>
          </w:tcPr>
          <w:p w:rsidR="0007161B" w:rsidRPr="00D46126" w:rsidRDefault="0007161B" w:rsidP="004526E3">
            <w:pPr>
              <w:keepLines/>
              <w:tabs>
                <w:tab w:val="left" w:pos="2268"/>
                <w:tab w:val="left" w:pos="4536"/>
              </w:tabs>
              <w:spacing w:before="60" w:after="60"/>
              <w:jc w:val="left"/>
              <w:rPr>
                <w:sz w:val="16"/>
                <w:szCs w:val="16"/>
              </w:rPr>
            </w:pPr>
            <w:r w:rsidRPr="00D46126">
              <w:rPr>
                <w:color w:val="000000"/>
                <w:sz w:val="16"/>
                <w:szCs w:val="16"/>
              </w:rPr>
              <w:t xml:space="preserve">Panel Report, </w:t>
            </w:r>
            <w:r w:rsidR="000A10EA" w:rsidRPr="00D46126">
              <w:rPr>
                <w:i/>
                <w:color w:val="000000"/>
                <w:sz w:val="16"/>
                <w:szCs w:val="16"/>
              </w:rPr>
              <w:t>United States</w:t>
            </w:r>
            <w:r w:rsidRPr="00D46126">
              <w:rPr>
                <w:i/>
                <w:color w:val="000000"/>
                <w:sz w:val="16"/>
                <w:szCs w:val="16"/>
              </w:rPr>
              <w:t xml:space="preserve"> – Conditional Tax Incentives for Large Civil Aircraft</w:t>
            </w:r>
            <w:r w:rsidRPr="00D46126">
              <w:rPr>
                <w:color w:val="000000"/>
                <w:sz w:val="16"/>
                <w:szCs w:val="16"/>
              </w:rPr>
              <w:t xml:space="preserve">, </w:t>
            </w:r>
            <w:r w:rsidRPr="00CE0C1F">
              <w:rPr>
                <w:sz w:val="16"/>
                <w:szCs w:val="16"/>
              </w:rPr>
              <w:t>WT/DS487/R</w:t>
            </w:r>
            <w:r w:rsidRPr="00D46126">
              <w:rPr>
                <w:color w:val="000000"/>
                <w:sz w:val="16"/>
                <w:szCs w:val="16"/>
              </w:rPr>
              <w:t xml:space="preserve"> and Add.1, adopted 22</w:t>
            </w:r>
            <w:r w:rsidR="000A18DA" w:rsidRPr="00D46126">
              <w:rPr>
                <w:color w:val="000000"/>
                <w:sz w:val="16"/>
                <w:szCs w:val="16"/>
              </w:rPr>
              <w:t> September</w:t>
            </w:r>
            <w:r w:rsidR="000A10EA" w:rsidRPr="00D46126">
              <w:rPr>
                <w:color w:val="000000"/>
                <w:sz w:val="16"/>
                <w:szCs w:val="16"/>
              </w:rPr>
              <w:t> 20</w:t>
            </w:r>
            <w:r w:rsidRPr="00D46126">
              <w:rPr>
                <w:color w:val="000000"/>
                <w:sz w:val="16"/>
                <w:szCs w:val="16"/>
              </w:rPr>
              <w:t xml:space="preserve">17, as modified by </w:t>
            </w:r>
            <w:r w:rsidR="000A10EA" w:rsidRPr="00D46126">
              <w:rPr>
                <w:color w:val="000000"/>
                <w:sz w:val="16"/>
                <w:szCs w:val="16"/>
              </w:rPr>
              <w:t>Appellate Body</w:t>
            </w:r>
            <w:r w:rsidRPr="00D46126">
              <w:rPr>
                <w:color w:val="000000"/>
                <w:sz w:val="16"/>
                <w:szCs w:val="16"/>
              </w:rPr>
              <w:t xml:space="preserve"> Report WT/DS487/AB/R</w:t>
            </w:r>
          </w:p>
        </w:tc>
      </w:tr>
      <w:tr w:rsidR="00412491" w:rsidRPr="00D46126" w:rsidTr="004526E3">
        <w:trPr>
          <w:cantSplit/>
        </w:trPr>
        <w:tc>
          <w:tcPr>
            <w:tcW w:w="2600" w:type="dxa"/>
          </w:tcPr>
          <w:p w:rsidR="00412491" w:rsidRPr="00D46126" w:rsidRDefault="00412491" w:rsidP="004526E3">
            <w:pPr>
              <w:spacing w:before="60" w:after="60"/>
              <w:jc w:val="left"/>
              <w:rPr>
                <w:i/>
                <w:color w:val="000000"/>
                <w:sz w:val="16"/>
                <w:szCs w:val="16"/>
              </w:rPr>
            </w:pPr>
            <w:r w:rsidRPr="00D46126">
              <w:rPr>
                <w:i/>
                <w:color w:val="000000"/>
                <w:sz w:val="16"/>
                <w:szCs w:val="16"/>
              </w:rPr>
              <w:t>US – Upland Cotton</w:t>
            </w:r>
          </w:p>
        </w:tc>
        <w:tc>
          <w:tcPr>
            <w:tcW w:w="6621" w:type="dxa"/>
          </w:tcPr>
          <w:p w:rsidR="00412491" w:rsidRPr="00D46126" w:rsidRDefault="000A10EA" w:rsidP="004526E3">
            <w:pPr>
              <w:keepLines/>
              <w:tabs>
                <w:tab w:val="left" w:pos="2268"/>
                <w:tab w:val="left" w:pos="4536"/>
              </w:tabs>
              <w:spacing w:before="60" w:after="60"/>
              <w:jc w:val="left"/>
              <w:rPr>
                <w:color w:val="000000"/>
                <w:sz w:val="16"/>
                <w:szCs w:val="16"/>
              </w:rPr>
            </w:pPr>
            <w:r w:rsidRPr="00D46126">
              <w:rPr>
                <w:color w:val="000000"/>
                <w:sz w:val="16"/>
                <w:szCs w:val="16"/>
              </w:rPr>
              <w:t>Appellate Body</w:t>
            </w:r>
            <w:r w:rsidR="00412491" w:rsidRPr="00D46126">
              <w:rPr>
                <w:color w:val="000000"/>
                <w:sz w:val="16"/>
                <w:szCs w:val="16"/>
              </w:rPr>
              <w:t xml:space="preserve"> Report, </w:t>
            </w:r>
            <w:r w:rsidRPr="00D46126">
              <w:rPr>
                <w:i/>
                <w:color w:val="000000"/>
                <w:sz w:val="16"/>
                <w:szCs w:val="16"/>
              </w:rPr>
              <w:t>United States</w:t>
            </w:r>
            <w:r w:rsidR="00412491" w:rsidRPr="00D46126">
              <w:rPr>
                <w:i/>
                <w:color w:val="000000"/>
                <w:sz w:val="16"/>
                <w:szCs w:val="16"/>
              </w:rPr>
              <w:t xml:space="preserve"> – Subsidies on Upland Cotton</w:t>
            </w:r>
            <w:r w:rsidR="00412491" w:rsidRPr="00D46126">
              <w:rPr>
                <w:color w:val="000000"/>
                <w:sz w:val="16"/>
                <w:szCs w:val="16"/>
              </w:rPr>
              <w:t xml:space="preserve">, </w:t>
            </w:r>
            <w:r w:rsidR="00412491" w:rsidRPr="00CE0C1F">
              <w:rPr>
                <w:sz w:val="16"/>
                <w:szCs w:val="16"/>
              </w:rPr>
              <w:t>WT/DS267/AB/R</w:t>
            </w:r>
            <w:r w:rsidR="00412491" w:rsidRPr="00D46126">
              <w:rPr>
                <w:color w:val="000000"/>
                <w:sz w:val="16"/>
                <w:szCs w:val="16"/>
              </w:rPr>
              <w:t>, adopted 21</w:t>
            </w:r>
            <w:r w:rsidR="000A18DA" w:rsidRPr="00D46126">
              <w:rPr>
                <w:color w:val="000000"/>
                <w:sz w:val="16"/>
                <w:szCs w:val="16"/>
              </w:rPr>
              <w:t> March</w:t>
            </w:r>
            <w:r w:rsidRPr="00D46126">
              <w:rPr>
                <w:color w:val="000000"/>
                <w:sz w:val="16"/>
                <w:szCs w:val="16"/>
              </w:rPr>
              <w:t> 20</w:t>
            </w:r>
            <w:r w:rsidR="00412491" w:rsidRPr="00D46126">
              <w:rPr>
                <w:color w:val="000000"/>
                <w:sz w:val="16"/>
                <w:szCs w:val="16"/>
              </w:rPr>
              <w:t>05, DSR</w:t>
            </w:r>
            <w:r w:rsidRPr="00D46126">
              <w:rPr>
                <w:color w:val="000000"/>
                <w:sz w:val="16"/>
                <w:szCs w:val="16"/>
              </w:rPr>
              <w:t> 20</w:t>
            </w:r>
            <w:r w:rsidR="00412491" w:rsidRPr="00D46126">
              <w:rPr>
                <w:color w:val="000000"/>
                <w:sz w:val="16"/>
                <w:szCs w:val="16"/>
              </w:rPr>
              <w:t>05:I, p. 3</w:t>
            </w:r>
          </w:p>
        </w:tc>
      </w:tr>
      <w:tr w:rsidR="008304B3" w:rsidRPr="00D46126" w:rsidTr="004526E3">
        <w:trPr>
          <w:cnfStyle w:val="000000010000" w:firstRow="0" w:lastRow="0" w:firstColumn="0" w:lastColumn="0" w:oddVBand="0" w:evenVBand="0" w:oddHBand="0" w:evenHBand="1" w:firstRowFirstColumn="0" w:firstRowLastColumn="0" w:lastRowFirstColumn="0" w:lastRowLastColumn="0"/>
          <w:cantSplit/>
        </w:trPr>
        <w:tc>
          <w:tcPr>
            <w:tcW w:w="2600" w:type="dxa"/>
          </w:tcPr>
          <w:p w:rsidR="008304B3" w:rsidRPr="00D46126" w:rsidRDefault="008304B3" w:rsidP="004526E3">
            <w:pPr>
              <w:tabs>
                <w:tab w:val="left" w:pos="1660"/>
              </w:tabs>
              <w:spacing w:before="60" w:after="60"/>
              <w:jc w:val="left"/>
              <w:rPr>
                <w:i/>
                <w:color w:val="000000"/>
                <w:sz w:val="16"/>
                <w:szCs w:val="16"/>
              </w:rPr>
            </w:pPr>
            <w:r w:rsidRPr="00D46126">
              <w:rPr>
                <w:i/>
                <w:color w:val="000000"/>
                <w:sz w:val="16"/>
                <w:szCs w:val="16"/>
              </w:rPr>
              <w:t>US – Upland Cotton</w:t>
            </w:r>
          </w:p>
        </w:tc>
        <w:tc>
          <w:tcPr>
            <w:tcW w:w="6621" w:type="dxa"/>
          </w:tcPr>
          <w:p w:rsidR="008304B3" w:rsidRPr="00D46126" w:rsidRDefault="008304B3" w:rsidP="004526E3">
            <w:pPr>
              <w:keepLines/>
              <w:tabs>
                <w:tab w:val="left" w:pos="2268"/>
                <w:tab w:val="left" w:pos="4536"/>
              </w:tabs>
              <w:spacing w:before="60" w:after="60"/>
              <w:jc w:val="left"/>
              <w:rPr>
                <w:color w:val="000000"/>
                <w:sz w:val="16"/>
                <w:szCs w:val="16"/>
              </w:rPr>
            </w:pPr>
            <w:r w:rsidRPr="00D46126">
              <w:rPr>
                <w:color w:val="000000"/>
                <w:sz w:val="16"/>
                <w:szCs w:val="16"/>
              </w:rPr>
              <w:t xml:space="preserve">Panel Report, </w:t>
            </w:r>
            <w:r w:rsidR="000A10EA" w:rsidRPr="00D46126">
              <w:rPr>
                <w:i/>
                <w:color w:val="000000"/>
                <w:sz w:val="16"/>
                <w:szCs w:val="16"/>
              </w:rPr>
              <w:t>United States</w:t>
            </w:r>
            <w:r w:rsidRPr="00D46126">
              <w:rPr>
                <w:i/>
                <w:color w:val="000000"/>
                <w:sz w:val="16"/>
                <w:szCs w:val="16"/>
              </w:rPr>
              <w:t xml:space="preserve"> – Subsidies on Upland Cotton</w:t>
            </w:r>
            <w:r w:rsidRPr="00D46126">
              <w:rPr>
                <w:color w:val="000000"/>
                <w:sz w:val="16"/>
                <w:szCs w:val="16"/>
              </w:rPr>
              <w:t xml:space="preserve">, </w:t>
            </w:r>
            <w:r w:rsidRPr="00CE0C1F">
              <w:rPr>
                <w:sz w:val="16"/>
                <w:szCs w:val="16"/>
              </w:rPr>
              <w:t>WT/DS267/R</w:t>
            </w:r>
            <w:r w:rsidRPr="00D46126">
              <w:rPr>
                <w:color w:val="000000"/>
                <w:sz w:val="16"/>
                <w:szCs w:val="16"/>
              </w:rPr>
              <w:t>, Add.1 to Add.3 and Corr.1, adopted 21</w:t>
            </w:r>
            <w:r w:rsidR="000A18DA" w:rsidRPr="00D46126">
              <w:rPr>
                <w:color w:val="000000"/>
                <w:sz w:val="16"/>
                <w:szCs w:val="16"/>
              </w:rPr>
              <w:t> March</w:t>
            </w:r>
            <w:r w:rsidR="000A10EA" w:rsidRPr="00D46126">
              <w:rPr>
                <w:color w:val="000000"/>
                <w:sz w:val="16"/>
                <w:szCs w:val="16"/>
              </w:rPr>
              <w:t> 20</w:t>
            </w:r>
            <w:r w:rsidRPr="00D46126">
              <w:rPr>
                <w:color w:val="000000"/>
                <w:sz w:val="16"/>
                <w:szCs w:val="16"/>
              </w:rPr>
              <w:t xml:space="preserve">05, as modified by </w:t>
            </w:r>
            <w:r w:rsidR="000A10EA" w:rsidRPr="00D46126">
              <w:rPr>
                <w:color w:val="000000"/>
                <w:sz w:val="16"/>
                <w:szCs w:val="16"/>
              </w:rPr>
              <w:t>Appellate Body</w:t>
            </w:r>
            <w:r w:rsidRPr="00D46126">
              <w:rPr>
                <w:color w:val="000000"/>
                <w:sz w:val="16"/>
                <w:szCs w:val="16"/>
              </w:rPr>
              <w:t xml:space="preserve"> Report WT/DS267/AB/R, DSR</w:t>
            </w:r>
            <w:r w:rsidR="000A10EA" w:rsidRPr="00D46126">
              <w:rPr>
                <w:color w:val="000000"/>
                <w:sz w:val="16"/>
                <w:szCs w:val="16"/>
              </w:rPr>
              <w:t> 20</w:t>
            </w:r>
            <w:r w:rsidR="00206309" w:rsidRPr="00D46126">
              <w:rPr>
                <w:color w:val="000000"/>
                <w:sz w:val="16"/>
                <w:szCs w:val="16"/>
              </w:rPr>
              <w:t>05:II, p. </w:t>
            </w:r>
            <w:r w:rsidRPr="00D46126">
              <w:rPr>
                <w:color w:val="000000"/>
                <w:sz w:val="16"/>
                <w:szCs w:val="16"/>
              </w:rPr>
              <w:t>299</w:t>
            </w:r>
          </w:p>
        </w:tc>
      </w:tr>
      <w:tr w:rsidR="008304B3" w:rsidRPr="00D46126" w:rsidTr="004526E3">
        <w:trPr>
          <w:cantSplit/>
        </w:trPr>
        <w:tc>
          <w:tcPr>
            <w:tcW w:w="2600" w:type="dxa"/>
          </w:tcPr>
          <w:p w:rsidR="008304B3" w:rsidRPr="00D46126" w:rsidRDefault="00D26146" w:rsidP="004526E3">
            <w:pPr>
              <w:spacing w:before="60" w:after="60"/>
              <w:jc w:val="left"/>
              <w:rPr>
                <w:i/>
                <w:sz w:val="16"/>
                <w:szCs w:val="16"/>
              </w:rPr>
            </w:pPr>
            <w:r w:rsidRPr="00D46126">
              <w:rPr>
                <w:i/>
                <w:color w:val="000000"/>
                <w:sz w:val="16"/>
                <w:szCs w:val="16"/>
              </w:rPr>
              <w:t>US – Upland Cotton (</w:t>
            </w:r>
            <w:r w:rsidR="000A10EA" w:rsidRPr="00D46126">
              <w:rPr>
                <w:i/>
                <w:color w:val="000000"/>
                <w:sz w:val="16"/>
                <w:szCs w:val="16"/>
              </w:rPr>
              <w:t>Article </w:t>
            </w:r>
            <w:r w:rsidR="003A1A96" w:rsidRPr="00D46126">
              <w:rPr>
                <w:i/>
                <w:color w:val="000000"/>
                <w:sz w:val="16"/>
                <w:szCs w:val="16"/>
              </w:rPr>
              <w:t>21.5 – Brazil)</w:t>
            </w:r>
          </w:p>
        </w:tc>
        <w:tc>
          <w:tcPr>
            <w:tcW w:w="6621" w:type="dxa"/>
          </w:tcPr>
          <w:p w:rsidR="008304B3" w:rsidRPr="00D46126" w:rsidRDefault="000A10EA" w:rsidP="004526E3">
            <w:pPr>
              <w:keepLines/>
              <w:tabs>
                <w:tab w:val="left" w:pos="2268"/>
                <w:tab w:val="left" w:pos="4536"/>
              </w:tabs>
              <w:spacing w:before="60" w:after="60"/>
              <w:jc w:val="left"/>
              <w:rPr>
                <w:sz w:val="16"/>
                <w:szCs w:val="16"/>
              </w:rPr>
            </w:pPr>
            <w:r w:rsidRPr="00D46126">
              <w:rPr>
                <w:color w:val="000000"/>
                <w:sz w:val="16"/>
                <w:szCs w:val="16"/>
              </w:rPr>
              <w:t>Appellate Body</w:t>
            </w:r>
            <w:r w:rsidR="003A1A96" w:rsidRPr="00D46126">
              <w:rPr>
                <w:color w:val="000000"/>
                <w:sz w:val="16"/>
                <w:szCs w:val="16"/>
              </w:rPr>
              <w:t xml:space="preserve"> Report, </w:t>
            </w:r>
            <w:r w:rsidRPr="00D46126">
              <w:rPr>
                <w:i/>
                <w:color w:val="000000"/>
                <w:sz w:val="16"/>
                <w:szCs w:val="16"/>
              </w:rPr>
              <w:t>United States</w:t>
            </w:r>
            <w:r w:rsidR="003A1A96" w:rsidRPr="00D46126">
              <w:rPr>
                <w:i/>
                <w:color w:val="000000"/>
                <w:sz w:val="16"/>
                <w:szCs w:val="16"/>
              </w:rPr>
              <w:t xml:space="preserve"> – Subsidies on Upland Cotton – Recourse to </w:t>
            </w:r>
            <w:r w:rsidRPr="00D46126">
              <w:rPr>
                <w:i/>
                <w:color w:val="000000"/>
                <w:sz w:val="16"/>
                <w:szCs w:val="16"/>
              </w:rPr>
              <w:t>Article </w:t>
            </w:r>
            <w:r w:rsidR="003A1A96" w:rsidRPr="00D46126">
              <w:rPr>
                <w:i/>
                <w:color w:val="000000"/>
                <w:sz w:val="16"/>
                <w:szCs w:val="16"/>
              </w:rPr>
              <w:t>21.5 of the DSU by Brazil</w:t>
            </w:r>
            <w:r w:rsidR="003A1A96" w:rsidRPr="00D46126">
              <w:rPr>
                <w:color w:val="000000"/>
                <w:sz w:val="16"/>
                <w:szCs w:val="16"/>
              </w:rPr>
              <w:t xml:space="preserve">, </w:t>
            </w:r>
            <w:r w:rsidR="003A1A96" w:rsidRPr="00CE0C1F">
              <w:rPr>
                <w:sz w:val="16"/>
                <w:szCs w:val="16"/>
              </w:rPr>
              <w:t>WT/DS267/AB/RW</w:t>
            </w:r>
            <w:r w:rsidR="00D26146" w:rsidRPr="00D46126">
              <w:rPr>
                <w:color w:val="000000"/>
                <w:sz w:val="16"/>
                <w:szCs w:val="16"/>
              </w:rPr>
              <w:t>, adopted</w:t>
            </w:r>
            <w:r w:rsidRPr="00D46126">
              <w:rPr>
                <w:color w:val="000000"/>
                <w:sz w:val="16"/>
                <w:szCs w:val="16"/>
              </w:rPr>
              <w:t> 20</w:t>
            </w:r>
            <w:r w:rsidR="000A18DA" w:rsidRPr="00D46126">
              <w:rPr>
                <w:color w:val="000000"/>
                <w:sz w:val="16"/>
                <w:szCs w:val="16"/>
              </w:rPr>
              <w:t> June</w:t>
            </w:r>
            <w:r w:rsidRPr="00D46126">
              <w:rPr>
                <w:color w:val="000000"/>
                <w:sz w:val="16"/>
                <w:szCs w:val="16"/>
              </w:rPr>
              <w:t> 20</w:t>
            </w:r>
            <w:r w:rsidR="003A1A96" w:rsidRPr="00D46126">
              <w:rPr>
                <w:color w:val="000000"/>
                <w:sz w:val="16"/>
                <w:szCs w:val="16"/>
              </w:rPr>
              <w:t>08, DSR</w:t>
            </w:r>
            <w:r w:rsidRPr="00D46126">
              <w:rPr>
                <w:color w:val="000000"/>
                <w:sz w:val="16"/>
                <w:szCs w:val="16"/>
              </w:rPr>
              <w:t> 20</w:t>
            </w:r>
            <w:r w:rsidR="003A1A96" w:rsidRPr="00D46126">
              <w:rPr>
                <w:color w:val="000000"/>
                <w:sz w:val="16"/>
                <w:szCs w:val="16"/>
              </w:rPr>
              <w:t>08:III, p. 809</w:t>
            </w:r>
          </w:p>
        </w:tc>
      </w:tr>
      <w:tr w:rsidR="00412491" w:rsidRPr="00D46126" w:rsidTr="004526E3">
        <w:trPr>
          <w:cnfStyle w:val="000000010000" w:firstRow="0" w:lastRow="0" w:firstColumn="0" w:lastColumn="0" w:oddVBand="0" w:evenVBand="0" w:oddHBand="0" w:evenHBand="1" w:firstRowFirstColumn="0" w:firstRowLastColumn="0" w:lastRowFirstColumn="0" w:lastRowLastColumn="0"/>
          <w:cantSplit/>
        </w:trPr>
        <w:tc>
          <w:tcPr>
            <w:tcW w:w="2600" w:type="dxa"/>
          </w:tcPr>
          <w:p w:rsidR="00412491" w:rsidRPr="00D46126" w:rsidRDefault="00412491" w:rsidP="004526E3">
            <w:pPr>
              <w:spacing w:before="60" w:after="60"/>
              <w:jc w:val="left"/>
              <w:rPr>
                <w:i/>
                <w:color w:val="000000"/>
                <w:sz w:val="16"/>
                <w:szCs w:val="16"/>
              </w:rPr>
            </w:pPr>
            <w:r w:rsidRPr="00D46126">
              <w:rPr>
                <w:i/>
                <w:color w:val="000000"/>
                <w:sz w:val="16"/>
                <w:szCs w:val="16"/>
              </w:rPr>
              <w:t>US – Wheat Gluten</w:t>
            </w:r>
          </w:p>
        </w:tc>
        <w:tc>
          <w:tcPr>
            <w:tcW w:w="6621" w:type="dxa"/>
          </w:tcPr>
          <w:p w:rsidR="00412491" w:rsidRPr="00D46126" w:rsidRDefault="000A10EA" w:rsidP="004526E3">
            <w:pPr>
              <w:keepLines/>
              <w:tabs>
                <w:tab w:val="left" w:pos="2268"/>
                <w:tab w:val="left" w:pos="4536"/>
              </w:tabs>
              <w:spacing w:before="60" w:after="60"/>
              <w:jc w:val="left"/>
              <w:rPr>
                <w:color w:val="000000"/>
                <w:sz w:val="16"/>
                <w:szCs w:val="16"/>
              </w:rPr>
            </w:pPr>
            <w:r w:rsidRPr="00D46126">
              <w:rPr>
                <w:color w:val="000000"/>
                <w:sz w:val="16"/>
                <w:szCs w:val="16"/>
              </w:rPr>
              <w:t>Appellate Body</w:t>
            </w:r>
            <w:r w:rsidR="00412491" w:rsidRPr="00D46126">
              <w:rPr>
                <w:color w:val="000000"/>
                <w:sz w:val="16"/>
                <w:szCs w:val="16"/>
              </w:rPr>
              <w:t xml:space="preserve"> Report, </w:t>
            </w:r>
            <w:r w:rsidRPr="00D46126">
              <w:rPr>
                <w:i/>
                <w:color w:val="000000"/>
                <w:sz w:val="16"/>
                <w:szCs w:val="16"/>
              </w:rPr>
              <w:t>United States</w:t>
            </w:r>
            <w:r w:rsidR="00412491" w:rsidRPr="00D46126">
              <w:rPr>
                <w:i/>
                <w:color w:val="000000"/>
                <w:sz w:val="16"/>
                <w:szCs w:val="16"/>
              </w:rPr>
              <w:t xml:space="preserve"> – Definitive Safeguard Measures on Imports of Wheat Gluten from the European Communities</w:t>
            </w:r>
            <w:r w:rsidR="00412491" w:rsidRPr="00D46126">
              <w:rPr>
                <w:color w:val="000000"/>
                <w:sz w:val="16"/>
                <w:szCs w:val="16"/>
              </w:rPr>
              <w:t xml:space="preserve">, </w:t>
            </w:r>
            <w:r w:rsidR="00412491" w:rsidRPr="00CE0C1F">
              <w:rPr>
                <w:sz w:val="16"/>
                <w:szCs w:val="16"/>
              </w:rPr>
              <w:t>WT/DS166/AB/R</w:t>
            </w:r>
            <w:r w:rsidR="00412491" w:rsidRPr="00D46126">
              <w:rPr>
                <w:color w:val="000000"/>
                <w:sz w:val="16"/>
                <w:szCs w:val="16"/>
              </w:rPr>
              <w:t>, adopted 19</w:t>
            </w:r>
            <w:r w:rsidR="000A18DA" w:rsidRPr="00D46126">
              <w:rPr>
                <w:color w:val="000000"/>
                <w:sz w:val="16"/>
                <w:szCs w:val="16"/>
              </w:rPr>
              <w:t> January</w:t>
            </w:r>
            <w:r w:rsidRPr="00D46126">
              <w:rPr>
                <w:color w:val="000000"/>
                <w:sz w:val="16"/>
                <w:szCs w:val="16"/>
              </w:rPr>
              <w:t> 20</w:t>
            </w:r>
            <w:r w:rsidR="00412491" w:rsidRPr="00D46126">
              <w:rPr>
                <w:color w:val="000000"/>
                <w:sz w:val="16"/>
                <w:szCs w:val="16"/>
              </w:rPr>
              <w:t>01, DSR</w:t>
            </w:r>
            <w:r w:rsidRPr="00D46126">
              <w:rPr>
                <w:color w:val="000000"/>
                <w:sz w:val="16"/>
                <w:szCs w:val="16"/>
              </w:rPr>
              <w:t> 20</w:t>
            </w:r>
            <w:r w:rsidR="00412491" w:rsidRPr="00D46126">
              <w:rPr>
                <w:color w:val="000000"/>
                <w:sz w:val="16"/>
                <w:szCs w:val="16"/>
              </w:rPr>
              <w:t>01:II, p. 717</w:t>
            </w:r>
          </w:p>
        </w:tc>
      </w:tr>
      <w:tr w:rsidR="00D46126" w:rsidRPr="00D46126" w:rsidTr="004526E3">
        <w:trPr>
          <w:cantSplit/>
        </w:trPr>
        <w:tc>
          <w:tcPr>
            <w:tcW w:w="2600" w:type="dxa"/>
          </w:tcPr>
          <w:p w:rsidR="00D46126" w:rsidRPr="00D46126" w:rsidRDefault="00D46126" w:rsidP="004526E3">
            <w:pPr>
              <w:spacing w:before="60" w:after="60"/>
              <w:jc w:val="left"/>
              <w:rPr>
                <w:i/>
                <w:color w:val="000000"/>
                <w:sz w:val="16"/>
                <w:szCs w:val="16"/>
              </w:rPr>
            </w:pPr>
            <w:r w:rsidRPr="00D46126">
              <w:rPr>
                <w:i/>
                <w:color w:val="000000"/>
                <w:sz w:val="16"/>
                <w:szCs w:val="16"/>
              </w:rPr>
              <w:t>US – Zeroing (EC)</w:t>
            </w:r>
          </w:p>
        </w:tc>
        <w:tc>
          <w:tcPr>
            <w:tcW w:w="6621" w:type="dxa"/>
          </w:tcPr>
          <w:p w:rsidR="00D46126" w:rsidRPr="00D46126" w:rsidRDefault="00D46126" w:rsidP="004526E3">
            <w:pPr>
              <w:keepLines/>
              <w:tabs>
                <w:tab w:val="left" w:pos="2268"/>
                <w:tab w:val="left" w:pos="4536"/>
              </w:tabs>
              <w:spacing w:before="60" w:after="60"/>
              <w:jc w:val="left"/>
              <w:rPr>
                <w:color w:val="000000"/>
                <w:sz w:val="16"/>
                <w:szCs w:val="16"/>
              </w:rPr>
            </w:pPr>
            <w:r w:rsidRPr="00D46126">
              <w:rPr>
                <w:color w:val="000000"/>
                <w:sz w:val="16"/>
                <w:szCs w:val="16"/>
              </w:rPr>
              <w:t xml:space="preserve">Appellate Body Report, </w:t>
            </w:r>
            <w:r w:rsidRPr="00D46126">
              <w:rPr>
                <w:i/>
                <w:color w:val="000000"/>
                <w:sz w:val="16"/>
                <w:szCs w:val="16"/>
              </w:rPr>
              <w:t>United States – Laws, Regulations and Methodology for Calculating Dumping Margins ("Zeroing")</w:t>
            </w:r>
            <w:r w:rsidRPr="00D46126">
              <w:rPr>
                <w:color w:val="000000"/>
                <w:sz w:val="16"/>
                <w:szCs w:val="16"/>
              </w:rPr>
              <w:t xml:space="preserve">, </w:t>
            </w:r>
            <w:r w:rsidRPr="00CE0C1F">
              <w:rPr>
                <w:sz w:val="16"/>
                <w:szCs w:val="16"/>
              </w:rPr>
              <w:t>WT/DS294/AB/R</w:t>
            </w:r>
            <w:r w:rsidR="00933169">
              <w:rPr>
                <w:color w:val="000000"/>
                <w:sz w:val="16"/>
                <w:szCs w:val="16"/>
              </w:rPr>
              <w:t>, adopted 9 May </w:t>
            </w:r>
            <w:r w:rsidRPr="00D46126">
              <w:rPr>
                <w:color w:val="000000"/>
                <w:sz w:val="16"/>
                <w:szCs w:val="16"/>
              </w:rPr>
              <w:t>2006, and Corr.1, DSR 2006:II, p. 417</w:t>
            </w:r>
          </w:p>
        </w:tc>
      </w:tr>
      <w:tr w:rsidR="00746DB9" w:rsidRPr="00D46126" w:rsidTr="004526E3">
        <w:trPr>
          <w:cnfStyle w:val="000000010000" w:firstRow="0" w:lastRow="0" w:firstColumn="0" w:lastColumn="0" w:oddVBand="0" w:evenVBand="0" w:oddHBand="0" w:evenHBand="1" w:firstRowFirstColumn="0" w:firstRowLastColumn="0" w:lastRowFirstColumn="0" w:lastRowLastColumn="0"/>
          <w:cantSplit/>
        </w:trPr>
        <w:tc>
          <w:tcPr>
            <w:tcW w:w="2600" w:type="dxa"/>
          </w:tcPr>
          <w:p w:rsidR="00746DB9" w:rsidRPr="00D46126" w:rsidRDefault="00746DB9" w:rsidP="004526E3">
            <w:pPr>
              <w:spacing w:before="60" w:after="60"/>
              <w:jc w:val="left"/>
              <w:rPr>
                <w:i/>
                <w:color w:val="000000"/>
                <w:sz w:val="16"/>
                <w:szCs w:val="16"/>
              </w:rPr>
            </w:pPr>
            <w:r w:rsidRPr="00D46126">
              <w:rPr>
                <w:i/>
                <w:color w:val="000000"/>
                <w:sz w:val="16"/>
                <w:szCs w:val="16"/>
              </w:rPr>
              <w:t>US – Zeroing (EC) (Article 21.5 – EC)</w:t>
            </w:r>
          </w:p>
        </w:tc>
        <w:tc>
          <w:tcPr>
            <w:tcW w:w="6621" w:type="dxa"/>
          </w:tcPr>
          <w:p w:rsidR="00746DB9" w:rsidRPr="00D46126" w:rsidRDefault="00746DB9" w:rsidP="004526E3">
            <w:pPr>
              <w:keepLines/>
              <w:tabs>
                <w:tab w:val="left" w:pos="2268"/>
                <w:tab w:val="left" w:pos="4536"/>
              </w:tabs>
              <w:spacing w:before="60" w:after="60"/>
              <w:jc w:val="left"/>
              <w:rPr>
                <w:color w:val="000000"/>
                <w:sz w:val="16"/>
                <w:szCs w:val="16"/>
              </w:rPr>
            </w:pPr>
            <w:r w:rsidRPr="00D46126">
              <w:rPr>
                <w:color w:val="000000"/>
                <w:sz w:val="16"/>
                <w:szCs w:val="16"/>
              </w:rPr>
              <w:t xml:space="preserve">Appellate Body Report, </w:t>
            </w:r>
            <w:r w:rsidRPr="00D46126">
              <w:rPr>
                <w:i/>
                <w:color w:val="000000"/>
                <w:sz w:val="16"/>
                <w:szCs w:val="16"/>
              </w:rPr>
              <w:t>United States – Laws, Regulations and Methodology for Calculating Dumping Margins ("Zeroing") – Recourse to Article 21.5 of the DSU by the European Communities</w:t>
            </w:r>
            <w:r w:rsidRPr="00D46126">
              <w:rPr>
                <w:color w:val="000000"/>
                <w:sz w:val="16"/>
                <w:szCs w:val="16"/>
              </w:rPr>
              <w:t xml:space="preserve">, </w:t>
            </w:r>
            <w:r w:rsidRPr="00CE0C1F">
              <w:rPr>
                <w:sz w:val="16"/>
                <w:szCs w:val="16"/>
              </w:rPr>
              <w:t>WT/DS294/AB/RW</w:t>
            </w:r>
            <w:r w:rsidR="00933169">
              <w:rPr>
                <w:color w:val="000000"/>
                <w:sz w:val="16"/>
                <w:szCs w:val="16"/>
              </w:rPr>
              <w:t xml:space="preserve"> and Corr.1, adopted 11 </w:t>
            </w:r>
            <w:r w:rsidRPr="00D46126">
              <w:rPr>
                <w:color w:val="000000"/>
                <w:sz w:val="16"/>
                <w:szCs w:val="16"/>
              </w:rPr>
              <w:t>June 2009, DSR 2009:VII, p. 2911</w:t>
            </w:r>
          </w:p>
        </w:tc>
      </w:tr>
    </w:tbl>
    <w:p w:rsidR="0007161B" w:rsidRDefault="0007161B" w:rsidP="00206326"/>
    <w:p w:rsidR="0007161B" w:rsidRDefault="0007161B" w:rsidP="00206326">
      <w:pPr>
        <w:jc w:val="center"/>
        <w:rPr>
          <w:smallCaps/>
        </w:rPr>
      </w:pPr>
      <w:r>
        <w:br w:type="page"/>
      </w:r>
      <w:r>
        <w:rPr>
          <w:smallCaps/>
        </w:rPr>
        <w:lastRenderedPageBreak/>
        <w:t>World Trade Organization</w:t>
      </w:r>
    </w:p>
    <w:p w:rsidR="0007161B" w:rsidRDefault="000A10EA" w:rsidP="00206326">
      <w:pPr>
        <w:jc w:val="center"/>
        <w:rPr>
          <w:smallCaps/>
        </w:rPr>
      </w:pPr>
      <w:r>
        <w:rPr>
          <w:smallCaps/>
        </w:rPr>
        <w:t>Appellate Body</w:t>
      </w:r>
    </w:p>
    <w:p w:rsidR="0007161B" w:rsidRDefault="0007161B" w:rsidP="00206326"/>
    <w:p w:rsidR="0007161B" w:rsidRDefault="0007161B" w:rsidP="00206326"/>
    <w:tbl>
      <w:tblPr>
        <w:tblW w:w="0" w:type="auto"/>
        <w:tblBorders>
          <w:insideH w:val="single" w:sz="4" w:space="0" w:color="auto"/>
          <w:insideV w:val="single" w:sz="4" w:space="0" w:color="auto"/>
        </w:tblBorders>
        <w:tblLook w:val="04A0" w:firstRow="1" w:lastRow="0" w:firstColumn="1" w:lastColumn="0" w:noHBand="0" w:noVBand="1"/>
      </w:tblPr>
      <w:tblGrid>
        <w:gridCol w:w="4621"/>
        <w:gridCol w:w="4621"/>
      </w:tblGrid>
      <w:tr w:rsidR="0007161B" w:rsidRPr="003A36AB" w:rsidTr="00206326">
        <w:tc>
          <w:tcPr>
            <w:tcW w:w="4621" w:type="dxa"/>
            <w:shd w:val="clear" w:color="auto" w:fill="auto"/>
          </w:tcPr>
          <w:p w:rsidR="0007161B" w:rsidRPr="003A36AB" w:rsidRDefault="0007161B" w:rsidP="00206326">
            <w:pPr>
              <w:jc w:val="left"/>
              <w:rPr>
                <w:b/>
              </w:rPr>
            </w:pPr>
            <w:r w:rsidRPr="003A36AB">
              <w:rPr>
                <w:b/>
              </w:rPr>
              <w:t xml:space="preserve">European Communities and Certain Member States – Measures Affecting Trade in Large Civil Aircraft – Recourse to </w:t>
            </w:r>
            <w:r w:rsidR="000A10EA">
              <w:rPr>
                <w:b/>
              </w:rPr>
              <w:t>Article </w:t>
            </w:r>
            <w:r w:rsidRPr="003A36AB">
              <w:rPr>
                <w:b/>
              </w:rPr>
              <w:t xml:space="preserve">21.5 of the DSU by the </w:t>
            </w:r>
            <w:r w:rsidR="000A10EA">
              <w:rPr>
                <w:b/>
              </w:rPr>
              <w:t>United States</w:t>
            </w:r>
          </w:p>
          <w:p w:rsidR="0007161B" w:rsidRPr="003A36AB" w:rsidRDefault="0007161B" w:rsidP="00206326"/>
          <w:p w:rsidR="0007161B" w:rsidRPr="003A36AB" w:rsidRDefault="000A10EA" w:rsidP="00206326">
            <w:r>
              <w:t>European Union</w:t>
            </w:r>
            <w:r w:rsidR="0007161B" w:rsidRPr="003A36AB">
              <w:t xml:space="preserve">, </w:t>
            </w:r>
            <w:r w:rsidR="0007161B" w:rsidRPr="003A36AB">
              <w:rPr>
                <w:i/>
              </w:rPr>
              <w:t>Appellant/Appellee</w:t>
            </w:r>
          </w:p>
          <w:p w:rsidR="0007161B" w:rsidRPr="003A36AB" w:rsidRDefault="000A10EA" w:rsidP="00206326">
            <w:r>
              <w:t>United States</w:t>
            </w:r>
            <w:r w:rsidR="0007161B" w:rsidRPr="003A36AB">
              <w:t xml:space="preserve">, </w:t>
            </w:r>
            <w:r w:rsidR="0007161B" w:rsidRPr="003A36AB">
              <w:rPr>
                <w:i/>
              </w:rPr>
              <w:t>Other Appellant/Appellee</w:t>
            </w:r>
          </w:p>
          <w:p w:rsidR="0007161B" w:rsidRPr="003A36AB" w:rsidRDefault="0007161B" w:rsidP="00206326"/>
          <w:p w:rsidR="0007161B" w:rsidRPr="003A36AB" w:rsidRDefault="0007161B" w:rsidP="00206326">
            <w:r w:rsidRPr="003A36AB">
              <w:t xml:space="preserve">Australia, </w:t>
            </w:r>
            <w:r w:rsidRPr="003A36AB">
              <w:rPr>
                <w:i/>
              </w:rPr>
              <w:t>Third Participant</w:t>
            </w:r>
          </w:p>
          <w:p w:rsidR="0007161B" w:rsidRPr="003A36AB" w:rsidRDefault="0007161B" w:rsidP="00206326">
            <w:r w:rsidRPr="003A36AB">
              <w:t xml:space="preserve">Brazil, </w:t>
            </w:r>
            <w:r w:rsidRPr="003A36AB">
              <w:rPr>
                <w:i/>
              </w:rPr>
              <w:t>Third Participant</w:t>
            </w:r>
          </w:p>
          <w:p w:rsidR="0007161B" w:rsidRPr="003A36AB" w:rsidRDefault="0007161B" w:rsidP="00206326">
            <w:r w:rsidRPr="003A36AB">
              <w:t xml:space="preserve">Canada, </w:t>
            </w:r>
            <w:r w:rsidRPr="003A36AB">
              <w:rPr>
                <w:i/>
              </w:rPr>
              <w:t>Third Participant</w:t>
            </w:r>
          </w:p>
          <w:p w:rsidR="0007161B" w:rsidRPr="003A36AB" w:rsidRDefault="0007161B" w:rsidP="00206326">
            <w:r w:rsidRPr="003A36AB">
              <w:t xml:space="preserve">China, </w:t>
            </w:r>
            <w:r w:rsidRPr="003A36AB">
              <w:rPr>
                <w:i/>
              </w:rPr>
              <w:t>Third Participant</w:t>
            </w:r>
          </w:p>
          <w:p w:rsidR="0007161B" w:rsidRPr="003A36AB" w:rsidRDefault="0007161B" w:rsidP="00206326">
            <w:r w:rsidRPr="003A36AB">
              <w:t xml:space="preserve">Japan, </w:t>
            </w:r>
            <w:r w:rsidRPr="003A36AB">
              <w:rPr>
                <w:i/>
              </w:rPr>
              <w:t>Third Participant</w:t>
            </w:r>
          </w:p>
          <w:p w:rsidR="0007161B" w:rsidRPr="003A36AB" w:rsidRDefault="0007161B" w:rsidP="00206326">
            <w:r w:rsidRPr="003A36AB">
              <w:t xml:space="preserve">Korea, </w:t>
            </w:r>
            <w:r w:rsidRPr="003A36AB">
              <w:rPr>
                <w:i/>
              </w:rPr>
              <w:t>Third Participant</w:t>
            </w:r>
          </w:p>
          <w:p w:rsidR="0007161B" w:rsidRPr="003A36AB" w:rsidRDefault="0007161B" w:rsidP="00206326"/>
        </w:tc>
        <w:tc>
          <w:tcPr>
            <w:tcW w:w="4621" w:type="dxa"/>
            <w:shd w:val="clear" w:color="auto" w:fill="auto"/>
          </w:tcPr>
          <w:p w:rsidR="0007161B" w:rsidRPr="003A36AB" w:rsidRDefault="0007161B" w:rsidP="00206326">
            <w:pPr>
              <w:ind w:left="482"/>
            </w:pPr>
            <w:r w:rsidRPr="003A36AB">
              <w:t>AB-2016-6</w:t>
            </w:r>
          </w:p>
          <w:p w:rsidR="0007161B" w:rsidRPr="003A36AB" w:rsidRDefault="0007161B" w:rsidP="00206326">
            <w:pPr>
              <w:ind w:left="482"/>
            </w:pPr>
          </w:p>
          <w:p w:rsidR="0007161B" w:rsidRPr="003A36AB" w:rsidRDefault="000A10EA" w:rsidP="00206326">
            <w:pPr>
              <w:ind w:left="482"/>
            </w:pPr>
            <w:r>
              <w:t>Appellate Body</w:t>
            </w:r>
            <w:r w:rsidR="0007161B" w:rsidRPr="003A36AB">
              <w:t xml:space="preserve"> Division: </w:t>
            </w:r>
          </w:p>
          <w:p w:rsidR="0007161B" w:rsidRPr="003A36AB" w:rsidRDefault="0007161B" w:rsidP="00206326">
            <w:pPr>
              <w:ind w:left="482"/>
            </w:pPr>
          </w:p>
          <w:p w:rsidR="0007161B" w:rsidRPr="003A36AB" w:rsidRDefault="0007161B" w:rsidP="00206326">
            <w:pPr>
              <w:ind w:left="482"/>
            </w:pPr>
            <w:r w:rsidRPr="003A36AB">
              <w:t>Ramírez-Hernández, Presiding Member</w:t>
            </w:r>
          </w:p>
          <w:p w:rsidR="0007161B" w:rsidRPr="003A36AB" w:rsidRDefault="0007161B" w:rsidP="00206326">
            <w:pPr>
              <w:ind w:left="482"/>
            </w:pPr>
            <w:r w:rsidRPr="003A36AB">
              <w:t>Bhatia, Member</w:t>
            </w:r>
          </w:p>
          <w:p w:rsidR="0007161B" w:rsidRPr="003A36AB" w:rsidRDefault="0007161B" w:rsidP="00206326">
            <w:pPr>
              <w:ind w:left="482"/>
            </w:pPr>
            <w:r w:rsidRPr="003A36AB">
              <w:t>Van den Bossche, Member</w:t>
            </w:r>
          </w:p>
          <w:p w:rsidR="0007161B" w:rsidRPr="003A36AB" w:rsidRDefault="0007161B" w:rsidP="00206326">
            <w:pPr>
              <w:ind w:left="482"/>
              <w:rPr>
                <w:spacing w:val="-8"/>
              </w:rPr>
            </w:pPr>
          </w:p>
        </w:tc>
      </w:tr>
    </w:tbl>
    <w:p w:rsidR="0007161B" w:rsidRDefault="0007161B" w:rsidP="00206326"/>
    <w:p w:rsidR="0007161B" w:rsidRDefault="0007161B" w:rsidP="00206326"/>
    <w:p w:rsidR="0007161B" w:rsidRPr="00B55651" w:rsidRDefault="0007161B" w:rsidP="00206326">
      <w:pPr>
        <w:pStyle w:val="Heading1"/>
      </w:pPr>
      <w:bookmarkStart w:id="2" w:name="_Toc440800998"/>
      <w:bookmarkStart w:id="3" w:name="_Toc454876749"/>
      <w:bookmarkStart w:id="4" w:name="_Toc487421786"/>
      <w:bookmarkStart w:id="5" w:name="_Toc498425901"/>
      <w:bookmarkStart w:id="6" w:name="_Toc328640616"/>
      <w:bookmarkStart w:id="7" w:name="_Toc333317533"/>
      <w:bookmarkStart w:id="8" w:name="_Toc333331187"/>
      <w:bookmarkStart w:id="9" w:name="_Toc333395142"/>
      <w:bookmarkStart w:id="10" w:name="_Toc333510428"/>
      <w:bookmarkStart w:id="11" w:name="_Toc333510535"/>
      <w:bookmarkStart w:id="12" w:name="_Toc514059196"/>
      <w:r w:rsidRPr="00B55651">
        <w:t>Introduction</w:t>
      </w:r>
      <w:bookmarkEnd w:id="2"/>
      <w:bookmarkEnd w:id="3"/>
      <w:bookmarkEnd w:id="4"/>
      <w:bookmarkEnd w:id="5"/>
      <w:bookmarkEnd w:id="6"/>
      <w:bookmarkEnd w:id="7"/>
      <w:bookmarkEnd w:id="8"/>
      <w:bookmarkEnd w:id="9"/>
      <w:bookmarkEnd w:id="10"/>
      <w:bookmarkEnd w:id="11"/>
      <w:bookmarkEnd w:id="12"/>
    </w:p>
    <w:p w:rsidR="0007161B" w:rsidRPr="00364B96" w:rsidRDefault="0007161B" w:rsidP="00DC4FDF">
      <w:pPr>
        <w:pStyle w:val="BodyText"/>
      </w:pPr>
      <w:r>
        <w:t xml:space="preserve">The </w:t>
      </w:r>
      <w:r w:rsidR="000A10EA">
        <w:t>European Union</w:t>
      </w:r>
      <w:r>
        <w:t xml:space="preserve"> and the </w:t>
      </w:r>
      <w:r w:rsidR="000A10EA">
        <w:t>United States</w:t>
      </w:r>
      <w:r>
        <w:t xml:space="preserve"> each </w:t>
      </w:r>
      <w:r w:rsidRPr="00B55651">
        <w:t xml:space="preserve">appeals </w:t>
      </w:r>
      <w:r w:rsidRPr="00077BB1">
        <w:t>certain</w:t>
      </w:r>
      <w:r w:rsidRPr="00B55651">
        <w:t xml:space="preserve"> issues of law and legal interpretations developed in the Panel Report,</w:t>
      </w:r>
      <w:r>
        <w:t xml:space="preserve"> </w:t>
      </w:r>
      <w:r>
        <w:rPr>
          <w:i/>
        </w:rPr>
        <w:t xml:space="preserve">European Communities and Certain Member States ‒ Measures Affecting Trade in Large Civil Aircraft – Recourse to </w:t>
      </w:r>
      <w:r w:rsidR="000A10EA">
        <w:rPr>
          <w:i/>
        </w:rPr>
        <w:t>Article </w:t>
      </w:r>
      <w:r>
        <w:rPr>
          <w:i/>
        </w:rPr>
        <w:t xml:space="preserve">21.5 of the DSU by the </w:t>
      </w:r>
      <w:r w:rsidR="000A10EA">
        <w:rPr>
          <w:i/>
        </w:rPr>
        <w:t>United States</w:t>
      </w:r>
      <w:r w:rsidRPr="00C1719D">
        <w:rPr>
          <w:rStyle w:val="FootnoteReference"/>
        </w:rPr>
        <w:footnoteReference w:id="2"/>
      </w:r>
      <w:r w:rsidRPr="00C1719D">
        <w:t xml:space="preserve"> (Panel Report).</w:t>
      </w:r>
      <w:r w:rsidRPr="00C1719D">
        <w:rPr>
          <w:caps/>
        </w:rPr>
        <w:t xml:space="preserve"> </w:t>
      </w:r>
      <w:r w:rsidRPr="00C1719D">
        <w:t>The Panel was established</w:t>
      </w:r>
      <w:r w:rsidRPr="00C1719D">
        <w:rPr>
          <w:vertAlign w:val="superscript"/>
        </w:rPr>
        <w:t xml:space="preserve"> </w:t>
      </w:r>
      <w:r w:rsidRPr="00C1719D">
        <w:t>on 13</w:t>
      </w:r>
      <w:r w:rsidR="000A18DA">
        <w:t> April</w:t>
      </w:r>
      <w:r w:rsidR="000A10EA">
        <w:t> 20</w:t>
      </w:r>
      <w:r w:rsidRPr="00C1719D">
        <w:t xml:space="preserve">12 pursuant to </w:t>
      </w:r>
      <w:r w:rsidR="000A10EA">
        <w:t>Article </w:t>
      </w:r>
      <w:r w:rsidRPr="00C1719D">
        <w:t>21.5 of the Understanding on Rules and Procedures Governing the Settlement of Disputes</w:t>
      </w:r>
      <w:r w:rsidRPr="00B55651">
        <w:t xml:space="preserve"> (DSU) to consider a complaint </w:t>
      </w:r>
      <w:r>
        <w:t xml:space="preserve">by the </w:t>
      </w:r>
      <w:r w:rsidR="000A10EA">
        <w:t>United States</w:t>
      </w:r>
      <w:r>
        <w:rPr>
          <w:rStyle w:val="FootnoteReference"/>
        </w:rPr>
        <w:footnoteReference w:id="3"/>
      </w:r>
      <w:r w:rsidRPr="00B55651">
        <w:t xml:space="preserve"> regarding the </w:t>
      </w:r>
      <w:r>
        <w:t xml:space="preserve">alleged failure on the part of the </w:t>
      </w:r>
      <w:r w:rsidR="000A10EA">
        <w:t>European Union</w:t>
      </w:r>
      <w:r>
        <w:rPr>
          <w:rStyle w:val="FootnoteReference"/>
        </w:rPr>
        <w:footnoteReference w:id="4"/>
      </w:r>
      <w:r>
        <w:t xml:space="preserve"> and certain of its member States to implement </w:t>
      </w:r>
      <w:r w:rsidRPr="00B55651">
        <w:t>the recommendations and rulings of the Dispute</w:t>
      </w:r>
      <w:r>
        <w:t> </w:t>
      </w:r>
      <w:r w:rsidRPr="00B55651">
        <w:t xml:space="preserve">Settlement Body (DSB) in the original proceedings in </w:t>
      </w:r>
      <w:r>
        <w:rPr>
          <w:i/>
        </w:rPr>
        <w:t>EC and certain member States ‒ Large Civil Aircraft</w:t>
      </w:r>
      <w:r w:rsidRPr="00675E3F">
        <w:t>.</w:t>
      </w:r>
      <w:r w:rsidRPr="00675E3F">
        <w:rPr>
          <w:rStyle w:val="FootnoteReference"/>
        </w:rPr>
        <w:footnoteReference w:id="5"/>
      </w:r>
    </w:p>
    <w:p w:rsidR="0007161B" w:rsidRPr="00B55651" w:rsidRDefault="0007161B" w:rsidP="00DC4FDF">
      <w:pPr>
        <w:pStyle w:val="Heading2"/>
        <w:numPr>
          <w:ilvl w:val="1"/>
          <w:numId w:val="3"/>
        </w:numPr>
      </w:pPr>
      <w:bookmarkStart w:id="13" w:name="_Toc495916987"/>
      <w:bookmarkStart w:id="14" w:name="_Toc497392558"/>
      <w:bookmarkStart w:id="15" w:name="_Toc514059197"/>
      <w:r>
        <w:t>Original proceedings</w:t>
      </w:r>
      <w:bookmarkEnd w:id="13"/>
      <w:bookmarkEnd w:id="14"/>
      <w:bookmarkEnd w:id="15"/>
    </w:p>
    <w:p w:rsidR="0007161B" w:rsidRDefault="0007161B" w:rsidP="00DC4FDF">
      <w:pPr>
        <w:pStyle w:val="BodyText"/>
        <w:numPr>
          <w:ilvl w:val="6"/>
          <w:numId w:val="2"/>
        </w:numPr>
      </w:pPr>
      <w:r w:rsidRPr="003217B6">
        <w:t xml:space="preserve">In the original </w:t>
      </w:r>
      <w:r>
        <w:t>proceedings in this dispute,</w:t>
      </w:r>
      <w:r w:rsidRPr="003217B6">
        <w:t xml:space="preserve"> </w:t>
      </w:r>
      <w:r w:rsidRPr="00BA3F45">
        <w:t xml:space="preserve">the </w:t>
      </w:r>
      <w:r w:rsidR="000A10EA">
        <w:t>United States</w:t>
      </w:r>
      <w:r>
        <w:t xml:space="preserve"> claimed that the European Communities and </w:t>
      </w:r>
      <w:r w:rsidRPr="003217B6">
        <w:t xml:space="preserve">certain </w:t>
      </w:r>
      <w:r>
        <w:t xml:space="preserve">of its </w:t>
      </w:r>
      <w:r w:rsidRPr="003217B6">
        <w:t>member</w:t>
      </w:r>
      <w:r>
        <w:t xml:space="preserve"> </w:t>
      </w:r>
      <w:r w:rsidRPr="003217B6">
        <w:t>States</w:t>
      </w:r>
      <w:r>
        <w:t xml:space="preserve"> – namely, France, </w:t>
      </w:r>
      <w:r w:rsidRPr="003217B6">
        <w:t>Germany, Spain, and the</w:t>
      </w:r>
      <w:r>
        <w:t> United Kingdom</w:t>
      </w:r>
      <w:r w:rsidRPr="003217B6">
        <w:t xml:space="preserve"> </w:t>
      </w:r>
      <w:r>
        <w:t>– had caused, through the use of specific subsidies, adverse effects</w:t>
      </w:r>
      <w:r w:rsidRPr="00F9365A">
        <w:t xml:space="preserve"> </w:t>
      </w:r>
      <w:r>
        <w:t xml:space="preserve">to the </w:t>
      </w:r>
      <w:r w:rsidR="000A10EA">
        <w:t>United States</w:t>
      </w:r>
      <w:r>
        <w:t>' interests</w:t>
      </w:r>
      <w:r w:rsidRPr="00F9365A">
        <w:t xml:space="preserve"> </w:t>
      </w:r>
      <w:r>
        <w:t>in the form of serious prejudice</w:t>
      </w:r>
      <w:r w:rsidRPr="00D17593">
        <w:t xml:space="preserve"> </w:t>
      </w:r>
      <w:r>
        <w:t xml:space="preserve">under Articles 5(c) and 6.3 of the </w:t>
      </w:r>
      <w:r w:rsidRPr="009D3F14">
        <w:rPr>
          <w:szCs w:val="18"/>
        </w:rPr>
        <w:t>Agreement on Subsidies and Countervailing Measures</w:t>
      </w:r>
      <w:r>
        <w:t xml:space="preserve"> (</w:t>
      </w:r>
      <w:r w:rsidR="000A10EA">
        <w:t>SCM Agreement</w:t>
      </w:r>
      <w:r>
        <w:t>)</w:t>
      </w:r>
      <w:r w:rsidRPr="003217B6">
        <w:t>.</w:t>
      </w:r>
      <w:r>
        <w:rPr>
          <w:rStyle w:val="FootnoteReference"/>
        </w:rPr>
        <w:footnoteReference w:id="6"/>
      </w:r>
      <w:r>
        <w:t xml:space="preserve"> Each of those measures related to the design and </w:t>
      </w:r>
      <w:r w:rsidRPr="003217B6">
        <w:t>developme</w:t>
      </w:r>
      <w:r>
        <w:t>nt by Airbus of large civil aircraft (LCA), which is the product at issue throughout this dispute.</w:t>
      </w:r>
      <w:r>
        <w:rPr>
          <w:rStyle w:val="FootnoteReference"/>
        </w:rPr>
        <w:footnoteReference w:id="7"/>
      </w:r>
    </w:p>
    <w:p w:rsidR="0007161B" w:rsidRDefault="0007161B" w:rsidP="00DC4FDF">
      <w:pPr>
        <w:pStyle w:val="BodyText"/>
        <w:numPr>
          <w:ilvl w:val="6"/>
          <w:numId w:val="2"/>
        </w:numPr>
      </w:pPr>
      <w:r>
        <w:lastRenderedPageBreak/>
        <w:t>The original panel, established on</w:t>
      </w:r>
      <w:r w:rsidR="000A10EA">
        <w:t> 20</w:t>
      </w:r>
      <w:r w:rsidR="000A18DA">
        <w:t> July</w:t>
      </w:r>
      <w:r w:rsidR="000A10EA">
        <w:t> 20</w:t>
      </w:r>
      <w:r>
        <w:t>05, found that the following specific subsidies, related</w:t>
      </w:r>
      <w:r w:rsidRPr="003217B6">
        <w:t xml:space="preserve"> to the production and developme</w:t>
      </w:r>
      <w:r>
        <w:t xml:space="preserve">nt of LCA, were inconsistent with Articles 5(c) and 6.3(a), (b), and (c) of the </w:t>
      </w:r>
      <w:r w:rsidR="000A10EA">
        <w:t>SCM Agreement</w:t>
      </w:r>
      <w:r>
        <w:t>: (i) "launch aid" or "member State financing" (LA/MSF) for the A300, A310, A320, A330, A330-200, A340, A340-500/600, and A380 models of Airbus LCA</w:t>
      </w:r>
      <w:r>
        <w:rPr>
          <w:rStyle w:val="FootnoteReference"/>
        </w:rPr>
        <w:footnoteReference w:id="8"/>
      </w:r>
      <w:r>
        <w:t xml:space="preserve">; (ii) French and German government "equity infusions" provided in connection with the corporate restructuring of </w:t>
      </w:r>
      <w:r w:rsidRPr="002A65D4">
        <w:t xml:space="preserve">French </w:t>
      </w:r>
      <w:r>
        <w:t xml:space="preserve">and German </w:t>
      </w:r>
      <w:r w:rsidRPr="002A65D4">
        <w:t>aerospace manufacturer</w:t>
      </w:r>
      <w:r>
        <w:t>s</w:t>
      </w:r>
      <w:r w:rsidRPr="002A65D4">
        <w:t>,</w:t>
      </w:r>
      <w:r>
        <w:t xml:space="preserve"> Aérospatiale Société Nationale </w:t>
      </w:r>
      <w:r w:rsidRPr="002A65D4">
        <w:t xml:space="preserve">Industrielle </w:t>
      </w:r>
      <w:r>
        <w:t xml:space="preserve">(Aérospatiale) and </w:t>
      </w:r>
      <w:r w:rsidRPr="002A65D4">
        <w:t>Deutsche</w:t>
      </w:r>
      <w:r>
        <w:t xml:space="preserve"> </w:t>
      </w:r>
      <w:r w:rsidRPr="002A65D4">
        <w:t>Airbus GmbH</w:t>
      </w:r>
      <w:r>
        <w:t xml:space="preserve"> (</w:t>
      </w:r>
      <w:r w:rsidRPr="002A65D4">
        <w:t xml:space="preserve">Deutsche </w:t>
      </w:r>
      <w:r>
        <w:t>Airbus)</w:t>
      </w:r>
      <w:r>
        <w:rPr>
          <w:rStyle w:val="FootnoteReference"/>
        </w:rPr>
        <w:footnoteReference w:id="9"/>
      </w:r>
      <w:r>
        <w:t>; (iii) certain infrastructure and infrastructure-rela</w:t>
      </w:r>
      <w:r w:rsidR="00206309">
        <w:t>ted measures provided by German and</w:t>
      </w:r>
      <w:r>
        <w:t xml:space="preserve"> Spanish</w:t>
      </w:r>
      <w:r w:rsidR="00206309">
        <w:t xml:space="preserve"> </w:t>
      </w:r>
      <w:r>
        <w:t xml:space="preserve">authorities to Airbus in the form of, </w:t>
      </w:r>
      <w:r w:rsidRPr="00A06E04">
        <w:rPr>
          <w:i/>
        </w:rPr>
        <w:t>inter alia</w:t>
      </w:r>
      <w:r>
        <w:t>, regional development grants</w:t>
      </w:r>
      <w:r>
        <w:rPr>
          <w:rStyle w:val="FootnoteReference"/>
        </w:rPr>
        <w:footnoteReference w:id="10"/>
      </w:r>
      <w:r>
        <w:t>; and (iv) certain research and technological development (R&amp;TD) funding provided to Airbus for LCA</w:t>
      </w:r>
      <w:r>
        <w:noBreakHyphen/>
        <w:t>related R&amp;TD projects in which Airbus participated.</w:t>
      </w:r>
      <w:r>
        <w:rPr>
          <w:rStyle w:val="FootnoteReference"/>
        </w:rPr>
        <w:footnoteReference w:id="11"/>
      </w:r>
      <w:r>
        <w:t xml:space="preserve"> </w:t>
      </w:r>
    </w:p>
    <w:p w:rsidR="0007161B" w:rsidRDefault="0007161B" w:rsidP="00DC4FDF">
      <w:pPr>
        <w:pStyle w:val="BodyText"/>
        <w:numPr>
          <w:ilvl w:val="6"/>
          <w:numId w:val="2"/>
        </w:numPr>
      </w:pPr>
      <w:r>
        <w:t xml:space="preserve">In addition, the original panel found that the </w:t>
      </w:r>
      <w:r w:rsidR="000A10EA">
        <w:t>United States</w:t>
      </w:r>
      <w:r>
        <w:t xml:space="preserve"> had established that the German, Spanish, and UK LA/MSF for the A380 constituted prohibited export subsidies within the meaning of </w:t>
      </w:r>
      <w:r w:rsidR="000A10EA">
        <w:t>Article </w:t>
      </w:r>
      <w:r>
        <w:t xml:space="preserve">3.1(a) and footnote 4 thereto of the </w:t>
      </w:r>
      <w:r w:rsidR="000A10EA">
        <w:t>SCM Agreement</w:t>
      </w:r>
      <w:r>
        <w:t>.</w:t>
      </w:r>
      <w:r>
        <w:rPr>
          <w:rStyle w:val="FootnoteReference"/>
        </w:rPr>
        <w:footnoteReference w:id="12"/>
      </w:r>
      <w:r>
        <w:t xml:space="preserve"> </w:t>
      </w:r>
    </w:p>
    <w:p w:rsidR="0007161B" w:rsidRDefault="0007161B" w:rsidP="00DC4FDF">
      <w:pPr>
        <w:pStyle w:val="BodyText"/>
        <w:numPr>
          <w:ilvl w:val="6"/>
          <w:numId w:val="2"/>
        </w:numPr>
      </w:pPr>
      <w:r>
        <w:t>On appeal, t</w:t>
      </w:r>
      <w:r w:rsidRPr="003579A9">
        <w:t xml:space="preserve">he </w:t>
      </w:r>
      <w:r w:rsidR="000A10EA">
        <w:t>Appellate Body</w:t>
      </w:r>
      <w:r w:rsidRPr="003579A9">
        <w:t xml:space="preserve"> reversed the original panel's finding that the German, Spanish, and UK A380 LA/MSF </w:t>
      </w:r>
      <w:r>
        <w:t>contracts</w:t>
      </w:r>
      <w:r w:rsidRPr="003579A9">
        <w:t xml:space="preserve"> constituted prohibited export subsidies under </w:t>
      </w:r>
      <w:r w:rsidR="000A10EA">
        <w:t>Article </w:t>
      </w:r>
      <w:r w:rsidRPr="003579A9">
        <w:t xml:space="preserve">3.1(a) of the </w:t>
      </w:r>
      <w:r w:rsidR="000A10EA">
        <w:t>SCM Agreement</w:t>
      </w:r>
      <w:r w:rsidRPr="003579A9">
        <w:t xml:space="preserve">; </w:t>
      </w:r>
      <w:r>
        <w:t>however,</w:t>
      </w:r>
      <w:r w:rsidRPr="003579A9">
        <w:t xml:space="preserve"> </w:t>
      </w:r>
      <w:r>
        <w:t xml:space="preserve">it </w:t>
      </w:r>
      <w:r w:rsidRPr="003579A9">
        <w:t>was unable to complete the legal analysis</w:t>
      </w:r>
      <w:r>
        <w:t xml:space="preserve"> with regard</w:t>
      </w:r>
      <w:r w:rsidRPr="003579A9">
        <w:t xml:space="preserve"> to </w:t>
      </w:r>
      <w:r w:rsidR="000A10EA">
        <w:t>Article </w:t>
      </w:r>
      <w:r w:rsidRPr="003579A9">
        <w:t xml:space="preserve">3.1(a) due to insufficient factual findings or undisputed facts on the </w:t>
      </w:r>
      <w:r>
        <w:t xml:space="preserve">panel </w:t>
      </w:r>
      <w:r w:rsidRPr="003579A9">
        <w:t>record.</w:t>
      </w:r>
      <w:r>
        <w:rPr>
          <w:rStyle w:val="FootnoteReference"/>
        </w:rPr>
        <w:footnoteReference w:id="13"/>
      </w:r>
      <w:r>
        <w:t xml:space="preserve"> The </w:t>
      </w:r>
      <w:r w:rsidR="000A10EA">
        <w:t>Appellate Body</w:t>
      </w:r>
      <w:r>
        <w:t xml:space="preserve"> also reversed or modified several other aspects of the original panel findings</w:t>
      </w:r>
      <w:r>
        <w:rPr>
          <w:rStyle w:val="FootnoteReference"/>
        </w:rPr>
        <w:footnoteReference w:id="14"/>
      </w:r>
      <w:r>
        <w:t xml:space="preserve">, and completed the legal analysis where it had sufficient factual findings or undisputed facts on the record to do so. With regard to issues of subsidization and adverse effects, the </w:t>
      </w:r>
      <w:r w:rsidR="000A10EA">
        <w:t>Appellate Body</w:t>
      </w:r>
      <w:r>
        <w:t xml:space="preserve"> completed the legal analysis and ultimately concluded</w:t>
      </w:r>
      <w:r w:rsidRPr="003579A9">
        <w:t xml:space="preserve"> that</w:t>
      </w:r>
      <w:r>
        <w:t>:</w:t>
      </w:r>
      <w:r w:rsidRPr="003579A9">
        <w:t xml:space="preserve"> </w:t>
      </w:r>
      <w:r>
        <w:t>(i) </w:t>
      </w:r>
      <w:r w:rsidRPr="003579A9">
        <w:t xml:space="preserve">the use of the challenged LA/MSF measures had caused adverse effects to the </w:t>
      </w:r>
      <w:r w:rsidR="000A10EA">
        <w:t>United States</w:t>
      </w:r>
      <w:r w:rsidRPr="003579A9">
        <w:t>' interests</w:t>
      </w:r>
      <w:r>
        <w:t>;</w:t>
      </w:r>
      <w:r w:rsidRPr="003579A9">
        <w:t xml:space="preserve"> and </w:t>
      </w:r>
      <w:r>
        <w:t>(ii) </w:t>
      </w:r>
      <w:r w:rsidRPr="003579A9">
        <w:t xml:space="preserve">the equity infusions and infrastructure measures </w:t>
      </w:r>
      <w:r>
        <w:t>(but not the R&amp;TD subsidies) that</w:t>
      </w:r>
      <w:r w:rsidRPr="003579A9">
        <w:t xml:space="preserve"> </w:t>
      </w:r>
      <w:r>
        <w:t xml:space="preserve">were </w:t>
      </w:r>
      <w:r w:rsidRPr="003579A9">
        <w:t xml:space="preserve">found </w:t>
      </w:r>
      <w:r>
        <w:t>by the original panel to constitute</w:t>
      </w:r>
      <w:r w:rsidRPr="003579A9">
        <w:t xml:space="preserve"> specific subsidies "complemented and supplemented" the effects of the LA/MSF measures.</w:t>
      </w:r>
      <w:r>
        <w:rPr>
          <w:rStyle w:val="FootnoteReference"/>
        </w:rPr>
        <w:footnoteReference w:id="15"/>
      </w:r>
      <w:r w:rsidRPr="003579A9">
        <w:t xml:space="preserve"> </w:t>
      </w:r>
    </w:p>
    <w:p w:rsidR="0007161B" w:rsidRPr="000D390F" w:rsidRDefault="0007161B" w:rsidP="00DC4FDF">
      <w:pPr>
        <w:pStyle w:val="BodyText"/>
        <w:numPr>
          <w:ilvl w:val="6"/>
          <w:numId w:val="2"/>
        </w:numPr>
      </w:pPr>
      <w:r>
        <w:t xml:space="preserve">The </w:t>
      </w:r>
      <w:r w:rsidR="000A10EA">
        <w:t>Appellate Body</w:t>
      </w:r>
      <w:r>
        <w:t xml:space="preserve"> upheld the original panel's recommendation pursuant to </w:t>
      </w:r>
      <w:r w:rsidR="000A10EA">
        <w:t>Article </w:t>
      </w:r>
      <w:r>
        <w:t xml:space="preserve">7.8 of the </w:t>
      </w:r>
      <w:r w:rsidR="000A10EA">
        <w:t>SCM Agreement</w:t>
      </w:r>
      <w:r>
        <w:t xml:space="preserve">, and recommended that the DSB request the </w:t>
      </w:r>
      <w:r w:rsidR="000A10EA">
        <w:t>European Union</w:t>
      </w:r>
      <w:r>
        <w:t xml:space="preserve"> to bring its measures that were found to be inconsistent with the </w:t>
      </w:r>
      <w:r w:rsidR="000A10EA">
        <w:t>SCM Agreement</w:t>
      </w:r>
      <w:r>
        <w:t xml:space="preserve"> into conformity with its obligations under that Agreement.</w:t>
      </w:r>
      <w:r>
        <w:rPr>
          <w:rStyle w:val="FootnoteReference"/>
        </w:rPr>
        <w:footnoteReference w:id="16"/>
      </w:r>
      <w:r>
        <w:t xml:space="preserve"> </w:t>
      </w:r>
    </w:p>
    <w:p w:rsidR="0007161B" w:rsidRDefault="0007161B" w:rsidP="00DC4FDF">
      <w:pPr>
        <w:pStyle w:val="BodyText"/>
        <w:rPr>
          <w:szCs w:val="18"/>
        </w:rPr>
      </w:pPr>
      <w:r>
        <w:rPr>
          <w:szCs w:val="18"/>
        </w:rPr>
        <w:t>On 1</w:t>
      </w:r>
      <w:r w:rsidR="000A18DA">
        <w:rPr>
          <w:szCs w:val="18"/>
        </w:rPr>
        <w:t> June</w:t>
      </w:r>
      <w:r w:rsidR="000A10EA">
        <w:rPr>
          <w:szCs w:val="18"/>
        </w:rPr>
        <w:t> 20</w:t>
      </w:r>
      <w:r>
        <w:rPr>
          <w:szCs w:val="18"/>
        </w:rPr>
        <w:t>11, t</w:t>
      </w:r>
      <w:r w:rsidRPr="00214635">
        <w:rPr>
          <w:szCs w:val="18"/>
        </w:rPr>
        <w:t xml:space="preserve">he DSB adopted the </w:t>
      </w:r>
      <w:r w:rsidR="000A10EA">
        <w:rPr>
          <w:szCs w:val="18"/>
        </w:rPr>
        <w:t>Appellate Body</w:t>
      </w:r>
      <w:r w:rsidRPr="00214635">
        <w:rPr>
          <w:szCs w:val="18"/>
        </w:rPr>
        <w:t xml:space="preserve"> report and</w:t>
      </w:r>
      <w:r>
        <w:rPr>
          <w:szCs w:val="18"/>
        </w:rPr>
        <w:t xml:space="preserve"> the</w:t>
      </w:r>
      <w:r w:rsidRPr="00214635">
        <w:rPr>
          <w:szCs w:val="18"/>
        </w:rPr>
        <w:t xml:space="preserve"> original panel</w:t>
      </w:r>
      <w:r>
        <w:rPr>
          <w:szCs w:val="18"/>
        </w:rPr>
        <w:t xml:space="preserve"> report</w:t>
      </w:r>
      <w:r w:rsidR="000405DB">
        <w:rPr>
          <w:szCs w:val="18"/>
        </w:rPr>
        <w:t>, as </w:t>
      </w:r>
      <w:r w:rsidRPr="00214635">
        <w:rPr>
          <w:szCs w:val="18"/>
        </w:rPr>
        <w:t xml:space="preserve">modified by the </w:t>
      </w:r>
      <w:r w:rsidR="000A10EA">
        <w:rPr>
          <w:szCs w:val="18"/>
        </w:rPr>
        <w:t>Appellate Body</w:t>
      </w:r>
      <w:r w:rsidRPr="00214635">
        <w:rPr>
          <w:szCs w:val="18"/>
        </w:rPr>
        <w:t xml:space="preserve"> report.</w:t>
      </w:r>
      <w:r>
        <w:rPr>
          <w:rStyle w:val="FootnoteReference"/>
          <w:szCs w:val="18"/>
        </w:rPr>
        <w:footnoteReference w:id="17"/>
      </w:r>
    </w:p>
    <w:p w:rsidR="0007161B" w:rsidRDefault="0007161B" w:rsidP="00DC4FDF">
      <w:pPr>
        <w:pStyle w:val="Heading2"/>
        <w:numPr>
          <w:ilvl w:val="1"/>
          <w:numId w:val="3"/>
        </w:numPr>
      </w:pPr>
      <w:bookmarkStart w:id="16" w:name="_Toc495916988"/>
      <w:bookmarkStart w:id="17" w:name="_Toc497392559"/>
      <w:bookmarkStart w:id="18" w:name="_Toc514059198"/>
      <w:r>
        <w:lastRenderedPageBreak/>
        <w:t>Compliance proceedings</w:t>
      </w:r>
      <w:bookmarkEnd w:id="16"/>
      <w:bookmarkEnd w:id="17"/>
      <w:bookmarkEnd w:id="18"/>
    </w:p>
    <w:p w:rsidR="0007161B" w:rsidRDefault="0007161B" w:rsidP="00DC4FDF">
      <w:pPr>
        <w:pStyle w:val="Heading3"/>
      </w:pPr>
      <w:bookmarkStart w:id="19" w:name="_Toc495916989"/>
      <w:bookmarkStart w:id="20" w:name="_Toc497392560"/>
      <w:bookmarkStart w:id="21" w:name="_Toc514059199"/>
      <w:r>
        <w:t>Panel proceedings</w:t>
      </w:r>
      <w:bookmarkEnd w:id="19"/>
      <w:bookmarkEnd w:id="20"/>
      <w:bookmarkEnd w:id="21"/>
    </w:p>
    <w:p w:rsidR="0007161B" w:rsidRPr="009F3B02" w:rsidRDefault="0007161B" w:rsidP="00DC4FDF">
      <w:pPr>
        <w:pStyle w:val="BodyText"/>
        <w:numPr>
          <w:ilvl w:val="6"/>
          <w:numId w:val="2"/>
        </w:numPr>
      </w:pPr>
      <w:r w:rsidRPr="00FC2D9F">
        <w:t xml:space="preserve">Subsequent to the adoption of the original panel report and the </w:t>
      </w:r>
      <w:r w:rsidR="000A10EA">
        <w:t>Appellate Body</w:t>
      </w:r>
      <w:r w:rsidRPr="00FC2D9F">
        <w:t xml:space="preserve"> report, the </w:t>
      </w:r>
      <w:r w:rsidR="000A10EA">
        <w:t>European Union</w:t>
      </w:r>
      <w:r w:rsidRPr="00FC2D9F">
        <w:t xml:space="preserve"> informed the DSB</w:t>
      </w:r>
      <w:r>
        <w:t xml:space="preserve"> on </w:t>
      </w:r>
      <w:r w:rsidRPr="00FC2D9F">
        <w:t>1</w:t>
      </w:r>
      <w:r w:rsidR="000A18DA">
        <w:t> December</w:t>
      </w:r>
      <w:r w:rsidR="000A10EA">
        <w:t> 20</w:t>
      </w:r>
      <w:r w:rsidRPr="00FC2D9F">
        <w:t>11</w:t>
      </w:r>
      <w:r>
        <w:t xml:space="preserve"> in a Compliance Communication </w:t>
      </w:r>
      <w:r w:rsidRPr="00FC2D9F">
        <w:t>that it had "taken appropriate steps" to bring its measure</w:t>
      </w:r>
      <w:r>
        <w:t xml:space="preserve">s into conformity with its </w:t>
      </w:r>
      <w:r w:rsidR="008923E4">
        <w:t>World Trade Organization (</w:t>
      </w:r>
      <w:r>
        <w:t>WTO</w:t>
      </w:r>
      <w:r w:rsidR="008923E4">
        <w:t xml:space="preserve">) </w:t>
      </w:r>
      <w:r w:rsidRPr="00FC2D9F">
        <w:t xml:space="preserve">obligations, thereby ensuring </w:t>
      </w:r>
      <w:r>
        <w:t>"</w:t>
      </w:r>
      <w:r w:rsidRPr="00FC2D9F">
        <w:t>full implementation of the DSB's recommendations and rulings</w:t>
      </w:r>
      <w:r>
        <w:t>"</w:t>
      </w:r>
      <w:r w:rsidRPr="00FC2D9F">
        <w:t>.</w:t>
      </w:r>
      <w:r>
        <w:rPr>
          <w:rStyle w:val="FootnoteReference"/>
        </w:rPr>
        <w:footnoteReference w:id="18"/>
      </w:r>
      <w:r w:rsidRPr="00FC2D9F">
        <w:t xml:space="preserve"> </w:t>
      </w:r>
      <w:r>
        <w:t>T</w:t>
      </w:r>
      <w:r w:rsidRPr="00FC2D9F">
        <w:t xml:space="preserve">he </w:t>
      </w:r>
      <w:r w:rsidR="000A10EA">
        <w:t>European Union</w:t>
      </w:r>
      <w:r w:rsidRPr="00FC2D9F">
        <w:t xml:space="preserve"> </w:t>
      </w:r>
      <w:r>
        <w:t>referred</w:t>
      </w:r>
      <w:r w:rsidRPr="0071520D">
        <w:t xml:space="preserve"> </w:t>
      </w:r>
      <w:r>
        <w:t xml:space="preserve">to, </w:t>
      </w:r>
      <w:r w:rsidRPr="00660DD9">
        <w:rPr>
          <w:i/>
        </w:rPr>
        <w:t>inter alia</w:t>
      </w:r>
      <w:r w:rsidRPr="00FC2D9F">
        <w:t xml:space="preserve">: </w:t>
      </w:r>
      <w:r>
        <w:t>"</w:t>
      </w:r>
      <w:r w:rsidRPr="00FC2D9F">
        <w:t xml:space="preserve">(a) the repayment and/or </w:t>
      </w:r>
      <w:r w:rsidRPr="00FC2D9F">
        <w:rPr>
          <w:szCs w:val="18"/>
        </w:rPr>
        <w:t>termination of LA/MSF; (b)</w:t>
      </w:r>
      <w:r>
        <w:rPr>
          <w:szCs w:val="18"/>
        </w:rPr>
        <w:t> </w:t>
      </w:r>
      <w:r w:rsidRPr="00FC2D9F">
        <w:rPr>
          <w:szCs w:val="18"/>
        </w:rPr>
        <w:t>the imposition of increased fees and lease payments on infrastructure support in accordance with market principles; and (c)</w:t>
      </w:r>
      <w:r>
        <w:rPr>
          <w:szCs w:val="18"/>
        </w:rPr>
        <w:t> </w:t>
      </w:r>
      <w:r w:rsidRPr="00FC2D9F">
        <w:rPr>
          <w:szCs w:val="18"/>
        </w:rPr>
        <w:t xml:space="preserve">ensuring that capital contributions and regional aid </w:t>
      </w:r>
      <w:r w:rsidRPr="0025139E">
        <w:t>subsidies</w:t>
      </w:r>
      <w:r w:rsidRPr="00FC2D9F">
        <w:rPr>
          <w:szCs w:val="18"/>
        </w:rPr>
        <w:t xml:space="preserve"> ha</w:t>
      </w:r>
      <w:r>
        <w:rPr>
          <w:szCs w:val="18"/>
        </w:rPr>
        <w:t>{d} …</w:t>
      </w:r>
      <w:r w:rsidRPr="00FC2D9F">
        <w:rPr>
          <w:szCs w:val="18"/>
        </w:rPr>
        <w:t xml:space="preserve"> 'come to an end' and </w:t>
      </w:r>
      <w:r>
        <w:rPr>
          <w:szCs w:val="18"/>
        </w:rPr>
        <w:t>{were}</w:t>
      </w:r>
      <w:r w:rsidRPr="00FC2D9F">
        <w:rPr>
          <w:szCs w:val="18"/>
        </w:rPr>
        <w:t xml:space="preserve"> no longer capable of causing adverse effects".</w:t>
      </w:r>
      <w:r>
        <w:rPr>
          <w:rStyle w:val="FootnoteReference"/>
          <w:szCs w:val="18"/>
        </w:rPr>
        <w:footnoteReference w:id="19"/>
      </w:r>
      <w:r w:rsidRPr="00FC2D9F">
        <w:rPr>
          <w:szCs w:val="18"/>
        </w:rPr>
        <w:t xml:space="preserve"> The </w:t>
      </w:r>
      <w:r w:rsidR="000A10EA">
        <w:rPr>
          <w:szCs w:val="18"/>
        </w:rPr>
        <w:t>European Union</w:t>
      </w:r>
      <w:r w:rsidRPr="00FC2D9F">
        <w:rPr>
          <w:szCs w:val="18"/>
        </w:rPr>
        <w:t xml:space="preserve"> provided </w:t>
      </w:r>
      <w:r>
        <w:rPr>
          <w:szCs w:val="18"/>
        </w:rPr>
        <w:t>further details regarding</w:t>
      </w:r>
      <w:r w:rsidRPr="00FC2D9F">
        <w:rPr>
          <w:szCs w:val="18"/>
        </w:rPr>
        <w:t xml:space="preserve"> the steps </w:t>
      </w:r>
      <w:r>
        <w:rPr>
          <w:szCs w:val="18"/>
        </w:rPr>
        <w:t>it had</w:t>
      </w:r>
      <w:r w:rsidRPr="00FC2D9F">
        <w:rPr>
          <w:szCs w:val="18"/>
        </w:rPr>
        <w:t xml:space="preserve"> taken and </w:t>
      </w:r>
      <w:r>
        <w:rPr>
          <w:szCs w:val="18"/>
        </w:rPr>
        <w:t xml:space="preserve">the </w:t>
      </w:r>
      <w:r w:rsidRPr="00FC2D9F">
        <w:rPr>
          <w:szCs w:val="18"/>
        </w:rPr>
        <w:t>intervening market events it considered to have enabled it to achieve compliance</w:t>
      </w:r>
      <w:r>
        <w:rPr>
          <w:szCs w:val="18"/>
        </w:rPr>
        <w:t>,</w:t>
      </w:r>
      <w:r w:rsidRPr="00FC2D9F">
        <w:rPr>
          <w:szCs w:val="18"/>
        </w:rPr>
        <w:t xml:space="preserve"> in a </w:t>
      </w:r>
      <w:r>
        <w:rPr>
          <w:szCs w:val="18"/>
        </w:rPr>
        <w:t>two-page document comprising 36 </w:t>
      </w:r>
      <w:r w:rsidRPr="00FC2D9F">
        <w:rPr>
          <w:szCs w:val="18"/>
        </w:rPr>
        <w:t>numbered paragraphs</w:t>
      </w:r>
      <w:r>
        <w:rPr>
          <w:szCs w:val="18"/>
        </w:rPr>
        <w:t>,</w:t>
      </w:r>
      <w:r w:rsidRPr="00FC2D9F">
        <w:rPr>
          <w:szCs w:val="18"/>
        </w:rPr>
        <w:t xml:space="preserve"> attached to its </w:t>
      </w:r>
      <w:r>
        <w:rPr>
          <w:szCs w:val="18"/>
        </w:rPr>
        <w:t>Compliance C</w:t>
      </w:r>
      <w:r w:rsidRPr="00FC2D9F">
        <w:rPr>
          <w:szCs w:val="18"/>
        </w:rPr>
        <w:t>ommunication.</w:t>
      </w:r>
      <w:r>
        <w:rPr>
          <w:rStyle w:val="FootnoteReference"/>
          <w:szCs w:val="18"/>
        </w:rPr>
        <w:footnoteReference w:id="20"/>
      </w:r>
      <w:r w:rsidRPr="00FC2D9F">
        <w:rPr>
          <w:szCs w:val="18"/>
        </w:rPr>
        <w:t xml:space="preserve"> </w:t>
      </w:r>
    </w:p>
    <w:p w:rsidR="0007161B" w:rsidRPr="00025956" w:rsidRDefault="0007161B" w:rsidP="00DC4FDF">
      <w:pPr>
        <w:pStyle w:val="BodyText"/>
        <w:numPr>
          <w:ilvl w:val="6"/>
          <w:numId w:val="2"/>
        </w:numPr>
        <w:rPr>
          <w:lang w:val="en-US"/>
        </w:rPr>
      </w:pPr>
      <w:r>
        <w:t>On 9</w:t>
      </w:r>
      <w:r w:rsidR="000A18DA">
        <w:t> December</w:t>
      </w:r>
      <w:r w:rsidR="000A10EA">
        <w:t> 20</w:t>
      </w:r>
      <w:r>
        <w:t xml:space="preserve">11, the </w:t>
      </w:r>
      <w:r w:rsidR="000A10EA">
        <w:t>United States</w:t>
      </w:r>
      <w:r>
        <w:t xml:space="preserve"> requested to hold consultations with the </w:t>
      </w:r>
      <w:r w:rsidR="000A10EA">
        <w:t>European Union</w:t>
      </w:r>
      <w:r>
        <w:t xml:space="preserve"> and the four member States, alleging that the </w:t>
      </w:r>
      <w:r w:rsidR="000A10EA">
        <w:t>European Union</w:t>
      </w:r>
      <w:r>
        <w:t xml:space="preserve"> had failed to comply with the recommendations and rulings</w:t>
      </w:r>
      <w:r w:rsidR="00206309">
        <w:t xml:space="preserve"> of the DSB</w:t>
      </w:r>
      <w:r>
        <w:t>.</w:t>
      </w:r>
      <w:r>
        <w:rPr>
          <w:rStyle w:val="FootnoteReference"/>
        </w:rPr>
        <w:footnoteReference w:id="21"/>
      </w:r>
      <w:r>
        <w:t xml:space="preserve"> On 30</w:t>
      </w:r>
      <w:r w:rsidR="000A18DA">
        <w:t> March</w:t>
      </w:r>
      <w:r w:rsidR="000A10EA">
        <w:t> 20</w:t>
      </w:r>
      <w:r>
        <w:t xml:space="preserve">12, the </w:t>
      </w:r>
      <w:r w:rsidR="000A10EA">
        <w:t>United States</w:t>
      </w:r>
      <w:r>
        <w:t xml:space="preserve"> requested </w:t>
      </w:r>
      <w:r w:rsidR="00206309">
        <w:t xml:space="preserve">for </w:t>
      </w:r>
      <w:r>
        <w:t xml:space="preserve">the establishment of a panel pursuant to </w:t>
      </w:r>
      <w:r w:rsidR="000A10EA">
        <w:t>Article </w:t>
      </w:r>
      <w:r>
        <w:t>21.5 of the DSU with standard terms of reference.</w:t>
      </w:r>
      <w:r>
        <w:rPr>
          <w:rStyle w:val="FootnoteReference"/>
        </w:rPr>
        <w:footnoteReference w:id="22"/>
      </w:r>
      <w:r>
        <w:t xml:space="preserve"> The Panel was established by the DSB on 13</w:t>
      </w:r>
      <w:r w:rsidR="000A18DA">
        <w:t> April</w:t>
      </w:r>
      <w:r w:rsidR="000A10EA">
        <w:t> 20</w:t>
      </w:r>
      <w:r>
        <w:t>12.</w:t>
      </w:r>
      <w:r>
        <w:rPr>
          <w:rStyle w:val="FootnoteReference"/>
        </w:rPr>
        <w:footnoteReference w:id="23"/>
      </w:r>
      <w:r>
        <w:t xml:space="preserve"> </w:t>
      </w:r>
    </w:p>
    <w:p w:rsidR="0007161B" w:rsidRDefault="0007161B" w:rsidP="00DC4FDF">
      <w:pPr>
        <w:pStyle w:val="BodyText"/>
        <w:numPr>
          <w:ilvl w:val="6"/>
          <w:numId w:val="4"/>
        </w:numPr>
        <w:rPr>
          <w:szCs w:val="18"/>
        </w:rPr>
      </w:pPr>
      <w:r>
        <w:t>Before the Panel, the</w:t>
      </w:r>
      <w:r w:rsidRPr="003217B6">
        <w:t xml:space="preserve"> </w:t>
      </w:r>
      <w:r w:rsidR="000A10EA">
        <w:t>United States</w:t>
      </w:r>
      <w:r w:rsidRPr="003217B6">
        <w:t xml:space="preserve"> argued that the </w:t>
      </w:r>
      <w:r>
        <w:t xml:space="preserve">relevant </w:t>
      </w:r>
      <w:r w:rsidRPr="00DF176B">
        <w:t xml:space="preserve">subsidies </w:t>
      </w:r>
      <w:r w:rsidRPr="003217B6">
        <w:t>found to have caused adverse effects in the original proceeding</w:t>
      </w:r>
      <w:r>
        <w:t>s</w:t>
      </w:r>
      <w:r w:rsidRPr="003217B6">
        <w:t xml:space="preserve"> </w:t>
      </w:r>
      <w:r>
        <w:t>continue</w:t>
      </w:r>
      <w:r w:rsidRPr="003217B6">
        <w:t xml:space="preserve"> to cause adverse effects and that, by agreeing to provide Airbus with </w:t>
      </w:r>
      <w:r w:rsidRPr="0022068A">
        <w:t>LA/MSF</w:t>
      </w:r>
      <w:r w:rsidRPr="003217B6">
        <w:t xml:space="preserve"> for the A350XWB</w:t>
      </w:r>
      <w:r>
        <w:t xml:space="preserve"> family of aircraft</w:t>
      </w:r>
      <w:r>
        <w:rPr>
          <w:rStyle w:val="FootnoteReference"/>
        </w:rPr>
        <w:footnoteReference w:id="24"/>
      </w:r>
      <w:r w:rsidRPr="003217B6">
        <w:t xml:space="preserve">, </w:t>
      </w:r>
      <w:r>
        <w:t>the four member States have</w:t>
      </w:r>
      <w:r w:rsidRPr="003217B6">
        <w:t xml:space="preserve"> "continued and even expanded" the subsidization of Airbus' LCA activities, thereby causing "additional adverse effects" within the meaning of Articles</w:t>
      </w:r>
      <w:r>
        <w:t> </w:t>
      </w:r>
      <w:r w:rsidRPr="003217B6">
        <w:t xml:space="preserve">5(c) and 6.3 of the </w:t>
      </w:r>
      <w:r w:rsidR="000A10EA">
        <w:t>SCM Agreement</w:t>
      </w:r>
      <w:r w:rsidRPr="003217B6">
        <w:t>.</w:t>
      </w:r>
      <w:r>
        <w:rPr>
          <w:rStyle w:val="FootnoteReference"/>
        </w:rPr>
        <w:footnoteReference w:id="25"/>
      </w:r>
      <w:r w:rsidRPr="003217B6">
        <w:t xml:space="preserve"> On this basis, the </w:t>
      </w:r>
      <w:r w:rsidR="000A10EA">
        <w:t>United States</w:t>
      </w:r>
      <w:r w:rsidRPr="003217B6">
        <w:t xml:space="preserve"> submitted that the </w:t>
      </w:r>
      <w:r w:rsidR="000A10EA">
        <w:t>European Union</w:t>
      </w:r>
      <w:r w:rsidRPr="003217B6">
        <w:t xml:space="preserve"> and </w:t>
      </w:r>
      <w:r>
        <w:t xml:space="preserve">the four </w:t>
      </w:r>
      <w:r w:rsidRPr="003217B6">
        <w:t xml:space="preserve">member States </w:t>
      </w:r>
      <w:r>
        <w:t>have</w:t>
      </w:r>
      <w:r w:rsidRPr="003217B6">
        <w:t xml:space="preserve"> failed to "take appropriate steps to remove the adverse effects" or "withdraw the </w:t>
      </w:r>
      <w:r w:rsidRPr="00DF176B">
        <w:t>subsidy</w:t>
      </w:r>
      <w:r w:rsidRPr="003217B6">
        <w:t>"</w:t>
      </w:r>
      <w:r>
        <w:t xml:space="preserve"> within the meaning of </w:t>
      </w:r>
      <w:r w:rsidR="000A10EA">
        <w:t>Article </w:t>
      </w:r>
      <w:r w:rsidRPr="003217B6">
        <w:t xml:space="preserve">7.8 of the </w:t>
      </w:r>
      <w:r w:rsidR="000A10EA">
        <w:t>SCM Agreement</w:t>
      </w:r>
      <w:r w:rsidRPr="003217B6">
        <w:t xml:space="preserve">. The </w:t>
      </w:r>
      <w:r w:rsidR="000A10EA">
        <w:t>United States</w:t>
      </w:r>
      <w:r w:rsidRPr="003217B6">
        <w:t xml:space="preserve"> also claimed that the A350XWB and A380 LA/MSF measures are prohibited export and/or </w:t>
      </w:r>
      <w:r w:rsidRPr="009F3B02">
        <w:rPr>
          <w:szCs w:val="18"/>
        </w:rPr>
        <w:t xml:space="preserve">import substitution subsidies within the meaning of Articles 3.1 and 3.2 of the </w:t>
      </w:r>
      <w:r w:rsidR="000A10EA">
        <w:rPr>
          <w:szCs w:val="18"/>
        </w:rPr>
        <w:t>SCM Agreement</w:t>
      </w:r>
      <w:r w:rsidRPr="009F3B02">
        <w:rPr>
          <w:szCs w:val="18"/>
        </w:rPr>
        <w:t xml:space="preserve">. </w:t>
      </w:r>
    </w:p>
    <w:p w:rsidR="0007161B" w:rsidRPr="00E03110" w:rsidRDefault="0007161B" w:rsidP="00DC4FDF">
      <w:pPr>
        <w:pStyle w:val="BodyText"/>
        <w:numPr>
          <w:ilvl w:val="6"/>
          <w:numId w:val="4"/>
        </w:numPr>
        <w:rPr>
          <w:szCs w:val="18"/>
        </w:rPr>
      </w:pPr>
      <w:r>
        <w:rPr>
          <w:rFonts w:cs="Arial"/>
          <w:szCs w:val="18"/>
        </w:rPr>
        <w:t>The Panel</w:t>
      </w:r>
      <w:r w:rsidRPr="00B55651">
        <w:rPr>
          <w:rFonts w:cs="Arial"/>
          <w:szCs w:val="18"/>
        </w:rPr>
        <w:t xml:space="preserve"> circulated </w:t>
      </w:r>
      <w:r>
        <w:rPr>
          <w:rFonts w:cs="Arial"/>
          <w:szCs w:val="18"/>
        </w:rPr>
        <w:t xml:space="preserve">its Report </w:t>
      </w:r>
      <w:r w:rsidRPr="00B55651">
        <w:rPr>
          <w:rFonts w:cs="Arial"/>
          <w:szCs w:val="18"/>
        </w:rPr>
        <w:t xml:space="preserve">to Members of the </w:t>
      </w:r>
      <w:r>
        <w:rPr>
          <w:rFonts w:cs="Arial"/>
          <w:szCs w:val="18"/>
        </w:rPr>
        <w:t>WTO</w:t>
      </w:r>
      <w:r w:rsidRPr="00B55651">
        <w:rPr>
          <w:rFonts w:cs="Arial"/>
          <w:szCs w:val="18"/>
        </w:rPr>
        <w:t xml:space="preserve"> on </w:t>
      </w:r>
      <w:r>
        <w:rPr>
          <w:rFonts w:cs="Arial"/>
          <w:szCs w:val="18"/>
        </w:rPr>
        <w:t>22</w:t>
      </w:r>
      <w:r w:rsidR="000A18DA">
        <w:rPr>
          <w:rFonts w:cs="Arial"/>
          <w:szCs w:val="18"/>
        </w:rPr>
        <w:t> September</w:t>
      </w:r>
      <w:r w:rsidR="000A10EA">
        <w:rPr>
          <w:rFonts w:cs="Arial"/>
          <w:szCs w:val="18"/>
        </w:rPr>
        <w:t> 20</w:t>
      </w:r>
      <w:r>
        <w:rPr>
          <w:rFonts w:cs="Arial"/>
          <w:szCs w:val="18"/>
        </w:rPr>
        <w:t>16. The factual aspects of the Panel proceedings are summarized in detail at para</w:t>
      </w:r>
      <w:r w:rsidR="000405DB">
        <w:rPr>
          <w:rFonts w:cs="Arial"/>
          <w:szCs w:val="18"/>
        </w:rPr>
        <w:t>graphs 1.17 through 1.32 of the </w:t>
      </w:r>
      <w:r>
        <w:rPr>
          <w:rFonts w:cs="Arial"/>
          <w:szCs w:val="18"/>
        </w:rPr>
        <w:t xml:space="preserve">Panel Report. </w:t>
      </w:r>
    </w:p>
    <w:p w:rsidR="0007161B" w:rsidRPr="00B55651" w:rsidRDefault="0007161B" w:rsidP="00DC4FDF">
      <w:pPr>
        <w:pStyle w:val="BodyText"/>
        <w:numPr>
          <w:ilvl w:val="6"/>
          <w:numId w:val="4"/>
        </w:numPr>
        <w:rPr>
          <w:szCs w:val="18"/>
        </w:rPr>
      </w:pPr>
      <w:r>
        <w:rPr>
          <w:rFonts w:cs="Arial"/>
          <w:szCs w:val="18"/>
        </w:rPr>
        <w:t>The Panel made the following findings in its Report</w:t>
      </w:r>
      <w:r w:rsidRPr="00B55651">
        <w:rPr>
          <w:rFonts w:cs="Arial"/>
          <w:szCs w:val="18"/>
        </w:rPr>
        <w:t>:</w:t>
      </w:r>
    </w:p>
    <w:p w:rsidR="0007161B" w:rsidRPr="00B55651" w:rsidRDefault="0007161B" w:rsidP="00526697">
      <w:pPr>
        <w:pStyle w:val="BodyText2"/>
      </w:pPr>
      <w:r>
        <w:t xml:space="preserve">Only two out of the 36 "alleged compliance 'steps'" notified by the </w:t>
      </w:r>
      <w:r w:rsidR="000A10EA">
        <w:t>European Union</w:t>
      </w:r>
      <w:r>
        <w:t xml:space="preserve"> in its Compliance Communication (steps 28 and 29) constitute "actions" concerning the degree of ongoing subsidization of Airbus LCA. The 34 remaining "steps" constitute "</w:t>
      </w:r>
      <w:r w:rsidRPr="007D10CC">
        <w:rPr>
          <w:i/>
        </w:rPr>
        <w:t xml:space="preserve">assertion of </w:t>
      </w:r>
      <w:r w:rsidRPr="007D10CC">
        <w:rPr>
          <w:i/>
        </w:rPr>
        <w:lastRenderedPageBreak/>
        <w:t>facts</w:t>
      </w:r>
      <w:r>
        <w:t xml:space="preserve"> or the </w:t>
      </w:r>
      <w:r w:rsidRPr="007D10CC">
        <w:rPr>
          <w:i/>
        </w:rPr>
        <w:t>presentation of arguments</w:t>
      </w:r>
      <w:r>
        <w:t xml:space="preserve"> for the purpose of supporting the </w:t>
      </w:r>
      <w:r w:rsidR="000A10EA">
        <w:t>European Union</w:t>
      </w:r>
      <w:r>
        <w:t>'s theory of compliance".</w:t>
      </w:r>
      <w:r>
        <w:rPr>
          <w:rStyle w:val="FootnoteReference"/>
        </w:rPr>
        <w:footnoteReference w:id="26"/>
      </w:r>
    </w:p>
    <w:p w:rsidR="0007161B" w:rsidRPr="00B55651" w:rsidRDefault="0007161B" w:rsidP="00526697">
      <w:pPr>
        <w:pStyle w:val="BodyText2"/>
      </w:pPr>
      <w:r>
        <w:t xml:space="preserve">The French, German, Spanish, and UK A350XWB LA/MSF measures, as well as the </w:t>
      </w:r>
      <w:r w:rsidR="000A10EA">
        <w:t>United States</w:t>
      </w:r>
      <w:r>
        <w:t>' prohibited subsidy claims</w:t>
      </w:r>
      <w:r w:rsidRPr="0005565C">
        <w:t xml:space="preserve"> </w:t>
      </w:r>
      <w:r>
        <w:t>against t</w:t>
      </w:r>
      <w:r w:rsidR="000405DB">
        <w:t>he French, German, Spanish, and </w:t>
      </w:r>
      <w:r>
        <w:t xml:space="preserve">UK A380 LA/MSF measures under </w:t>
      </w:r>
      <w:r w:rsidR="000A10EA">
        <w:t>Article </w:t>
      </w:r>
      <w:r>
        <w:t xml:space="preserve">3.1(a) of the </w:t>
      </w:r>
      <w:r w:rsidR="000A10EA">
        <w:t>SCM Agreement</w:t>
      </w:r>
      <w:r>
        <w:t xml:space="preserve">, and the </w:t>
      </w:r>
      <w:r w:rsidR="000A10EA">
        <w:t>United States</w:t>
      </w:r>
      <w:r>
        <w:t xml:space="preserve">' claims of "threat of displacement and impedance" of imports under </w:t>
      </w:r>
      <w:r w:rsidR="000A10EA">
        <w:t>Article </w:t>
      </w:r>
      <w:r>
        <w:t xml:space="preserve">6.3(a) of the </w:t>
      </w:r>
      <w:r w:rsidR="000A10EA">
        <w:t>SCM Agreement</w:t>
      </w:r>
      <w:r>
        <w:t xml:space="preserve"> fall within the scope of these compliance proceedings. The </w:t>
      </w:r>
      <w:r w:rsidR="000A10EA">
        <w:t>United States</w:t>
      </w:r>
      <w:r>
        <w:t>'</w:t>
      </w:r>
      <w:r w:rsidRPr="0005565C">
        <w:t xml:space="preserve"> </w:t>
      </w:r>
      <w:r>
        <w:t xml:space="preserve">prohibited subsidy claims against the French, German, Spanish, and UK A380 LA/MSF measures under </w:t>
      </w:r>
      <w:r w:rsidR="000A10EA">
        <w:t>Article </w:t>
      </w:r>
      <w:r>
        <w:t xml:space="preserve">3.1(b) of the </w:t>
      </w:r>
      <w:r w:rsidR="000A10EA">
        <w:t>SCM Agreement</w:t>
      </w:r>
      <w:r>
        <w:t xml:space="preserve"> are outside the scope of these compliance proceedings.</w:t>
      </w:r>
      <w:r>
        <w:rPr>
          <w:rStyle w:val="FootnoteReference"/>
        </w:rPr>
        <w:footnoteReference w:id="27"/>
      </w:r>
    </w:p>
    <w:p w:rsidR="0007161B" w:rsidRDefault="0007161B" w:rsidP="00526697">
      <w:pPr>
        <w:pStyle w:val="BodyText2"/>
      </w:pPr>
      <w:r>
        <w:t xml:space="preserve">The </w:t>
      </w:r>
      <w:r w:rsidR="000A10EA">
        <w:t>United States</w:t>
      </w:r>
      <w:r>
        <w:t xml:space="preserve"> demonstrated that the French, German, Spanish, and UK A350XWB LA/MSF measures are specific subsidies within the meaning of Articles 1 and 2 of the </w:t>
      </w:r>
      <w:r w:rsidR="000A10EA">
        <w:t>SCM Agreement</w:t>
      </w:r>
      <w:r>
        <w:t>.</w:t>
      </w:r>
      <w:r>
        <w:rPr>
          <w:rStyle w:val="FootnoteReference"/>
        </w:rPr>
        <w:footnoteReference w:id="28"/>
      </w:r>
    </w:p>
    <w:p w:rsidR="0007161B" w:rsidRPr="00B55651" w:rsidRDefault="0007161B" w:rsidP="00526697">
      <w:pPr>
        <w:pStyle w:val="BodyText2"/>
      </w:pPr>
      <w:r>
        <w:t xml:space="preserve">The </w:t>
      </w:r>
      <w:r w:rsidR="000A10EA">
        <w:t>United States</w:t>
      </w:r>
      <w:r>
        <w:t xml:space="preserve"> failed to demonstrate that the French, German, Spanish, and UK A350XWB LA/MSF subsidies are prohibited export and/or import substitution subsidies within the meaning of Articles 3.1 and 3.2 of the </w:t>
      </w:r>
      <w:r w:rsidR="000A10EA">
        <w:t>SCM Agreement</w:t>
      </w:r>
      <w:r>
        <w:t xml:space="preserve">, and that the French, German, Spanish, and UK A380 LA/MSF subsidies are prohibited export subsidies within the meaning of Articles 3.1(a) and 3.2 of the </w:t>
      </w:r>
      <w:r w:rsidR="000A10EA">
        <w:t>SCM Agreement</w:t>
      </w:r>
      <w:r>
        <w:t>.</w:t>
      </w:r>
      <w:r>
        <w:rPr>
          <w:rStyle w:val="FootnoteReference"/>
        </w:rPr>
        <w:footnoteReference w:id="29"/>
      </w:r>
    </w:p>
    <w:p w:rsidR="0007161B" w:rsidRDefault="0007161B" w:rsidP="00526697">
      <w:pPr>
        <w:pStyle w:val="BodyText2"/>
      </w:pPr>
      <w:r>
        <w:t xml:space="preserve">With regard to </w:t>
      </w:r>
      <w:r w:rsidR="000A10EA">
        <w:t>Article </w:t>
      </w:r>
      <w:r>
        <w:t xml:space="preserve">7.8 of the </w:t>
      </w:r>
      <w:r w:rsidR="000A10EA">
        <w:t>SCM Agreement</w:t>
      </w:r>
      <w:r>
        <w:t xml:space="preserve">, the </w:t>
      </w:r>
      <w:r w:rsidR="000A10EA">
        <w:t>European Union</w:t>
      </w:r>
      <w:r>
        <w:t xml:space="preserve"> demonstrated that the </w:t>
      </w:r>
      <w:r w:rsidRPr="00F92D55">
        <w:rPr>
          <w:i/>
        </w:rPr>
        <w:t>ex ante</w:t>
      </w:r>
      <w:r>
        <w:t xml:space="preserve"> "lives" of (i) the French, German, and Spanish LA/MSF subsidies for the A300B/B2/B4, A300-600, A310, A320, and A330/A340; (ii) the UK LA/MSF subsidies for the A320 and A330/A340; and (iii) the capital contribution subsidies "expired" before 1</w:t>
      </w:r>
      <w:r w:rsidR="000A18DA">
        <w:t> June</w:t>
      </w:r>
      <w:r w:rsidR="000A10EA">
        <w:t> 20</w:t>
      </w:r>
      <w:r>
        <w:t xml:space="preserve">11. The </w:t>
      </w:r>
      <w:r w:rsidRPr="00BA365E">
        <w:rPr>
          <w:i/>
        </w:rPr>
        <w:t>ex ante</w:t>
      </w:r>
      <w:r>
        <w:t xml:space="preserve"> "lives" of the French LA/MSF subsidies for the A330-200 and the French and Spanish LA/MSF subsidies for the A340-500/600 "expired", respectively, in </w:t>
      </w:r>
      <w:r w:rsidRPr="00BA365E">
        <w:rPr>
          <w:b/>
        </w:rPr>
        <w:t>[</w:t>
      </w:r>
      <w:r w:rsidR="00C8434D" w:rsidRPr="00C8434D">
        <w:rPr>
          <w:b/>
          <w:szCs w:val="16"/>
        </w:rPr>
        <w:t>BCI</w:t>
      </w:r>
      <w:r w:rsidRPr="00BA365E">
        <w:rPr>
          <w:b/>
        </w:rPr>
        <w:t>]</w:t>
      </w:r>
      <w:r>
        <w:t xml:space="preserve"> and </w:t>
      </w:r>
      <w:r w:rsidRPr="00BA365E">
        <w:rPr>
          <w:b/>
        </w:rPr>
        <w:t>[</w:t>
      </w:r>
      <w:r w:rsidR="00C8434D" w:rsidRPr="00C8434D">
        <w:rPr>
          <w:b/>
          <w:szCs w:val="16"/>
        </w:rPr>
        <w:t>BCI</w:t>
      </w:r>
      <w:r w:rsidRPr="00BA365E">
        <w:rPr>
          <w:b/>
        </w:rPr>
        <w:t>]</w:t>
      </w:r>
      <w:r>
        <w:t xml:space="preserve">. The </w:t>
      </w:r>
      <w:r w:rsidRPr="00E11008">
        <w:rPr>
          <w:i/>
        </w:rPr>
        <w:t>ex</w:t>
      </w:r>
      <w:r>
        <w:rPr>
          <w:i/>
        </w:rPr>
        <w:t> </w:t>
      </w:r>
      <w:r w:rsidRPr="00E11008">
        <w:rPr>
          <w:i/>
        </w:rPr>
        <w:t>ante</w:t>
      </w:r>
      <w:r>
        <w:t xml:space="preserve"> "lives" of five of the regional development grant subsidies will not "expire" until sometime between</w:t>
      </w:r>
      <w:r w:rsidR="000A10EA">
        <w:t> 20</w:t>
      </w:r>
      <w:r>
        <w:t>54 and</w:t>
      </w:r>
      <w:r w:rsidR="000A10EA">
        <w:t> 20</w:t>
      </w:r>
      <w:r w:rsidR="00560553">
        <w:t>58, while the other two </w:t>
      </w:r>
      <w:r>
        <w:t>"expired" around</w:t>
      </w:r>
      <w:r w:rsidR="000A10EA">
        <w:t> 20</w:t>
      </w:r>
      <w:r>
        <w:t>14.</w:t>
      </w:r>
      <w:r>
        <w:rPr>
          <w:rStyle w:val="FootnoteReference"/>
        </w:rPr>
        <w:footnoteReference w:id="30"/>
      </w:r>
    </w:p>
    <w:p w:rsidR="0007161B" w:rsidRDefault="0007161B" w:rsidP="00526697">
      <w:pPr>
        <w:pStyle w:val="BodyText2"/>
      </w:pPr>
      <w:r>
        <w:t xml:space="preserve">The </w:t>
      </w:r>
      <w:r w:rsidR="000A10EA">
        <w:t>European Union</w:t>
      </w:r>
      <w:r>
        <w:t xml:space="preserve"> failed to demonstrate that "the alleged partial privatization of Aérospatiale in 1999, the transactions leading to the creation of {</w:t>
      </w:r>
      <w:r w:rsidRPr="008927EE">
        <w:t>European Aeronautic Defence and Space Company N.V.</w:t>
      </w:r>
      <w:r>
        <w:t xml:space="preserve"> (EADS)} in</w:t>
      </w:r>
      <w:r w:rsidR="000A10EA">
        <w:t> 20</w:t>
      </w:r>
      <w:r>
        <w:t>00, and {British Aerospace Systems'</w:t>
      </w:r>
      <w:r w:rsidR="00385476">
        <w:t xml:space="preserve"> (BAE Systems)</w:t>
      </w:r>
      <w:r>
        <w:t>}</w:t>
      </w:r>
      <w:r w:rsidR="000A10EA">
        <w:t> 20</w:t>
      </w:r>
      <w:r>
        <w:t>06 sale of its</w:t>
      </w:r>
      <w:r w:rsidR="000A10EA">
        <w:t> 20</w:t>
      </w:r>
      <w:r>
        <w:t>% ownership stake in Airbus SAS to EADS, were 'intervening events' that resulted in the 'extinction' of the benefit of all of the subsidies at issue in this proceeding that were granted prior to those transactions".</w:t>
      </w:r>
      <w:r>
        <w:rPr>
          <w:rStyle w:val="FootnoteReference"/>
        </w:rPr>
        <w:footnoteReference w:id="31"/>
      </w:r>
    </w:p>
    <w:p w:rsidR="0007161B" w:rsidRDefault="0007161B" w:rsidP="00526697">
      <w:pPr>
        <w:pStyle w:val="BodyText2"/>
      </w:pPr>
      <w:r>
        <w:t>The relevant subsidies</w:t>
      </w:r>
      <w:r w:rsidR="00267BCB">
        <w:t xml:space="preserve"> </w:t>
      </w:r>
      <w:r>
        <w:t>identified in subparagraph e above have "expired" because "the total period of time over which their 'projected value' was expected to 'materialize' has transpired in the absence of any 'intervening event'".</w:t>
      </w:r>
      <w:r>
        <w:rPr>
          <w:rStyle w:val="FootnoteReference"/>
        </w:rPr>
        <w:footnoteReference w:id="32"/>
      </w:r>
    </w:p>
    <w:p w:rsidR="0007161B" w:rsidRDefault="0007161B" w:rsidP="00526697">
      <w:pPr>
        <w:pStyle w:val="BodyText2"/>
      </w:pPr>
      <w:r>
        <w:t xml:space="preserve">With regard to </w:t>
      </w:r>
      <w:r w:rsidR="000A10EA">
        <w:t>Article </w:t>
      </w:r>
      <w:r>
        <w:t xml:space="preserve">7.8 of the </w:t>
      </w:r>
      <w:r w:rsidR="000A10EA">
        <w:t>SCM Agreement</w:t>
      </w:r>
      <w:r>
        <w:t xml:space="preserve">, the fact that the </w:t>
      </w:r>
      <w:r w:rsidRPr="007F6FA5">
        <w:rPr>
          <w:i/>
        </w:rPr>
        <w:t>ex ante</w:t>
      </w:r>
      <w:r>
        <w:t xml:space="preserve"> </w:t>
      </w:r>
      <w:r w:rsidR="00385476">
        <w:t>"</w:t>
      </w:r>
      <w:r>
        <w:t>lives</w:t>
      </w:r>
      <w:r w:rsidR="00385476">
        <w:t>"</w:t>
      </w:r>
      <w:r>
        <w:t xml:space="preserve"> of certain subsidies "</w:t>
      </w:r>
      <w:r w:rsidRPr="00BC06D6">
        <w:rPr>
          <w:i/>
        </w:rPr>
        <w:t>passively</w:t>
      </w:r>
      <w:r>
        <w:t xml:space="preserve"> 'expired'" before the end of the implementation period does not amount to "withdrawal" of those subsidies for the purpose of </w:t>
      </w:r>
      <w:r w:rsidR="000A10EA">
        <w:t>Article </w:t>
      </w:r>
      <w:r>
        <w:t xml:space="preserve">7.8. </w:t>
      </w:r>
      <w:r>
        <w:lastRenderedPageBreak/>
        <w:t>The</w:t>
      </w:r>
      <w:r w:rsidR="000405DB">
        <w:t> </w:t>
      </w:r>
      <w:r w:rsidR="000A10EA">
        <w:t>European Union</w:t>
      </w:r>
      <w:r>
        <w:t xml:space="preserve"> therefore "failed to comply with </w:t>
      </w:r>
      <w:r w:rsidR="00385476">
        <w:t>the</w:t>
      </w:r>
      <w:r>
        <w:t xml:space="preserve"> obligation to 'withdraw the subsidy' for the purpose of </w:t>
      </w:r>
      <w:r w:rsidR="000A10EA">
        <w:t>Article </w:t>
      </w:r>
      <w:r>
        <w:t>7.8".</w:t>
      </w:r>
      <w:r>
        <w:rPr>
          <w:rStyle w:val="FootnoteReference"/>
        </w:rPr>
        <w:footnoteReference w:id="33"/>
      </w:r>
    </w:p>
    <w:p w:rsidR="0007161B" w:rsidRDefault="0007161B" w:rsidP="00526697">
      <w:pPr>
        <w:pStyle w:val="BodyText2"/>
      </w:pPr>
      <w:r>
        <w:t xml:space="preserve">The </w:t>
      </w:r>
      <w:r w:rsidR="000A10EA">
        <w:t>European Union</w:t>
      </w:r>
      <w:r>
        <w:t xml:space="preserve"> failed to establish that the </w:t>
      </w:r>
      <w:r w:rsidR="000A10EA">
        <w:t>United States</w:t>
      </w:r>
      <w:r>
        <w:t xml:space="preserve">' claims under </w:t>
      </w:r>
      <w:r w:rsidR="000A10EA">
        <w:t>Article </w:t>
      </w:r>
      <w:r>
        <w:t xml:space="preserve">6.3(b) and (c) of the </w:t>
      </w:r>
      <w:r w:rsidR="000A10EA">
        <w:t>SCM Agreement</w:t>
      </w:r>
      <w:r>
        <w:t xml:space="preserve"> should be rejected on the ground that the </w:t>
      </w:r>
      <w:r w:rsidR="000A10EA">
        <w:t>United States</w:t>
      </w:r>
      <w:r>
        <w:t xml:space="preserve">' "like" product is not "unsubsidized" within the meaning of Articles 6.4 and 6.5 of the </w:t>
      </w:r>
      <w:r w:rsidR="000A10EA">
        <w:t>SCM Agreement</w:t>
      </w:r>
      <w:r>
        <w:t>.</w:t>
      </w:r>
      <w:r>
        <w:rPr>
          <w:rStyle w:val="FootnoteReference"/>
        </w:rPr>
        <w:footnoteReference w:id="34"/>
      </w:r>
    </w:p>
    <w:p w:rsidR="0007161B" w:rsidRDefault="0007161B" w:rsidP="00526697">
      <w:pPr>
        <w:pStyle w:val="BodyText2"/>
      </w:pPr>
      <w:r>
        <w:t xml:space="preserve">The </w:t>
      </w:r>
      <w:r w:rsidR="000A10EA">
        <w:t>United States</w:t>
      </w:r>
      <w:r>
        <w:t xml:space="preserve"> brought its adverse effects claims with respect to "appropriately defined product markets for LCA", namely, the global markets for: (i) single-aisle LCA; (ii) twin-aisle LCA; and (iii) </w:t>
      </w:r>
      <w:r w:rsidRPr="00311171">
        <w:t>very large aircraft (VLA)</w:t>
      </w:r>
      <w:r>
        <w:t>.</w:t>
      </w:r>
      <w:r>
        <w:rPr>
          <w:rStyle w:val="FootnoteReference"/>
        </w:rPr>
        <w:footnoteReference w:id="35"/>
      </w:r>
    </w:p>
    <w:p w:rsidR="0007161B" w:rsidRDefault="0007161B" w:rsidP="00526697">
      <w:pPr>
        <w:pStyle w:val="BodyText2"/>
      </w:pPr>
      <w:r>
        <w:t>The "</w:t>
      </w:r>
      <w:r w:rsidRPr="004F061A">
        <w:rPr>
          <w:i/>
        </w:rPr>
        <w:t>direct</w:t>
      </w:r>
      <w:r>
        <w:t xml:space="preserve"> and </w:t>
      </w:r>
      <w:r w:rsidRPr="004F061A">
        <w:rPr>
          <w:i/>
        </w:rPr>
        <w:t>indirect</w:t>
      </w:r>
      <w:r>
        <w:t xml:space="preserve"> effects of the aggregated pre</w:t>
      </w:r>
      <w:r>
        <w:noBreakHyphen/>
        <w:t>A350XWB LA/MSF subsidies continue to be a 'genuine and substantial' cause of the current market presence of the A320, A330 and A380 … using either the 'plausible' or 'unlikely' counterfactual scenarios adopted in the original proceeding in relation to the effects of the same subsidies in the</w:t>
      </w:r>
      <w:r w:rsidR="000A10EA">
        <w:t> 20</w:t>
      </w:r>
      <w:r>
        <w:t>01 to</w:t>
      </w:r>
      <w:r w:rsidR="000A10EA">
        <w:t> 20</w:t>
      </w:r>
      <w:r>
        <w:t>06 period as the starting point of the analysis".</w:t>
      </w:r>
      <w:r>
        <w:rPr>
          <w:rStyle w:val="FootnoteReference"/>
        </w:rPr>
        <w:footnoteReference w:id="36"/>
      </w:r>
      <w:r>
        <w:t xml:space="preserve"> With the exception of the A300 and A310 LA/MSF subsidies, the "</w:t>
      </w:r>
      <w:r w:rsidRPr="004F061A">
        <w:rPr>
          <w:i/>
        </w:rPr>
        <w:t>direct</w:t>
      </w:r>
      <w:r>
        <w:t xml:space="preserve"> and </w:t>
      </w:r>
      <w:r w:rsidRPr="004F061A">
        <w:rPr>
          <w:i/>
        </w:rPr>
        <w:t>indirect</w:t>
      </w:r>
      <w:r>
        <w:t xml:space="preserve"> effects of the aggregated LA/MSF subsidies" are a "'genuine and substantial' cause of the current market presence of the A350XWB family … using either the 'plausible' or 'unlikely' counterfactual scenarios adopted in the original proceeding in relation to the effects of the pre</w:t>
      </w:r>
      <w:r>
        <w:noBreakHyphen/>
        <w:t>A350XWB LA/MSF subsidies in the</w:t>
      </w:r>
      <w:r w:rsidR="000A10EA">
        <w:t> 20</w:t>
      </w:r>
      <w:r>
        <w:t>01 to</w:t>
      </w:r>
      <w:r w:rsidR="000A10EA">
        <w:t> 20</w:t>
      </w:r>
      <w:r>
        <w:t>06 peri</w:t>
      </w:r>
      <w:r w:rsidR="000405DB">
        <w:t>od as the starting point of the </w:t>
      </w:r>
      <w:r>
        <w:t>analysis".</w:t>
      </w:r>
      <w:r>
        <w:rPr>
          <w:rStyle w:val="FootnoteReference"/>
        </w:rPr>
        <w:footnoteReference w:id="37"/>
      </w:r>
    </w:p>
    <w:p w:rsidR="0007161B" w:rsidRDefault="0007161B" w:rsidP="00526697">
      <w:pPr>
        <w:pStyle w:val="BodyText2"/>
      </w:pPr>
      <w:r>
        <w:t xml:space="preserve">With regard to Articles 6.3 and 5(c) of the </w:t>
      </w:r>
      <w:r w:rsidR="000A10EA">
        <w:t>SCM Agreement</w:t>
      </w:r>
      <w:r>
        <w:t>, the "product" effects</w:t>
      </w:r>
      <w:r w:rsidR="00267BCB">
        <w:t xml:space="preserve"> </w:t>
      </w:r>
      <w:r>
        <w:t xml:space="preserve">of LA/MSF subsidies, as identified in subparagraph k above, are a "'genuine and substantial' cause of displacement and/or impedance" of imports of a "like" product of the </w:t>
      </w:r>
      <w:r w:rsidR="000A10EA">
        <w:t>United States</w:t>
      </w:r>
      <w:r>
        <w:t xml:space="preserve"> into the markets for single-aisle</w:t>
      </w:r>
      <w:r w:rsidR="00385476">
        <w:t xml:space="preserve"> LCA</w:t>
      </w:r>
      <w:r>
        <w:t>, twin-aisle</w:t>
      </w:r>
      <w:r w:rsidR="00385476">
        <w:t xml:space="preserve"> LCA</w:t>
      </w:r>
      <w:r>
        <w:t xml:space="preserve">, and </w:t>
      </w:r>
      <w:r w:rsidRPr="00311171">
        <w:t>VLA</w:t>
      </w:r>
      <w:r>
        <w:t xml:space="preserve"> in the </w:t>
      </w:r>
      <w:r w:rsidR="000A10EA">
        <w:t>European Union</w:t>
      </w:r>
      <w:r>
        <w:t xml:space="preserve">, within the meaning of </w:t>
      </w:r>
      <w:r w:rsidR="000A10EA">
        <w:t>Article </w:t>
      </w:r>
      <w:r>
        <w:t xml:space="preserve">6.3(a), constituting serious prejudice under </w:t>
      </w:r>
      <w:r w:rsidR="000A10EA">
        <w:t>Article </w:t>
      </w:r>
      <w:r>
        <w:t xml:space="preserve">5(c). These "product" effects are also a "'genuine and substantial' cause of displacement and/or impedance of exports" </w:t>
      </w:r>
      <w:r w:rsidR="00385476">
        <w:t>from</w:t>
      </w:r>
      <w:r>
        <w:t xml:space="preserve"> the market</w:t>
      </w:r>
      <w:r w:rsidR="00385476">
        <w:t>s</w:t>
      </w:r>
      <w:r>
        <w:t xml:space="preserve"> for (i) single-aisle LCA in Australia, China, and India; (ii) twin</w:t>
      </w:r>
      <w:r>
        <w:noBreakHyphen/>
        <w:t>aisle LCA in China, Korea, and Singapore; and (iii) </w:t>
      </w:r>
      <w:r w:rsidRPr="00311171">
        <w:t>VLA</w:t>
      </w:r>
      <w:r>
        <w:t xml:space="preserve"> in Australia, China, Korea, Singapore, and the United Arab Emirates, within the meaning of </w:t>
      </w:r>
      <w:r w:rsidR="000A10EA">
        <w:t>Article </w:t>
      </w:r>
      <w:r>
        <w:t xml:space="preserve">6.3(b), constituting serious prejudice under </w:t>
      </w:r>
      <w:r w:rsidR="000A10EA">
        <w:t>Article </w:t>
      </w:r>
      <w:r>
        <w:t>5(c). Further, these "product" effects are a "genuine and substantial" cause of significant lost sales in the global markets for single</w:t>
      </w:r>
      <w:r>
        <w:noBreakHyphen/>
        <w:t>aisle</w:t>
      </w:r>
      <w:r w:rsidR="00385476">
        <w:t xml:space="preserve"> LCA</w:t>
      </w:r>
      <w:r>
        <w:t>, twin</w:t>
      </w:r>
      <w:r>
        <w:noBreakHyphen/>
        <w:t>aisle</w:t>
      </w:r>
      <w:r w:rsidR="00385476">
        <w:t xml:space="preserve"> LCA</w:t>
      </w:r>
      <w:r>
        <w:t xml:space="preserve">, and </w:t>
      </w:r>
      <w:r w:rsidRPr="00311171">
        <w:t>VLA</w:t>
      </w:r>
      <w:r>
        <w:t xml:space="preserve">, within the meaning of </w:t>
      </w:r>
      <w:r w:rsidR="000A10EA">
        <w:t>Article </w:t>
      </w:r>
      <w:r>
        <w:t xml:space="preserve">6.3(c), constituting serious prejudice within the meaning of </w:t>
      </w:r>
      <w:r w:rsidR="000A10EA">
        <w:t>Article </w:t>
      </w:r>
      <w:r>
        <w:t>5(c).</w:t>
      </w:r>
      <w:r>
        <w:rPr>
          <w:rStyle w:val="FootnoteReference"/>
        </w:rPr>
        <w:footnoteReference w:id="38"/>
      </w:r>
    </w:p>
    <w:p w:rsidR="0007161B" w:rsidRPr="00B55651" w:rsidRDefault="0007161B" w:rsidP="00526697">
      <w:pPr>
        <w:pStyle w:val="BodyText2"/>
      </w:pPr>
      <w:r>
        <w:t xml:space="preserve">The effects of the aggregated non-LA/MSF subsidies (i.e. capital contribution subsidies and certain regional development grants) "'complement and supplement' the 'product' effects of the aggregated LA/MSF subsidies and, therefore, are a 'genuine' cause of serious prejudice to the interests of the </w:t>
      </w:r>
      <w:r w:rsidR="000A10EA">
        <w:t>United States</w:t>
      </w:r>
      <w:r>
        <w:t xml:space="preserve"> within the meaning of </w:t>
      </w:r>
      <w:r w:rsidR="000A10EA">
        <w:t>Article </w:t>
      </w:r>
      <w:r>
        <w:t xml:space="preserve">5(c)". The </w:t>
      </w:r>
      <w:r w:rsidR="000A10EA">
        <w:t>United States</w:t>
      </w:r>
      <w:r>
        <w:t xml:space="preserve"> failed to demonstrate that the Spanish regional development grants used for Airbus' military aircraft activities benefit Airbus' LCA activities, and thus failed to establish that these subsidies "complement and supplement" the "product" effects of the LA/MSF subsidies.</w:t>
      </w:r>
      <w:r>
        <w:rPr>
          <w:rStyle w:val="FootnoteReference"/>
        </w:rPr>
        <w:footnoteReference w:id="39"/>
      </w:r>
    </w:p>
    <w:p w:rsidR="0007161B" w:rsidRPr="00B044E2" w:rsidRDefault="0007161B" w:rsidP="00DC4FDF">
      <w:pPr>
        <w:pStyle w:val="BodyText"/>
        <w:numPr>
          <w:ilvl w:val="6"/>
          <w:numId w:val="4"/>
        </w:numPr>
        <w:tabs>
          <w:tab w:val="num" w:pos="862"/>
        </w:tabs>
        <w:rPr>
          <w:szCs w:val="18"/>
        </w:rPr>
      </w:pPr>
      <w:r>
        <w:rPr>
          <w:szCs w:val="18"/>
        </w:rPr>
        <w:t>H</w:t>
      </w:r>
      <w:r>
        <w:t xml:space="preserve">aving found that the challenged subsidies have caused present serious prejudice to the </w:t>
      </w:r>
      <w:r w:rsidR="000A10EA">
        <w:t>United States</w:t>
      </w:r>
      <w:r>
        <w:t xml:space="preserve">' interests within the meaning of </w:t>
      </w:r>
      <w:r w:rsidR="000A10EA">
        <w:t>Article </w:t>
      </w:r>
      <w:r>
        <w:t xml:space="preserve">5(c) of the </w:t>
      </w:r>
      <w:r w:rsidR="000A10EA">
        <w:t>SCM Agreement</w:t>
      </w:r>
      <w:r>
        <w:t>, t</w:t>
      </w:r>
      <w:r>
        <w:rPr>
          <w:szCs w:val="18"/>
        </w:rPr>
        <w:t xml:space="preserve">he Panel </w:t>
      </w:r>
      <w:r>
        <w:t xml:space="preserve">made no findings with respect to the </w:t>
      </w:r>
      <w:r w:rsidR="000A10EA">
        <w:t>United States</w:t>
      </w:r>
      <w:r>
        <w:t>' conditional claim that the challenged subsidies threaten to cause serious prejudice to its interests.</w:t>
      </w:r>
      <w:r>
        <w:rPr>
          <w:rStyle w:val="FootnoteReference"/>
        </w:rPr>
        <w:footnoteReference w:id="40"/>
      </w:r>
    </w:p>
    <w:p w:rsidR="0007161B" w:rsidRPr="00D743C8" w:rsidRDefault="0007161B" w:rsidP="00DC4FDF">
      <w:pPr>
        <w:pStyle w:val="Heading3"/>
      </w:pPr>
      <w:bookmarkStart w:id="22" w:name="_Toc495916990"/>
      <w:bookmarkStart w:id="23" w:name="_Toc497392561"/>
      <w:bookmarkStart w:id="24" w:name="_Toc514059200"/>
      <w:r>
        <w:lastRenderedPageBreak/>
        <w:t>Appellate proceedings and procedural issues</w:t>
      </w:r>
      <w:bookmarkEnd w:id="22"/>
      <w:bookmarkEnd w:id="23"/>
      <w:bookmarkEnd w:id="24"/>
    </w:p>
    <w:p w:rsidR="0007161B" w:rsidRDefault="0007161B" w:rsidP="00DC4FDF">
      <w:pPr>
        <w:pStyle w:val="BodyText"/>
        <w:tabs>
          <w:tab w:val="num" w:pos="862"/>
        </w:tabs>
        <w:rPr>
          <w:szCs w:val="18"/>
        </w:rPr>
      </w:pPr>
      <w:r w:rsidRPr="00B55651">
        <w:rPr>
          <w:szCs w:val="18"/>
        </w:rPr>
        <w:t xml:space="preserve">On </w:t>
      </w:r>
      <w:r>
        <w:rPr>
          <w:szCs w:val="18"/>
        </w:rPr>
        <w:t>13</w:t>
      </w:r>
      <w:r w:rsidR="000A18DA">
        <w:rPr>
          <w:szCs w:val="18"/>
        </w:rPr>
        <w:t> October</w:t>
      </w:r>
      <w:r w:rsidR="000A10EA">
        <w:rPr>
          <w:szCs w:val="18"/>
        </w:rPr>
        <w:t> 20</w:t>
      </w:r>
      <w:r>
        <w:rPr>
          <w:szCs w:val="18"/>
        </w:rPr>
        <w:t>16</w:t>
      </w:r>
      <w:r w:rsidRPr="00B55651">
        <w:rPr>
          <w:rFonts w:cs="Arial"/>
          <w:szCs w:val="18"/>
        </w:rPr>
        <w:t>,</w:t>
      </w:r>
      <w:r>
        <w:rPr>
          <w:rFonts w:cs="Arial"/>
          <w:szCs w:val="18"/>
        </w:rPr>
        <w:t xml:space="preserve"> the </w:t>
      </w:r>
      <w:r w:rsidR="000A10EA">
        <w:rPr>
          <w:rFonts w:cs="Arial"/>
          <w:szCs w:val="18"/>
        </w:rPr>
        <w:t>European Union</w:t>
      </w:r>
      <w:r w:rsidRPr="00B55651">
        <w:rPr>
          <w:rFonts w:cs="Arial"/>
          <w:szCs w:val="18"/>
        </w:rPr>
        <w:t xml:space="preserve"> </w:t>
      </w:r>
      <w:r w:rsidRPr="00B55651">
        <w:rPr>
          <w:szCs w:val="18"/>
        </w:rPr>
        <w:t>notified the DSB, pursuant to Articles 16.4 and 17 of the DSU, of its intention to appeal certain issues of law covered in the Panel Report and certain legal interpretations developed by the Panel</w:t>
      </w:r>
      <w:r>
        <w:rPr>
          <w:szCs w:val="18"/>
        </w:rPr>
        <w:t>,</w:t>
      </w:r>
      <w:r w:rsidRPr="00B55651">
        <w:rPr>
          <w:szCs w:val="18"/>
        </w:rPr>
        <w:t xml:space="preserve"> and filed a Notice of Appeal</w:t>
      </w:r>
      <w:r>
        <w:rPr>
          <w:rStyle w:val="FootnoteReference"/>
          <w:szCs w:val="18"/>
        </w:rPr>
        <w:footnoteReference w:id="41"/>
      </w:r>
      <w:r>
        <w:rPr>
          <w:szCs w:val="18"/>
        </w:rPr>
        <w:t xml:space="preserve"> pursuant to Rule</w:t>
      </w:r>
      <w:r w:rsidR="000A10EA">
        <w:rPr>
          <w:szCs w:val="18"/>
        </w:rPr>
        <w:t> 20</w:t>
      </w:r>
      <w:r>
        <w:rPr>
          <w:szCs w:val="18"/>
        </w:rPr>
        <w:t xml:space="preserve"> of the Working Procedures for Appellate Review</w:t>
      </w:r>
      <w:r>
        <w:rPr>
          <w:rStyle w:val="FootnoteReference"/>
          <w:szCs w:val="18"/>
        </w:rPr>
        <w:footnoteReference w:id="42"/>
      </w:r>
      <w:r w:rsidRPr="00284B78">
        <w:rPr>
          <w:szCs w:val="18"/>
        </w:rPr>
        <w:t xml:space="preserve"> </w:t>
      </w:r>
      <w:r>
        <w:rPr>
          <w:szCs w:val="18"/>
        </w:rPr>
        <w:t>(Working Procedures).</w:t>
      </w:r>
    </w:p>
    <w:p w:rsidR="0007161B" w:rsidRPr="009777DA" w:rsidRDefault="0007161B" w:rsidP="00DC4FDF">
      <w:pPr>
        <w:pStyle w:val="BodyText"/>
        <w:numPr>
          <w:ilvl w:val="6"/>
          <w:numId w:val="4"/>
        </w:numPr>
        <w:tabs>
          <w:tab w:val="num" w:pos="862"/>
        </w:tabs>
        <w:rPr>
          <w:szCs w:val="18"/>
        </w:rPr>
      </w:pPr>
      <w:r>
        <w:t>Also on 13</w:t>
      </w:r>
      <w:r w:rsidR="000A18DA">
        <w:t> October</w:t>
      </w:r>
      <w:r w:rsidR="000A10EA">
        <w:t> 20</w:t>
      </w:r>
      <w:r>
        <w:t xml:space="preserve">16, </w:t>
      </w:r>
      <w:r w:rsidRPr="009777DA">
        <w:rPr>
          <w:lang w:val="en-US"/>
        </w:rPr>
        <w:t xml:space="preserve">the </w:t>
      </w:r>
      <w:r>
        <w:rPr>
          <w:lang w:val="en-US"/>
        </w:rPr>
        <w:t xml:space="preserve">Chair of the </w:t>
      </w:r>
      <w:r w:rsidR="000A10EA">
        <w:rPr>
          <w:lang w:val="en-US"/>
        </w:rPr>
        <w:t>Appellate Body</w:t>
      </w:r>
      <w:r w:rsidRPr="009777DA">
        <w:rPr>
          <w:lang w:val="en-US"/>
        </w:rPr>
        <w:t xml:space="preserve"> received a joint letter from </w:t>
      </w:r>
      <w:r>
        <w:rPr>
          <w:lang w:val="en-US"/>
        </w:rPr>
        <w:t xml:space="preserve">the participants, </w:t>
      </w:r>
      <w:r w:rsidRPr="009777DA">
        <w:rPr>
          <w:lang w:val="en-US"/>
        </w:rPr>
        <w:t xml:space="preserve">the </w:t>
      </w:r>
      <w:r w:rsidR="000A10EA">
        <w:rPr>
          <w:rFonts w:cs="Verdana"/>
          <w:szCs w:val="18"/>
          <w:lang w:val="en-US"/>
        </w:rPr>
        <w:t>European Union</w:t>
      </w:r>
      <w:r w:rsidRPr="009777DA">
        <w:rPr>
          <w:rFonts w:cs="Verdana"/>
          <w:szCs w:val="18"/>
          <w:lang w:val="en-US"/>
        </w:rPr>
        <w:t xml:space="preserve"> and the </w:t>
      </w:r>
      <w:r w:rsidR="000A10EA">
        <w:rPr>
          <w:rFonts w:cs="Verdana"/>
          <w:szCs w:val="18"/>
          <w:lang w:val="en-US"/>
        </w:rPr>
        <w:t>United States</w:t>
      </w:r>
      <w:r>
        <w:rPr>
          <w:rFonts w:cs="Verdana"/>
          <w:szCs w:val="18"/>
          <w:lang w:val="en-US"/>
        </w:rPr>
        <w:t>,</w:t>
      </w:r>
      <w:r w:rsidRPr="009777DA">
        <w:rPr>
          <w:rFonts w:cs="Verdana"/>
          <w:szCs w:val="18"/>
          <w:lang w:val="en-US"/>
        </w:rPr>
        <w:t xml:space="preserve"> requesting the Division hearing this appeal to adopt additional procedures to protect business confidential information (BCI) and highly sensitive business information (HSBI) in these appellate pr</w:t>
      </w:r>
      <w:r w:rsidR="000405DB">
        <w:rPr>
          <w:rFonts w:cs="Verdana"/>
          <w:szCs w:val="18"/>
          <w:lang w:val="en-US"/>
        </w:rPr>
        <w:t>oceedings. In their letter, the </w:t>
      </w:r>
      <w:r w:rsidR="000A10EA">
        <w:rPr>
          <w:rFonts w:cs="Verdana"/>
          <w:szCs w:val="18"/>
          <w:lang w:val="en-US"/>
        </w:rPr>
        <w:t>European Union</w:t>
      </w:r>
      <w:r w:rsidRPr="009777DA">
        <w:rPr>
          <w:rFonts w:cs="Verdana"/>
          <w:szCs w:val="18"/>
          <w:lang w:val="en-US"/>
        </w:rPr>
        <w:t xml:space="preserve"> and the </w:t>
      </w:r>
      <w:r w:rsidR="000A10EA">
        <w:rPr>
          <w:rFonts w:cs="Verdana"/>
          <w:szCs w:val="18"/>
          <w:lang w:val="en-US"/>
        </w:rPr>
        <w:t>United States</w:t>
      </w:r>
      <w:r w:rsidRPr="009777DA">
        <w:rPr>
          <w:rFonts w:cs="Verdana"/>
          <w:szCs w:val="18"/>
          <w:lang w:val="en-US"/>
        </w:rPr>
        <w:t xml:space="preserve"> argued, </w:t>
      </w:r>
      <w:r w:rsidRPr="009777DA">
        <w:rPr>
          <w:rFonts w:cs="Verdana"/>
          <w:i/>
          <w:szCs w:val="18"/>
          <w:lang w:val="en-US"/>
        </w:rPr>
        <w:t>inter alia</w:t>
      </w:r>
      <w:r w:rsidRPr="009777DA">
        <w:rPr>
          <w:rFonts w:cs="Verdana"/>
          <w:szCs w:val="18"/>
          <w:lang w:val="en-US"/>
        </w:rPr>
        <w:t xml:space="preserve">, that disclosure of certain sensitive information on the </w:t>
      </w:r>
      <w:r>
        <w:rPr>
          <w:rFonts w:cs="Verdana"/>
          <w:szCs w:val="18"/>
          <w:lang w:val="en-US"/>
        </w:rPr>
        <w:t xml:space="preserve">Panel </w:t>
      </w:r>
      <w:r w:rsidRPr="009777DA">
        <w:rPr>
          <w:rFonts w:cs="Verdana"/>
          <w:szCs w:val="18"/>
          <w:lang w:val="en-US"/>
        </w:rPr>
        <w:t xml:space="preserve">record would </w:t>
      </w:r>
      <w:r>
        <w:rPr>
          <w:rFonts w:cs="Verdana"/>
          <w:szCs w:val="18"/>
          <w:lang w:val="en-US"/>
        </w:rPr>
        <w:t xml:space="preserve">be severely prejudicial to </w:t>
      </w:r>
      <w:r w:rsidRPr="009777DA">
        <w:rPr>
          <w:rFonts w:cs="Verdana"/>
          <w:szCs w:val="18"/>
          <w:lang w:val="en-US"/>
        </w:rPr>
        <w:t xml:space="preserve">the </w:t>
      </w:r>
      <w:r>
        <w:rPr>
          <w:rFonts w:cs="Verdana"/>
          <w:szCs w:val="18"/>
          <w:lang w:val="en-US"/>
        </w:rPr>
        <w:t>LCA manufacturers concerned</w:t>
      </w:r>
      <w:r w:rsidRPr="009777DA">
        <w:rPr>
          <w:rFonts w:cs="Verdana"/>
          <w:szCs w:val="18"/>
          <w:lang w:val="en-US"/>
        </w:rPr>
        <w:t xml:space="preserve"> and possibly</w:t>
      </w:r>
      <w:r>
        <w:rPr>
          <w:rFonts w:cs="Verdana"/>
          <w:szCs w:val="18"/>
          <w:lang w:val="en-US"/>
        </w:rPr>
        <w:t xml:space="preserve"> to</w:t>
      </w:r>
      <w:r w:rsidRPr="009777DA">
        <w:rPr>
          <w:rFonts w:cs="Verdana"/>
          <w:szCs w:val="18"/>
          <w:lang w:val="en-US"/>
        </w:rPr>
        <w:t xml:space="preserve"> t</w:t>
      </w:r>
      <w:r>
        <w:rPr>
          <w:rFonts w:cs="Verdana"/>
          <w:szCs w:val="18"/>
          <w:lang w:val="en-US"/>
        </w:rPr>
        <w:t xml:space="preserve">heir customers and suppliers. The participants </w:t>
      </w:r>
      <w:r w:rsidRPr="009777DA">
        <w:rPr>
          <w:rFonts w:cs="Verdana"/>
          <w:szCs w:val="18"/>
          <w:lang w:val="en-US"/>
        </w:rPr>
        <w:t xml:space="preserve">suggested that the additional procedures adopted by the </w:t>
      </w:r>
      <w:r w:rsidR="000A10EA">
        <w:rPr>
          <w:rFonts w:cs="Verdana"/>
          <w:szCs w:val="18"/>
          <w:lang w:val="en-US"/>
        </w:rPr>
        <w:t>Appellate Body</w:t>
      </w:r>
      <w:r w:rsidRPr="009777DA">
        <w:rPr>
          <w:rFonts w:cs="Verdana"/>
          <w:szCs w:val="18"/>
          <w:lang w:val="en-US"/>
        </w:rPr>
        <w:t xml:space="preserve"> in the appeal in </w:t>
      </w:r>
      <w:r>
        <w:rPr>
          <w:rFonts w:cs="Verdana-Italic"/>
          <w:i/>
          <w:iCs/>
          <w:szCs w:val="18"/>
          <w:lang w:val="en-US"/>
        </w:rPr>
        <w:t xml:space="preserve">US – </w:t>
      </w:r>
      <w:r w:rsidRPr="009777DA">
        <w:rPr>
          <w:rFonts w:cs="Verdana-Italic"/>
          <w:i/>
          <w:iCs/>
          <w:szCs w:val="18"/>
          <w:lang w:val="en-US"/>
        </w:rPr>
        <w:t>Large Civil Aircraft (2</w:t>
      </w:r>
      <w:r w:rsidRPr="009E1D26">
        <w:rPr>
          <w:rFonts w:cs="Verdana-Italic"/>
          <w:i/>
          <w:iCs/>
          <w:szCs w:val="18"/>
          <w:vertAlign w:val="superscript"/>
          <w:lang w:val="en-US"/>
        </w:rPr>
        <w:t>nd</w:t>
      </w:r>
      <w:r w:rsidRPr="009777DA">
        <w:rPr>
          <w:rFonts w:cs="Verdana-Italic"/>
          <w:i/>
          <w:iCs/>
          <w:szCs w:val="18"/>
          <w:lang w:val="en-US"/>
        </w:rPr>
        <w:t xml:space="preserve"> </w:t>
      </w:r>
      <w:r>
        <w:rPr>
          <w:rFonts w:cs="Verdana-Italic"/>
          <w:i/>
          <w:iCs/>
          <w:szCs w:val="18"/>
          <w:lang w:val="en-US"/>
        </w:rPr>
        <w:t>c</w:t>
      </w:r>
      <w:r w:rsidRPr="009777DA">
        <w:rPr>
          <w:rFonts w:cs="Verdana-Italic"/>
          <w:i/>
          <w:iCs/>
          <w:szCs w:val="18"/>
          <w:lang w:val="en-US"/>
        </w:rPr>
        <w:t>omplaint)</w:t>
      </w:r>
      <w:r w:rsidRPr="009777DA">
        <w:rPr>
          <w:rFonts w:ascii="Verdana-Italic" w:hAnsi="Verdana-Italic" w:cs="Verdana-Italic"/>
          <w:i/>
          <w:iCs/>
          <w:szCs w:val="18"/>
          <w:lang w:val="en-US"/>
        </w:rPr>
        <w:t xml:space="preserve"> </w:t>
      </w:r>
      <w:r w:rsidRPr="009777DA">
        <w:rPr>
          <w:rFonts w:cs="Verdana"/>
          <w:szCs w:val="18"/>
          <w:lang w:val="en-US"/>
        </w:rPr>
        <w:t>(DS353), with certain modifications, form the basis for any procedural</w:t>
      </w:r>
      <w:r w:rsidRPr="009777DA">
        <w:rPr>
          <w:lang w:val="en-US"/>
        </w:rPr>
        <w:t xml:space="preserve"> </w:t>
      </w:r>
      <w:r w:rsidRPr="009777DA">
        <w:rPr>
          <w:rFonts w:cs="Verdana"/>
          <w:szCs w:val="18"/>
          <w:lang w:val="en-US"/>
        </w:rPr>
        <w:t>ruling on confidentiality in these appellate proceedings.</w:t>
      </w:r>
    </w:p>
    <w:p w:rsidR="0007161B" w:rsidRPr="001C0F53" w:rsidRDefault="0007161B" w:rsidP="00DC4FDF">
      <w:pPr>
        <w:pStyle w:val="BodyText"/>
        <w:numPr>
          <w:ilvl w:val="6"/>
          <w:numId w:val="5"/>
        </w:numPr>
      </w:pPr>
      <w:r>
        <w:t xml:space="preserve">On the same day, the Chair of the </w:t>
      </w:r>
      <w:r w:rsidR="000A10EA">
        <w:t>Appellate Body</w:t>
      </w:r>
      <w:r>
        <w:t xml:space="preserve"> sent a lette</w:t>
      </w:r>
      <w:r w:rsidR="000405DB">
        <w:t>r to the participants and third </w:t>
      </w:r>
      <w:r>
        <w:t>parties indicating that the Division hearing this appeal had decided, pursuant to Rule 16(1) of the Working Procedures, to suspend the deadlines for the filing of written submissions and other documents in this appeal. T</w:t>
      </w:r>
      <w:r w:rsidRPr="00A86767">
        <w:rPr>
          <w:lang w:val="en-US"/>
        </w:rPr>
        <w:t xml:space="preserve">he </w:t>
      </w:r>
      <w:r w:rsidRPr="00A86767">
        <w:rPr>
          <w:rFonts w:cs="Verdana"/>
          <w:szCs w:val="18"/>
          <w:lang w:val="en-US"/>
        </w:rPr>
        <w:t>third parties were invited to comment in writing on the participants' joint request by 19</w:t>
      </w:r>
      <w:r w:rsidR="000A18DA">
        <w:rPr>
          <w:rFonts w:cs="Verdana"/>
          <w:szCs w:val="18"/>
          <w:lang w:val="en-US"/>
        </w:rPr>
        <w:t> October</w:t>
      </w:r>
      <w:r w:rsidR="000A10EA">
        <w:rPr>
          <w:rFonts w:cs="Verdana"/>
          <w:szCs w:val="18"/>
          <w:lang w:val="en-US"/>
        </w:rPr>
        <w:t> 20</w:t>
      </w:r>
      <w:r w:rsidRPr="00A86767">
        <w:rPr>
          <w:rFonts w:cs="Verdana"/>
          <w:szCs w:val="18"/>
          <w:lang w:val="en-US"/>
        </w:rPr>
        <w:t xml:space="preserve">16. </w:t>
      </w:r>
      <w:r>
        <w:t xml:space="preserve">Comments were received from </w:t>
      </w:r>
      <w:r w:rsidRPr="00BA5FB1">
        <w:rPr>
          <w:rFonts w:cs="Verdana"/>
          <w:lang w:val="en-US"/>
        </w:rPr>
        <w:t>Australia, Brazil,</w:t>
      </w:r>
      <w:r>
        <w:rPr>
          <w:rFonts w:cs="Verdana"/>
          <w:lang w:val="en-US"/>
        </w:rPr>
        <w:t xml:space="preserve"> and</w:t>
      </w:r>
      <w:r w:rsidRPr="00BA5FB1">
        <w:rPr>
          <w:rFonts w:cs="Verdana"/>
          <w:lang w:val="en-US"/>
        </w:rPr>
        <w:t xml:space="preserve"> Canada.</w:t>
      </w:r>
      <w:r>
        <w:rPr>
          <w:rFonts w:cs="Verdana"/>
          <w:lang w:val="en-US"/>
        </w:rPr>
        <w:t xml:space="preserve"> </w:t>
      </w:r>
      <w:r w:rsidRPr="00A86767">
        <w:rPr>
          <w:rFonts w:cs="Verdana"/>
          <w:szCs w:val="18"/>
          <w:lang w:val="en-US"/>
        </w:rPr>
        <w:t xml:space="preserve">While none of the third parties objected to the adoption of additional procedures for the protection of BCI and HSBI, Canada suggested </w:t>
      </w:r>
      <w:r>
        <w:rPr>
          <w:rFonts w:cs="Verdana"/>
          <w:szCs w:val="18"/>
          <w:lang w:val="en-US"/>
        </w:rPr>
        <w:t xml:space="preserve">that the additional procedures provide for a designated reading room at the embassy and/or other diplomatic mission of the </w:t>
      </w:r>
      <w:r w:rsidR="000A10EA">
        <w:rPr>
          <w:rFonts w:cs="Verdana"/>
          <w:szCs w:val="18"/>
          <w:lang w:val="en-US"/>
        </w:rPr>
        <w:t>European Union</w:t>
      </w:r>
      <w:r>
        <w:rPr>
          <w:rFonts w:cs="Verdana"/>
          <w:szCs w:val="18"/>
          <w:lang w:val="en-US"/>
        </w:rPr>
        <w:t xml:space="preserve"> and the </w:t>
      </w:r>
      <w:r w:rsidR="000A10EA">
        <w:rPr>
          <w:rFonts w:cs="Verdana"/>
          <w:szCs w:val="18"/>
          <w:lang w:val="en-US"/>
        </w:rPr>
        <w:t>United States</w:t>
      </w:r>
      <w:r>
        <w:rPr>
          <w:rFonts w:cs="Verdana"/>
          <w:szCs w:val="18"/>
          <w:lang w:val="en-US"/>
        </w:rPr>
        <w:t xml:space="preserve"> in each of the third participants' capitals</w:t>
      </w:r>
      <w:r w:rsidRPr="00A86767">
        <w:rPr>
          <w:rFonts w:cs="Verdana"/>
          <w:szCs w:val="18"/>
          <w:lang w:val="en-US"/>
        </w:rPr>
        <w:t>.</w:t>
      </w:r>
      <w:r>
        <w:rPr>
          <w:rStyle w:val="FootnoteReference"/>
          <w:rFonts w:cs="Verdana"/>
          <w:szCs w:val="18"/>
          <w:lang w:val="en-US"/>
        </w:rPr>
        <w:footnoteReference w:id="43"/>
      </w:r>
      <w:r w:rsidRPr="00A86767">
        <w:rPr>
          <w:rFonts w:cs="Verdana"/>
          <w:szCs w:val="18"/>
          <w:lang w:val="en-US"/>
        </w:rPr>
        <w:t xml:space="preserve"> </w:t>
      </w:r>
      <w:r>
        <w:rPr>
          <w:rFonts w:cs="Verdana"/>
          <w:szCs w:val="18"/>
          <w:lang w:val="en-US"/>
        </w:rPr>
        <w:t>On 24</w:t>
      </w:r>
      <w:r w:rsidR="000A18DA">
        <w:rPr>
          <w:rFonts w:cs="Verdana"/>
          <w:szCs w:val="18"/>
          <w:lang w:val="en-US"/>
        </w:rPr>
        <w:t> October</w:t>
      </w:r>
      <w:r w:rsidR="000A10EA">
        <w:rPr>
          <w:rFonts w:cs="Verdana"/>
          <w:szCs w:val="18"/>
          <w:lang w:val="en-US"/>
        </w:rPr>
        <w:t> 20</w:t>
      </w:r>
      <w:r w:rsidR="000405DB">
        <w:rPr>
          <w:rFonts w:cs="Verdana"/>
          <w:szCs w:val="18"/>
          <w:lang w:val="en-US"/>
        </w:rPr>
        <w:t>16, Australia, the </w:t>
      </w:r>
      <w:r w:rsidR="000A10EA">
        <w:rPr>
          <w:rFonts w:cs="Verdana"/>
          <w:szCs w:val="18"/>
          <w:lang w:val="en-US"/>
        </w:rPr>
        <w:t>European Union</w:t>
      </w:r>
      <w:r>
        <w:rPr>
          <w:rFonts w:cs="Verdana"/>
          <w:szCs w:val="18"/>
          <w:lang w:val="en-US"/>
        </w:rPr>
        <w:t xml:space="preserve">, and the </w:t>
      </w:r>
      <w:r w:rsidR="000A10EA">
        <w:rPr>
          <w:rFonts w:cs="Verdana"/>
          <w:szCs w:val="18"/>
          <w:lang w:val="en-US"/>
        </w:rPr>
        <w:t>United States</w:t>
      </w:r>
      <w:r>
        <w:rPr>
          <w:rFonts w:cs="Verdana"/>
          <w:szCs w:val="18"/>
          <w:lang w:val="en-US"/>
        </w:rPr>
        <w:t xml:space="preserve"> each commented on Canada's proposal.</w:t>
      </w:r>
      <w:r>
        <w:rPr>
          <w:rStyle w:val="FootnoteReference"/>
          <w:rFonts w:cs="Verdana"/>
          <w:szCs w:val="18"/>
          <w:lang w:val="en-US"/>
        </w:rPr>
        <w:t xml:space="preserve"> </w:t>
      </w:r>
      <w:r>
        <w:rPr>
          <w:rFonts w:cs="Verdana"/>
          <w:lang w:val="en-US"/>
        </w:rPr>
        <w:t>Australia supported Canada's request. The</w:t>
      </w:r>
      <w:r>
        <w:rPr>
          <w:rFonts w:cs="Verdana"/>
          <w:szCs w:val="18"/>
          <w:lang w:val="en-US"/>
        </w:rPr>
        <w:t xml:space="preserve"> </w:t>
      </w:r>
      <w:r w:rsidR="000A10EA">
        <w:rPr>
          <w:rFonts w:cs="Verdana"/>
          <w:szCs w:val="18"/>
          <w:lang w:val="en-US"/>
        </w:rPr>
        <w:t>European Union</w:t>
      </w:r>
      <w:r>
        <w:rPr>
          <w:rFonts w:cs="Verdana"/>
          <w:szCs w:val="18"/>
          <w:lang w:val="en-US"/>
        </w:rPr>
        <w:t xml:space="preserve"> and the </w:t>
      </w:r>
      <w:r w:rsidR="000A10EA">
        <w:rPr>
          <w:rFonts w:cs="Verdana"/>
          <w:szCs w:val="18"/>
          <w:lang w:val="en-US"/>
        </w:rPr>
        <w:t>United States</w:t>
      </w:r>
      <w:r>
        <w:rPr>
          <w:rFonts w:cs="Verdana"/>
          <w:szCs w:val="18"/>
          <w:lang w:val="en-US"/>
        </w:rPr>
        <w:t xml:space="preserve"> opposed it, noting that it would require a total of 12 designated reading rooms</w:t>
      </w:r>
      <w:r w:rsidRPr="006837AF">
        <w:rPr>
          <w:rFonts w:cs="Verdana"/>
          <w:szCs w:val="18"/>
          <w:lang w:val="en-US"/>
        </w:rPr>
        <w:t xml:space="preserve"> </w:t>
      </w:r>
      <w:r>
        <w:rPr>
          <w:rFonts w:cs="Verdana"/>
          <w:szCs w:val="18"/>
          <w:lang w:val="en-US"/>
        </w:rPr>
        <w:t xml:space="preserve">in the third participants' respective capitals, in addition to the designated reading room on the WTO premises, and emphasized that this would impose a significant burden on the participants. The </w:t>
      </w:r>
      <w:r w:rsidR="000A10EA">
        <w:rPr>
          <w:rFonts w:cs="Verdana"/>
          <w:szCs w:val="18"/>
          <w:lang w:val="en-US"/>
        </w:rPr>
        <w:t>United States</w:t>
      </w:r>
      <w:r>
        <w:rPr>
          <w:rFonts w:cs="Verdana"/>
          <w:szCs w:val="18"/>
          <w:lang w:val="en-US"/>
        </w:rPr>
        <w:t xml:space="preserve"> also considered that there would be little benefit to third participants, </w:t>
      </w:r>
      <w:r>
        <w:t>because the only difference under the proposed adjustment would be to shift the burden of reviewing BCI from Geneva-based officials to capital</w:t>
      </w:r>
      <w:r>
        <w:noBreakHyphen/>
        <w:t>based officials</w:t>
      </w:r>
      <w:r>
        <w:rPr>
          <w:rFonts w:cs="Verdana"/>
          <w:szCs w:val="18"/>
          <w:lang w:val="en-US"/>
        </w:rPr>
        <w:t xml:space="preserve">. </w:t>
      </w:r>
    </w:p>
    <w:p w:rsidR="0007161B" w:rsidRPr="003A630B" w:rsidRDefault="0007161B" w:rsidP="00DC4FDF">
      <w:pPr>
        <w:pStyle w:val="BodyText"/>
        <w:numPr>
          <w:ilvl w:val="6"/>
          <w:numId w:val="5"/>
        </w:numPr>
      </w:pPr>
      <w:r w:rsidRPr="00A86767">
        <w:rPr>
          <w:rFonts w:cs="Verdana"/>
          <w:szCs w:val="18"/>
          <w:lang w:val="en-US"/>
        </w:rPr>
        <w:t xml:space="preserve">Taking into account the arguments made by </w:t>
      </w:r>
      <w:r>
        <w:rPr>
          <w:rFonts w:cs="Verdana"/>
          <w:szCs w:val="18"/>
          <w:lang w:val="en-US"/>
        </w:rPr>
        <w:t xml:space="preserve">the </w:t>
      </w:r>
      <w:r w:rsidRPr="00A86767">
        <w:rPr>
          <w:rFonts w:cs="Verdana"/>
          <w:szCs w:val="18"/>
          <w:lang w:val="en-US"/>
        </w:rPr>
        <w:t>participants and the third parties' comments,</w:t>
      </w:r>
      <w:r>
        <w:t xml:space="preserve"> the Chair of the </w:t>
      </w:r>
      <w:r w:rsidR="000A10EA">
        <w:t>Appellate Body</w:t>
      </w:r>
      <w:r>
        <w:t>, on behalf of the Division hearing this appeal, issued a Procedural Ruling on 25</w:t>
      </w:r>
      <w:r w:rsidR="000A18DA">
        <w:t> October</w:t>
      </w:r>
      <w:r w:rsidR="000A10EA">
        <w:t> 20</w:t>
      </w:r>
      <w:r>
        <w:t>16</w:t>
      </w:r>
      <w:r>
        <w:rPr>
          <w:rStyle w:val="FootnoteReference"/>
        </w:rPr>
        <w:footnoteReference w:id="44"/>
      </w:r>
      <w:r>
        <w:t xml:space="preserve"> adopting </w:t>
      </w:r>
      <w:r w:rsidRPr="00A86767">
        <w:rPr>
          <w:lang w:val="en-US"/>
        </w:rPr>
        <w:t>additional procedures to protect the confidentiality of BCI and HSBI in these appellate proceedings.</w:t>
      </w:r>
      <w:r>
        <w:rPr>
          <w:lang w:val="en-US"/>
        </w:rPr>
        <w:t xml:space="preserve"> The Division did not adopt the adjustment proposed by Canada, noting the burden it would involve </w:t>
      </w:r>
      <w:r w:rsidR="000405DB">
        <w:rPr>
          <w:lang w:val="en-US"/>
        </w:rPr>
        <w:t>and that the interests of third </w:t>
      </w:r>
      <w:r>
        <w:rPr>
          <w:lang w:val="en-US"/>
        </w:rPr>
        <w:t>participants mainly concerned the correct legal interpretation of relevant provisions of the covered agreements, rather than factual questions.</w:t>
      </w:r>
      <w:r>
        <w:rPr>
          <w:rStyle w:val="FootnoteReference"/>
          <w:lang w:val="en-US"/>
        </w:rPr>
        <w:footnoteReference w:id="45"/>
      </w:r>
      <w:r>
        <w:rPr>
          <w:lang w:val="en-US"/>
        </w:rPr>
        <w:t xml:space="preserve"> The</w:t>
      </w:r>
      <w:r w:rsidR="000405DB">
        <w:rPr>
          <w:lang w:val="en-US"/>
        </w:rPr>
        <w:t xml:space="preserve"> Division also noted that third </w:t>
      </w:r>
      <w:r>
        <w:rPr>
          <w:lang w:val="en-US"/>
        </w:rPr>
        <w:t xml:space="preserve">participants' rights would be taken into account in these appellate proceedings, including in setting the Working Schedule for this appeal. </w:t>
      </w:r>
    </w:p>
    <w:p w:rsidR="0007161B" w:rsidRPr="00673AF1" w:rsidRDefault="0007161B" w:rsidP="00DC4FDF">
      <w:pPr>
        <w:pStyle w:val="BodyText"/>
        <w:numPr>
          <w:ilvl w:val="6"/>
          <w:numId w:val="4"/>
        </w:numPr>
        <w:tabs>
          <w:tab w:val="num" w:pos="862"/>
        </w:tabs>
        <w:rPr>
          <w:szCs w:val="18"/>
        </w:rPr>
      </w:pPr>
      <w:r>
        <w:rPr>
          <w:szCs w:val="18"/>
        </w:rPr>
        <w:t>Pursuant to the Procedural Ruling of 25</w:t>
      </w:r>
      <w:r w:rsidR="000A18DA">
        <w:rPr>
          <w:szCs w:val="18"/>
        </w:rPr>
        <w:t> October</w:t>
      </w:r>
      <w:r w:rsidR="000A10EA">
        <w:rPr>
          <w:szCs w:val="18"/>
        </w:rPr>
        <w:t> 20</w:t>
      </w:r>
      <w:r>
        <w:rPr>
          <w:szCs w:val="18"/>
        </w:rPr>
        <w:t>16, t</w:t>
      </w:r>
      <w:r w:rsidRPr="00673AF1">
        <w:rPr>
          <w:szCs w:val="18"/>
        </w:rPr>
        <w:t>he participants communicated their lists of BCI- and HSBI-</w:t>
      </w:r>
      <w:r>
        <w:rPr>
          <w:szCs w:val="18"/>
        </w:rPr>
        <w:t>A</w:t>
      </w:r>
      <w:r w:rsidRPr="00673AF1">
        <w:rPr>
          <w:szCs w:val="18"/>
        </w:rPr>
        <w:t xml:space="preserve">pproved </w:t>
      </w:r>
      <w:r>
        <w:rPr>
          <w:szCs w:val="18"/>
        </w:rPr>
        <w:t>P</w:t>
      </w:r>
      <w:r w:rsidRPr="00673AF1">
        <w:rPr>
          <w:szCs w:val="18"/>
        </w:rPr>
        <w:t>ersons on 27</w:t>
      </w:r>
      <w:r w:rsidR="000A18DA">
        <w:rPr>
          <w:szCs w:val="18"/>
        </w:rPr>
        <w:t> October</w:t>
      </w:r>
      <w:r w:rsidR="000A10EA">
        <w:rPr>
          <w:szCs w:val="18"/>
        </w:rPr>
        <w:t> 20</w:t>
      </w:r>
      <w:r w:rsidRPr="00673AF1">
        <w:rPr>
          <w:szCs w:val="18"/>
        </w:rPr>
        <w:t>16. On 31</w:t>
      </w:r>
      <w:r w:rsidR="000A18DA">
        <w:rPr>
          <w:szCs w:val="18"/>
        </w:rPr>
        <w:t> October</w:t>
      </w:r>
      <w:r w:rsidR="000A10EA">
        <w:rPr>
          <w:szCs w:val="18"/>
        </w:rPr>
        <w:t> 20</w:t>
      </w:r>
      <w:r w:rsidRPr="00673AF1">
        <w:rPr>
          <w:szCs w:val="18"/>
        </w:rPr>
        <w:t xml:space="preserve">16, the </w:t>
      </w:r>
      <w:r w:rsidR="000A10EA">
        <w:rPr>
          <w:szCs w:val="18"/>
        </w:rPr>
        <w:t>United States</w:t>
      </w:r>
      <w:r w:rsidRPr="00673AF1">
        <w:rPr>
          <w:szCs w:val="18"/>
        </w:rPr>
        <w:t xml:space="preserve"> </w:t>
      </w:r>
      <w:r>
        <w:rPr>
          <w:szCs w:val="18"/>
        </w:rPr>
        <w:t>"</w:t>
      </w:r>
      <w:r w:rsidRPr="00673AF1">
        <w:rPr>
          <w:szCs w:val="18"/>
        </w:rPr>
        <w:t>provisionally</w:t>
      </w:r>
      <w:r>
        <w:rPr>
          <w:szCs w:val="18"/>
        </w:rPr>
        <w:t>"</w:t>
      </w:r>
      <w:r w:rsidRPr="00673AF1">
        <w:rPr>
          <w:szCs w:val="18"/>
        </w:rPr>
        <w:t xml:space="preserve"> object</w:t>
      </w:r>
      <w:r>
        <w:rPr>
          <w:szCs w:val="18"/>
        </w:rPr>
        <w:t>ed</w:t>
      </w:r>
      <w:r w:rsidRPr="00673AF1">
        <w:rPr>
          <w:szCs w:val="18"/>
        </w:rPr>
        <w:t xml:space="preserve"> to the inclusion of one of the </w:t>
      </w:r>
      <w:r w:rsidR="000A10EA">
        <w:rPr>
          <w:szCs w:val="18"/>
        </w:rPr>
        <w:t>European Union</w:t>
      </w:r>
      <w:r w:rsidRPr="00673AF1">
        <w:rPr>
          <w:szCs w:val="18"/>
        </w:rPr>
        <w:t>'s BCI- and HSBI</w:t>
      </w:r>
      <w:r>
        <w:rPr>
          <w:szCs w:val="18"/>
        </w:rPr>
        <w:noBreakHyphen/>
        <w:t>A</w:t>
      </w:r>
      <w:r w:rsidRPr="00673AF1">
        <w:rPr>
          <w:szCs w:val="18"/>
        </w:rPr>
        <w:t xml:space="preserve">pproved </w:t>
      </w:r>
      <w:r>
        <w:rPr>
          <w:szCs w:val="18"/>
        </w:rPr>
        <w:t>P</w:t>
      </w:r>
      <w:r w:rsidRPr="00673AF1">
        <w:rPr>
          <w:szCs w:val="18"/>
        </w:rPr>
        <w:t>ersons</w:t>
      </w:r>
      <w:r>
        <w:rPr>
          <w:szCs w:val="18"/>
        </w:rPr>
        <w:t>,</w:t>
      </w:r>
      <w:r w:rsidRPr="00673AF1">
        <w:rPr>
          <w:szCs w:val="18"/>
        </w:rPr>
        <w:t xml:space="preserve"> and request</w:t>
      </w:r>
      <w:r>
        <w:rPr>
          <w:szCs w:val="18"/>
        </w:rPr>
        <w:t>ed</w:t>
      </w:r>
      <w:r w:rsidRPr="00673AF1">
        <w:rPr>
          <w:szCs w:val="18"/>
        </w:rPr>
        <w:t xml:space="preserve"> further information on</w:t>
      </w:r>
      <w:r>
        <w:rPr>
          <w:szCs w:val="18"/>
        </w:rPr>
        <w:t xml:space="preserve"> this individual</w:t>
      </w:r>
      <w:r w:rsidRPr="00673AF1">
        <w:rPr>
          <w:szCs w:val="18"/>
        </w:rPr>
        <w:t>. On 2</w:t>
      </w:r>
      <w:r>
        <w:rPr>
          <w:szCs w:val="18"/>
        </w:rPr>
        <w:t xml:space="preserve"> and </w:t>
      </w:r>
      <w:r>
        <w:rPr>
          <w:szCs w:val="18"/>
        </w:rPr>
        <w:lastRenderedPageBreak/>
        <w:t>18</w:t>
      </w:r>
      <w:r w:rsidR="000A18DA">
        <w:t> November</w:t>
      </w:r>
      <w:r w:rsidR="000A10EA">
        <w:rPr>
          <w:szCs w:val="18"/>
        </w:rPr>
        <w:t> 20</w:t>
      </w:r>
      <w:r>
        <w:rPr>
          <w:szCs w:val="18"/>
        </w:rPr>
        <w:t>16 respectively</w:t>
      </w:r>
      <w:r w:rsidRPr="00673AF1">
        <w:rPr>
          <w:szCs w:val="18"/>
        </w:rPr>
        <w:t xml:space="preserve">, the </w:t>
      </w:r>
      <w:r w:rsidR="000A10EA">
        <w:rPr>
          <w:szCs w:val="18"/>
        </w:rPr>
        <w:t>European Union</w:t>
      </w:r>
      <w:r w:rsidRPr="00673AF1">
        <w:rPr>
          <w:szCs w:val="18"/>
        </w:rPr>
        <w:t xml:space="preserve"> </w:t>
      </w:r>
      <w:r>
        <w:rPr>
          <w:szCs w:val="18"/>
        </w:rPr>
        <w:t xml:space="preserve">provided additional information on the individual concerned, and confirmed </w:t>
      </w:r>
      <w:r w:rsidRPr="00673AF1">
        <w:rPr>
          <w:szCs w:val="18"/>
        </w:rPr>
        <w:t xml:space="preserve">that </w:t>
      </w:r>
      <w:r>
        <w:rPr>
          <w:szCs w:val="18"/>
        </w:rPr>
        <w:t>he</w:t>
      </w:r>
      <w:r w:rsidRPr="00673AF1">
        <w:rPr>
          <w:szCs w:val="18"/>
        </w:rPr>
        <w:t xml:space="preserve"> had been retained by an outside advisor who is subject to an enforceable code of professional ethics and assumes responsibility for compliance with the additional BCI/HSBI procedures adopted by the </w:t>
      </w:r>
      <w:r w:rsidR="000A10EA">
        <w:rPr>
          <w:szCs w:val="18"/>
        </w:rPr>
        <w:t>Appellate Body</w:t>
      </w:r>
      <w:r w:rsidRPr="00673AF1">
        <w:rPr>
          <w:szCs w:val="18"/>
        </w:rPr>
        <w:t xml:space="preserve"> in these proceedi</w:t>
      </w:r>
      <w:r w:rsidR="000405DB">
        <w:rPr>
          <w:szCs w:val="18"/>
        </w:rPr>
        <w:t>ngs. The </w:t>
      </w:r>
      <w:r w:rsidRPr="00673AF1">
        <w:rPr>
          <w:szCs w:val="18"/>
        </w:rPr>
        <w:t>Division issued a Procedural Ruling on 21</w:t>
      </w:r>
      <w:r w:rsidR="000A18DA">
        <w:rPr>
          <w:szCs w:val="18"/>
        </w:rPr>
        <w:t> November</w:t>
      </w:r>
      <w:r w:rsidR="000A10EA">
        <w:rPr>
          <w:szCs w:val="18"/>
        </w:rPr>
        <w:t> 20</w:t>
      </w:r>
      <w:r w:rsidRPr="00673AF1">
        <w:rPr>
          <w:szCs w:val="18"/>
        </w:rPr>
        <w:t>16, recalling that</w:t>
      </w:r>
      <w:r>
        <w:rPr>
          <w:szCs w:val="18"/>
        </w:rPr>
        <w:t>,</w:t>
      </w:r>
      <w:r w:rsidRPr="00673AF1">
        <w:rPr>
          <w:szCs w:val="18"/>
        </w:rPr>
        <w:t xml:space="preserve"> pursuant to the Procedural Ruling of 25</w:t>
      </w:r>
      <w:r w:rsidR="000A18DA">
        <w:rPr>
          <w:szCs w:val="18"/>
        </w:rPr>
        <w:t> October</w:t>
      </w:r>
      <w:r w:rsidR="000A10EA">
        <w:rPr>
          <w:szCs w:val="18"/>
        </w:rPr>
        <w:t> 20</w:t>
      </w:r>
      <w:r w:rsidRPr="00673AF1">
        <w:rPr>
          <w:szCs w:val="18"/>
        </w:rPr>
        <w:t xml:space="preserve">16, it would reject a request for designation of an outside advisor as </w:t>
      </w:r>
      <w:r>
        <w:rPr>
          <w:szCs w:val="18"/>
        </w:rPr>
        <w:t xml:space="preserve">a </w:t>
      </w:r>
      <w:r w:rsidRPr="00673AF1">
        <w:rPr>
          <w:szCs w:val="18"/>
        </w:rPr>
        <w:t>BCI- or HSBI-</w:t>
      </w:r>
      <w:r>
        <w:rPr>
          <w:szCs w:val="18"/>
        </w:rPr>
        <w:t>A</w:t>
      </w:r>
      <w:r w:rsidRPr="00673AF1">
        <w:rPr>
          <w:szCs w:val="18"/>
        </w:rPr>
        <w:t xml:space="preserve">pproved </w:t>
      </w:r>
      <w:r>
        <w:rPr>
          <w:szCs w:val="18"/>
        </w:rPr>
        <w:t>P</w:t>
      </w:r>
      <w:r w:rsidRPr="00673AF1">
        <w:rPr>
          <w:szCs w:val="18"/>
        </w:rPr>
        <w:t xml:space="preserve">erson only upon a showing of compelling reasons. </w:t>
      </w:r>
      <w:r>
        <w:rPr>
          <w:szCs w:val="18"/>
        </w:rPr>
        <w:t>In the circumstances of this case</w:t>
      </w:r>
      <w:r w:rsidRPr="00673AF1">
        <w:rPr>
          <w:szCs w:val="18"/>
        </w:rPr>
        <w:t xml:space="preserve">, the Division considered it appropriate </w:t>
      </w:r>
      <w:r>
        <w:rPr>
          <w:szCs w:val="18"/>
        </w:rPr>
        <w:t>for</w:t>
      </w:r>
      <w:r w:rsidRPr="00673AF1">
        <w:rPr>
          <w:szCs w:val="18"/>
        </w:rPr>
        <w:t xml:space="preserve"> the </w:t>
      </w:r>
      <w:r w:rsidR="000A10EA">
        <w:rPr>
          <w:szCs w:val="18"/>
        </w:rPr>
        <w:t>European Union</w:t>
      </w:r>
      <w:r w:rsidRPr="00673AF1">
        <w:rPr>
          <w:szCs w:val="18"/>
        </w:rPr>
        <w:t xml:space="preserve"> to keep the individual concerned on its BCI- and HSBI-</w:t>
      </w:r>
      <w:r>
        <w:rPr>
          <w:szCs w:val="18"/>
        </w:rPr>
        <w:t>A</w:t>
      </w:r>
      <w:r w:rsidRPr="00673AF1">
        <w:rPr>
          <w:szCs w:val="18"/>
        </w:rPr>
        <w:t xml:space="preserve">pproved </w:t>
      </w:r>
      <w:r>
        <w:rPr>
          <w:szCs w:val="18"/>
        </w:rPr>
        <w:t>P</w:t>
      </w:r>
      <w:r w:rsidRPr="00673AF1">
        <w:rPr>
          <w:szCs w:val="18"/>
        </w:rPr>
        <w:t>ersons list.</w:t>
      </w:r>
      <w:r>
        <w:rPr>
          <w:szCs w:val="18"/>
        </w:rPr>
        <w:t xml:space="preserve"> </w:t>
      </w:r>
    </w:p>
    <w:p w:rsidR="0007161B" w:rsidRDefault="0007161B" w:rsidP="00DC4FDF">
      <w:pPr>
        <w:pStyle w:val="BodyText"/>
        <w:numPr>
          <w:ilvl w:val="6"/>
          <w:numId w:val="4"/>
        </w:numPr>
        <w:tabs>
          <w:tab w:val="num" w:pos="862"/>
        </w:tabs>
        <w:rPr>
          <w:szCs w:val="18"/>
        </w:rPr>
      </w:pPr>
      <w:r>
        <w:rPr>
          <w:szCs w:val="18"/>
        </w:rPr>
        <w:t>On 1</w:t>
      </w:r>
      <w:r w:rsidR="000A18DA">
        <w:rPr>
          <w:szCs w:val="18"/>
        </w:rPr>
        <w:t> November</w:t>
      </w:r>
      <w:r w:rsidR="000A10EA">
        <w:rPr>
          <w:szCs w:val="18"/>
        </w:rPr>
        <w:t> 20</w:t>
      </w:r>
      <w:r>
        <w:rPr>
          <w:szCs w:val="18"/>
        </w:rPr>
        <w:t>16, the Division provided the participants and third parties with a Working Schedule for Appeal, setting out the dates for the filing of the appellant's submission and an eventual Notice of Other Appeal and other appellant's submission. On 3</w:t>
      </w:r>
      <w:r w:rsidR="000A18DA">
        <w:rPr>
          <w:szCs w:val="18"/>
        </w:rPr>
        <w:t> November</w:t>
      </w:r>
      <w:r w:rsidR="000A10EA">
        <w:rPr>
          <w:szCs w:val="18"/>
        </w:rPr>
        <w:t> 20</w:t>
      </w:r>
      <w:r w:rsidR="000405DB">
        <w:rPr>
          <w:szCs w:val="18"/>
        </w:rPr>
        <w:t>16, the </w:t>
      </w:r>
      <w:r w:rsidR="000A10EA">
        <w:rPr>
          <w:szCs w:val="18"/>
        </w:rPr>
        <w:t>European Union</w:t>
      </w:r>
      <w:r>
        <w:rPr>
          <w:szCs w:val="18"/>
        </w:rPr>
        <w:t xml:space="preserve"> filed </w:t>
      </w:r>
      <w:r w:rsidRPr="00B55651">
        <w:rPr>
          <w:szCs w:val="18"/>
        </w:rPr>
        <w:t xml:space="preserve">an appellant's submission </w:t>
      </w:r>
      <w:r>
        <w:rPr>
          <w:szCs w:val="18"/>
        </w:rPr>
        <w:t>pursuant to</w:t>
      </w:r>
      <w:r w:rsidRPr="00B55651">
        <w:rPr>
          <w:szCs w:val="18"/>
        </w:rPr>
        <w:t xml:space="preserve"> Rule</w:t>
      </w:r>
      <w:r>
        <w:rPr>
          <w:szCs w:val="18"/>
        </w:rPr>
        <w:t> </w:t>
      </w:r>
      <w:r w:rsidRPr="00B55651">
        <w:rPr>
          <w:szCs w:val="18"/>
        </w:rPr>
        <w:t>21</w:t>
      </w:r>
      <w:r>
        <w:rPr>
          <w:szCs w:val="18"/>
        </w:rPr>
        <w:t xml:space="preserve"> of the Working Procedures</w:t>
      </w:r>
      <w:r w:rsidRPr="00B55651">
        <w:rPr>
          <w:szCs w:val="18"/>
        </w:rPr>
        <w:t xml:space="preserve">. </w:t>
      </w:r>
    </w:p>
    <w:p w:rsidR="0007161B" w:rsidRDefault="0007161B" w:rsidP="00DC4FDF">
      <w:pPr>
        <w:pStyle w:val="BodyText"/>
        <w:numPr>
          <w:ilvl w:val="6"/>
          <w:numId w:val="4"/>
        </w:numPr>
        <w:tabs>
          <w:tab w:val="num" w:pos="862"/>
        </w:tabs>
        <w:rPr>
          <w:szCs w:val="18"/>
        </w:rPr>
      </w:pPr>
      <w:r w:rsidRPr="00B55651">
        <w:rPr>
          <w:szCs w:val="18"/>
        </w:rPr>
        <w:t>On</w:t>
      </w:r>
      <w:r>
        <w:rPr>
          <w:szCs w:val="18"/>
        </w:rPr>
        <w:t xml:space="preserve"> 10</w:t>
      </w:r>
      <w:r w:rsidR="000A18DA">
        <w:rPr>
          <w:szCs w:val="18"/>
        </w:rPr>
        <w:t> November</w:t>
      </w:r>
      <w:r w:rsidR="000A10EA">
        <w:rPr>
          <w:szCs w:val="18"/>
        </w:rPr>
        <w:t> 20</w:t>
      </w:r>
      <w:r>
        <w:rPr>
          <w:szCs w:val="18"/>
        </w:rPr>
        <w:t>16</w:t>
      </w:r>
      <w:r w:rsidRPr="00B55651">
        <w:rPr>
          <w:rFonts w:cs="Arial"/>
          <w:szCs w:val="18"/>
        </w:rPr>
        <w:t xml:space="preserve">, </w:t>
      </w:r>
      <w:r>
        <w:rPr>
          <w:rFonts w:cs="Arial"/>
          <w:szCs w:val="18"/>
        </w:rPr>
        <w:t xml:space="preserve">the </w:t>
      </w:r>
      <w:r w:rsidR="000A10EA">
        <w:rPr>
          <w:rFonts w:cs="Arial"/>
          <w:szCs w:val="18"/>
        </w:rPr>
        <w:t>United States</w:t>
      </w:r>
      <w:r w:rsidRPr="00B55651">
        <w:rPr>
          <w:rFonts w:cs="Arial"/>
          <w:szCs w:val="18"/>
        </w:rPr>
        <w:t xml:space="preserve"> </w:t>
      </w:r>
      <w:r w:rsidRPr="00B55651">
        <w:rPr>
          <w:szCs w:val="18"/>
        </w:rPr>
        <w:t>notified the DSB</w:t>
      </w:r>
      <w:r>
        <w:rPr>
          <w:szCs w:val="18"/>
        </w:rPr>
        <w:t>,</w:t>
      </w:r>
      <w:r w:rsidRPr="00B55651">
        <w:rPr>
          <w:szCs w:val="18"/>
        </w:rPr>
        <w:t xml:space="preserve"> pursuant to Articles 16.4 and 17 of the DSU, of its intention to appeal certain issues of law covered in the Panel Report and certain legal interpretations developed by the Panel</w:t>
      </w:r>
      <w:r>
        <w:rPr>
          <w:szCs w:val="18"/>
        </w:rPr>
        <w:t>,</w:t>
      </w:r>
      <w:r w:rsidRPr="00B55651">
        <w:rPr>
          <w:szCs w:val="18"/>
        </w:rPr>
        <w:t xml:space="preserve"> and filed a Notice of Other Appeal and other appellant's submission</w:t>
      </w:r>
      <w:r>
        <w:rPr>
          <w:rStyle w:val="FootnoteReference"/>
          <w:szCs w:val="18"/>
        </w:rPr>
        <w:footnoteReference w:id="46"/>
      </w:r>
      <w:r>
        <w:rPr>
          <w:szCs w:val="18"/>
        </w:rPr>
        <w:t xml:space="preserve"> </w:t>
      </w:r>
      <w:r w:rsidRPr="00B55651">
        <w:rPr>
          <w:szCs w:val="18"/>
        </w:rPr>
        <w:t xml:space="preserve">pursuant to Rule 23 of the </w:t>
      </w:r>
      <w:r w:rsidRPr="00B55651">
        <w:rPr>
          <w:iCs/>
          <w:szCs w:val="18"/>
        </w:rPr>
        <w:t>Working</w:t>
      </w:r>
      <w:r>
        <w:rPr>
          <w:iCs/>
          <w:szCs w:val="18"/>
        </w:rPr>
        <w:t> </w:t>
      </w:r>
      <w:r w:rsidRPr="00B55651">
        <w:rPr>
          <w:iCs/>
          <w:szCs w:val="18"/>
        </w:rPr>
        <w:t>Procedures</w:t>
      </w:r>
      <w:r w:rsidRPr="00B55651">
        <w:rPr>
          <w:szCs w:val="18"/>
        </w:rPr>
        <w:t xml:space="preserve">. </w:t>
      </w:r>
      <w:r>
        <w:rPr>
          <w:szCs w:val="18"/>
        </w:rPr>
        <w:t xml:space="preserve">The </w:t>
      </w:r>
      <w:r w:rsidR="000A10EA">
        <w:rPr>
          <w:szCs w:val="18"/>
        </w:rPr>
        <w:t>United States</w:t>
      </w:r>
      <w:r>
        <w:rPr>
          <w:szCs w:val="18"/>
        </w:rPr>
        <w:t xml:space="preserve"> requested an extension until Friday, 11</w:t>
      </w:r>
      <w:r w:rsidR="000A18DA">
        <w:rPr>
          <w:szCs w:val="18"/>
        </w:rPr>
        <w:t> November</w:t>
      </w:r>
      <w:r w:rsidR="000A10EA">
        <w:rPr>
          <w:szCs w:val="18"/>
        </w:rPr>
        <w:t> 20</w:t>
      </w:r>
      <w:r>
        <w:rPr>
          <w:szCs w:val="18"/>
        </w:rPr>
        <w:t>16, and subsequently until Monday, 14</w:t>
      </w:r>
      <w:r w:rsidR="000A18DA">
        <w:rPr>
          <w:szCs w:val="18"/>
        </w:rPr>
        <w:t> November</w:t>
      </w:r>
      <w:r w:rsidR="000A10EA">
        <w:rPr>
          <w:szCs w:val="18"/>
        </w:rPr>
        <w:t> 20</w:t>
      </w:r>
      <w:r>
        <w:rPr>
          <w:szCs w:val="18"/>
        </w:rPr>
        <w:t xml:space="preserve">16, to file the HSBI appendix to its submission, which was being transferred to Geneva by means of an expedited international courier service. In accepting the </w:t>
      </w:r>
      <w:r w:rsidR="000A10EA">
        <w:rPr>
          <w:szCs w:val="18"/>
        </w:rPr>
        <w:t>United States</w:t>
      </w:r>
      <w:r>
        <w:rPr>
          <w:szCs w:val="18"/>
        </w:rPr>
        <w:t xml:space="preserve">' request, the Division noted that the </w:t>
      </w:r>
      <w:r w:rsidR="000A10EA">
        <w:rPr>
          <w:szCs w:val="18"/>
        </w:rPr>
        <w:t>European Union</w:t>
      </w:r>
      <w:r>
        <w:rPr>
          <w:szCs w:val="18"/>
        </w:rPr>
        <w:t xml:space="preserve"> did not object to the late filing of the appendix, and that the late filing did not adversely affect the </w:t>
      </w:r>
      <w:r w:rsidR="000A10EA">
        <w:rPr>
          <w:szCs w:val="18"/>
        </w:rPr>
        <w:t>Appellate Body</w:t>
      </w:r>
      <w:r>
        <w:rPr>
          <w:szCs w:val="18"/>
        </w:rPr>
        <w:t xml:space="preserve">'s consideration of this appeal. The Division nevertheless emphasized the importance of adhering to the time-limits for filing documents in the interests of fairness and the orderly conduct of the appellate proceedings. </w:t>
      </w:r>
    </w:p>
    <w:p w:rsidR="0007161B" w:rsidRDefault="0007161B" w:rsidP="00DC4FDF">
      <w:pPr>
        <w:pStyle w:val="BodyText"/>
        <w:numPr>
          <w:ilvl w:val="6"/>
          <w:numId w:val="4"/>
        </w:numPr>
        <w:tabs>
          <w:tab w:val="num" w:pos="862"/>
        </w:tabs>
        <w:rPr>
          <w:szCs w:val="18"/>
        </w:rPr>
      </w:pPr>
      <w:r>
        <w:rPr>
          <w:szCs w:val="18"/>
        </w:rPr>
        <w:t>On 14</w:t>
      </w:r>
      <w:r w:rsidR="000A18DA">
        <w:rPr>
          <w:szCs w:val="18"/>
        </w:rPr>
        <w:t> November</w:t>
      </w:r>
      <w:r w:rsidR="000A10EA">
        <w:rPr>
          <w:szCs w:val="18"/>
        </w:rPr>
        <w:t> 20</w:t>
      </w:r>
      <w:r>
        <w:rPr>
          <w:szCs w:val="18"/>
        </w:rPr>
        <w:t xml:space="preserve">16, the Division received a letter from the </w:t>
      </w:r>
      <w:r w:rsidR="000A10EA">
        <w:rPr>
          <w:szCs w:val="18"/>
        </w:rPr>
        <w:t>European Union</w:t>
      </w:r>
      <w:r>
        <w:rPr>
          <w:szCs w:val="18"/>
        </w:rPr>
        <w:t xml:space="preserve"> requesting that certain text in the </w:t>
      </w:r>
      <w:r w:rsidR="000A10EA">
        <w:rPr>
          <w:szCs w:val="18"/>
        </w:rPr>
        <w:t>United States</w:t>
      </w:r>
      <w:r>
        <w:rPr>
          <w:szCs w:val="18"/>
        </w:rPr>
        <w:t>' other appellant's submi</w:t>
      </w:r>
      <w:r w:rsidR="000405DB">
        <w:rPr>
          <w:szCs w:val="18"/>
        </w:rPr>
        <w:t>ssion be designated as BCI. The </w:t>
      </w:r>
      <w:r w:rsidR="000A10EA">
        <w:rPr>
          <w:szCs w:val="18"/>
        </w:rPr>
        <w:t>United States</w:t>
      </w:r>
      <w:r>
        <w:rPr>
          <w:szCs w:val="18"/>
        </w:rPr>
        <w:t xml:space="preserve"> responded in writing on 16</w:t>
      </w:r>
      <w:r w:rsidR="000A18DA">
        <w:rPr>
          <w:szCs w:val="18"/>
        </w:rPr>
        <w:t> November</w:t>
      </w:r>
      <w:r w:rsidR="000A10EA">
        <w:rPr>
          <w:szCs w:val="18"/>
        </w:rPr>
        <w:t> 20</w:t>
      </w:r>
      <w:r>
        <w:rPr>
          <w:szCs w:val="18"/>
        </w:rPr>
        <w:t xml:space="preserve">16, indicating that it did not object to the BCI designations proposed by the </w:t>
      </w:r>
      <w:r w:rsidR="000A10EA">
        <w:rPr>
          <w:szCs w:val="18"/>
        </w:rPr>
        <w:t>European Union</w:t>
      </w:r>
      <w:r>
        <w:rPr>
          <w:szCs w:val="18"/>
        </w:rPr>
        <w:t xml:space="preserve"> in paragraphs </w:t>
      </w:r>
      <w:r w:rsidRPr="0096603F">
        <w:t>36, 52, 64, and</w:t>
      </w:r>
      <w:r>
        <w:t> </w:t>
      </w:r>
      <w:r w:rsidRPr="0096603F">
        <w:t xml:space="preserve">69 </w:t>
      </w:r>
      <w:r>
        <w:rPr>
          <w:szCs w:val="18"/>
        </w:rPr>
        <w:t xml:space="preserve">of its other appellant's submission, but objected to the proposed BCI designations in paragraphs </w:t>
      </w:r>
      <w:r w:rsidRPr="0096603F">
        <w:t>35, 37, 41, 43, 45, 47, 49, 51, 53, 55, and 60</w:t>
      </w:r>
      <w:r>
        <w:t xml:space="preserve"> because the information at issue could already be derived from information on the Panel record that was not designated as BCI or HSBI</w:t>
      </w:r>
      <w:r>
        <w:rPr>
          <w:szCs w:val="18"/>
        </w:rPr>
        <w:t xml:space="preserve">. The Division reviewed the changes proposed, taking into account the </w:t>
      </w:r>
      <w:r w:rsidRPr="00F4638D">
        <w:t xml:space="preserve">risks associated with the disclosure of the </w:t>
      </w:r>
      <w:r>
        <w:t xml:space="preserve">relevant </w:t>
      </w:r>
      <w:r w:rsidRPr="00F4638D">
        <w:t>information</w:t>
      </w:r>
      <w:r>
        <w:rPr>
          <w:szCs w:val="18"/>
        </w:rPr>
        <w:t xml:space="preserve"> and the rights and duties established in the DSU and the other covered agreements. In a Procedural Ruling dated 21</w:t>
      </w:r>
      <w:r w:rsidR="000A18DA">
        <w:rPr>
          <w:szCs w:val="18"/>
        </w:rPr>
        <w:t> November</w:t>
      </w:r>
      <w:r w:rsidR="000A10EA">
        <w:rPr>
          <w:szCs w:val="18"/>
        </w:rPr>
        <w:t> 20</w:t>
      </w:r>
      <w:r>
        <w:rPr>
          <w:szCs w:val="18"/>
        </w:rPr>
        <w:t xml:space="preserve">16, the Division decided to proceed on the basis of the BCI designations proposed by the </w:t>
      </w:r>
      <w:r w:rsidR="000A10EA">
        <w:rPr>
          <w:szCs w:val="18"/>
        </w:rPr>
        <w:t>European Union</w:t>
      </w:r>
      <w:r>
        <w:rPr>
          <w:szCs w:val="18"/>
        </w:rPr>
        <w:t xml:space="preserve"> and requested the </w:t>
      </w:r>
      <w:r w:rsidR="000A10EA">
        <w:rPr>
          <w:szCs w:val="18"/>
        </w:rPr>
        <w:t>United States</w:t>
      </w:r>
      <w:r>
        <w:rPr>
          <w:szCs w:val="18"/>
        </w:rPr>
        <w:t xml:space="preserve"> to submit revised copies of the BCI and non-BCI versions of its </w:t>
      </w:r>
      <w:r w:rsidR="00B542A9">
        <w:rPr>
          <w:szCs w:val="18"/>
        </w:rPr>
        <w:t>other appellant's submission by </w:t>
      </w:r>
      <w:r>
        <w:rPr>
          <w:szCs w:val="18"/>
        </w:rPr>
        <w:t>23</w:t>
      </w:r>
      <w:r w:rsidR="000A18DA">
        <w:rPr>
          <w:szCs w:val="18"/>
        </w:rPr>
        <w:t> November</w:t>
      </w:r>
      <w:r w:rsidR="000A10EA">
        <w:rPr>
          <w:szCs w:val="18"/>
        </w:rPr>
        <w:t> 20</w:t>
      </w:r>
      <w:r>
        <w:rPr>
          <w:szCs w:val="18"/>
        </w:rPr>
        <w:t xml:space="preserve">16. </w:t>
      </w:r>
    </w:p>
    <w:p w:rsidR="0007161B" w:rsidRDefault="0007161B" w:rsidP="00DC4FDF">
      <w:pPr>
        <w:pStyle w:val="BodyText"/>
        <w:numPr>
          <w:ilvl w:val="6"/>
          <w:numId w:val="4"/>
        </w:numPr>
        <w:tabs>
          <w:tab w:val="num" w:pos="862"/>
        </w:tabs>
        <w:rPr>
          <w:szCs w:val="18"/>
        </w:rPr>
      </w:pPr>
      <w:r>
        <w:rPr>
          <w:szCs w:val="18"/>
        </w:rPr>
        <w:t>On 22</w:t>
      </w:r>
      <w:r w:rsidR="000A18DA">
        <w:rPr>
          <w:szCs w:val="18"/>
        </w:rPr>
        <w:t> November</w:t>
      </w:r>
      <w:r w:rsidR="000A10EA">
        <w:rPr>
          <w:szCs w:val="18"/>
        </w:rPr>
        <w:t> 20</w:t>
      </w:r>
      <w:r>
        <w:rPr>
          <w:szCs w:val="18"/>
        </w:rPr>
        <w:t>16, the Division provided the participants and third parties with a revised Working Schedule for Appeal, setting out the dates for the filing of the appellees' and third participants' submissions. The Division added that the dates for the oral hearing would be communicated to them in due course.</w:t>
      </w:r>
    </w:p>
    <w:p w:rsidR="0007161B" w:rsidRPr="00D71D3F" w:rsidRDefault="0007161B" w:rsidP="00DC4FDF">
      <w:pPr>
        <w:pStyle w:val="BodyText"/>
        <w:numPr>
          <w:ilvl w:val="6"/>
          <w:numId w:val="4"/>
        </w:numPr>
        <w:tabs>
          <w:tab w:val="num" w:pos="862"/>
        </w:tabs>
        <w:rPr>
          <w:szCs w:val="18"/>
        </w:rPr>
      </w:pPr>
      <w:r>
        <w:rPr>
          <w:szCs w:val="18"/>
        </w:rPr>
        <w:t>On 5</w:t>
      </w:r>
      <w:r w:rsidR="000A18DA">
        <w:rPr>
          <w:szCs w:val="18"/>
        </w:rPr>
        <w:t> December</w:t>
      </w:r>
      <w:r w:rsidR="000A10EA">
        <w:rPr>
          <w:szCs w:val="18"/>
        </w:rPr>
        <w:t> 20</w:t>
      </w:r>
      <w:r>
        <w:rPr>
          <w:szCs w:val="18"/>
        </w:rPr>
        <w:t xml:space="preserve">16, the </w:t>
      </w:r>
      <w:r w:rsidR="000A10EA">
        <w:rPr>
          <w:szCs w:val="18"/>
        </w:rPr>
        <w:t>Appellate Body</w:t>
      </w:r>
      <w:r>
        <w:rPr>
          <w:szCs w:val="18"/>
        </w:rPr>
        <w:t xml:space="preserve"> received a letter from the </w:t>
      </w:r>
      <w:r w:rsidR="000A10EA">
        <w:rPr>
          <w:szCs w:val="18"/>
        </w:rPr>
        <w:t>European Union</w:t>
      </w:r>
      <w:r>
        <w:rPr>
          <w:szCs w:val="18"/>
        </w:rPr>
        <w:t xml:space="preserve"> referring to this ongoing appeal, and to the then anticipated appeals in </w:t>
      </w:r>
      <w:r w:rsidRPr="00FE683B">
        <w:rPr>
          <w:i/>
          <w:color w:val="000000"/>
          <w:szCs w:val="16"/>
        </w:rPr>
        <w:t>US – Large Civil Aircraft (2</w:t>
      </w:r>
      <w:r w:rsidRPr="00FE683B">
        <w:rPr>
          <w:i/>
          <w:color w:val="000000"/>
          <w:szCs w:val="16"/>
          <w:vertAlign w:val="superscript"/>
        </w:rPr>
        <w:t>nd</w:t>
      </w:r>
      <w:r w:rsidRPr="00FE683B">
        <w:rPr>
          <w:i/>
          <w:color w:val="000000"/>
          <w:szCs w:val="16"/>
        </w:rPr>
        <w:t xml:space="preserve"> </w:t>
      </w:r>
      <w:r>
        <w:rPr>
          <w:i/>
          <w:color w:val="000000"/>
          <w:szCs w:val="16"/>
        </w:rPr>
        <w:t>c</w:t>
      </w:r>
      <w:r w:rsidRPr="00FE683B">
        <w:rPr>
          <w:i/>
          <w:color w:val="000000"/>
          <w:szCs w:val="16"/>
        </w:rPr>
        <w:t>omplaint) (</w:t>
      </w:r>
      <w:r w:rsidR="000A10EA">
        <w:rPr>
          <w:i/>
          <w:color w:val="000000"/>
          <w:szCs w:val="16"/>
        </w:rPr>
        <w:t>Article </w:t>
      </w:r>
      <w:r w:rsidRPr="00FE683B">
        <w:rPr>
          <w:i/>
          <w:color w:val="000000"/>
          <w:szCs w:val="16"/>
        </w:rPr>
        <w:t>21.5 – EU)</w:t>
      </w:r>
      <w:r>
        <w:rPr>
          <w:color w:val="000000"/>
          <w:szCs w:val="16"/>
        </w:rPr>
        <w:t xml:space="preserve"> (DS353) and </w:t>
      </w:r>
      <w:r w:rsidRPr="00FE683B">
        <w:rPr>
          <w:i/>
          <w:color w:val="000000"/>
          <w:szCs w:val="16"/>
        </w:rPr>
        <w:t>US – Tax Incentives</w:t>
      </w:r>
      <w:r>
        <w:rPr>
          <w:color w:val="000000"/>
          <w:szCs w:val="16"/>
        </w:rPr>
        <w:t xml:space="preserve"> (DS487). </w:t>
      </w:r>
      <w:r w:rsidRPr="00B97156">
        <w:rPr>
          <w:color w:val="000000"/>
          <w:szCs w:val="16"/>
        </w:rPr>
        <w:t>Referring to Rules</w:t>
      </w:r>
      <w:r>
        <w:rPr>
          <w:color w:val="000000"/>
          <w:szCs w:val="16"/>
        </w:rPr>
        <w:t> </w:t>
      </w:r>
      <w:r w:rsidRPr="00B97156">
        <w:rPr>
          <w:color w:val="000000"/>
          <w:szCs w:val="16"/>
        </w:rPr>
        <w:t>16(1) and 16(2) of the Working Procedures</w:t>
      </w:r>
      <w:r w:rsidRPr="003A36AB">
        <w:rPr>
          <w:color w:val="000000"/>
          <w:szCs w:val="16"/>
        </w:rPr>
        <w:t xml:space="preserve"> </w:t>
      </w:r>
      <w:r w:rsidRPr="00B97156">
        <w:rPr>
          <w:color w:val="000000"/>
          <w:szCs w:val="16"/>
        </w:rPr>
        <w:t xml:space="preserve">and </w:t>
      </w:r>
      <w:r w:rsidR="000A10EA">
        <w:rPr>
          <w:color w:val="000000"/>
          <w:szCs w:val="16"/>
        </w:rPr>
        <w:t>Article </w:t>
      </w:r>
      <w:r w:rsidRPr="00B97156">
        <w:rPr>
          <w:color w:val="000000"/>
          <w:szCs w:val="16"/>
        </w:rPr>
        <w:t xml:space="preserve">9 of the DSU, the </w:t>
      </w:r>
      <w:r w:rsidR="000A10EA">
        <w:rPr>
          <w:color w:val="000000"/>
          <w:szCs w:val="16"/>
        </w:rPr>
        <w:t>European Union</w:t>
      </w:r>
      <w:r w:rsidRPr="00B97156">
        <w:rPr>
          <w:color w:val="000000"/>
          <w:szCs w:val="16"/>
        </w:rPr>
        <w:t xml:space="preserve"> requested that the schedules for these three appeals be harmonized to the greatest extent possible and that the hearings be sufficiently proximate in time, so that a particular matter would not be effectively disposed of in one appeal before the related matter is heard in one of the other appeals. The Chair of the </w:t>
      </w:r>
      <w:r w:rsidR="000A10EA">
        <w:rPr>
          <w:color w:val="000000"/>
          <w:szCs w:val="16"/>
        </w:rPr>
        <w:t>Appellate Body</w:t>
      </w:r>
      <w:r w:rsidRPr="00B97156">
        <w:rPr>
          <w:color w:val="000000"/>
          <w:szCs w:val="16"/>
        </w:rPr>
        <w:t xml:space="preserve"> invited the </w:t>
      </w:r>
      <w:r w:rsidR="000A10EA">
        <w:rPr>
          <w:color w:val="000000"/>
          <w:szCs w:val="16"/>
        </w:rPr>
        <w:t>United States</w:t>
      </w:r>
      <w:r w:rsidRPr="00B97156">
        <w:rPr>
          <w:color w:val="000000"/>
          <w:szCs w:val="16"/>
        </w:rPr>
        <w:t xml:space="preserve"> and the third parties to submit comments </w:t>
      </w:r>
      <w:r>
        <w:rPr>
          <w:color w:val="000000"/>
          <w:szCs w:val="16"/>
        </w:rPr>
        <w:t xml:space="preserve">on the </w:t>
      </w:r>
      <w:r w:rsidR="000A10EA">
        <w:rPr>
          <w:color w:val="000000"/>
          <w:szCs w:val="16"/>
        </w:rPr>
        <w:t>European Union</w:t>
      </w:r>
      <w:r>
        <w:rPr>
          <w:color w:val="000000"/>
          <w:szCs w:val="16"/>
        </w:rPr>
        <w:t xml:space="preserve">'s request </w:t>
      </w:r>
      <w:r w:rsidRPr="00B97156">
        <w:rPr>
          <w:color w:val="000000"/>
          <w:szCs w:val="16"/>
        </w:rPr>
        <w:t>by 9</w:t>
      </w:r>
      <w:r w:rsidR="000A18DA">
        <w:rPr>
          <w:color w:val="000000"/>
          <w:szCs w:val="16"/>
        </w:rPr>
        <w:t> December</w:t>
      </w:r>
      <w:r w:rsidR="000A10EA">
        <w:rPr>
          <w:color w:val="000000"/>
          <w:szCs w:val="16"/>
        </w:rPr>
        <w:t> 20</w:t>
      </w:r>
      <w:r w:rsidRPr="00B97156">
        <w:rPr>
          <w:color w:val="000000"/>
          <w:szCs w:val="16"/>
        </w:rPr>
        <w:t xml:space="preserve">16. The </w:t>
      </w:r>
      <w:r w:rsidR="000A10EA">
        <w:rPr>
          <w:color w:val="000000"/>
          <w:szCs w:val="16"/>
        </w:rPr>
        <w:t>United States</w:t>
      </w:r>
      <w:r w:rsidRPr="00B97156">
        <w:rPr>
          <w:color w:val="000000"/>
          <w:szCs w:val="16"/>
        </w:rPr>
        <w:t xml:space="preserve"> argued that the </w:t>
      </w:r>
      <w:r w:rsidR="000A10EA">
        <w:rPr>
          <w:color w:val="000000"/>
          <w:szCs w:val="16"/>
        </w:rPr>
        <w:t>European Union</w:t>
      </w:r>
      <w:r w:rsidRPr="00B97156">
        <w:rPr>
          <w:color w:val="000000"/>
          <w:szCs w:val="16"/>
        </w:rPr>
        <w:t>'s request was not supported by the DSU or the Working</w:t>
      </w:r>
      <w:r>
        <w:rPr>
          <w:color w:val="000000"/>
          <w:szCs w:val="16"/>
        </w:rPr>
        <w:t> </w:t>
      </w:r>
      <w:r w:rsidRPr="00B97156">
        <w:rPr>
          <w:color w:val="000000"/>
          <w:szCs w:val="16"/>
        </w:rPr>
        <w:t>Procedures and would result in delays in the proceedings</w:t>
      </w:r>
      <w:r>
        <w:rPr>
          <w:rFonts w:hint="eastAsia"/>
          <w:color w:val="000000"/>
          <w:szCs w:val="16"/>
          <w:lang w:eastAsia="ko-KR"/>
        </w:rPr>
        <w:t>.</w:t>
      </w:r>
      <w:r w:rsidRPr="00B97156">
        <w:rPr>
          <w:color w:val="000000"/>
          <w:szCs w:val="16"/>
        </w:rPr>
        <w:t xml:space="preserve"> </w:t>
      </w:r>
      <w:r>
        <w:rPr>
          <w:rFonts w:hint="eastAsia"/>
          <w:color w:val="000000"/>
          <w:szCs w:val="16"/>
          <w:lang w:eastAsia="ko-KR"/>
        </w:rPr>
        <w:t xml:space="preserve">The </w:t>
      </w:r>
      <w:r w:rsidR="000A10EA">
        <w:rPr>
          <w:rFonts w:hint="eastAsia"/>
          <w:color w:val="000000"/>
          <w:szCs w:val="16"/>
          <w:lang w:eastAsia="ko-KR"/>
        </w:rPr>
        <w:t>United</w:t>
      </w:r>
      <w:r w:rsidR="000A10EA">
        <w:rPr>
          <w:color w:val="000000"/>
          <w:szCs w:val="16"/>
          <w:lang w:eastAsia="ko-KR"/>
        </w:rPr>
        <w:t> </w:t>
      </w:r>
      <w:r w:rsidR="000A10EA">
        <w:rPr>
          <w:rFonts w:hint="eastAsia"/>
          <w:color w:val="000000"/>
          <w:szCs w:val="16"/>
          <w:lang w:eastAsia="ko-KR"/>
        </w:rPr>
        <w:t>States</w:t>
      </w:r>
      <w:r>
        <w:rPr>
          <w:rFonts w:hint="eastAsia"/>
          <w:color w:val="000000"/>
          <w:szCs w:val="16"/>
          <w:lang w:eastAsia="ko-KR"/>
        </w:rPr>
        <w:t xml:space="preserve"> stated that </w:t>
      </w:r>
      <w:r w:rsidRPr="00B97156">
        <w:rPr>
          <w:color w:val="000000"/>
          <w:szCs w:val="16"/>
        </w:rPr>
        <w:t xml:space="preserve">it remained open to proposals to set deadlines for </w:t>
      </w:r>
      <w:r>
        <w:rPr>
          <w:color w:val="000000"/>
          <w:szCs w:val="16"/>
        </w:rPr>
        <w:t xml:space="preserve">written </w:t>
      </w:r>
      <w:r w:rsidRPr="00B97156">
        <w:rPr>
          <w:color w:val="000000"/>
          <w:szCs w:val="16"/>
        </w:rPr>
        <w:t xml:space="preserve">submissions and dates for oral hearings in a way that would allow the </w:t>
      </w:r>
      <w:r w:rsidRPr="00B97156">
        <w:rPr>
          <w:color w:val="000000"/>
          <w:szCs w:val="16"/>
        </w:rPr>
        <w:lastRenderedPageBreak/>
        <w:t xml:space="preserve">participants and third participants in each dispute to advocate effectively their positions on appeal and </w:t>
      </w:r>
      <w:r>
        <w:rPr>
          <w:rFonts w:hint="eastAsia"/>
          <w:color w:val="000000"/>
          <w:szCs w:val="16"/>
          <w:lang w:eastAsia="ko-KR"/>
        </w:rPr>
        <w:t xml:space="preserve">for </w:t>
      </w:r>
      <w:r w:rsidRPr="00B97156">
        <w:rPr>
          <w:color w:val="000000"/>
          <w:szCs w:val="16"/>
        </w:rPr>
        <w:t xml:space="preserve">the </w:t>
      </w:r>
      <w:r w:rsidR="000A10EA">
        <w:rPr>
          <w:color w:val="000000"/>
          <w:szCs w:val="16"/>
        </w:rPr>
        <w:t>Appellate Body</w:t>
      </w:r>
      <w:r w:rsidRPr="00B97156">
        <w:rPr>
          <w:color w:val="000000"/>
          <w:szCs w:val="16"/>
        </w:rPr>
        <w:t xml:space="preserve"> to consider fully the issues raised.</w:t>
      </w:r>
      <w:r>
        <w:rPr>
          <w:rStyle w:val="FootnoteReference"/>
          <w:color w:val="000000"/>
          <w:szCs w:val="16"/>
        </w:rPr>
        <w:footnoteReference w:id="47"/>
      </w:r>
      <w:r w:rsidRPr="00B97156">
        <w:rPr>
          <w:color w:val="000000"/>
          <w:szCs w:val="16"/>
        </w:rPr>
        <w:t xml:space="preserve"> The participants and third</w:t>
      </w:r>
      <w:r>
        <w:rPr>
          <w:color w:val="000000"/>
          <w:szCs w:val="16"/>
        </w:rPr>
        <w:t> </w:t>
      </w:r>
      <w:r w:rsidRPr="00B97156">
        <w:rPr>
          <w:color w:val="000000"/>
          <w:szCs w:val="16"/>
        </w:rPr>
        <w:t>parties were invited to submit additional comments by 16</w:t>
      </w:r>
      <w:r w:rsidR="000A18DA">
        <w:rPr>
          <w:color w:val="000000"/>
          <w:szCs w:val="16"/>
        </w:rPr>
        <w:t> December</w:t>
      </w:r>
      <w:r w:rsidR="000A10EA">
        <w:rPr>
          <w:color w:val="000000"/>
          <w:szCs w:val="16"/>
        </w:rPr>
        <w:t> 20</w:t>
      </w:r>
      <w:r w:rsidRPr="00B97156">
        <w:rPr>
          <w:color w:val="000000"/>
          <w:szCs w:val="16"/>
        </w:rPr>
        <w:t xml:space="preserve">16. The </w:t>
      </w:r>
      <w:r w:rsidR="000A10EA">
        <w:rPr>
          <w:color w:val="000000"/>
          <w:szCs w:val="16"/>
        </w:rPr>
        <w:t>European Union</w:t>
      </w:r>
      <w:r w:rsidRPr="00B97156">
        <w:rPr>
          <w:color w:val="000000"/>
          <w:szCs w:val="16"/>
        </w:rPr>
        <w:t xml:space="preserve"> reiterated its request that any oral hearings in these appeals be sufficiently proximate in time, but noted that it was content to leave it to the </w:t>
      </w:r>
      <w:r w:rsidR="000A10EA">
        <w:rPr>
          <w:color w:val="000000"/>
          <w:szCs w:val="16"/>
        </w:rPr>
        <w:t>Appellate Body</w:t>
      </w:r>
      <w:r w:rsidRPr="00B97156">
        <w:rPr>
          <w:color w:val="000000"/>
          <w:szCs w:val="16"/>
        </w:rPr>
        <w:t xml:space="preserve"> to determine what that would mean in practice.</w:t>
      </w:r>
      <w:r>
        <w:rPr>
          <w:rStyle w:val="FootnoteReference"/>
          <w:color w:val="000000"/>
          <w:szCs w:val="16"/>
        </w:rPr>
        <w:footnoteReference w:id="48"/>
      </w:r>
      <w:r w:rsidRPr="00B97156">
        <w:rPr>
          <w:color w:val="000000"/>
          <w:szCs w:val="16"/>
        </w:rPr>
        <w:t xml:space="preserve"> By letter dated 22</w:t>
      </w:r>
      <w:r w:rsidR="000A18DA">
        <w:rPr>
          <w:color w:val="000000"/>
          <w:szCs w:val="16"/>
        </w:rPr>
        <w:t> December</w:t>
      </w:r>
      <w:r w:rsidR="000A10EA">
        <w:rPr>
          <w:color w:val="000000"/>
          <w:szCs w:val="16"/>
        </w:rPr>
        <w:t> 20</w:t>
      </w:r>
      <w:r w:rsidRPr="00B97156">
        <w:rPr>
          <w:color w:val="000000"/>
          <w:szCs w:val="16"/>
        </w:rPr>
        <w:t xml:space="preserve">16, the </w:t>
      </w:r>
      <w:r w:rsidR="000A10EA">
        <w:rPr>
          <w:color w:val="000000"/>
          <w:szCs w:val="16"/>
        </w:rPr>
        <w:t>Appellate Body</w:t>
      </w:r>
      <w:r w:rsidRPr="00B97156">
        <w:rPr>
          <w:color w:val="000000"/>
          <w:szCs w:val="16"/>
        </w:rPr>
        <w:t xml:space="preserve"> indicated that it would bear in mind the </w:t>
      </w:r>
      <w:r w:rsidR="000A10EA">
        <w:rPr>
          <w:color w:val="000000"/>
          <w:szCs w:val="16"/>
        </w:rPr>
        <w:t>European Union</w:t>
      </w:r>
      <w:r w:rsidRPr="00B97156">
        <w:rPr>
          <w:color w:val="000000"/>
          <w:szCs w:val="16"/>
        </w:rPr>
        <w:t>'s request, as well as the comments received, during the appellate proceedings in these three disputes.</w:t>
      </w:r>
      <w:r>
        <w:rPr>
          <w:rStyle w:val="FootnoteReference"/>
          <w:color w:val="000000"/>
          <w:szCs w:val="16"/>
        </w:rPr>
        <w:footnoteReference w:id="49"/>
      </w:r>
    </w:p>
    <w:p w:rsidR="0007161B" w:rsidRPr="000D435A" w:rsidRDefault="0007161B" w:rsidP="00DC4FDF">
      <w:pPr>
        <w:pStyle w:val="BodyText"/>
        <w:numPr>
          <w:ilvl w:val="6"/>
          <w:numId w:val="4"/>
        </w:numPr>
        <w:tabs>
          <w:tab w:val="num" w:pos="862"/>
        </w:tabs>
        <w:rPr>
          <w:szCs w:val="18"/>
        </w:rPr>
      </w:pPr>
      <w:r w:rsidRPr="00096B45">
        <w:rPr>
          <w:color w:val="000000"/>
          <w:szCs w:val="16"/>
        </w:rPr>
        <w:t>On 19</w:t>
      </w:r>
      <w:r w:rsidR="000A18DA">
        <w:rPr>
          <w:color w:val="000000"/>
          <w:szCs w:val="16"/>
        </w:rPr>
        <w:t> December</w:t>
      </w:r>
      <w:r w:rsidR="000A10EA">
        <w:rPr>
          <w:color w:val="000000"/>
          <w:szCs w:val="16"/>
        </w:rPr>
        <w:t> 20</w:t>
      </w:r>
      <w:r w:rsidRPr="00096B45">
        <w:rPr>
          <w:color w:val="000000"/>
          <w:szCs w:val="16"/>
        </w:rPr>
        <w:t xml:space="preserve">16, the </w:t>
      </w:r>
      <w:r w:rsidR="000A10EA">
        <w:rPr>
          <w:color w:val="000000"/>
          <w:szCs w:val="16"/>
        </w:rPr>
        <w:t>United States</w:t>
      </w:r>
      <w:r w:rsidRPr="00096B45">
        <w:rPr>
          <w:color w:val="000000"/>
          <w:szCs w:val="16"/>
        </w:rPr>
        <w:t xml:space="preserve"> sent a letter referring to the Working Schedule</w:t>
      </w:r>
      <w:r>
        <w:rPr>
          <w:color w:val="000000"/>
          <w:szCs w:val="16"/>
        </w:rPr>
        <w:t xml:space="preserve"> drawn up by the Division informing that it would have significant difficulties participating in the oral hearing if it were to be scheduled during the weeks of 6 and 13</w:t>
      </w:r>
      <w:r w:rsidR="000A18DA">
        <w:rPr>
          <w:color w:val="000000"/>
          <w:szCs w:val="16"/>
        </w:rPr>
        <w:t> March</w:t>
      </w:r>
      <w:r w:rsidR="000A10EA">
        <w:rPr>
          <w:color w:val="000000"/>
          <w:szCs w:val="16"/>
        </w:rPr>
        <w:t> 20</w:t>
      </w:r>
      <w:r>
        <w:rPr>
          <w:color w:val="000000"/>
          <w:szCs w:val="16"/>
        </w:rPr>
        <w:t xml:space="preserve">17 due to the unavailability of key members of its delegation during </w:t>
      </w:r>
      <w:r w:rsidR="00385476">
        <w:rPr>
          <w:color w:val="000000"/>
          <w:szCs w:val="16"/>
        </w:rPr>
        <w:t>those</w:t>
      </w:r>
      <w:r>
        <w:rPr>
          <w:color w:val="000000"/>
          <w:szCs w:val="16"/>
        </w:rPr>
        <w:t xml:space="preserve"> period</w:t>
      </w:r>
      <w:r w:rsidR="00385476">
        <w:rPr>
          <w:color w:val="000000"/>
          <w:szCs w:val="16"/>
        </w:rPr>
        <w:t>s</w:t>
      </w:r>
      <w:r w:rsidR="00B542A9">
        <w:rPr>
          <w:color w:val="000000"/>
          <w:szCs w:val="16"/>
        </w:rPr>
        <w:t>. On the same day, the </w:t>
      </w:r>
      <w:r w:rsidR="000A10EA">
        <w:rPr>
          <w:color w:val="000000"/>
          <w:szCs w:val="16"/>
        </w:rPr>
        <w:t>European Union</w:t>
      </w:r>
      <w:r>
        <w:rPr>
          <w:color w:val="000000"/>
          <w:szCs w:val="16"/>
        </w:rPr>
        <w:t xml:space="preserve"> sent a letter informing the Division that, for the same reason as that given by the </w:t>
      </w:r>
      <w:r w:rsidR="000A10EA">
        <w:rPr>
          <w:color w:val="000000"/>
          <w:szCs w:val="16"/>
        </w:rPr>
        <w:t>United States</w:t>
      </w:r>
      <w:r>
        <w:rPr>
          <w:color w:val="000000"/>
          <w:szCs w:val="16"/>
        </w:rPr>
        <w:t xml:space="preserve">, the </w:t>
      </w:r>
      <w:r w:rsidR="000A10EA">
        <w:rPr>
          <w:color w:val="000000"/>
          <w:szCs w:val="16"/>
        </w:rPr>
        <w:t>European Union</w:t>
      </w:r>
      <w:r>
        <w:rPr>
          <w:color w:val="000000"/>
          <w:szCs w:val="16"/>
        </w:rPr>
        <w:t xml:space="preserve"> would have difficulties participating in the oral hearing if it were scheduled between 9 and 22</w:t>
      </w:r>
      <w:r w:rsidR="000A18DA">
        <w:rPr>
          <w:color w:val="000000"/>
          <w:szCs w:val="16"/>
        </w:rPr>
        <w:t> February</w:t>
      </w:r>
      <w:r w:rsidR="000A10EA">
        <w:rPr>
          <w:color w:val="000000"/>
          <w:szCs w:val="16"/>
        </w:rPr>
        <w:t> 20</w:t>
      </w:r>
      <w:r>
        <w:rPr>
          <w:color w:val="000000"/>
          <w:szCs w:val="16"/>
        </w:rPr>
        <w:t xml:space="preserve">17. Both participants requested the Division to be cognizant of this constraint when setting the dates for the oral hearing in these proceedings. </w:t>
      </w:r>
    </w:p>
    <w:p w:rsidR="0007161B" w:rsidRPr="006136D9" w:rsidRDefault="0007161B" w:rsidP="00DC4FDF">
      <w:pPr>
        <w:pStyle w:val="BodyText"/>
        <w:numPr>
          <w:ilvl w:val="6"/>
          <w:numId w:val="4"/>
        </w:numPr>
        <w:tabs>
          <w:tab w:val="num" w:pos="862"/>
        </w:tabs>
        <w:rPr>
          <w:szCs w:val="18"/>
        </w:rPr>
      </w:pPr>
      <w:r w:rsidRPr="006136D9">
        <w:rPr>
          <w:szCs w:val="18"/>
        </w:rPr>
        <w:t>By letter dated 21</w:t>
      </w:r>
      <w:r w:rsidR="000A18DA" w:rsidRPr="006136D9">
        <w:rPr>
          <w:szCs w:val="18"/>
        </w:rPr>
        <w:t> December</w:t>
      </w:r>
      <w:r w:rsidR="000A10EA" w:rsidRPr="006136D9">
        <w:rPr>
          <w:szCs w:val="18"/>
        </w:rPr>
        <w:t> 20</w:t>
      </w:r>
      <w:r w:rsidRPr="006136D9">
        <w:rPr>
          <w:szCs w:val="18"/>
        </w:rPr>
        <w:t xml:space="preserve">16, the Chair of the </w:t>
      </w:r>
      <w:r w:rsidR="000A10EA" w:rsidRPr="006136D9">
        <w:rPr>
          <w:szCs w:val="18"/>
        </w:rPr>
        <w:t>Appellate Body</w:t>
      </w:r>
      <w:r w:rsidRPr="006136D9">
        <w:rPr>
          <w:szCs w:val="18"/>
        </w:rPr>
        <w:t xml:space="preserve"> notified the Chair of the DSB that the </w:t>
      </w:r>
      <w:r w:rsidR="000A10EA" w:rsidRPr="006136D9">
        <w:rPr>
          <w:szCs w:val="18"/>
        </w:rPr>
        <w:t>Appellate Body</w:t>
      </w:r>
      <w:r w:rsidRPr="006136D9">
        <w:rPr>
          <w:szCs w:val="18"/>
        </w:rPr>
        <w:t xml:space="preserve"> would not be able to circulate its Report in this appeal within the 60</w:t>
      </w:r>
      <w:r w:rsidRPr="006136D9">
        <w:rPr>
          <w:szCs w:val="18"/>
        </w:rPr>
        <w:noBreakHyphen/>
        <w:t xml:space="preserve">day period pursuant to </w:t>
      </w:r>
      <w:r w:rsidR="000A10EA" w:rsidRPr="006136D9">
        <w:rPr>
          <w:szCs w:val="18"/>
        </w:rPr>
        <w:t>Article </w:t>
      </w:r>
      <w:r w:rsidRPr="006136D9">
        <w:rPr>
          <w:szCs w:val="18"/>
        </w:rPr>
        <w:t>17.5 of the DSU, or within the 90-day period pursuant to the same provision.</w:t>
      </w:r>
      <w:r>
        <w:rPr>
          <w:rStyle w:val="FootnoteReference"/>
          <w:szCs w:val="18"/>
        </w:rPr>
        <w:footnoteReference w:id="50"/>
      </w:r>
      <w:r w:rsidRPr="006136D9">
        <w:rPr>
          <w:szCs w:val="18"/>
        </w:rPr>
        <w:t xml:space="preserve"> The Chair indicated that this was due to a number of factors, including the number and complexity of the issues raised in these compliance proceedings, the substantial workload of the </w:t>
      </w:r>
      <w:r w:rsidR="000A10EA" w:rsidRPr="006136D9">
        <w:rPr>
          <w:szCs w:val="18"/>
        </w:rPr>
        <w:t>Appellate Body</w:t>
      </w:r>
      <w:r w:rsidRPr="006136D9">
        <w:rPr>
          <w:szCs w:val="18"/>
        </w:rPr>
        <w:t xml:space="preserve">, the overlap in the composition of the Divisions hearing several concurrent appeals, and the shortage of staff in the </w:t>
      </w:r>
      <w:r w:rsidR="000A10EA" w:rsidRPr="006136D9">
        <w:rPr>
          <w:szCs w:val="18"/>
        </w:rPr>
        <w:t>Appellate Body</w:t>
      </w:r>
      <w:r w:rsidRPr="006136D9">
        <w:rPr>
          <w:szCs w:val="18"/>
        </w:rPr>
        <w:t xml:space="preserve"> Secretariat. </w:t>
      </w:r>
      <w:r w:rsidR="006136D9" w:rsidRPr="006136D9">
        <w:rPr>
          <w:szCs w:val="18"/>
        </w:rPr>
        <w:t xml:space="preserve">On 4 May 2018, the Chair of the Appellate Body informed the Chair of the DSB that the Appellate Body Report in these proceedings would be </w:t>
      </w:r>
      <w:r w:rsidR="006136D9">
        <w:rPr>
          <w:szCs w:val="18"/>
        </w:rPr>
        <w:t>circulated no later than 15 May</w:t>
      </w:r>
      <w:r w:rsidR="006136D9" w:rsidRPr="006136D9">
        <w:rPr>
          <w:szCs w:val="18"/>
        </w:rPr>
        <w:t xml:space="preserve"> 2018.</w:t>
      </w:r>
      <w:r>
        <w:rPr>
          <w:rStyle w:val="FootnoteReference"/>
          <w:szCs w:val="18"/>
        </w:rPr>
        <w:footnoteReference w:id="51"/>
      </w:r>
      <w:r w:rsidRPr="006136D9">
        <w:rPr>
          <w:i/>
          <w:szCs w:val="18"/>
          <w:highlight w:val="yellow"/>
        </w:rPr>
        <w:t xml:space="preserve"> </w:t>
      </w:r>
    </w:p>
    <w:p w:rsidR="0007161B" w:rsidRPr="00F54739" w:rsidRDefault="0007161B" w:rsidP="00DC4FDF">
      <w:pPr>
        <w:pStyle w:val="BodyText"/>
        <w:numPr>
          <w:ilvl w:val="6"/>
          <w:numId w:val="4"/>
        </w:numPr>
        <w:tabs>
          <w:tab w:val="num" w:pos="862"/>
        </w:tabs>
        <w:rPr>
          <w:szCs w:val="18"/>
        </w:rPr>
      </w:pPr>
      <w:r>
        <w:rPr>
          <w:color w:val="000000"/>
          <w:szCs w:val="16"/>
        </w:rPr>
        <w:t>On 6</w:t>
      </w:r>
      <w:r w:rsidR="000A18DA">
        <w:rPr>
          <w:color w:val="000000"/>
          <w:szCs w:val="16"/>
        </w:rPr>
        <w:t> January</w:t>
      </w:r>
      <w:r w:rsidR="000A10EA">
        <w:rPr>
          <w:color w:val="000000"/>
          <w:szCs w:val="16"/>
        </w:rPr>
        <w:t> 20</w:t>
      </w:r>
      <w:r>
        <w:rPr>
          <w:color w:val="000000"/>
          <w:szCs w:val="16"/>
        </w:rPr>
        <w:t xml:space="preserve">17, the </w:t>
      </w:r>
      <w:r w:rsidR="000A10EA">
        <w:rPr>
          <w:color w:val="000000"/>
          <w:szCs w:val="16"/>
        </w:rPr>
        <w:t>Appellate Body</w:t>
      </w:r>
      <w:r>
        <w:rPr>
          <w:color w:val="000000"/>
          <w:szCs w:val="16"/>
        </w:rPr>
        <w:t xml:space="preserve"> received a communication from the </w:t>
      </w:r>
      <w:r w:rsidR="000A10EA">
        <w:rPr>
          <w:color w:val="000000"/>
          <w:szCs w:val="16"/>
        </w:rPr>
        <w:t>European Union</w:t>
      </w:r>
      <w:r>
        <w:rPr>
          <w:color w:val="000000"/>
          <w:szCs w:val="16"/>
        </w:rPr>
        <w:t xml:space="preserve"> requesting that the Division modify the deadline for the filing of the appellees' submissions from 13</w:t>
      </w:r>
      <w:r w:rsidR="000A18DA">
        <w:rPr>
          <w:color w:val="000000"/>
          <w:szCs w:val="16"/>
        </w:rPr>
        <w:t> January</w:t>
      </w:r>
      <w:r>
        <w:rPr>
          <w:color w:val="000000"/>
          <w:szCs w:val="16"/>
        </w:rPr>
        <w:t xml:space="preserve"> to</w:t>
      </w:r>
      <w:r w:rsidR="000A10EA">
        <w:rPr>
          <w:color w:val="000000"/>
          <w:szCs w:val="16"/>
        </w:rPr>
        <w:t> 20</w:t>
      </w:r>
      <w:r w:rsidR="000A18DA">
        <w:rPr>
          <w:color w:val="000000"/>
          <w:szCs w:val="16"/>
        </w:rPr>
        <w:t> January</w:t>
      </w:r>
      <w:r w:rsidR="000A10EA">
        <w:rPr>
          <w:color w:val="000000"/>
          <w:szCs w:val="16"/>
        </w:rPr>
        <w:t> 20</w:t>
      </w:r>
      <w:r>
        <w:rPr>
          <w:color w:val="000000"/>
          <w:szCs w:val="16"/>
        </w:rPr>
        <w:t xml:space="preserve">17. The Division invited the </w:t>
      </w:r>
      <w:r w:rsidR="000A10EA">
        <w:rPr>
          <w:color w:val="000000"/>
          <w:szCs w:val="16"/>
        </w:rPr>
        <w:t>United States</w:t>
      </w:r>
      <w:r>
        <w:rPr>
          <w:color w:val="000000"/>
          <w:szCs w:val="16"/>
        </w:rPr>
        <w:t xml:space="preserve"> and the third parties to comment on the </w:t>
      </w:r>
      <w:r w:rsidR="000A10EA">
        <w:rPr>
          <w:color w:val="000000"/>
          <w:szCs w:val="16"/>
        </w:rPr>
        <w:t>European Union</w:t>
      </w:r>
      <w:r>
        <w:rPr>
          <w:color w:val="000000"/>
          <w:szCs w:val="16"/>
        </w:rPr>
        <w:t>'s request by 10</w:t>
      </w:r>
      <w:r w:rsidR="000A18DA">
        <w:rPr>
          <w:color w:val="000000"/>
          <w:szCs w:val="16"/>
        </w:rPr>
        <w:t> January</w:t>
      </w:r>
      <w:r w:rsidR="000A10EA">
        <w:rPr>
          <w:color w:val="000000"/>
          <w:szCs w:val="16"/>
        </w:rPr>
        <w:t> 20</w:t>
      </w:r>
      <w:r>
        <w:rPr>
          <w:color w:val="000000"/>
          <w:szCs w:val="16"/>
        </w:rPr>
        <w:t xml:space="preserve">17. Written comments were received from the </w:t>
      </w:r>
      <w:r w:rsidR="000A10EA">
        <w:rPr>
          <w:color w:val="000000"/>
          <w:szCs w:val="16"/>
        </w:rPr>
        <w:t>United States</w:t>
      </w:r>
      <w:r>
        <w:rPr>
          <w:color w:val="000000"/>
          <w:szCs w:val="16"/>
        </w:rPr>
        <w:t xml:space="preserve">, Australia, and Canada. The </w:t>
      </w:r>
      <w:r w:rsidR="000A10EA">
        <w:rPr>
          <w:color w:val="000000"/>
          <w:szCs w:val="16"/>
        </w:rPr>
        <w:t>United States</w:t>
      </w:r>
      <w:r>
        <w:rPr>
          <w:color w:val="000000"/>
          <w:szCs w:val="16"/>
        </w:rPr>
        <w:t xml:space="preserve"> opposed the request for an extension. While Australia and Canada did not object to the extension, they requested that the Division also extend the deadline for the filing of the third participants' submissions if it were to decide to grant the </w:t>
      </w:r>
      <w:r w:rsidR="000A10EA">
        <w:rPr>
          <w:color w:val="000000"/>
          <w:szCs w:val="16"/>
        </w:rPr>
        <w:t>European Union</w:t>
      </w:r>
      <w:r>
        <w:rPr>
          <w:color w:val="000000"/>
          <w:szCs w:val="16"/>
        </w:rPr>
        <w:t xml:space="preserve">'s request. Taking into account the length of the </w:t>
      </w:r>
      <w:r w:rsidR="000A10EA">
        <w:rPr>
          <w:color w:val="000000"/>
          <w:szCs w:val="16"/>
        </w:rPr>
        <w:t>United States</w:t>
      </w:r>
      <w:r>
        <w:rPr>
          <w:color w:val="000000"/>
          <w:szCs w:val="16"/>
        </w:rPr>
        <w:t xml:space="preserve">' other appellant's submission and the extended Working Schedule adopted for these appellate proceedings, the Division took the view that declining the extension would not result in manifest unfairness and thus rejected the </w:t>
      </w:r>
      <w:r w:rsidR="000A10EA">
        <w:rPr>
          <w:color w:val="000000"/>
          <w:szCs w:val="16"/>
        </w:rPr>
        <w:t>European Union</w:t>
      </w:r>
      <w:r>
        <w:rPr>
          <w:color w:val="000000"/>
          <w:szCs w:val="16"/>
        </w:rPr>
        <w:t>'s request.</w:t>
      </w:r>
    </w:p>
    <w:p w:rsidR="0007161B" w:rsidRPr="00B224E2" w:rsidRDefault="0007161B" w:rsidP="00DC4FDF">
      <w:pPr>
        <w:pStyle w:val="BodyText"/>
        <w:numPr>
          <w:ilvl w:val="6"/>
          <w:numId w:val="4"/>
        </w:numPr>
        <w:tabs>
          <w:tab w:val="num" w:pos="862"/>
        </w:tabs>
        <w:rPr>
          <w:szCs w:val="18"/>
        </w:rPr>
      </w:pPr>
      <w:r w:rsidRPr="00A16E7B">
        <w:rPr>
          <w:szCs w:val="18"/>
        </w:rPr>
        <w:t>On 13</w:t>
      </w:r>
      <w:r w:rsidR="000A18DA">
        <w:rPr>
          <w:szCs w:val="18"/>
        </w:rPr>
        <w:t> January</w:t>
      </w:r>
      <w:r w:rsidR="000A10EA">
        <w:rPr>
          <w:szCs w:val="18"/>
        </w:rPr>
        <w:t> 20</w:t>
      </w:r>
      <w:r w:rsidRPr="00A16E7B">
        <w:rPr>
          <w:szCs w:val="18"/>
        </w:rPr>
        <w:t xml:space="preserve">17, the </w:t>
      </w:r>
      <w:r w:rsidR="000A10EA">
        <w:rPr>
          <w:szCs w:val="18"/>
        </w:rPr>
        <w:t>European Union</w:t>
      </w:r>
      <w:r w:rsidRPr="00A16E7B">
        <w:rPr>
          <w:szCs w:val="18"/>
        </w:rPr>
        <w:t xml:space="preserve"> and the </w:t>
      </w:r>
      <w:r w:rsidR="000A10EA">
        <w:rPr>
          <w:szCs w:val="18"/>
        </w:rPr>
        <w:t>United States</w:t>
      </w:r>
      <w:r w:rsidRPr="00A16E7B">
        <w:rPr>
          <w:szCs w:val="18"/>
        </w:rPr>
        <w:t xml:space="preserve"> each filed an appellee's submission.</w:t>
      </w:r>
      <w:r>
        <w:rPr>
          <w:rStyle w:val="FootnoteReference"/>
          <w:szCs w:val="18"/>
        </w:rPr>
        <w:footnoteReference w:id="52"/>
      </w:r>
      <w:r w:rsidRPr="00A16E7B">
        <w:rPr>
          <w:szCs w:val="18"/>
        </w:rPr>
        <w:t xml:space="preserve"> On 31</w:t>
      </w:r>
      <w:r w:rsidR="000A18DA">
        <w:rPr>
          <w:szCs w:val="18"/>
        </w:rPr>
        <w:t> January</w:t>
      </w:r>
      <w:r w:rsidR="000A10EA">
        <w:rPr>
          <w:szCs w:val="18"/>
        </w:rPr>
        <w:t> 20</w:t>
      </w:r>
      <w:r w:rsidRPr="00A16E7B">
        <w:rPr>
          <w:szCs w:val="18"/>
        </w:rPr>
        <w:t xml:space="preserve">17, Brazil, Canada, China, and Japan </w:t>
      </w:r>
      <w:r w:rsidRPr="00A16E7B">
        <w:rPr>
          <w:rFonts w:cs="Arial"/>
          <w:szCs w:val="18"/>
        </w:rPr>
        <w:t xml:space="preserve">each </w:t>
      </w:r>
      <w:r w:rsidRPr="00A16E7B">
        <w:rPr>
          <w:szCs w:val="18"/>
        </w:rPr>
        <w:t>filed a third participant's submission.</w:t>
      </w:r>
      <w:r>
        <w:rPr>
          <w:rStyle w:val="FootnoteReference"/>
          <w:szCs w:val="18"/>
        </w:rPr>
        <w:footnoteReference w:id="53"/>
      </w:r>
      <w:r w:rsidRPr="00A16E7B">
        <w:rPr>
          <w:szCs w:val="18"/>
        </w:rPr>
        <w:t xml:space="preserve"> </w:t>
      </w:r>
      <w:r>
        <w:rPr>
          <w:szCs w:val="18"/>
        </w:rPr>
        <w:t>On the same day, Australia notified its intention to appear at the oral hearing as a third participant</w:t>
      </w:r>
      <w:r w:rsidRPr="00A16E7B">
        <w:rPr>
          <w:szCs w:val="18"/>
        </w:rPr>
        <w:t>.</w:t>
      </w:r>
      <w:r>
        <w:rPr>
          <w:rStyle w:val="FootnoteReference"/>
          <w:szCs w:val="18"/>
        </w:rPr>
        <w:footnoteReference w:id="54"/>
      </w:r>
      <w:r w:rsidRPr="00A16E7B">
        <w:rPr>
          <w:szCs w:val="18"/>
        </w:rPr>
        <w:t xml:space="preserve"> </w:t>
      </w:r>
      <w:r>
        <w:rPr>
          <w:szCs w:val="18"/>
        </w:rPr>
        <w:t>On 26</w:t>
      </w:r>
      <w:r w:rsidR="000A18DA">
        <w:rPr>
          <w:szCs w:val="18"/>
        </w:rPr>
        <w:t> April</w:t>
      </w:r>
      <w:r w:rsidR="000A10EA">
        <w:rPr>
          <w:szCs w:val="18"/>
        </w:rPr>
        <w:t> 20</w:t>
      </w:r>
      <w:r>
        <w:rPr>
          <w:szCs w:val="18"/>
        </w:rPr>
        <w:t xml:space="preserve">17, </w:t>
      </w:r>
      <w:r w:rsidRPr="00A16E7B">
        <w:rPr>
          <w:szCs w:val="18"/>
        </w:rPr>
        <w:t xml:space="preserve">Korea </w:t>
      </w:r>
      <w:r>
        <w:rPr>
          <w:szCs w:val="18"/>
        </w:rPr>
        <w:t>also notified its intention to appear at the oral hearing as a third participant</w:t>
      </w:r>
      <w:r w:rsidRPr="00B224E2">
        <w:rPr>
          <w:szCs w:val="18"/>
        </w:rPr>
        <w:t>.</w:t>
      </w:r>
      <w:r>
        <w:rPr>
          <w:rStyle w:val="FootnoteReference"/>
          <w:szCs w:val="18"/>
        </w:rPr>
        <w:footnoteReference w:id="55"/>
      </w:r>
    </w:p>
    <w:p w:rsidR="0007161B" w:rsidRDefault="0007161B" w:rsidP="00DC4FDF">
      <w:pPr>
        <w:pStyle w:val="BodyText"/>
        <w:numPr>
          <w:ilvl w:val="6"/>
          <w:numId w:val="4"/>
        </w:numPr>
        <w:tabs>
          <w:tab w:val="num" w:pos="862"/>
        </w:tabs>
        <w:rPr>
          <w:szCs w:val="18"/>
        </w:rPr>
      </w:pPr>
      <w:r>
        <w:rPr>
          <w:szCs w:val="18"/>
        </w:rPr>
        <w:lastRenderedPageBreak/>
        <w:t>By letter dated 26</w:t>
      </w:r>
      <w:r w:rsidR="000A18DA">
        <w:rPr>
          <w:szCs w:val="18"/>
        </w:rPr>
        <w:t> January</w:t>
      </w:r>
      <w:r w:rsidR="000A10EA">
        <w:rPr>
          <w:szCs w:val="18"/>
        </w:rPr>
        <w:t> 20</w:t>
      </w:r>
      <w:r>
        <w:rPr>
          <w:szCs w:val="18"/>
        </w:rPr>
        <w:t>17, the participants and third participants were informed that the first session of the oral hearing would take place from 2 to 5</w:t>
      </w:r>
      <w:r w:rsidR="000A18DA">
        <w:rPr>
          <w:szCs w:val="18"/>
        </w:rPr>
        <w:t> May</w:t>
      </w:r>
      <w:r w:rsidR="000A10EA">
        <w:rPr>
          <w:szCs w:val="18"/>
        </w:rPr>
        <w:t> 20</w:t>
      </w:r>
      <w:r>
        <w:rPr>
          <w:szCs w:val="18"/>
        </w:rPr>
        <w:t>17.</w:t>
      </w:r>
      <w:r>
        <w:rPr>
          <w:rStyle w:val="FootnoteReference"/>
          <w:rFonts w:cs="Arial"/>
          <w:szCs w:val="18"/>
        </w:rPr>
        <w:footnoteReference w:id="56"/>
      </w:r>
      <w:r>
        <w:rPr>
          <w:szCs w:val="18"/>
        </w:rPr>
        <w:t xml:space="preserve"> By letter dated 4</w:t>
      </w:r>
      <w:r w:rsidR="000A18DA">
        <w:rPr>
          <w:szCs w:val="18"/>
        </w:rPr>
        <w:t> April</w:t>
      </w:r>
      <w:r w:rsidR="000A10EA">
        <w:rPr>
          <w:szCs w:val="18"/>
        </w:rPr>
        <w:t> 20</w:t>
      </w:r>
      <w:r>
        <w:rPr>
          <w:szCs w:val="18"/>
        </w:rPr>
        <w:t>17, the Division invited the participants to indicate by 11</w:t>
      </w:r>
      <w:r w:rsidR="000A18DA">
        <w:t> April</w:t>
      </w:r>
      <w:r w:rsidR="000A10EA">
        <w:rPr>
          <w:szCs w:val="18"/>
        </w:rPr>
        <w:t> 20</w:t>
      </w:r>
      <w:r>
        <w:rPr>
          <w:szCs w:val="18"/>
        </w:rPr>
        <w:t>17 whether they wished to request the sessions of the oral hearing in this appeal to be open to public observation, and if so, to propose specific modalities in this respect. The Division also invited the third participants to provide comments by 13</w:t>
      </w:r>
      <w:r w:rsidR="000A18DA">
        <w:rPr>
          <w:szCs w:val="18"/>
        </w:rPr>
        <w:t> April</w:t>
      </w:r>
      <w:r w:rsidR="000A10EA">
        <w:rPr>
          <w:szCs w:val="18"/>
        </w:rPr>
        <w:t> 20</w:t>
      </w:r>
      <w:r>
        <w:rPr>
          <w:szCs w:val="18"/>
        </w:rPr>
        <w:t xml:space="preserve">17 on any request or proposal made by the participants. </w:t>
      </w:r>
    </w:p>
    <w:p w:rsidR="0007161B" w:rsidRDefault="0007161B" w:rsidP="00DC4FDF">
      <w:pPr>
        <w:pStyle w:val="BodyText"/>
        <w:numPr>
          <w:ilvl w:val="6"/>
          <w:numId w:val="4"/>
        </w:numPr>
        <w:tabs>
          <w:tab w:val="num" w:pos="862"/>
        </w:tabs>
        <w:rPr>
          <w:color w:val="000000"/>
          <w:szCs w:val="16"/>
          <w:lang w:val="en-US"/>
        </w:rPr>
      </w:pPr>
      <w:r>
        <w:rPr>
          <w:szCs w:val="18"/>
        </w:rPr>
        <w:t>On</w:t>
      </w:r>
      <w:r w:rsidRPr="00440E42">
        <w:rPr>
          <w:szCs w:val="18"/>
        </w:rPr>
        <w:t xml:space="preserve"> 11</w:t>
      </w:r>
      <w:r w:rsidR="000A18DA">
        <w:rPr>
          <w:szCs w:val="18"/>
        </w:rPr>
        <w:t> April</w:t>
      </w:r>
      <w:r w:rsidR="000A10EA">
        <w:rPr>
          <w:szCs w:val="18"/>
        </w:rPr>
        <w:t> 20</w:t>
      </w:r>
      <w:r w:rsidRPr="00440E42">
        <w:rPr>
          <w:szCs w:val="18"/>
        </w:rPr>
        <w:t xml:space="preserve">17, the participants requested </w:t>
      </w:r>
      <w:r>
        <w:rPr>
          <w:szCs w:val="18"/>
        </w:rPr>
        <w:t xml:space="preserve">in a joint letter </w:t>
      </w:r>
      <w:r w:rsidRPr="00440E42">
        <w:rPr>
          <w:szCs w:val="18"/>
        </w:rPr>
        <w:t>that the oral hearing in this appeal be opened to public observation, subject to proposed additional procedures for the protection of BCI and HSBI</w:t>
      </w:r>
      <w:r>
        <w:rPr>
          <w:szCs w:val="18"/>
        </w:rPr>
        <w:t xml:space="preserve"> similar to those </w:t>
      </w:r>
      <w:r w:rsidRPr="00440E42">
        <w:rPr>
          <w:szCs w:val="18"/>
        </w:rPr>
        <w:t xml:space="preserve">in </w:t>
      </w:r>
      <w:r w:rsidRPr="00440E42">
        <w:rPr>
          <w:i/>
          <w:color w:val="000000"/>
          <w:szCs w:val="16"/>
        </w:rPr>
        <w:t xml:space="preserve">US – Large Civil </w:t>
      </w:r>
      <w:r w:rsidRPr="00440E42">
        <w:rPr>
          <w:i/>
          <w:color w:val="000000"/>
          <w:szCs w:val="16"/>
          <w:lang w:val="en-US"/>
        </w:rPr>
        <w:t>Aircraft (2</w:t>
      </w:r>
      <w:r w:rsidRPr="00440E42">
        <w:rPr>
          <w:i/>
          <w:color w:val="000000"/>
          <w:szCs w:val="16"/>
          <w:vertAlign w:val="superscript"/>
          <w:lang w:val="en-US"/>
        </w:rPr>
        <w:t>nd</w:t>
      </w:r>
      <w:r w:rsidRPr="00440E42">
        <w:rPr>
          <w:i/>
          <w:color w:val="000000"/>
          <w:szCs w:val="16"/>
          <w:lang w:val="en-US"/>
        </w:rPr>
        <w:t xml:space="preserve"> </w:t>
      </w:r>
      <w:r>
        <w:rPr>
          <w:i/>
          <w:color w:val="000000"/>
          <w:szCs w:val="16"/>
          <w:lang w:val="en-US"/>
        </w:rPr>
        <w:t>c</w:t>
      </w:r>
      <w:r w:rsidRPr="00440E42">
        <w:rPr>
          <w:i/>
          <w:color w:val="000000"/>
          <w:szCs w:val="16"/>
          <w:lang w:val="en-US"/>
        </w:rPr>
        <w:t>omplaint)</w:t>
      </w:r>
      <w:r>
        <w:rPr>
          <w:color w:val="000000"/>
          <w:szCs w:val="16"/>
          <w:lang w:val="en-US"/>
        </w:rPr>
        <w:t>. Regarding the segments of the oral hearing</w:t>
      </w:r>
      <w:r w:rsidRPr="00D87396">
        <w:rPr>
          <w:color w:val="000000"/>
          <w:szCs w:val="16"/>
          <w:lang w:val="en-US"/>
        </w:rPr>
        <w:t xml:space="preserve"> </w:t>
      </w:r>
      <w:r>
        <w:rPr>
          <w:color w:val="000000"/>
          <w:szCs w:val="16"/>
          <w:lang w:val="en-US"/>
        </w:rPr>
        <w:t>that would be open to public observation, the participants suggested that the opening and closing statements of the participan</w:t>
      </w:r>
      <w:r w:rsidR="00B542A9">
        <w:rPr>
          <w:color w:val="000000"/>
          <w:szCs w:val="16"/>
          <w:lang w:val="en-US"/>
        </w:rPr>
        <w:t>ts and third participants (that </w:t>
      </w:r>
      <w:r>
        <w:rPr>
          <w:color w:val="000000"/>
          <w:szCs w:val="16"/>
          <w:lang w:val="en-US"/>
        </w:rPr>
        <w:t>agreed to public observation) be videotaped, reviewed by the participants for any inadvertent inclusion of BCI/HSBI, and transmitted to the public at a later date.</w:t>
      </w:r>
      <w:r>
        <w:rPr>
          <w:rStyle w:val="FootnoteReference"/>
          <w:color w:val="000000"/>
          <w:szCs w:val="16"/>
          <w:lang w:val="en-US"/>
        </w:rPr>
        <w:footnoteReference w:id="57"/>
      </w:r>
      <w:r>
        <w:rPr>
          <w:color w:val="000000"/>
          <w:szCs w:val="16"/>
          <w:lang w:val="en-US"/>
        </w:rPr>
        <w:t xml:space="preserve"> On 13</w:t>
      </w:r>
      <w:r w:rsidR="000A18DA">
        <w:rPr>
          <w:color w:val="000000"/>
          <w:szCs w:val="16"/>
          <w:lang w:val="en-US"/>
        </w:rPr>
        <w:t> April</w:t>
      </w:r>
      <w:r w:rsidR="000A10EA">
        <w:rPr>
          <w:color w:val="000000"/>
          <w:szCs w:val="16"/>
          <w:lang w:val="en-US"/>
        </w:rPr>
        <w:t> 20</w:t>
      </w:r>
      <w:r>
        <w:rPr>
          <w:color w:val="000000"/>
          <w:szCs w:val="16"/>
          <w:lang w:val="en-US"/>
        </w:rPr>
        <w:t>17, Canada and China submitted comments on the participants' joint request</w:t>
      </w:r>
      <w:r>
        <w:rPr>
          <w:rFonts w:hint="eastAsia"/>
          <w:color w:val="000000"/>
          <w:szCs w:val="16"/>
          <w:lang w:val="en-US" w:eastAsia="ko-KR"/>
        </w:rPr>
        <w:t>. Canada supported the joint proposal</w:t>
      </w:r>
      <w:r>
        <w:rPr>
          <w:color w:val="000000"/>
          <w:szCs w:val="16"/>
          <w:lang w:val="en-US"/>
        </w:rPr>
        <w:t>. While recognizing the need for the protection of BCI/H</w:t>
      </w:r>
      <w:r w:rsidR="00B542A9">
        <w:rPr>
          <w:color w:val="000000"/>
          <w:szCs w:val="16"/>
          <w:lang w:val="en-US"/>
        </w:rPr>
        <w:t>SBI in these proceedings, China </w:t>
      </w:r>
      <w:r>
        <w:rPr>
          <w:color w:val="000000"/>
          <w:szCs w:val="16"/>
          <w:lang w:val="en-US"/>
        </w:rPr>
        <w:t>queried whether a complete exclusion of third participants' non-BCI</w:t>
      </w:r>
      <w:r>
        <w:rPr>
          <w:color w:val="000000"/>
          <w:szCs w:val="16"/>
          <w:lang w:val="en-US"/>
        </w:rPr>
        <w:noBreakHyphen/>
        <w:t>Approved Persons from segments</w:t>
      </w:r>
      <w:r>
        <w:rPr>
          <w:rFonts w:hint="eastAsia"/>
          <w:color w:val="000000"/>
          <w:szCs w:val="16"/>
          <w:lang w:val="en-US" w:eastAsia="ko-KR"/>
        </w:rPr>
        <w:t xml:space="preserve"> of the oral hearing</w:t>
      </w:r>
      <w:r>
        <w:rPr>
          <w:color w:val="000000"/>
          <w:szCs w:val="16"/>
          <w:lang w:val="en-US"/>
        </w:rPr>
        <w:t xml:space="preserve"> dedicated to questions and answe</w:t>
      </w:r>
      <w:r w:rsidR="00B542A9">
        <w:rPr>
          <w:color w:val="000000"/>
          <w:szCs w:val="16"/>
          <w:lang w:val="en-US"/>
        </w:rPr>
        <w:t>rs was required. Instead, China </w:t>
      </w:r>
      <w:r>
        <w:rPr>
          <w:color w:val="000000"/>
          <w:szCs w:val="16"/>
          <w:lang w:val="en-US"/>
        </w:rPr>
        <w:t>suggested that sessions dedicated to legal interpretat</w:t>
      </w:r>
      <w:r w:rsidR="00B542A9">
        <w:rPr>
          <w:color w:val="000000"/>
          <w:szCs w:val="16"/>
          <w:lang w:val="en-US"/>
        </w:rPr>
        <w:t>ive issues be open to all third </w:t>
      </w:r>
      <w:r>
        <w:rPr>
          <w:color w:val="000000"/>
          <w:szCs w:val="16"/>
          <w:lang w:val="en-US"/>
        </w:rPr>
        <w:t xml:space="preserve">participants and that they be kept separate from sessions requiring reference to BCI/HSBI. </w:t>
      </w:r>
    </w:p>
    <w:p w:rsidR="0007161B" w:rsidRPr="00E02CA7" w:rsidRDefault="0007161B" w:rsidP="00DC4FDF">
      <w:pPr>
        <w:pStyle w:val="BodyText"/>
        <w:numPr>
          <w:ilvl w:val="6"/>
          <w:numId w:val="4"/>
        </w:numPr>
        <w:tabs>
          <w:tab w:val="num" w:pos="862"/>
        </w:tabs>
        <w:rPr>
          <w:color w:val="000000"/>
          <w:szCs w:val="16"/>
          <w:lang w:val="en-US"/>
        </w:rPr>
      </w:pPr>
      <w:r w:rsidRPr="000D1B2F">
        <w:rPr>
          <w:color w:val="000000"/>
          <w:szCs w:val="16"/>
          <w:lang w:val="en-US"/>
        </w:rPr>
        <w:t>On 19</w:t>
      </w:r>
      <w:r w:rsidR="000A18DA">
        <w:rPr>
          <w:color w:val="000000"/>
          <w:szCs w:val="16"/>
          <w:lang w:val="en-US"/>
        </w:rPr>
        <w:t> April</w:t>
      </w:r>
      <w:r w:rsidR="000A10EA">
        <w:rPr>
          <w:color w:val="000000"/>
          <w:szCs w:val="16"/>
          <w:lang w:val="en-US"/>
        </w:rPr>
        <w:t> 20</w:t>
      </w:r>
      <w:r w:rsidRPr="000D1B2F">
        <w:rPr>
          <w:color w:val="000000"/>
          <w:szCs w:val="16"/>
          <w:lang w:val="en-US"/>
        </w:rPr>
        <w:t>17, the Division issued a Procedural Ruling</w:t>
      </w:r>
      <w:r>
        <w:rPr>
          <w:rStyle w:val="FootnoteReference"/>
          <w:color w:val="000000"/>
          <w:szCs w:val="16"/>
          <w:lang w:val="en-US"/>
        </w:rPr>
        <w:footnoteReference w:id="58"/>
      </w:r>
      <w:r w:rsidRPr="000D1B2F">
        <w:rPr>
          <w:color w:val="000000"/>
          <w:szCs w:val="16"/>
          <w:lang w:val="en-US"/>
        </w:rPr>
        <w:t xml:space="preserve"> authorizing the participants' request to open the sessions </w:t>
      </w:r>
      <w:r>
        <w:rPr>
          <w:color w:val="000000"/>
          <w:szCs w:val="16"/>
          <w:lang w:val="en-US"/>
        </w:rPr>
        <w:t>dedicated to the delivery of opening and closing statements</w:t>
      </w:r>
      <w:r w:rsidRPr="000D1B2F">
        <w:rPr>
          <w:color w:val="000000"/>
          <w:szCs w:val="16"/>
          <w:lang w:val="en-US"/>
        </w:rPr>
        <w:t xml:space="preserve"> to public observation, subject to additional procedures for the conduct of all sessions of the oral hearing. </w:t>
      </w:r>
      <w:r>
        <w:rPr>
          <w:color w:val="000000"/>
          <w:szCs w:val="16"/>
          <w:lang w:val="en-US"/>
        </w:rPr>
        <w:t>Regarding China's request, the</w:t>
      </w:r>
      <w:r w:rsidRPr="000D1B2F">
        <w:rPr>
          <w:color w:val="000000"/>
          <w:szCs w:val="16"/>
          <w:lang w:val="en-US"/>
        </w:rPr>
        <w:t xml:space="preserve"> Division considere</w:t>
      </w:r>
      <w:r>
        <w:rPr>
          <w:color w:val="000000"/>
          <w:szCs w:val="16"/>
          <w:lang w:val="en-US"/>
        </w:rPr>
        <w:t>d that it would be difficult to accommodate given the amount of BCI/</w:t>
      </w:r>
      <w:r w:rsidRPr="000D1B2F">
        <w:rPr>
          <w:color w:val="000000"/>
          <w:szCs w:val="16"/>
          <w:lang w:val="en-US"/>
        </w:rPr>
        <w:t xml:space="preserve">HSBI involved in </w:t>
      </w:r>
      <w:r>
        <w:rPr>
          <w:color w:val="000000"/>
          <w:szCs w:val="16"/>
          <w:lang w:val="en-US"/>
        </w:rPr>
        <w:t>this dispute</w:t>
      </w:r>
      <w:r w:rsidRPr="00570160">
        <w:rPr>
          <w:color w:val="000000"/>
          <w:szCs w:val="16"/>
          <w:lang w:val="en-US"/>
        </w:rPr>
        <w:t>.</w:t>
      </w:r>
      <w:r w:rsidRPr="00601203">
        <w:rPr>
          <w:color w:val="000000"/>
          <w:szCs w:val="16"/>
          <w:lang w:val="en-US"/>
        </w:rPr>
        <w:t xml:space="preserve"> </w:t>
      </w:r>
      <w:r w:rsidRPr="00FD0082">
        <w:rPr>
          <w:lang w:val="en-US"/>
        </w:rPr>
        <w:t xml:space="preserve">The Division </w:t>
      </w:r>
      <w:r w:rsidRPr="00116458">
        <w:rPr>
          <w:lang w:val="en-US"/>
        </w:rPr>
        <w:t xml:space="preserve">also </w:t>
      </w:r>
      <w:r>
        <w:rPr>
          <w:lang w:val="en-US"/>
        </w:rPr>
        <w:t>recalled</w:t>
      </w:r>
      <w:r w:rsidRPr="00570160">
        <w:rPr>
          <w:lang w:val="en-US"/>
        </w:rPr>
        <w:t xml:space="preserve"> </w:t>
      </w:r>
      <w:r>
        <w:rPr>
          <w:lang w:val="en-US"/>
        </w:rPr>
        <w:t xml:space="preserve">in this regard </w:t>
      </w:r>
      <w:r w:rsidRPr="00570160">
        <w:rPr>
          <w:lang w:val="en-US"/>
        </w:rPr>
        <w:t xml:space="preserve">that </w:t>
      </w:r>
      <w:r w:rsidRPr="00601203">
        <w:rPr>
          <w:lang w:val="en-US"/>
        </w:rPr>
        <w:t>third partici</w:t>
      </w:r>
      <w:r w:rsidRPr="00FD0082">
        <w:rPr>
          <w:lang w:val="en-US"/>
        </w:rPr>
        <w:t>pants were allowed to designate</w:t>
      </w:r>
      <w:r w:rsidRPr="00116458">
        <w:rPr>
          <w:lang w:val="en-US"/>
        </w:rPr>
        <w:t xml:space="preserve"> up to eight individuals as BCI</w:t>
      </w:r>
      <w:r>
        <w:rPr>
          <w:lang w:val="en-US"/>
        </w:rPr>
        <w:noBreakHyphen/>
        <w:t>A</w:t>
      </w:r>
      <w:r w:rsidRPr="00116458">
        <w:rPr>
          <w:lang w:val="en-US"/>
        </w:rPr>
        <w:t xml:space="preserve">pproved </w:t>
      </w:r>
      <w:r>
        <w:rPr>
          <w:lang w:val="en-US"/>
        </w:rPr>
        <w:t>P</w:t>
      </w:r>
      <w:r w:rsidRPr="00116458">
        <w:rPr>
          <w:lang w:val="en-US"/>
        </w:rPr>
        <w:t>ersons</w:t>
      </w:r>
      <w:r>
        <w:rPr>
          <w:lang w:val="en-US"/>
        </w:rPr>
        <w:t>, and considered this sufficient to allow the third participants to be meani</w:t>
      </w:r>
      <w:r w:rsidR="00B542A9">
        <w:rPr>
          <w:lang w:val="en-US"/>
        </w:rPr>
        <w:t>ngfully represented at the oral </w:t>
      </w:r>
      <w:r>
        <w:rPr>
          <w:lang w:val="en-US"/>
        </w:rPr>
        <w:t>hearing</w:t>
      </w:r>
      <w:r w:rsidRPr="00570160">
        <w:rPr>
          <w:lang w:val="en-US"/>
        </w:rPr>
        <w:t xml:space="preserve">. </w:t>
      </w:r>
    </w:p>
    <w:p w:rsidR="0007161B" w:rsidRPr="00D11DED" w:rsidRDefault="0007161B" w:rsidP="00DC4FDF">
      <w:pPr>
        <w:pStyle w:val="BodyText"/>
        <w:numPr>
          <w:ilvl w:val="6"/>
          <w:numId w:val="4"/>
        </w:numPr>
        <w:tabs>
          <w:tab w:val="num" w:pos="862"/>
        </w:tabs>
        <w:rPr>
          <w:szCs w:val="18"/>
        </w:rPr>
      </w:pPr>
      <w:r>
        <w:rPr>
          <w:rFonts w:cs="Arial"/>
          <w:szCs w:val="18"/>
        </w:rPr>
        <w:t>By letter dated 16</w:t>
      </w:r>
      <w:r w:rsidR="000A18DA">
        <w:rPr>
          <w:rFonts w:cs="Arial"/>
          <w:szCs w:val="18"/>
        </w:rPr>
        <w:t> May</w:t>
      </w:r>
      <w:r w:rsidR="000A10EA">
        <w:rPr>
          <w:rFonts w:cs="Arial"/>
          <w:szCs w:val="18"/>
        </w:rPr>
        <w:t> 20</w:t>
      </w:r>
      <w:r>
        <w:rPr>
          <w:rFonts w:cs="Arial"/>
          <w:szCs w:val="18"/>
        </w:rPr>
        <w:t>17, the Division informed the participants and third participants that the second session of the hearing would be held from 26 to 29</w:t>
      </w:r>
      <w:r w:rsidR="000A18DA">
        <w:rPr>
          <w:rFonts w:cs="Arial"/>
          <w:szCs w:val="18"/>
        </w:rPr>
        <w:t> September</w:t>
      </w:r>
      <w:r w:rsidR="000A10EA">
        <w:rPr>
          <w:rFonts w:cs="Arial"/>
          <w:szCs w:val="18"/>
        </w:rPr>
        <w:t> 20</w:t>
      </w:r>
      <w:r>
        <w:rPr>
          <w:rFonts w:cs="Arial"/>
          <w:szCs w:val="18"/>
        </w:rPr>
        <w:t xml:space="preserve">17. </w:t>
      </w:r>
      <w:r w:rsidRPr="00E631B3">
        <w:rPr>
          <w:rFonts w:cs="Arial"/>
          <w:szCs w:val="18"/>
        </w:rPr>
        <w:t>By letter dated 22</w:t>
      </w:r>
      <w:r w:rsidR="000A18DA">
        <w:rPr>
          <w:rFonts w:cs="Arial"/>
          <w:szCs w:val="18"/>
        </w:rPr>
        <w:t> June</w:t>
      </w:r>
      <w:r w:rsidR="000A10EA">
        <w:rPr>
          <w:rFonts w:cs="Arial"/>
          <w:szCs w:val="18"/>
        </w:rPr>
        <w:t> 20</w:t>
      </w:r>
      <w:r w:rsidRPr="00E631B3">
        <w:rPr>
          <w:rFonts w:cs="Arial"/>
          <w:szCs w:val="18"/>
        </w:rPr>
        <w:t xml:space="preserve">17, the Division </w:t>
      </w:r>
      <w:r>
        <w:rPr>
          <w:rFonts w:cs="Arial"/>
          <w:szCs w:val="18"/>
        </w:rPr>
        <w:t>notified to</w:t>
      </w:r>
      <w:r w:rsidRPr="00E631B3">
        <w:rPr>
          <w:rFonts w:cs="Arial"/>
          <w:szCs w:val="18"/>
        </w:rPr>
        <w:t xml:space="preserve"> the participants and third participants that the second session of the oral hearing would have to take place one week earl</w:t>
      </w:r>
      <w:r w:rsidR="00B542A9">
        <w:rPr>
          <w:rFonts w:cs="Arial"/>
          <w:szCs w:val="18"/>
        </w:rPr>
        <w:t>ier than initially planned. The </w:t>
      </w:r>
      <w:r w:rsidRPr="00E631B3">
        <w:rPr>
          <w:rFonts w:cs="Arial"/>
          <w:szCs w:val="18"/>
        </w:rPr>
        <w:t xml:space="preserve">Division indicated that this was because no meeting room </w:t>
      </w:r>
      <w:r>
        <w:rPr>
          <w:rFonts w:cs="Arial"/>
          <w:szCs w:val="18"/>
        </w:rPr>
        <w:t>would be</w:t>
      </w:r>
      <w:r w:rsidRPr="00E631B3">
        <w:rPr>
          <w:rFonts w:cs="Arial"/>
          <w:szCs w:val="18"/>
        </w:rPr>
        <w:t xml:space="preserve"> available at the WTO</w:t>
      </w:r>
      <w:r>
        <w:rPr>
          <w:rFonts w:cs="Arial"/>
          <w:szCs w:val="18"/>
        </w:rPr>
        <w:t xml:space="preserve"> due</w:t>
      </w:r>
      <w:r w:rsidRPr="00E631B3">
        <w:rPr>
          <w:rFonts w:cs="Arial"/>
          <w:szCs w:val="18"/>
        </w:rPr>
        <w:t xml:space="preserve"> to the WTO Public Forum. On the same day, the </w:t>
      </w:r>
      <w:r w:rsidR="000A10EA">
        <w:rPr>
          <w:rFonts w:cs="Arial"/>
          <w:szCs w:val="18"/>
        </w:rPr>
        <w:t>United States</w:t>
      </w:r>
      <w:r w:rsidRPr="00E631B3">
        <w:rPr>
          <w:rFonts w:cs="Arial"/>
          <w:szCs w:val="18"/>
        </w:rPr>
        <w:t xml:space="preserve"> objected to this scheduling change due to, </w:t>
      </w:r>
      <w:r w:rsidRPr="00E631B3">
        <w:rPr>
          <w:rFonts w:cs="Arial"/>
          <w:i/>
          <w:szCs w:val="18"/>
        </w:rPr>
        <w:t>inter alia</w:t>
      </w:r>
      <w:r w:rsidRPr="0051357A">
        <w:rPr>
          <w:rFonts w:cs="Arial"/>
          <w:szCs w:val="18"/>
        </w:rPr>
        <w:t xml:space="preserve">, conflict with religious holidays and emphasized that, from its perspective, the WTO's organization of a public forum could not supersede the WTO's timely administration of its dispute settlement system, a core function of the organization. The </w:t>
      </w:r>
      <w:r w:rsidR="000A10EA">
        <w:rPr>
          <w:rFonts w:cs="Arial"/>
          <w:szCs w:val="18"/>
        </w:rPr>
        <w:t>United States</w:t>
      </w:r>
      <w:r w:rsidRPr="0051357A">
        <w:rPr>
          <w:rFonts w:cs="Arial"/>
          <w:szCs w:val="18"/>
        </w:rPr>
        <w:t xml:space="preserve"> suggested that the second session of the oral</w:t>
      </w:r>
      <w:r w:rsidRPr="006B7639">
        <w:rPr>
          <w:rFonts w:cs="Arial"/>
          <w:szCs w:val="18"/>
        </w:rPr>
        <w:t xml:space="preserve"> hearing take pla</w:t>
      </w:r>
      <w:r w:rsidRPr="006918D8">
        <w:rPr>
          <w:rFonts w:cs="Arial"/>
          <w:szCs w:val="18"/>
        </w:rPr>
        <w:t>ce on the initially scheduled week in an alternative venue if no</w:t>
      </w:r>
      <w:r>
        <w:rPr>
          <w:rFonts w:cs="Arial"/>
          <w:szCs w:val="18"/>
        </w:rPr>
        <w:t xml:space="preserve"> meeting</w:t>
      </w:r>
      <w:r w:rsidRPr="00E631B3">
        <w:rPr>
          <w:rFonts w:cs="Arial"/>
          <w:szCs w:val="18"/>
        </w:rPr>
        <w:t xml:space="preserve"> room </w:t>
      </w:r>
      <w:r>
        <w:rPr>
          <w:rFonts w:cs="Arial"/>
          <w:szCs w:val="18"/>
        </w:rPr>
        <w:t>could be made</w:t>
      </w:r>
      <w:r w:rsidRPr="00E631B3">
        <w:rPr>
          <w:rFonts w:cs="Arial"/>
          <w:szCs w:val="18"/>
        </w:rPr>
        <w:t xml:space="preserve"> available</w:t>
      </w:r>
      <w:r>
        <w:rPr>
          <w:rFonts w:cs="Arial"/>
          <w:szCs w:val="18"/>
        </w:rPr>
        <w:t xml:space="preserve"> at the WTO</w:t>
      </w:r>
      <w:r w:rsidRPr="00E631B3">
        <w:rPr>
          <w:rFonts w:cs="Arial"/>
          <w:szCs w:val="18"/>
        </w:rPr>
        <w:t xml:space="preserve">. The </w:t>
      </w:r>
      <w:r w:rsidR="000A10EA">
        <w:rPr>
          <w:rFonts w:cs="Arial"/>
          <w:szCs w:val="18"/>
        </w:rPr>
        <w:t>United States</w:t>
      </w:r>
      <w:r w:rsidRPr="00E631B3">
        <w:rPr>
          <w:rFonts w:cs="Arial"/>
          <w:szCs w:val="18"/>
        </w:rPr>
        <w:t xml:space="preserve"> stated that, alternatively, it could participate in a session scheduled for the week of 2</w:t>
      </w:r>
      <w:r w:rsidR="000A18DA">
        <w:rPr>
          <w:rFonts w:cs="Arial"/>
          <w:szCs w:val="18"/>
        </w:rPr>
        <w:t> October</w:t>
      </w:r>
      <w:r w:rsidR="000A10EA">
        <w:rPr>
          <w:rFonts w:cs="Arial"/>
          <w:szCs w:val="18"/>
        </w:rPr>
        <w:t> 20</w:t>
      </w:r>
      <w:r w:rsidR="00B542A9">
        <w:rPr>
          <w:rFonts w:cs="Arial"/>
          <w:szCs w:val="18"/>
        </w:rPr>
        <w:t>17, if </w:t>
      </w:r>
      <w:r w:rsidRPr="00E631B3">
        <w:rPr>
          <w:rFonts w:cs="Arial"/>
          <w:szCs w:val="18"/>
        </w:rPr>
        <w:t>absolutely necessary. By l</w:t>
      </w:r>
      <w:r w:rsidRPr="0051357A">
        <w:rPr>
          <w:rFonts w:cs="Arial"/>
          <w:szCs w:val="18"/>
        </w:rPr>
        <w:t>etter dated 26</w:t>
      </w:r>
      <w:r w:rsidR="000A18DA">
        <w:rPr>
          <w:rFonts w:cs="Arial"/>
          <w:szCs w:val="18"/>
        </w:rPr>
        <w:t> June</w:t>
      </w:r>
      <w:r w:rsidR="000A10EA">
        <w:rPr>
          <w:rFonts w:cs="Arial"/>
          <w:szCs w:val="18"/>
        </w:rPr>
        <w:t> 20</w:t>
      </w:r>
      <w:r w:rsidRPr="0051357A">
        <w:rPr>
          <w:rFonts w:cs="Arial"/>
          <w:szCs w:val="18"/>
        </w:rPr>
        <w:t xml:space="preserve">17, the </w:t>
      </w:r>
      <w:r w:rsidR="000A10EA">
        <w:rPr>
          <w:rFonts w:cs="Arial"/>
          <w:szCs w:val="18"/>
        </w:rPr>
        <w:t>European Union</w:t>
      </w:r>
      <w:r w:rsidRPr="0051357A">
        <w:rPr>
          <w:rFonts w:cs="Arial"/>
          <w:szCs w:val="18"/>
        </w:rPr>
        <w:t xml:space="preserve"> also stated its preference for the second session of the oral hearing to take place on the initially planned dates in premises outside the WTO if </w:t>
      </w:r>
      <w:r w:rsidRPr="006B7639">
        <w:rPr>
          <w:rFonts w:cs="Arial"/>
          <w:szCs w:val="18"/>
        </w:rPr>
        <w:t>necessary</w:t>
      </w:r>
      <w:r w:rsidRPr="006918D8">
        <w:rPr>
          <w:rFonts w:cs="Arial" w:hint="eastAsia"/>
          <w:szCs w:val="18"/>
          <w:lang w:eastAsia="ko-KR"/>
        </w:rPr>
        <w:t>,</w:t>
      </w:r>
      <w:r w:rsidRPr="004E6BB0">
        <w:rPr>
          <w:rFonts w:cs="Arial"/>
          <w:szCs w:val="18"/>
        </w:rPr>
        <w:t xml:space="preserve"> due to</w:t>
      </w:r>
      <w:r w:rsidRPr="0068130D">
        <w:rPr>
          <w:rFonts w:cs="Arial"/>
          <w:szCs w:val="18"/>
        </w:rPr>
        <w:t xml:space="preserve">, </w:t>
      </w:r>
      <w:r w:rsidRPr="0068130D">
        <w:rPr>
          <w:rFonts w:cs="Arial"/>
          <w:i/>
          <w:szCs w:val="18"/>
        </w:rPr>
        <w:t>inter alia</w:t>
      </w:r>
      <w:r w:rsidRPr="0068130D">
        <w:rPr>
          <w:rFonts w:cs="Arial"/>
          <w:szCs w:val="18"/>
        </w:rPr>
        <w:t xml:space="preserve">, the professional and personal commitments of members of the </w:t>
      </w:r>
      <w:r w:rsidR="000A10EA">
        <w:rPr>
          <w:rFonts w:cs="Arial"/>
          <w:szCs w:val="18"/>
        </w:rPr>
        <w:t>European Union</w:t>
      </w:r>
      <w:r w:rsidRPr="0068130D">
        <w:rPr>
          <w:rFonts w:cs="Arial"/>
          <w:szCs w:val="18"/>
        </w:rPr>
        <w:t xml:space="preserve">'s delegation. The </w:t>
      </w:r>
      <w:r w:rsidR="000A10EA">
        <w:rPr>
          <w:rFonts w:cs="Arial"/>
          <w:szCs w:val="18"/>
        </w:rPr>
        <w:t>European Union</w:t>
      </w:r>
      <w:r w:rsidRPr="0068130D">
        <w:rPr>
          <w:rFonts w:cs="Arial"/>
          <w:szCs w:val="18"/>
        </w:rPr>
        <w:t xml:space="preserve"> further indicated that it would have a strong preference not to reschedule the second session for the week of 2</w:t>
      </w:r>
      <w:r w:rsidR="000A18DA">
        <w:rPr>
          <w:rFonts w:cs="Arial"/>
          <w:szCs w:val="18"/>
        </w:rPr>
        <w:t> October</w:t>
      </w:r>
      <w:r w:rsidR="000A10EA">
        <w:rPr>
          <w:rFonts w:cs="Arial"/>
          <w:szCs w:val="18"/>
        </w:rPr>
        <w:t> 20</w:t>
      </w:r>
      <w:r w:rsidRPr="0068130D">
        <w:rPr>
          <w:rFonts w:cs="Arial"/>
          <w:szCs w:val="18"/>
        </w:rPr>
        <w:t>17, and inst</w:t>
      </w:r>
      <w:r w:rsidRPr="00423E98">
        <w:rPr>
          <w:rFonts w:cs="Arial"/>
          <w:szCs w:val="18"/>
        </w:rPr>
        <w:t>ead suggested moving it to the week of 9</w:t>
      </w:r>
      <w:r w:rsidR="000A18DA">
        <w:rPr>
          <w:rFonts w:cs="Arial"/>
          <w:szCs w:val="18"/>
        </w:rPr>
        <w:t> October</w:t>
      </w:r>
      <w:r w:rsidR="000A10EA">
        <w:rPr>
          <w:rFonts w:cs="Arial"/>
          <w:szCs w:val="18"/>
        </w:rPr>
        <w:t> 20</w:t>
      </w:r>
      <w:r w:rsidRPr="00423E98">
        <w:rPr>
          <w:rFonts w:cs="Arial"/>
          <w:szCs w:val="18"/>
        </w:rPr>
        <w:t xml:space="preserve">17, should it be impossible to maintain the dates initially planned. </w:t>
      </w:r>
    </w:p>
    <w:p w:rsidR="0007161B" w:rsidRPr="00665588" w:rsidRDefault="0007161B" w:rsidP="00DC4FDF">
      <w:pPr>
        <w:pStyle w:val="BodyText"/>
        <w:numPr>
          <w:ilvl w:val="6"/>
          <w:numId w:val="4"/>
        </w:numPr>
        <w:tabs>
          <w:tab w:val="num" w:pos="862"/>
        </w:tabs>
        <w:rPr>
          <w:szCs w:val="18"/>
        </w:rPr>
      </w:pPr>
      <w:r>
        <w:rPr>
          <w:rFonts w:cs="Arial"/>
          <w:szCs w:val="18"/>
        </w:rPr>
        <w:t>On 7</w:t>
      </w:r>
      <w:r w:rsidR="000A18DA">
        <w:rPr>
          <w:rFonts w:cs="Arial"/>
          <w:szCs w:val="18"/>
        </w:rPr>
        <w:t> July</w:t>
      </w:r>
      <w:r w:rsidR="000A10EA">
        <w:rPr>
          <w:rFonts w:cs="Arial"/>
          <w:szCs w:val="18"/>
        </w:rPr>
        <w:t> 20</w:t>
      </w:r>
      <w:r>
        <w:rPr>
          <w:rFonts w:cs="Arial"/>
          <w:szCs w:val="18"/>
        </w:rPr>
        <w:t xml:space="preserve">17, the Division invited the third participants to comment on the arguments and proposals of the </w:t>
      </w:r>
      <w:r w:rsidR="000A10EA">
        <w:rPr>
          <w:rFonts w:cs="Arial"/>
          <w:szCs w:val="18"/>
        </w:rPr>
        <w:t>European Union</w:t>
      </w:r>
      <w:r>
        <w:rPr>
          <w:rFonts w:cs="Arial"/>
          <w:szCs w:val="18"/>
        </w:rPr>
        <w:t xml:space="preserve"> and the </w:t>
      </w:r>
      <w:r w:rsidR="000A10EA">
        <w:rPr>
          <w:rFonts w:cs="Arial"/>
          <w:szCs w:val="18"/>
        </w:rPr>
        <w:t>United States</w:t>
      </w:r>
      <w:r>
        <w:rPr>
          <w:rFonts w:cs="Arial"/>
          <w:szCs w:val="18"/>
        </w:rPr>
        <w:t xml:space="preserve">. </w:t>
      </w:r>
      <w:r>
        <w:t xml:space="preserve">No comments were received from the </w:t>
      </w:r>
      <w:r>
        <w:lastRenderedPageBreak/>
        <w:t>third participants.</w:t>
      </w:r>
      <w:r>
        <w:rPr>
          <w:rFonts w:cs="Arial" w:hint="eastAsia"/>
          <w:szCs w:val="18"/>
          <w:lang w:eastAsia="ko-KR"/>
        </w:rPr>
        <w:t xml:space="preserve"> </w:t>
      </w:r>
      <w:r>
        <w:rPr>
          <w:rFonts w:cs="Arial"/>
          <w:szCs w:val="18"/>
          <w:lang w:eastAsia="ko-KR"/>
        </w:rPr>
        <w:t>Following confirmation</w:t>
      </w:r>
      <w:r>
        <w:rPr>
          <w:rFonts w:cs="Arial"/>
          <w:szCs w:val="18"/>
        </w:rPr>
        <w:t xml:space="preserve"> </w:t>
      </w:r>
      <w:r>
        <w:rPr>
          <w:rFonts w:cs="Arial"/>
          <w:szCs w:val="18"/>
          <w:lang w:eastAsia="ko-KR"/>
        </w:rPr>
        <w:t>by</w:t>
      </w:r>
      <w:r>
        <w:rPr>
          <w:rFonts w:cs="Arial" w:hint="eastAsia"/>
          <w:szCs w:val="18"/>
          <w:lang w:eastAsia="ko-KR"/>
        </w:rPr>
        <w:t xml:space="preserve"> </w:t>
      </w:r>
      <w:r>
        <w:rPr>
          <w:rFonts w:cs="Arial"/>
          <w:szCs w:val="18"/>
        </w:rPr>
        <w:t xml:space="preserve">the WTO Administration that there would be no room available to the </w:t>
      </w:r>
      <w:r w:rsidR="000A10EA">
        <w:rPr>
          <w:rFonts w:cs="Arial"/>
          <w:szCs w:val="18"/>
        </w:rPr>
        <w:t>Appellate Body</w:t>
      </w:r>
      <w:r>
        <w:rPr>
          <w:rFonts w:cs="Arial"/>
          <w:szCs w:val="18"/>
        </w:rPr>
        <w:t xml:space="preserve"> during the week of the WTO Public Forum, and taking into account the participants' preference for the initially planned dates, the Division explored alternative venues and made arrangements for the second session of the oral hearing to take place on the initially planned dates, 26</w:t>
      </w:r>
      <w:r>
        <w:rPr>
          <w:rFonts w:cs="Arial"/>
          <w:szCs w:val="18"/>
        </w:rPr>
        <w:noBreakHyphen/>
        <w:t>29</w:t>
      </w:r>
      <w:r w:rsidR="000A18DA">
        <w:rPr>
          <w:rFonts w:cs="Arial"/>
          <w:szCs w:val="18"/>
        </w:rPr>
        <w:t> September</w:t>
      </w:r>
      <w:r w:rsidR="000A10EA">
        <w:rPr>
          <w:rFonts w:cs="Arial"/>
          <w:szCs w:val="18"/>
        </w:rPr>
        <w:t> 20</w:t>
      </w:r>
      <w:r>
        <w:rPr>
          <w:rFonts w:cs="Arial"/>
          <w:szCs w:val="18"/>
        </w:rPr>
        <w:t>17, at the World Meteorological Organization.</w:t>
      </w:r>
      <w:r w:rsidRPr="00BB2C45">
        <w:rPr>
          <w:rFonts w:cs="Arial"/>
          <w:szCs w:val="18"/>
        </w:rPr>
        <w:t xml:space="preserve"> </w:t>
      </w:r>
    </w:p>
    <w:p w:rsidR="0007161B" w:rsidRPr="006C2B07" w:rsidRDefault="0007161B" w:rsidP="00DC4FDF">
      <w:pPr>
        <w:pStyle w:val="BodyText"/>
        <w:numPr>
          <w:ilvl w:val="6"/>
          <w:numId w:val="4"/>
        </w:numPr>
        <w:tabs>
          <w:tab w:val="num" w:pos="862"/>
        </w:tabs>
        <w:rPr>
          <w:szCs w:val="18"/>
        </w:rPr>
      </w:pPr>
      <w:r w:rsidRPr="005D4F23">
        <w:rPr>
          <w:rFonts w:cs="Arial"/>
          <w:szCs w:val="18"/>
        </w:rPr>
        <w:t xml:space="preserve">The participants and third participants did not refer to BCI or HSBI in their opening </w:t>
      </w:r>
      <w:r>
        <w:rPr>
          <w:rFonts w:cs="Arial"/>
          <w:szCs w:val="18"/>
        </w:rPr>
        <w:t>or</w:t>
      </w:r>
      <w:r w:rsidRPr="005D4F23">
        <w:rPr>
          <w:rFonts w:cs="Arial"/>
          <w:szCs w:val="18"/>
        </w:rPr>
        <w:t xml:space="preserve"> closing statements in either session of the oral hearing.</w:t>
      </w:r>
      <w:r>
        <w:rPr>
          <w:rStyle w:val="FootnoteReference"/>
          <w:rFonts w:cs="Arial"/>
          <w:szCs w:val="18"/>
        </w:rPr>
        <w:footnoteReference w:id="59"/>
      </w:r>
      <w:r w:rsidRPr="005D4F23">
        <w:rPr>
          <w:rFonts w:cs="Arial"/>
          <w:szCs w:val="18"/>
        </w:rPr>
        <w:t xml:space="preserve"> </w:t>
      </w:r>
      <w:r>
        <w:rPr>
          <w:rFonts w:cs="Arial"/>
          <w:szCs w:val="18"/>
        </w:rPr>
        <w:t>P</w:t>
      </w:r>
      <w:r>
        <w:t>ursuant to the Procedural Ruling of 19</w:t>
      </w:r>
      <w:r w:rsidR="000A18DA">
        <w:t> April</w:t>
      </w:r>
      <w:r w:rsidR="000A10EA">
        <w:t> 20</w:t>
      </w:r>
      <w:r>
        <w:t xml:space="preserve">17, </w:t>
      </w:r>
      <w:r>
        <w:rPr>
          <w:rFonts w:cs="Arial"/>
          <w:szCs w:val="18"/>
        </w:rPr>
        <w:t xml:space="preserve">public observation of the first session of the oral hearing was limited to the </w:t>
      </w:r>
      <w:r w:rsidRPr="005D4F23">
        <w:rPr>
          <w:rFonts w:cs="Arial"/>
          <w:szCs w:val="18"/>
        </w:rPr>
        <w:t>opening statements</w:t>
      </w:r>
      <w:r>
        <w:rPr>
          <w:rFonts w:cs="Arial"/>
          <w:szCs w:val="18"/>
        </w:rPr>
        <w:t xml:space="preserve"> of the participants and the third participants (with the exception of China). This was done by means of a delayed transmission of a video recording of such statements, </w:t>
      </w:r>
      <w:r w:rsidRPr="005D4F23">
        <w:rPr>
          <w:rFonts w:cs="Arial"/>
          <w:szCs w:val="18"/>
        </w:rPr>
        <w:t xml:space="preserve">after the participants </w:t>
      </w:r>
      <w:r>
        <w:rPr>
          <w:rFonts w:cs="Arial"/>
          <w:szCs w:val="18"/>
        </w:rPr>
        <w:t>had been given an</w:t>
      </w:r>
      <w:r w:rsidRPr="005D4F23">
        <w:rPr>
          <w:rFonts w:cs="Arial"/>
          <w:szCs w:val="18"/>
        </w:rPr>
        <w:t xml:space="preserve"> opportunity to review the recording to confirm that no BCI or HSBI had been inadvertently uttered.</w:t>
      </w:r>
      <w:r>
        <w:rPr>
          <w:rStyle w:val="FootnoteReference"/>
          <w:rFonts w:cs="Arial"/>
          <w:szCs w:val="18"/>
        </w:rPr>
        <w:footnoteReference w:id="60"/>
      </w:r>
      <w:r w:rsidRPr="005D4F23">
        <w:rPr>
          <w:rFonts w:cs="Arial"/>
          <w:szCs w:val="18"/>
        </w:rPr>
        <w:t xml:space="preserve"> Due to the fact that the second session of the hearing took place outside the WTO premises, public observation </w:t>
      </w:r>
      <w:r>
        <w:rPr>
          <w:rFonts w:cs="Arial"/>
          <w:szCs w:val="18"/>
        </w:rPr>
        <w:t>took</w:t>
      </w:r>
      <w:r w:rsidRPr="005D4F23">
        <w:rPr>
          <w:rFonts w:cs="Arial"/>
          <w:szCs w:val="18"/>
        </w:rPr>
        <w:t xml:space="preserve"> place via delayed audio playback of the recording of the </w:t>
      </w:r>
      <w:r>
        <w:rPr>
          <w:rFonts w:cs="Arial"/>
          <w:szCs w:val="18"/>
        </w:rPr>
        <w:t>opening and closing statements</w:t>
      </w:r>
      <w:r w:rsidRPr="005D4F23">
        <w:rPr>
          <w:rFonts w:cs="Arial"/>
          <w:szCs w:val="18"/>
        </w:rPr>
        <w:t>.</w:t>
      </w:r>
      <w:r>
        <w:rPr>
          <w:rStyle w:val="FootnoteReference"/>
          <w:rFonts w:cs="Arial"/>
          <w:szCs w:val="18"/>
        </w:rPr>
        <w:footnoteReference w:id="61"/>
      </w:r>
      <w:r w:rsidRPr="005D4F23">
        <w:rPr>
          <w:rFonts w:cs="Arial"/>
          <w:szCs w:val="18"/>
        </w:rPr>
        <w:t xml:space="preserve"> </w:t>
      </w:r>
    </w:p>
    <w:p w:rsidR="0007161B" w:rsidRPr="0026118D" w:rsidRDefault="0007161B" w:rsidP="00DC4FDF">
      <w:pPr>
        <w:pStyle w:val="BodyText"/>
        <w:numPr>
          <w:ilvl w:val="6"/>
          <w:numId w:val="4"/>
        </w:numPr>
        <w:tabs>
          <w:tab w:val="num" w:pos="862"/>
        </w:tabs>
        <w:rPr>
          <w:szCs w:val="18"/>
        </w:rPr>
      </w:pPr>
      <w:r>
        <w:rPr>
          <w:rFonts w:cs="Arial"/>
          <w:szCs w:val="18"/>
        </w:rPr>
        <w:t xml:space="preserve">During the two sessions of the oral hearing, the participants and third participants responded to questions posed by Members of the Division hearing the appeal. </w:t>
      </w:r>
      <w:r w:rsidR="00560553">
        <w:rPr>
          <w:szCs w:val="18"/>
        </w:rPr>
        <w:t>At the second </w:t>
      </w:r>
      <w:r w:rsidRPr="00B855BF">
        <w:rPr>
          <w:szCs w:val="18"/>
        </w:rPr>
        <w:t xml:space="preserve">session, the Division distributed written questions to the participants and third participants related to the </w:t>
      </w:r>
      <w:r w:rsidR="000A10EA">
        <w:rPr>
          <w:szCs w:val="18"/>
        </w:rPr>
        <w:t>United States</w:t>
      </w:r>
      <w:r w:rsidRPr="00B855BF">
        <w:rPr>
          <w:szCs w:val="18"/>
        </w:rPr>
        <w:t>' request for completion of the legal analysis with respect to displacement or impedance.</w:t>
      </w:r>
      <w:r>
        <w:rPr>
          <w:rStyle w:val="FootnoteReference"/>
          <w:rFonts w:cs="Arial"/>
          <w:szCs w:val="18"/>
        </w:rPr>
        <w:footnoteReference w:id="62"/>
      </w:r>
      <w:r w:rsidRPr="00B855BF">
        <w:rPr>
          <w:szCs w:val="18"/>
        </w:rPr>
        <w:t xml:space="preserve"> The Division received written responses during the session and the participants were given the opportunity to comment orally on the other participant's written responses during the </w:t>
      </w:r>
      <w:r w:rsidRPr="0026118D">
        <w:rPr>
          <w:szCs w:val="18"/>
        </w:rPr>
        <w:t xml:space="preserve">final day of the hearing. </w:t>
      </w:r>
    </w:p>
    <w:p w:rsidR="0007161B" w:rsidRPr="0026118D" w:rsidRDefault="0007161B" w:rsidP="00DC4FDF">
      <w:pPr>
        <w:pStyle w:val="BodyText"/>
        <w:numPr>
          <w:ilvl w:val="6"/>
          <w:numId w:val="4"/>
        </w:numPr>
        <w:tabs>
          <w:tab w:val="num" w:pos="862"/>
        </w:tabs>
        <w:rPr>
          <w:szCs w:val="18"/>
        </w:rPr>
      </w:pPr>
      <w:r w:rsidRPr="0026118D">
        <w:rPr>
          <w:szCs w:val="18"/>
        </w:rPr>
        <w:t>On 30</w:t>
      </w:r>
      <w:r w:rsidR="000A18DA">
        <w:rPr>
          <w:szCs w:val="18"/>
        </w:rPr>
        <w:t> June</w:t>
      </w:r>
      <w:r w:rsidR="000A10EA">
        <w:rPr>
          <w:szCs w:val="18"/>
        </w:rPr>
        <w:t> 20</w:t>
      </w:r>
      <w:r w:rsidRPr="0026118D">
        <w:rPr>
          <w:szCs w:val="18"/>
        </w:rPr>
        <w:t>17 and 24</w:t>
      </w:r>
      <w:r w:rsidR="000A18DA">
        <w:rPr>
          <w:szCs w:val="18"/>
        </w:rPr>
        <w:t> November</w:t>
      </w:r>
      <w:r w:rsidR="000A10EA">
        <w:rPr>
          <w:szCs w:val="18"/>
        </w:rPr>
        <w:t> 20</w:t>
      </w:r>
      <w:r w:rsidRPr="0026118D">
        <w:rPr>
          <w:szCs w:val="18"/>
        </w:rPr>
        <w:t xml:space="preserve">17, respectively, the participants and third participants were informed that, in accordance with Rule 15 of the Working Procedures, the Chair of the </w:t>
      </w:r>
      <w:r w:rsidR="000A10EA">
        <w:rPr>
          <w:szCs w:val="18"/>
        </w:rPr>
        <w:t>Appellate Body</w:t>
      </w:r>
      <w:r w:rsidRPr="0026118D">
        <w:rPr>
          <w:szCs w:val="18"/>
        </w:rPr>
        <w:t xml:space="preserve"> had notified the Chair of the DSB of the </w:t>
      </w:r>
      <w:r w:rsidR="000A10EA">
        <w:rPr>
          <w:szCs w:val="18"/>
        </w:rPr>
        <w:t>Appellate Body</w:t>
      </w:r>
      <w:r w:rsidRPr="0026118D">
        <w:rPr>
          <w:szCs w:val="18"/>
        </w:rPr>
        <w:t xml:space="preserve">'s decision to authorize </w:t>
      </w:r>
      <w:r w:rsidR="000A10EA">
        <w:rPr>
          <w:szCs w:val="18"/>
        </w:rPr>
        <w:t>Appellate Body</w:t>
      </w:r>
      <w:r w:rsidRPr="0026118D">
        <w:rPr>
          <w:szCs w:val="18"/>
        </w:rPr>
        <w:t xml:space="preserve"> Members Mr Ricardo Ramírez-Hernández and Mr Peter Van den Bossche to complete the disposition of this appeal, even though their respective second term</w:t>
      </w:r>
      <w:r w:rsidR="003B220E">
        <w:rPr>
          <w:szCs w:val="18"/>
        </w:rPr>
        <w:t>s</w:t>
      </w:r>
      <w:r w:rsidRPr="0026118D">
        <w:rPr>
          <w:szCs w:val="18"/>
        </w:rPr>
        <w:t xml:space="preserve"> of office were due to expire before the completion of these appellate proceedings. </w:t>
      </w:r>
    </w:p>
    <w:p w:rsidR="0007161B" w:rsidRPr="006136D9" w:rsidRDefault="006136D9" w:rsidP="00DC4FDF">
      <w:pPr>
        <w:pStyle w:val="BodyText"/>
        <w:tabs>
          <w:tab w:val="num" w:pos="862"/>
        </w:tabs>
        <w:rPr>
          <w:szCs w:val="18"/>
        </w:rPr>
      </w:pPr>
      <w:r w:rsidRPr="006136D9">
        <w:rPr>
          <w:szCs w:val="18"/>
        </w:rPr>
        <w:t xml:space="preserve">On 25 April 2018, pursuant to paragraph 18(xiii) of the </w:t>
      </w:r>
      <w:r>
        <w:rPr>
          <w:szCs w:val="18"/>
        </w:rPr>
        <w:t>Procedural Ruling of 25 October </w:t>
      </w:r>
      <w:r w:rsidRPr="006136D9">
        <w:rPr>
          <w:szCs w:val="18"/>
        </w:rPr>
        <w:t>2016, the Division provided a confidential advance copy of the Appellate Body Report intended for circulation to WTO Members to the participants, invi</w:t>
      </w:r>
      <w:r>
        <w:rPr>
          <w:szCs w:val="18"/>
        </w:rPr>
        <w:t>ting them to indicate, by 2 May </w:t>
      </w:r>
      <w:r w:rsidRPr="006136D9">
        <w:rPr>
          <w:szCs w:val="18"/>
        </w:rPr>
        <w:t>2018, whether any BCI or HSBI was inadvertently included in the report, and to request removal of such information. The Division also provided the participants with an opportunity to respond to each other's comments by 4 May 2018. The United States indicated, on 2 May</w:t>
      </w:r>
      <w:r>
        <w:rPr>
          <w:szCs w:val="18"/>
        </w:rPr>
        <w:t xml:space="preserve"> 2018</w:t>
      </w:r>
      <w:r w:rsidRPr="006136D9">
        <w:rPr>
          <w:szCs w:val="18"/>
        </w:rPr>
        <w:t>, that it had not found any BCI or HSBI outside of the text encompassed in square brackets in the Appellate Body report intended for circulation, and the European Union indicated that it had identified four instances in which confidential information had be</w:t>
      </w:r>
      <w:r>
        <w:rPr>
          <w:szCs w:val="18"/>
        </w:rPr>
        <w:t>en inadvertently included. On 8 </w:t>
      </w:r>
      <w:r w:rsidRPr="006136D9">
        <w:rPr>
          <w:szCs w:val="18"/>
        </w:rPr>
        <w:t>May 2018, the Division informed the European Union and the United States that it had redacted the information concerned from the Appellate Body report to be circulated to Members.</w:t>
      </w:r>
      <w:r w:rsidR="0007161B" w:rsidRPr="006136D9">
        <w:rPr>
          <w:szCs w:val="18"/>
        </w:rPr>
        <w:t xml:space="preserve"> </w:t>
      </w:r>
    </w:p>
    <w:p w:rsidR="0007161B" w:rsidRDefault="0007161B" w:rsidP="00DC4FDF">
      <w:pPr>
        <w:pStyle w:val="Heading1"/>
      </w:pPr>
      <w:bookmarkStart w:id="25" w:name="_Toc514059201"/>
      <w:bookmarkStart w:id="26" w:name="_Toc314670761"/>
      <w:bookmarkStart w:id="27" w:name="_Toc328640617"/>
      <w:bookmarkStart w:id="28" w:name="_Toc333317534"/>
      <w:bookmarkStart w:id="29" w:name="_Toc333331188"/>
      <w:bookmarkStart w:id="30" w:name="_Toc333395143"/>
      <w:bookmarkStart w:id="31" w:name="_Toc333510429"/>
      <w:bookmarkStart w:id="32" w:name="_Toc333510536"/>
      <w:r w:rsidRPr="00B55651">
        <w:lastRenderedPageBreak/>
        <w:t>Arguments of the Participants</w:t>
      </w:r>
      <w:bookmarkEnd w:id="25"/>
      <w:r w:rsidRPr="00B55651">
        <w:t xml:space="preserve"> </w:t>
      </w:r>
    </w:p>
    <w:p w:rsidR="0007161B" w:rsidRPr="00BA5FB1" w:rsidRDefault="0007161B" w:rsidP="00DC4FDF">
      <w:pPr>
        <w:pStyle w:val="BodyText"/>
        <w:numPr>
          <w:ilvl w:val="6"/>
          <w:numId w:val="6"/>
        </w:numPr>
        <w:rPr>
          <w:lang w:eastAsia="zh-CN"/>
        </w:rPr>
      </w:pPr>
      <w:bookmarkStart w:id="33" w:name="_Toc298321474"/>
      <w:bookmarkStart w:id="34" w:name="_Toc328640627"/>
      <w:bookmarkStart w:id="35" w:name="_Toc333317546"/>
      <w:bookmarkStart w:id="36" w:name="_Toc333331192"/>
      <w:bookmarkStart w:id="37" w:name="_Toc333395153"/>
      <w:bookmarkStart w:id="38" w:name="_Toc333510439"/>
      <w:bookmarkStart w:id="39" w:name="_Toc333510546"/>
      <w:r>
        <w:rPr>
          <w:lang w:eastAsia="zh-CN"/>
        </w:rPr>
        <w:t xml:space="preserve">The claims and arguments of the participants are reflected in the executive summaries of their written submissions provided to the </w:t>
      </w:r>
      <w:r w:rsidR="000A10EA">
        <w:rPr>
          <w:lang w:eastAsia="zh-CN"/>
        </w:rPr>
        <w:t>Appellate Body</w:t>
      </w:r>
      <w:r>
        <w:rPr>
          <w:lang w:eastAsia="zh-CN"/>
        </w:rPr>
        <w:t>.</w:t>
      </w:r>
      <w:r>
        <w:rPr>
          <w:rStyle w:val="FootnoteReference"/>
          <w:lang w:eastAsia="zh-CN"/>
        </w:rPr>
        <w:footnoteReference w:id="63"/>
      </w:r>
      <w:r>
        <w:rPr>
          <w:lang w:eastAsia="zh-CN"/>
        </w:rPr>
        <w:t xml:space="preserve"> </w:t>
      </w:r>
      <w:r w:rsidR="00B542A9">
        <w:rPr>
          <w:lang w:eastAsia="zh-CN"/>
        </w:rPr>
        <w:t>The Notices of Appeal and Other </w:t>
      </w:r>
      <w:r>
        <w:rPr>
          <w:lang w:eastAsia="zh-CN"/>
        </w:rPr>
        <w:t xml:space="preserve">Appeal, and the executive summaries of the participants' claims and arguments, are contained in Annexes A and B of the Addendum to this </w:t>
      </w:r>
      <w:r w:rsidRPr="0026118D">
        <w:rPr>
          <w:lang w:eastAsia="zh-CN"/>
        </w:rPr>
        <w:t>Report, WT/DS316/AB/RW/Add.1.</w:t>
      </w:r>
      <w:bookmarkEnd w:id="33"/>
      <w:bookmarkEnd w:id="34"/>
      <w:bookmarkEnd w:id="35"/>
      <w:bookmarkEnd w:id="36"/>
      <w:bookmarkEnd w:id="37"/>
      <w:bookmarkEnd w:id="38"/>
      <w:bookmarkEnd w:id="39"/>
    </w:p>
    <w:p w:rsidR="0007161B" w:rsidRDefault="0007161B" w:rsidP="00DC4FDF">
      <w:pPr>
        <w:pStyle w:val="Heading1"/>
      </w:pPr>
      <w:bookmarkStart w:id="40" w:name="_Toc514059202"/>
      <w:r>
        <w:t>Arguments of the</w:t>
      </w:r>
      <w:r w:rsidRPr="00B55651">
        <w:t xml:space="preserve"> Third Participants</w:t>
      </w:r>
      <w:bookmarkEnd w:id="26"/>
      <w:bookmarkEnd w:id="27"/>
      <w:bookmarkEnd w:id="28"/>
      <w:bookmarkEnd w:id="29"/>
      <w:bookmarkEnd w:id="30"/>
      <w:bookmarkEnd w:id="31"/>
      <w:bookmarkEnd w:id="32"/>
      <w:bookmarkEnd w:id="40"/>
    </w:p>
    <w:p w:rsidR="0007161B" w:rsidRPr="00BA5FB1" w:rsidRDefault="0007161B" w:rsidP="00DC4FDF">
      <w:pPr>
        <w:pStyle w:val="BodyText"/>
        <w:numPr>
          <w:ilvl w:val="6"/>
          <w:numId w:val="6"/>
        </w:numPr>
      </w:pPr>
      <w:r>
        <w:t xml:space="preserve">The arguments of those third participants that filed a written submission are reflected in the executive summaries of their written submissions provided to the </w:t>
      </w:r>
      <w:r w:rsidR="000A10EA">
        <w:t>Appellate Body</w:t>
      </w:r>
      <w:r>
        <w:rPr>
          <w:rStyle w:val="FootnoteReference"/>
        </w:rPr>
        <w:footnoteReference w:id="64"/>
      </w:r>
      <w:r>
        <w:t xml:space="preserve">, which are contained in Annex C of the Addendum to </w:t>
      </w:r>
      <w:r w:rsidRPr="0026118D">
        <w:t xml:space="preserve">this Report, </w:t>
      </w:r>
      <w:r w:rsidRPr="0026118D">
        <w:rPr>
          <w:lang w:eastAsia="zh-CN"/>
        </w:rPr>
        <w:t>WT/DS316/AB/RW/Add.1.</w:t>
      </w:r>
      <w:r>
        <w:rPr>
          <w:lang w:eastAsia="zh-CN"/>
        </w:rPr>
        <w:t xml:space="preserve"> </w:t>
      </w:r>
    </w:p>
    <w:p w:rsidR="002B57E0" w:rsidRDefault="002B57E0" w:rsidP="00206326">
      <w:pPr>
        <w:pStyle w:val="Heading1"/>
      </w:pPr>
      <w:bookmarkStart w:id="41" w:name="_Toc514059203"/>
      <w:r>
        <w:t>Issues Raised on Appeal</w:t>
      </w:r>
      <w:bookmarkEnd w:id="41"/>
    </w:p>
    <w:p w:rsidR="00BC385B" w:rsidRDefault="00BC385B" w:rsidP="006C25EB">
      <w:pPr>
        <w:pStyle w:val="BodyText"/>
        <w:numPr>
          <w:ilvl w:val="6"/>
          <w:numId w:val="32"/>
        </w:numPr>
        <w:spacing w:line="360" w:lineRule="auto"/>
      </w:pPr>
      <w:r>
        <w:t>The following issues are raised in this appeal</w:t>
      </w:r>
      <w:r>
        <w:rPr>
          <w:rStyle w:val="FootnoteReference"/>
        </w:rPr>
        <w:footnoteReference w:id="65"/>
      </w:r>
      <w:r>
        <w:t>:</w:t>
      </w:r>
    </w:p>
    <w:p w:rsidR="00BC385B" w:rsidRPr="00C35C0B" w:rsidRDefault="00385476" w:rsidP="00526697">
      <w:pPr>
        <w:pStyle w:val="BodyText2"/>
        <w:numPr>
          <w:ilvl w:val="7"/>
          <w:numId w:val="1"/>
        </w:numPr>
      </w:pPr>
      <w:r>
        <w:t>w</w:t>
      </w:r>
      <w:r w:rsidR="00BC385B">
        <w:t>hether the Panel erred</w:t>
      </w:r>
      <w:r w:rsidR="00BC385B" w:rsidRPr="00C35C0B">
        <w:t xml:space="preserve"> by declining </w:t>
      </w:r>
      <w:r w:rsidR="00BC385B">
        <w:t>to make a finding as to whether the European Union</w:t>
      </w:r>
      <w:r w:rsidR="00BC385B" w:rsidRPr="00C35C0B">
        <w:t xml:space="preserve"> ha</w:t>
      </w:r>
      <w:r w:rsidR="00BC385B">
        <w:t>d</w:t>
      </w:r>
      <w:r w:rsidR="00BC385B" w:rsidRPr="00C35C0B">
        <w:t xml:space="preserve"> "withdrawn"</w:t>
      </w:r>
      <w:r>
        <w:t xml:space="preserve"> the Bremen airport and Mühlenberger Loch measures</w:t>
      </w:r>
      <w:r w:rsidR="00BC385B">
        <w:t xml:space="preserve"> within the meaning of Article 7.8 of the SCM Agreement</w:t>
      </w:r>
      <w:r>
        <w:t>;</w:t>
      </w:r>
    </w:p>
    <w:p w:rsidR="00BC385B" w:rsidRDefault="00385476" w:rsidP="00526697">
      <w:pPr>
        <w:pStyle w:val="BodyText2"/>
        <w:numPr>
          <w:ilvl w:val="7"/>
          <w:numId w:val="1"/>
        </w:numPr>
      </w:pPr>
      <w:r>
        <w:t>w</w:t>
      </w:r>
      <w:r w:rsidR="00BC385B">
        <w:t>hether the Panel erred in finding that the United States had failed to establish that the French, German, Spanish, and UK LA</w:t>
      </w:r>
      <w:r>
        <w:t>/MSF subsidies for Airbus' A350</w:t>
      </w:r>
      <w:r w:rsidR="00BC385B">
        <w:t>XWB constituted prohibited import substitution subsidies, within the meaning of Article 3.1(b) of the SCM Agreement</w:t>
      </w:r>
      <w:r>
        <w:t xml:space="preserve"> (raised by the United States);</w:t>
      </w:r>
    </w:p>
    <w:p w:rsidR="00BC385B" w:rsidRPr="00A43778" w:rsidRDefault="00385476" w:rsidP="00526697">
      <w:pPr>
        <w:pStyle w:val="BodyText2"/>
        <w:numPr>
          <w:ilvl w:val="7"/>
          <w:numId w:val="1"/>
        </w:numPr>
      </w:pPr>
      <w:r>
        <w:t>w</w:t>
      </w:r>
      <w:r w:rsidR="00BC385B" w:rsidRPr="00845341">
        <w:t>hether the Panel erred in determining the "corporate borrowing rate</w:t>
      </w:r>
      <w:r w:rsidR="00BC385B" w:rsidRPr="00264244">
        <w:t>"</w:t>
      </w:r>
      <w:r w:rsidR="00BC385B" w:rsidRPr="006477CA">
        <w:t xml:space="preserve"> component of the market benchmark for the A350XWB LA/MSF measures; and, in particular</w:t>
      </w:r>
      <w:r w:rsidR="00BC385B" w:rsidRPr="00845341">
        <w:t>:</w:t>
      </w:r>
    </w:p>
    <w:p w:rsidR="00BC385B" w:rsidRPr="00A43778" w:rsidRDefault="00BC385B" w:rsidP="00BC385B">
      <w:pPr>
        <w:pStyle w:val="BodyText3"/>
        <w:numPr>
          <w:ilvl w:val="8"/>
          <w:numId w:val="1"/>
        </w:numPr>
      </w:pPr>
      <w:r w:rsidRPr="00264244">
        <w:t xml:space="preserve">whether the Panel erred in its application of </w:t>
      </w:r>
      <w:r>
        <w:t>Article </w:t>
      </w:r>
      <w:r w:rsidRPr="005435FA">
        <w:t xml:space="preserve">1.1(b) of the </w:t>
      </w:r>
      <w:r>
        <w:t>SCM Agreement or</w:t>
      </w:r>
      <w:r w:rsidRPr="005435FA">
        <w:t xml:space="preserve"> acted inconsistently with </w:t>
      </w:r>
      <w:r>
        <w:t>Article </w:t>
      </w:r>
      <w:r w:rsidRPr="005435FA">
        <w:t xml:space="preserve">11 of the DSU by failing to determine the "corporate borrowing rate" component of the market benchmark on the basis of the yield of the EADS bond </w:t>
      </w:r>
      <w:r w:rsidRPr="005435FA">
        <w:rPr>
          <w:i/>
        </w:rPr>
        <w:t>on the day of conclusion</w:t>
      </w:r>
      <w:r w:rsidRPr="005435FA">
        <w:t xml:space="preserve"> of each A350XWB LA/MSF contract;</w:t>
      </w:r>
      <w:r w:rsidR="00385476">
        <w:t xml:space="preserve"> and</w:t>
      </w:r>
    </w:p>
    <w:p w:rsidR="00BC385B" w:rsidRDefault="00BC385B" w:rsidP="00BC385B">
      <w:pPr>
        <w:pStyle w:val="BodyText3"/>
        <w:numPr>
          <w:ilvl w:val="8"/>
          <w:numId w:val="1"/>
        </w:numPr>
      </w:pPr>
      <w:r>
        <w:t xml:space="preserve">in the event the Appellate Body finds that the Panel did not err in the manner described above, </w:t>
      </w:r>
      <w:r w:rsidRPr="005435FA">
        <w:t xml:space="preserve">whether the Panel erred in its application of </w:t>
      </w:r>
      <w:r>
        <w:t>Article </w:t>
      </w:r>
      <w:r w:rsidRPr="005435FA">
        <w:t xml:space="preserve">1.1(b) of the </w:t>
      </w:r>
      <w:r>
        <w:t>SCM Agreement or</w:t>
      </w:r>
      <w:r w:rsidRPr="005435FA">
        <w:t xml:space="preserve"> acted inconsistently with </w:t>
      </w:r>
      <w:r>
        <w:t>Article </w:t>
      </w:r>
      <w:r w:rsidRPr="005435FA">
        <w:t xml:space="preserve">11 of the DSU by including in its calculation of the "corporate borrowing rate" the average yield of the EADS bond over the six months prior to the conclusion </w:t>
      </w:r>
      <w:r>
        <w:t>of the A350XWB LA/MSF contracts</w:t>
      </w:r>
      <w:r w:rsidR="00385476">
        <w:t>;</w:t>
      </w:r>
    </w:p>
    <w:p w:rsidR="00BC385B" w:rsidRDefault="00385476" w:rsidP="00526697">
      <w:pPr>
        <w:pStyle w:val="BodyText2"/>
        <w:numPr>
          <w:ilvl w:val="7"/>
          <w:numId w:val="1"/>
        </w:numPr>
      </w:pPr>
      <w:r>
        <w:t>w</w:t>
      </w:r>
      <w:r w:rsidR="00BC385B" w:rsidRPr="00097064">
        <w:t>hether the Panel erred in using the risk premium applied to the A380 LA/MSF measures in the original proceedings as the project</w:t>
      </w:r>
      <w:r w:rsidR="00BC385B" w:rsidRPr="00097064">
        <w:noBreakHyphen/>
        <w:t>specific risk premium to determine whether the A350XWB LA/MSF measures confer a benefit; and in particular</w:t>
      </w:r>
      <w:r w:rsidR="00BC385B">
        <w:t>:</w:t>
      </w:r>
    </w:p>
    <w:p w:rsidR="00BC385B" w:rsidRPr="00A43778" w:rsidRDefault="00BC385B" w:rsidP="00BC385B">
      <w:pPr>
        <w:pStyle w:val="BodyText3"/>
        <w:numPr>
          <w:ilvl w:val="8"/>
          <w:numId w:val="1"/>
        </w:numPr>
      </w:pPr>
      <w:r>
        <w:t>w</w:t>
      </w:r>
      <w:r w:rsidRPr="00097064">
        <w:t xml:space="preserve">hether the Panel erred under </w:t>
      </w:r>
      <w:r>
        <w:t>Article </w:t>
      </w:r>
      <w:r w:rsidRPr="00097064">
        <w:t xml:space="preserve">1.1(b) of the </w:t>
      </w:r>
      <w:r>
        <w:t>SCM Agreement</w:t>
      </w:r>
      <w:r w:rsidRPr="00097064">
        <w:t xml:space="preserve"> or acted inconsistently with </w:t>
      </w:r>
      <w:r>
        <w:t>Article </w:t>
      </w:r>
      <w:r w:rsidRPr="00097064">
        <w:t>11 of the DSU by</w:t>
      </w:r>
      <w:r>
        <w:t xml:space="preserve"> allegedly</w:t>
      </w:r>
      <w:r w:rsidRPr="00097064">
        <w:t xml:space="preserve"> failing to establish a risk premium that best reflects the risks associated with the </w:t>
      </w:r>
      <w:r w:rsidRPr="00FA4498">
        <w:t>A350XWB project</w:t>
      </w:r>
      <w:r w:rsidRPr="00097064">
        <w:t>;</w:t>
      </w:r>
    </w:p>
    <w:p w:rsidR="00BC385B" w:rsidRPr="00A43778" w:rsidRDefault="00BC385B" w:rsidP="00BC385B">
      <w:pPr>
        <w:pStyle w:val="BodyText3"/>
        <w:numPr>
          <w:ilvl w:val="8"/>
          <w:numId w:val="1"/>
        </w:numPr>
      </w:pPr>
      <w:r>
        <w:t>w</w:t>
      </w:r>
      <w:r w:rsidRPr="00097064">
        <w:t xml:space="preserve">hether the Panel acted inconsistently with </w:t>
      </w:r>
      <w:r>
        <w:t>Article </w:t>
      </w:r>
      <w:r w:rsidRPr="00097064">
        <w:t xml:space="preserve">11 of the DSU in its assessment of the differences in the risk profiles of the A380 and </w:t>
      </w:r>
      <w:r w:rsidR="00385476">
        <w:t xml:space="preserve">the </w:t>
      </w:r>
      <w:r w:rsidRPr="001C6C57">
        <w:t>A350XWB projects; and</w:t>
      </w:r>
    </w:p>
    <w:p w:rsidR="00BC385B" w:rsidRDefault="00BC385B" w:rsidP="00BC385B">
      <w:pPr>
        <w:pStyle w:val="BodyText3"/>
        <w:numPr>
          <w:ilvl w:val="8"/>
          <w:numId w:val="1"/>
        </w:numPr>
      </w:pPr>
      <w:r>
        <w:lastRenderedPageBreak/>
        <w:t>w</w:t>
      </w:r>
      <w:r w:rsidRPr="00097064">
        <w:t xml:space="preserve">hether the Panel erred under </w:t>
      </w:r>
      <w:r>
        <w:t>Article </w:t>
      </w:r>
      <w:r w:rsidRPr="00097064">
        <w:t xml:space="preserve">1.1(b) of the </w:t>
      </w:r>
      <w:r>
        <w:t>SCM Agreement</w:t>
      </w:r>
      <w:r w:rsidRPr="00097064">
        <w:t xml:space="preserve"> or acted inconsistently with </w:t>
      </w:r>
      <w:r>
        <w:t>Article </w:t>
      </w:r>
      <w:r w:rsidRPr="00097064">
        <w:t>11 of the DSU by adopting a single project risk premium for each of the French, German, Spanish, and UK A</w:t>
      </w:r>
      <w:r w:rsidR="00385476">
        <w:t>350XWB LA/MSF measures;</w:t>
      </w:r>
    </w:p>
    <w:p w:rsidR="00BC385B" w:rsidRPr="000552D9" w:rsidRDefault="00385476" w:rsidP="00526697">
      <w:pPr>
        <w:pStyle w:val="BodyText2"/>
        <w:numPr>
          <w:ilvl w:val="7"/>
          <w:numId w:val="1"/>
        </w:numPr>
      </w:pPr>
      <w:r>
        <w:t>w</w:t>
      </w:r>
      <w:r w:rsidR="00BC385B" w:rsidRPr="001075BE">
        <w:t xml:space="preserve">hether the Panel erred in its interpretation of </w:t>
      </w:r>
      <w:r w:rsidR="00BC385B">
        <w:t>Article </w:t>
      </w:r>
      <w:r w:rsidR="00BC385B" w:rsidRPr="001075BE">
        <w:t xml:space="preserve">7.8 of the </w:t>
      </w:r>
      <w:r w:rsidR="00BC385B">
        <w:t>SCM Agreement</w:t>
      </w:r>
      <w:r w:rsidR="00BC385B" w:rsidRPr="001075BE">
        <w:t xml:space="preserve"> in finding that this provision requires an implementing Member, found in original </w:t>
      </w:r>
      <w:r w:rsidR="00BC385B" w:rsidRPr="005858EA">
        <w:t xml:space="preserve">proceedings to have granted or maintained subsidies that cause adverse effects, to "remove the adverse effects" of the subsidies </w:t>
      </w:r>
      <w:r w:rsidR="00BC385B" w:rsidRPr="005858EA">
        <w:rPr>
          <w:i/>
        </w:rPr>
        <w:t>irrespective of whether those subsidies continue to exist</w:t>
      </w:r>
      <w:r>
        <w:t xml:space="preserve"> in the implementation period;</w:t>
      </w:r>
    </w:p>
    <w:p w:rsidR="00BC385B" w:rsidRDefault="00385476" w:rsidP="00526697">
      <w:pPr>
        <w:pStyle w:val="BodyText2"/>
        <w:numPr>
          <w:ilvl w:val="7"/>
          <w:numId w:val="1"/>
        </w:numPr>
      </w:pPr>
      <w:r>
        <w:t>i</w:t>
      </w:r>
      <w:r w:rsidR="00BC385B">
        <w:t>n the event</w:t>
      </w:r>
      <w:r w:rsidR="00BC385B" w:rsidRPr="005858EA">
        <w:t xml:space="preserve"> the </w:t>
      </w:r>
      <w:r w:rsidR="00BC385B">
        <w:t>Appellate Body</w:t>
      </w:r>
      <w:r w:rsidR="00BC385B" w:rsidRPr="005858EA">
        <w:t xml:space="preserve"> reverses the Panel's interpretation of </w:t>
      </w:r>
      <w:r w:rsidR="00BC385B">
        <w:t>Article </w:t>
      </w:r>
      <w:r w:rsidR="00BC385B" w:rsidRPr="005858EA">
        <w:t>7.8</w:t>
      </w:r>
      <w:r w:rsidR="00BC385B">
        <w:t xml:space="preserve"> of the SCM Agreement:</w:t>
      </w:r>
    </w:p>
    <w:p w:rsidR="00BC385B" w:rsidRDefault="00BC385B" w:rsidP="00BC385B">
      <w:pPr>
        <w:pStyle w:val="BodyText3"/>
        <w:numPr>
          <w:ilvl w:val="8"/>
          <w:numId w:val="1"/>
        </w:numPr>
      </w:pPr>
      <w:r w:rsidRPr="00CD30D7">
        <w:rPr>
          <w:color w:val="000000"/>
        </w:rPr>
        <w:t xml:space="preserve">whether the Panel erred in its interpretation of </w:t>
      </w:r>
      <w:r>
        <w:t>Article </w:t>
      </w:r>
      <w:r w:rsidRPr="00CD30D7">
        <w:t xml:space="preserve">1.1(b) of the </w:t>
      </w:r>
      <w:r>
        <w:t>SCM Agreement</w:t>
      </w:r>
      <w:r w:rsidRPr="00CD30D7">
        <w:t xml:space="preserve"> in </w:t>
      </w:r>
      <w:r w:rsidRPr="00CD30D7">
        <w:rPr>
          <w:color w:val="000000"/>
        </w:rPr>
        <w:t xml:space="preserve">finding that </w:t>
      </w:r>
      <w:r w:rsidRPr="00CD30D7">
        <w:t xml:space="preserve">the </w:t>
      </w:r>
      <w:r w:rsidRPr="00CD30D7">
        <w:rPr>
          <w:i/>
        </w:rPr>
        <w:t xml:space="preserve">ex ante </w:t>
      </w:r>
      <w:r w:rsidRPr="00CD30D7">
        <w:t xml:space="preserve">"lives" of the French, </w:t>
      </w:r>
      <w:r>
        <w:t xml:space="preserve">German, and Spanish LA/MSF subsidies for the </w:t>
      </w:r>
      <w:r w:rsidRPr="001075BE">
        <w:t xml:space="preserve">A300B/B2/B4, A300-600, A310, A320, </w:t>
      </w:r>
      <w:r>
        <w:t xml:space="preserve">and </w:t>
      </w:r>
      <w:r w:rsidRPr="001075BE">
        <w:t>A330/</w:t>
      </w:r>
      <w:r>
        <w:t>A</w:t>
      </w:r>
      <w:r w:rsidRPr="001075BE">
        <w:t>340, and the UK LA/MSF subsidies for the A320 and A330/</w:t>
      </w:r>
      <w:r>
        <w:t>A</w:t>
      </w:r>
      <w:r w:rsidRPr="001075BE">
        <w:t>340</w:t>
      </w:r>
      <w:r w:rsidRPr="00CD30D7">
        <w:t xml:space="preserve"> </w:t>
      </w:r>
      <w:r>
        <w:t>e</w:t>
      </w:r>
      <w:r w:rsidRPr="00CD30D7">
        <w:t>xpired prior to 1 December 2011</w:t>
      </w:r>
      <w:r>
        <w:t xml:space="preserve"> (raised by the United States);</w:t>
      </w:r>
      <w:r w:rsidR="00385476">
        <w:t xml:space="preserve"> and</w:t>
      </w:r>
    </w:p>
    <w:p w:rsidR="00BC385B" w:rsidRPr="00CD30D7" w:rsidRDefault="00BC385B" w:rsidP="00BC385B">
      <w:pPr>
        <w:pStyle w:val="BodyText3"/>
        <w:numPr>
          <w:ilvl w:val="8"/>
          <w:numId w:val="1"/>
        </w:numPr>
      </w:pPr>
      <w:r>
        <w:t>if</w:t>
      </w:r>
      <w:r w:rsidRPr="00A83B75">
        <w:t xml:space="preserve"> </w:t>
      </w:r>
      <w:r>
        <w:t>the Appellate Body finds</w:t>
      </w:r>
      <w:r w:rsidRPr="00A83B75">
        <w:t xml:space="preserve"> that the expiry of a subsidy </w:t>
      </w:r>
      <w:r w:rsidRPr="004428BE">
        <w:rPr>
          <w:i/>
        </w:rPr>
        <w:t>after</w:t>
      </w:r>
      <w:r w:rsidRPr="00A83B75">
        <w:t xml:space="preserve"> the end of the implementation period</w:t>
      </w:r>
      <w:r>
        <w:t xml:space="preserve"> </w:t>
      </w:r>
      <w:r w:rsidRPr="00A83B75">
        <w:t>constitute</w:t>
      </w:r>
      <w:r>
        <w:t>s</w:t>
      </w:r>
      <w:r w:rsidRPr="00A83B75">
        <w:t xml:space="preserve"> </w:t>
      </w:r>
      <w:r w:rsidR="00385476">
        <w:t>"</w:t>
      </w:r>
      <w:r w:rsidRPr="00A83B75">
        <w:t>withdrawal</w:t>
      </w:r>
      <w:r w:rsidR="00385476">
        <w:t>"</w:t>
      </w:r>
      <w:r w:rsidRPr="00A83B75">
        <w:t xml:space="preserve"> within the meaning of </w:t>
      </w:r>
      <w:r>
        <w:t>Article </w:t>
      </w:r>
      <w:r w:rsidRPr="00A83B75">
        <w:t xml:space="preserve">7.8 of the </w:t>
      </w:r>
      <w:r>
        <w:t>SCM Agreement</w:t>
      </w:r>
      <w:r w:rsidRPr="00A83B75">
        <w:t xml:space="preserve">, </w:t>
      </w:r>
      <w:r>
        <w:t>whether the</w:t>
      </w:r>
      <w:r w:rsidRPr="00A83B75">
        <w:t xml:space="preserve"> Pane</w:t>
      </w:r>
      <w:r>
        <w:t>l erred in</w:t>
      </w:r>
      <w:r w:rsidRPr="00A83B75">
        <w:t xml:space="preserve"> finding that the LA/MSF </w:t>
      </w:r>
      <w:r w:rsidR="00385476">
        <w:t xml:space="preserve">subsidies </w:t>
      </w:r>
      <w:r w:rsidRPr="00A83B75">
        <w:t xml:space="preserve">for the </w:t>
      </w:r>
      <w:r>
        <w:t>A330</w:t>
      </w:r>
      <w:r>
        <w:noBreakHyphen/>
        <w:t xml:space="preserve">200 and </w:t>
      </w:r>
      <w:r w:rsidR="00385476">
        <w:t xml:space="preserve">the </w:t>
      </w:r>
      <w:r w:rsidRPr="00A83B75">
        <w:t>A340-500/600 expired</w:t>
      </w:r>
      <w:r>
        <w:t xml:space="preserve"> after 1 December 201</w:t>
      </w:r>
      <w:r w:rsidR="00B542A9">
        <w:t>1 (raised by the </w:t>
      </w:r>
      <w:r w:rsidR="00385476">
        <w:t>United States);</w:t>
      </w:r>
    </w:p>
    <w:p w:rsidR="00BC385B" w:rsidRDefault="00385476" w:rsidP="00526697">
      <w:pPr>
        <w:pStyle w:val="BodyText2"/>
        <w:numPr>
          <w:ilvl w:val="7"/>
          <w:numId w:val="1"/>
        </w:numPr>
      </w:pPr>
      <w:r>
        <w:t>i</w:t>
      </w:r>
      <w:r w:rsidR="00BC385B">
        <w:t xml:space="preserve">n the event </w:t>
      </w:r>
      <w:r>
        <w:t xml:space="preserve">that </w:t>
      </w:r>
      <w:r w:rsidR="00BC385B">
        <w:t xml:space="preserve">the Appellate Body reverses the Panel's interpretation of Article 7.8 of the SCM Agreement and attempts to complete the </w:t>
      </w:r>
      <w:r>
        <w:t xml:space="preserve">legal </w:t>
      </w:r>
      <w:r w:rsidR="00BC385B">
        <w:t xml:space="preserve">analysis on the basis of a correct interpretation, </w:t>
      </w:r>
      <w:r w:rsidR="00BC385B" w:rsidRPr="00CD30D7">
        <w:t xml:space="preserve">whether the Panel erred in its interpretation of </w:t>
      </w:r>
      <w:r w:rsidR="00BC385B">
        <w:t>Article </w:t>
      </w:r>
      <w:r w:rsidR="00BC385B" w:rsidRPr="00CD30D7">
        <w:t xml:space="preserve">7.8 (in conjunction with </w:t>
      </w:r>
      <w:r w:rsidR="00BC385B">
        <w:t>Article </w:t>
      </w:r>
      <w:r w:rsidR="00BC385B" w:rsidRPr="00CD30D7">
        <w:t>1</w:t>
      </w:r>
      <w:r>
        <w:t xml:space="preserve"> of the SCM Agreement</w:t>
      </w:r>
      <w:r w:rsidR="00BC385B" w:rsidRPr="00CD30D7">
        <w:t xml:space="preserve">) in finding that the </w:t>
      </w:r>
      <w:r w:rsidR="00BC385B">
        <w:rPr>
          <w:color w:val="000000"/>
        </w:rPr>
        <w:t>European Union</w:t>
      </w:r>
      <w:r w:rsidR="00BC385B" w:rsidRPr="00CD30D7">
        <w:rPr>
          <w:color w:val="000000"/>
        </w:rPr>
        <w:t xml:space="preserve"> has not demonstrated that the "lives" of the </w:t>
      </w:r>
      <w:r w:rsidR="00BC385B">
        <w:t>French LA/MSF subsidies for the A310-300 and A330-200, the French and Spanish LA/MSF subsidies for the A300B/B2/B4 and A300</w:t>
      </w:r>
      <w:r w:rsidR="00BC385B">
        <w:noBreakHyphen/>
        <w:t>600, and the French, Spanish, and UK LA/MSF subsidies for the A320 and A330/A340</w:t>
      </w:r>
      <w:r w:rsidR="00BC385B" w:rsidRPr="00CD30D7">
        <w:t xml:space="preserve"> </w:t>
      </w:r>
      <w:r w:rsidR="00BC385B" w:rsidRPr="00CD30D7">
        <w:rPr>
          <w:color w:val="000000"/>
        </w:rPr>
        <w:t>came to an end when Airbus completed repaymen</w:t>
      </w:r>
      <w:r>
        <w:rPr>
          <w:color w:val="000000"/>
        </w:rPr>
        <w:t>t of the financial contribution;</w:t>
      </w:r>
    </w:p>
    <w:p w:rsidR="00BC385B" w:rsidRDefault="00385476" w:rsidP="00526697">
      <w:pPr>
        <w:pStyle w:val="BodyText2"/>
        <w:numPr>
          <w:ilvl w:val="7"/>
          <w:numId w:val="1"/>
        </w:numPr>
      </w:pPr>
      <w:r>
        <w:t>w</w:t>
      </w:r>
      <w:r w:rsidR="00BC385B">
        <w:t xml:space="preserve">hether, as a consequence of the Panel's interpretative error under Article 7.8 of the SCM Agreement, the Panel's findings regarding the adverse effects caused by the challenged subsidies must be </w:t>
      </w:r>
      <w:r>
        <w:t>reversed;</w:t>
      </w:r>
    </w:p>
    <w:p w:rsidR="00BC385B" w:rsidRPr="009A0A73" w:rsidRDefault="00385476" w:rsidP="00526697">
      <w:pPr>
        <w:pStyle w:val="BodyText2"/>
        <w:numPr>
          <w:ilvl w:val="7"/>
          <w:numId w:val="1"/>
        </w:numPr>
      </w:pPr>
      <w:r>
        <w:t>w</w:t>
      </w:r>
      <w:r w:rsidR="00BC385B" w:rsidRPr="009A0A73">
        <w:t xml:space="preserve">hether the Panel erred in rejecting the </w:t>
      </w:r>
      <w:r w:rsidR="00BC385B">
        <w:t>European Union</w:t>
      </w:r>
      <w:r w:rsidR="00BC385B" w:rsidRPr="009A0A73">
        <w:t xml:space="preserve">'s contention that the </w:t>
      </w:r>
      <w:r w:rsidR="00BC385B">
        <w:t>United States</w:t>
      </w:r>
      <w:r w:rsidR="00BC385B" w:rsidRPr="009A0A73">
        <w:t xml:space="preserve"> was required</w:t>
      </w:r>
      <w:r>
        <w:t xml:space="preserve"> under</w:t>
      </w:r>
      <w:r w:rsidR="00BC385B" w:rsidRPr="009A0A73">
        <w:t xml:space="preserve"> </w:t>
      </w:r>
      <w:r w:rsidR="00BC385B">
        <w:t>Article </w:t>
      </w:r>
      <w:r w:rsidR="00BC385B" w:rsidRPr="009A0A73">
        <w:t xml:space="preserve">6.4 of the </w:t>
      </w:r>
      <w:r w:rsidR="00BC385B">
        <w:t>SCM Agreement</w:t>
      </w:r>
      <w:r w:rsidR="00BC385B" w:rsidRPr="009A0A73">
        <w:t>, to demonstrate that its "like product" (Boeing LCA) was "non</w:t>
      </w:r>
      <w:r w:rsidR="00BC385B" w:rsidRPr="009A0A73">
        <w:noBreakHyphen/>
        <w:t xml:space="preserve">subsidized" in order to make out its claims of serious prejudice under </w:t>
      </w:r>
      <w:r w:rsidR="00BC385B">
        <w:t>Article </w:t>
      </w:r>
      <w:r w:rsidR="00BC385B" w:rsidRPr="009A0A73">
        <w:t xml:space="preserve">6.3(b) of the </w:t>
      </w:r>
      <w:r>
        <w:t>SCM Agreement;</w:t>
      </w:r>
    </w:p>
    <w:p w:rsidR="00BC385B" w:rsidRPr="009A0A73" w:rsidRDefault="00385476" w:rsidP="00526697">
      <w:pPr>
        <w:pStyle w:val="BodyText2"/>
        <w:numPr>
          <w:ilvl w:val="7"/>
          <w:numId w:val="1"/>
        </w:numPr>
      </w:pPr>
      <w:r>
        <w:t>w</w:t>
      </w:r>
      <w:r w:rsidR="00BC385B" w:rsidRPr="00D44E62">
        <w:t xml:space="preserve">hether the Panel erred in its identification of the relevant product </w:t>
      </w:r>
      <w:r w:rsidR="00BC385B" w:rsidRPr="00626505">
        <w:t>markets</w:t>
      </w:r>
      <w:r w:rsidR="00BC385B" w:rsidRPr="00D44E62">
        <w:t>; and in particular:</w:t>
      </w:r>
    </w:p>
    <w:p w:rsidR="00BC385B" w:rsidRDefault="00BC385B" w:rsidP="00BC385B">
      <w:pPr>
        <w:pStyle w:val="BodyText3"/>
        <w:numPr>
          <w:ilvl w:val="8"/>
          <w:numId w:val="1"/>
        </w:numPr>
      </w:pPr>
      <w:r w:rsidRPr="009A0A73">
        <w:t xml:space="preserve">whether the Panel erred in interpreting the term "market" in </w:t>
      </w:r>
      <w:r>
        <w:t>Article </w:t>
      </w:r>
      <w:r w:rsidRPr="009A0A73">
        <w:t xml:space="preserve">6.3 of the </w:t>
      </w:r>
      <w:r>
        <w:t>SCM Agreement</w:t>
      </w:r>
      <w:r w:rsidRPr="009A0A73">
        <w:t xml:space="preserve"> </w:t>
      </w:r>
      <w:r>
        <w:t xml:space="preserve">by finding </w:t>
      </w:r>
      <w:r w:rsidRPr="009A0A73">
        <w:t xml:space="preserve">that two products fall within the same product market as long as there is "some" competitive relationship between the products, and consequently failing to perform a "quantitative" analysis of the nature and degree of competition between </w:t>
      </w:r>
      <w:r w:rsidR="00385476">
        <w:t xml:space="preserve">the </w:t>
      </w:r>
      <w:r w:rsidRPr="009A0A73">
        <w:t>products to determine whether it was "significant";</w:t>
      </w:r>
    </w:p>
    <w:p w:rsidR="00BC385B" w:rsidRDefault="00BC385B" w:rsidP="00BC385B">
      <w:pPr>
        <w:pStyle w:val="BodyText3"/>
        <w:numPr>
          <w:ilvl w:val="8"/>
          <w:numId w:val="1"/>
        </w:numPr>
      </w:pPr>
      <w:r w:rsidRPr="009A0A73">
        <w:t xml:space="preserve">in the alternative, to the extent that the Appellate Body finds that the Panel did not err in its interpretation of the term "market", whether the Panel erred in its application of Articles 5(c), 6.3, and 7.8 of the </w:t>
      </w:r>
      <w:r>
        <w:t>SCM Agreement</w:t>
      </w:r>
      <w:r w:rsidRPr="009A0A73">
        <w:t xml:space="preserve"> by not finding that all Airbus and Boeing LCA products form part of a "single" LCA market based on the existence of "some" competition between each model of Airbus and Boeing LCA; and</w:t>
      </w:r>
      <w:r>
        <w:t xml:space="preserve"> </w:t>
      </w:r>
    </w:p>
    <w:p w:rsidR="00BC385B" w:rsidRDefault="00BC385B" w:rsidP="00BC385B">
      <w:pPr>
        <w:pStyle w:val="BodyText3"/>
        <w:numPr>
          <w:ilvl w:val="8"/>
          <w:numId w:val="1"/>
        </w:numPr>
      </w:pPr>
      <w:r>
        <w:lastRenderedPageBreak/>
        <w:t>w</w:t>
      </w:r>
      <w:r w:rsidRPr="00D44E62">
        <w:t xml:space="preserve">hether the Panel acted inconsistently with </w:t>
      </w:r>
      <w:r>
        <w:t>Article </w:t>
      </w:r>
      <w:r w:rsidRPr="00D44E62">
        <w:t xml:space="preserve">11 of the DSU by assessing the </w:t>
      </w:r>
      <w:r>
        <w:t>United States</w:t>
      </w:r>
      <w:r w:rsidRPr="00D44E62">
        <w:t xml:space="preserve">' adverse effects claims on the basis of the three-way market segmentation proposed by the </w:t>
      </w:r>
      <w:r>
        <w:t>United States</w:t>
      </w:r>
      <w:r w:rsidRPr="00D44E62">
        <w:t>, without also enquiring whether there existed "some" competiti</w:t>
      </w:r>
      <w:r>
        <w:t>on</w:t>
      </w:r>
      <w:r w:rsidRPr="00D44E62">
        <w:t xml:space="preserve"> between aircraft that the </w:t>
      </w:r>
      <w:r>
        <w:t>United States</w:t>
      </w:r>
      <w:r w:rsidRPr="00D44E62">
        <w:t xml:space="preserve"> had placed </w:t>
      </w:r>
      <w:r>
        <w:t>in</w:t>
      </w:r>
      <w:r w:rsidRPr="00D44E62">
        <w:t xml:space="preserve"> separate product </w:t>
      </w:r>
      <w:r w:rsidRPr="00BC7000">
        <w:t>markets</w:t>
      </w:r>
      <w:r w:rsidR="00385476">
        <w:t>;</w:t>
      </w:r>
    </w:p>
    <w:p w:rsidR="00BC385B" w:rsidRDefault="00385476" w:rsidP="00526697">
      <w:pPr>
        <w:pStyle w:val="BodyText2"/>
        <w:numPr>
          <w:ilvl w:val="7"/>
          <w:numId w:val="1"/>
        </w:numPr>
        <w:rPr>
          <w:szCs w:val="24"/>
        </w:rPr>
      </w:pPr>
      <w:r>
        <w:t>w</w:t>
      </w:r>
      <w:r w:rsidR="00BC385B">
        <w:t>hether the Panel erred in its interpretation and application of Articles 5(c), 6.3, and 7.8 of the SCM Agreement in finding that "product effects" of the pre-A350XWB LA</w:t>
      </w:r>
      <w:r>
        <w:t>/</w:t>
      </w:r>
      <w:r w:rsidR="00BC385B">
        <w:t xml:space="preserve">MSF subsidies, that is, the effects of such subsidies on the ability of Airbus to launch and bring to market an Airbus LCA as and when it did, continue to be a </w:t>
      </w:r>
      <w:r>
        <w:t>"</w:t>
      </w:r>
      <w:r w:rsidR="00BC385B">
        <w:t>genuine and substantial</w:t>
      </w:r>
      <w:r>
        <w:t>"</w:t>
      </w:r>
      <w:r w:rsidR="00BC385B">
        <w:t xml:space="preserve"> cause of the present-day market presence of the A320, A330</w:t>
      </w:r>
      <w:r w:rsidR="003726F0">
        <w:t>, and A380 families of Airbus LCA;</w:t>
      </w:r>
    </w:p>
    <w:p w:rsidR="00BC385B" w:rsidRDefault="003726F0" w:rsidP="00526697">
      <w:pPr>
        <w:pStyle w:val="BodyText2"/>
        <w:numPr>
          <w:ilvl w:val="7"/>
          <w:numId w:val="1"/>
        </w:numPr>
        <w:rPr>
          <w:szCs w:val="24"/>
        </w:rPr>
      </w:pPr>
      <w:r>
        <w:t>w</w:t>
      </w:r>
      <w:r w:rsidR="00BC385B">
        <w:t xml:space="preserve">hether the Panel found that the LA/MSF subsidies for the A380 resulted in </w:t>
      </w:r>
      <w:r w:rsidR="0020771B">
        <w:t>"direct </w:t>
      </w:r>
      <w:r w:rsidR="00BC385B" w:rsidRPr="003726F0">
        <w:t>effects" on the launch and market presence of the A380 and</w:t>
      </w:r>
      <w:r>
        <w:t>,</w:t>
      </w:r>
      <w:r w:rsidR="00BC385B" w:rsidRPr="003726F0">
        <w:t xml:space="preserve"> if s</w:t>
      </w:r>
      <w:r w:rsidR="00BC385B">
        <w:t>o, whether the Panel acted inconsistently with Article 11 of t</w:t>
      </w:r>
      <w:r>
        <w:t>he DSU in reaching that finding;</w:t>
      </w:r>
    </w:p>
    <w:p w:rsidR="00BC385B" w:rsidRDefault="003726F0" w:rsidP="00526697">
      <w:pPr>
        <w:pStyle w:val="BodyText2"/>
        <w:numPr>
          <w:ilvl w:val="7"/>
          <w:numId w:val="1"/>
        </w:numPr>
        <w:rPr>
          <w:szCs w:val="24"/>
        </w:rPr>
      </w:pPr>
      <w:r>
        <w:t>w</w:t>
      </w:r>
      <w:r w:rsidR="00BC385B">
        <w:t xml:space="preserve">hether the Panel erred in finding that the </w:t>
      </w:r>
      <w:r>
        <w:t>"</w:t>
      </w:r>
      <w:r w:rsidR="00BC385B">
        <w:t>product effects</w:t>
      </w:r>
      <w:r>
        <w:t>"</w:t>
      </w:r>
      <w:r w:rsidR="00BC385B">
        <w:t xml:space="preserve"> of the aggregated LA/MSF subsidies, with the exception of the LA/MSF subsidies for the A300 and A310, are a </w:t>
      </w:r>
      <w:r>
        <w:t>"</w:t>
      </w:r>
      <w:r w:rsidR="00BC385B">
        <w:t>genuine and substantial</w:t>
      </w:r>
      <w:r>
        <w:t>"</w:t>
      </w:r>
      <w:r w:rsidR="00BC385B">
        <w:t xml:space="preserve"> cause of the current market presence of the A350XWB family of Airbus LCA; more specifically:</w:t>
      </w:r>
    </w:p>
    <w:p w:rsidR="00BC385B" w:rsidRDefault="003726F0" w:rsidP="00BC385B">
      <w:pPr>
        <w:pStyle w:val="BodyText3"/>
        <w:numPr>
          <w:ilvl w:val="8"/>
          <w:numId w:val="1"/>
        </w:numPr>
        <w:rPr>
          <w:szCs w:val="24"/>
        </w:rPr>
      </w:pPr>
      <w:r>
        <w:t>w</w:t>
      </w:r>
      <w:r w:rsidR="00BC385B">
        <w:t xml:space="preserve">hether the Panel found that the LA/MSF subsidies for the A350XWB resulted in </w:t>
      </w:r>
      <w:r>
        <w:t>"</w:t>
      </w:r>
      <w:r w:rsidR="00BC385B">
        <w:t>direct effects</w:t>
      </w:r>
      <w:r>
        <w:t>"</w:t>
      </w:r>
      <w:r w:rsidR="00BC385B">
        <w:t xml:space="preserve"> on the launch and market presence of the A350XWB and, if so, whether the Panel acted inconsistently with Article 11 of the DSU i</w:t>
      </w:r>
      <w:r>
        <w:t>n reaching that finding; and</w:t>
      </w:r>
    </w:p>
    <w:p w:rsidR="00BC385B" w:rsidRDefault="003726F0" w:rsidP="00BC385B">
      <w:pPr>
        <w:pStyle w:val="BodyText3"/>
        <w:numPr>
          <w:ilvl w:val="8"/>
          <w:numId w:val="1"/>
        </w:numPr>
        <w:rPr>
          <w:szCs w:val="24"/>
        </w:rPr>
      </w:pPr>
      <w:r>
        <w:t>w</w:t>
      </w:r>
      <w:r w:rsidR="00BC385B">
        <w:t>hether the Panel erred in its application of Articles 5(c) and 7.8 of the SCM Agreement in finding</w:t>
      </w:r>
      <w:r w:rsidR="00BC385B" w:rsidRPr="000E2C3C">
        <w:t xml:space="preserve"> that A380 LA/MSF</w:t>
      </w:r>
      <w:r w:rsidR="00BC385B">
        <w:t xml:space="preserve"> subsidies had </w:t>
      </w:r>
      <w:r>
        <w:t>"</w:t>
      </w:r>
      <w:r w:rsidR="00BC385B">
        <w:t xml:space="preserve">indirect </w:t>
      </w:r>
      <w:r w:rsidR="00BC385B" w:rsidRPr="000E2C3C">
        <w:t>effects</w:t>
      </w:r>
      <w:r>
        <w:t>"</w:t>
      </w:r>
      <w:r w:rsidR="00BC385B" w:rsidRPr="000E2C3C">
        <w:t xml:space="preserve"> on </w:t>
      </w:r>
      <w:r w:rsidR="00BC385B" w:rsidRPr="000E2C3C">
        <w:rPr>
          <w:szCs w:val="18"/>
        </w:rPr>
        <w:t xml:space="preserve">Airbus' ability to launch </w:t>
      </w:r>
      <w:r w:rsidR="00BC385B" w:rsidRPr="000E2C3C">
        <w:t>the A350XWB</w:t>
      </w:r>
      <w:r>
        <w:t>; and</w:t>
      </w:r>
    </w:p>
    <w:p w:rsidR="00BC385B" w:rsidRDefault="003726F0" w:rsidP="00526697">
      <w:pPr>
        <w:pStyle w:val="BodyText2"/>
        <w:numPr>
          <w:ilvl w:val="7"/>
          <w:numId w:val="1"/>
        </w:numPr>
        <w:rPr>
          <w:szCs w:val="24"/>
        </w:rPr>
      </w:pPr>
      <w:r>
        <w:t>w</w:t>
      </w:r>
      <w:r w:rsidR="00BC385B">
        <w:t>hether the Panel erred in its interpretation and application of Articles 5(c), 6.3(a), 6.3(b), 6.3(c), and 7.8 of the SCM Agreement in finding that the United States established that the cha</w:t>
      </w:r>
      <w:r>
        <w:t xml:space="preserve">llenged LA/MSF subsidies are a </w:t>
      </w:r>
      <w:r w:rsidR="00BC385B">
        <w:t xml:space="preserve">genuine and substantial cause of </w:t>
      </w:r>
      <w:r>
        <w:t>"</w:t>
      </w:r>
      <w:r w:rsidR="00BC385B">
        <w:t>lost sales</w:t>
      </w:r>
      <w:r>
        <w:t>"</w:t>
      </w:r>
      <w:r w:rsidR="00BC385B">
        <w:t xml:space="preserve"> and </w:t>
      </w:r>
      <w:r>
        <w:t>"</w:t>
      </w:r>
      <w:r w:rsidR="00BC385B">
        <w:t>displacement and/or impedance</w:t>
      </w:r>
      <w:r>
        <w:t>"</w:t>
      </w:r>
      <w:r w:rsidR="00BC385B">
        <w:t xml:space="preserve"> of US LCA in the relevant product and geographic markets</w:t>
      </w:r>
      <w:r>
        <w:t>; m</w:t>
      </w:r>
      <w:r w:rsidR="00BC385B">
        <w:t>ore specifically:</w:t>
      </w:r>
    </w:p>
    <w:p w:rsidR="00BC385B" w:rsidRDefault="003726F0" w:rsidP="00BC385B">
      <w:pPr>
        <w:pStyle w:val="BodyText3"/>
        <w:numPr>
          <w:ilvl w:val="8"/>
          <w:numId w:val="1"/>
        </w:numPr>
      </w:pPr>
      <w:r>
        <w:t>w</w:t>
      </w:r>
      <w:r w:rsidR="00BC385B">
        <w:t xml:space="preserve">hether the Panel erred in finding a causal link between the challenged subsidies and alleged </w:t>
      </w:r>
      <w:r>
        <w:t>"</w:t>
      </w:r>
      <w:r w:rsidR="00BC385B">
        <w:t>lost sales</w:t>
      </w:r>
      <w:r>
        <w:t>"</w:t>
      </w:r>
      <w:r w:rsidR="00BC385B">
        <w:t xml:space="preserve"> and </w:t>
      </w:r>
      <w:r>
        <w:t>"</w:t>
      </w:r>
      <w:r w:rsidR="00BC385B">
        <w:t>displacement and/or impedance</w:t>
      </w:r>
      <w:r>
        <w:t>"</w:t>
      </w:r>
      <w:r w:rsidR="00BC385B">
        <w:t xml:space="preserve"> by failing to take into account: (i)</w:t>
      </w:r>
      <w:r w:rsidR="00BC385B" w:rsidRPr="00162C5A">
        <w:rPr>
          <w:szCs w:val="20"/>
        </w:rPr>
        <w:t xml:space="preserve"> </w:t>
      </w:r>
      <w:r w:rsidR="00BC385B">
        <w:rPr>
          <w:szCs w:val="20"/>
        </w:rPr>
        <w:t xml:space="preserve">the "closeness of competition" </w:t>
      </w:r>
      <w:r w:rsidR="00B542A9">
        <w:rPr>
          <w:szCs w:val="20"/>
        </w:rPr>
        <w:t>between various LCA models; and </w:t>
      </w:r>
      <w:r w:rsidR="00BC385B">
        <w:rPr>
          <w:szCs w:val="20"/>
        </w:rPr>
        <w:t>(ii) non</w:t>
      </w:r>
      <w:r w:rsidR="00BC385B">
        <w:rPr>
          <w:szCs w:val="20"/>
        </w:rPr>
        <w:noBreakHyphen/>
        <w:t>attribution factors; and</w:t>
      </w:r>
    </w:p>
    <w:p w:rsidR="00BC385B" w:rsidRPr="002B14B2" w:rsidRDefault="003726F0" w:rsidP="00BC385B">
      <w:pPr>
        <w:pStyle w:val="BodyText3"/>
        <w:numPr>
          <w:ilvl w:val="8"/>
          <w:numId w:val="1"/>
        </w:numPr>
      </w:pPr>
      <w:r>
        <w:t>w</w:t>
      </w:r>
      <w:r w:rsidR="00BC385B">
        <w:t xml:space="preserve">hether the Panel erred in finding </w:t>
      </w:r>
      <w:r>
        <w:t>"</w:t>
      </w:r>
      <w:r w:rsidR="00BC385B">
        <w:t>displacement and/or impedance</w:t>
      </w:r>
      <w:r>
        <w:t>"</w:t>
      </w:r>
      <w:r w:rsidR="00BC385B">
        <w:t xml:space="preserve"> in the relevant product and geographic markets at issue by: (i) </w:t>
      </w:r>
      <w:r w:rsidR="00BC385B" w:rsidRPr="002B14B2">
        <w:t xml:space="preserve">failing to distinguish between the concepts of </w:t>
      </w:r>
      <w:r>
        <w:t>"</w:t>
      </w:r>
      <w:r w:rsidR="00BC385B" w:rsidRPr="002B14B2">
        <w:t>displacement</w:t>
      </w:r>
      <w:r>
        <w:t>"</w:t>
      </w:r>
      <w:r w:rsidR="00BC385B" w:rsidRPr="002B14B2">
        <w:t xml:space="preserve"> and </w:t>
      </w:r>
      <w:r>
        <w:t>"</w:t>
      </w:r>
      <w:r w:rsidR="00BC385B" w:rsidRPr="002B14B2">
        <w:t>impedance</w:t>
      </w:r>
      <w:r>
        <w:t>"</w:t>
      </w:r>
      <w:r w:rsidR="00BC385B" w:rsidRPr="002B14B2">
        <w:t xml:space="preserve"> and making undifferentiated findings of </w:t>
      </w:r>
      <w:r>
        <w:t>"</w:t>
      </w:r>
      <w:r w:rsidR="00BC385B" w:rsidRPr="002B14B2">
        <w:t>displacement and/or impe</w:t>
      </w:r>
      <w:r w:rsidR="00BC385B">
        <w:t>dance</w:t>
      </w:r>
      <w:r>
        <w:t>"</w:t>
      </w:r>
      <w:r w:rsidR="00BC385B">
        <w:t xml:space="preserve">; and (ii) failing to engage </w:t>
      </w:r>
      <w:r w:rsidR="00BC385B" w:rsidRPr="002B14B2">
        <w:t xml:space="preserve">with the relevant </w:t>
      </w:r>
      <w:r w:rsidR="00BC385B">
        <w:t xml:space="preserve">volume </w:t>
      </w:r>
      <w:r w:rsidR="00BC385B" w:rsidRPr="002B14B2">
        <w:t xml:space="preserve">and market share data </w:t>
      </w:r>
      <w:r w:rsidR="00BC385B">
        <w:t>and to adopt a large enough number of data points to meaningfully investigate</w:t>
      </w:r>
      <w:r w:rsidR="00BC385B" w:rsidRPr="002B14B2">
        <w:t xml:space="preserve"> trend</w:t>
      </w:r>
      <w:r w:rsidR="00BC385B">
        <w:t>s</w:t>
      </w:r>
      <w:r w:rsidR="00BC385B" w:rsidRPr="002B14B2">
        <w:t xml:space="preserve"> in the chosen reference period</w:t>
      </w:r>
      <w:r w:rsidR="00BC385B">
        <w:t>.</w:t>
      </w:r>
    </w:p>
    <w:p w:rsidR="0007161B" w:rsidRDefault="0007161B" w:rsidP="00DC4FDF">
      <w:pPr>
        <w:pStyle w:val="Heading1"/>
      </w:pPr>
      <w:bookmarkStart w:id="42" w:name="_Toc514059204"/>
      <w:r>
        <w:t xml:space="preserve">Analysis of the </w:t>
      </w:r>
      <w:r w:rsidR="000A10EA">
        <w:t>Appellate Body</w:t>
      </w:r>
      <w:bookmarkEnd w:id="42"/>
    </w:p>
    <w:p w:rsidR="00933169" w:rsidRPr="00D34FDE" w:rsidRDefault="00933169" w:rsidP="00DC4FDF">
      <w:pPr>
        <w:pStyle w:val="Heading2"/>
        <w:rPr>
          <w:rFonts w:eastAsia="Calibri"/>
        </w:rPr>
      </w:pPr>
      <w:bookmarkStart w:id="43" w:name="_Toc514059205"/>
      <w:r>
        <w:t>Article </w:t>
      </w:r>
      <w:r w:rsidRPr="00D34FDE">
        <w:t xml:space="preserve">21.5 of the DSU – </w:t>
      </w:r>
      <w:r>
        <w:t>t</w:t>
      </w:r>
      <w:r w:rsidRPr="00D34FDE">
        <w:t>he Mühlenberger Loch and Bremen Airport measures</w:t>
      </w:r>
      <w:bookmarkEnd w:id="43"/>
      <w:r w:rsidRPr="00D34FDE">
        <w:t xml:space="preserve"> </w:t>
      </w:r>
    </w:p>
    <w:p w:rsidR="00933169" w:rsidRPr="0033346C" w:rsidRDefault="00933169" w:rsidP="00DC4FDF">
      <w:pPr>
        <w:pStyle w:val="BodyText"/>
      </w:pPr>
      <w:r w:rsidRPr="008B1FE5">
        <w:t xml:space="preserve">The </w:t>
      </w:r>
      <w:r>
        <w:t>European Union</w:t>
      </w:r>
      <w:r w:rsidRPr="008B1FE5">
        <w:t xml:space="preserve"> claims that, by declining to </w:t>
      </w:r>
      <w:r>
        <w:t>make a finding as to</w:t>
      </w:r>
      <w:r w:rsidRPr="008B1FE5">
        <w:t xml:space="preserve"> whether the </w:t>
      </w:r>
      <w:r>
        <w:t>European Union</w:t>
      </w:r>
      <w:r w:rsidRPr="008B1FE5">
        <w:t xml:space="preserve"> had achieved compliance with respect to the Mühlenberger Loch </w:t>
      </w:r>
      <w:r>
        <w:t xml:space="preserve">aircraft assembly site measure </w:t>
      </w:r>
      <w:r w:rsidRPr="008B1FE5">
        <w:t xml:space="preserve">and the Bremen Airport </w:t>
      </w:r>
      <w:r>
        <w:t xml:space="preserve">runway extension </w:t>
      </w:r>
      <w:r w:rsidRPr="008B1FE5">
        <w:t xml:space="preserve">measure, the </w:t>
      </w:r>
      <w:r w:rsidRPr="0033346C">
        <w:t xml:space="preserve">Panel erred in its </w:t>
      </w:r>
      <w:r w:rsidRPr="0033346C">
        <w:lastRenderedPageBreak/>
        <w:t xml:space="preserve">interpretation and application of </w:t>
      </w:r>
      <w:r>
        <w:t>Article </w:t>
      </w:r>
      <w:r w:rsidRPr="0033346C">
        <w:t xml:space="preserve">21.5 of the DSU and also acted inconsistently with </w:t>
      </w:r>
      <w:r>
        <w:t>Article 11 of the DSU.</w:t>
      </w:r>
      <w:r>
        <w:rPr>
          <w:rStyle w:val="FootnoteReference"/>
        </w:rPr>
        <w:footnoteReference w:id="66"/>
      </w:r>
    </w:p>
    <w:p w:rsidR="00933169" w:rsidRPr="0033346C" w:rsidRDefault="00933169" w:rsidP="00DC4FDF">
      <w:pPr>
        <w:pStyle w:val="BodyText"/>
      </w:pPr>
      <w:r w:rsidRPr="0033346C">
        <w:t xml:space="preserve">Specifically, the </w:t>
      </w:r>
      <w:r>
        <w:t>European Union</w:t>
      </w:r>
      <w:r w:rsidRPr="0033346C">
        <w:t xml:space="preserve"> claims that the Panel erred in interpreting </w:t>
      </w:r>
      <w:r>
        <w:t>Article </w:t>
      </w:r>
      <w:r w:rsidRPr="0033346C">
        <w:t xml:space="preserve">21.5 of the DSU as limiting the right of an original respondent to have recourse to </w:t>
      </w:r>
      <w:r>
        <w:t>Article </w:t>
      </w:r>
      <w:r w:rsidRPr="0033346C">
        <w:t xml:space="preserve">21.5 to a scenario where the following three conditions are met: (i) </w:t>
      </w:r>
      <w:r>
        <w:t>the</w:t>
      </w:r>
      <w:r w:rsidRPr="0033346C">
        <w:t xml:space="preserve"> original respondent initiates </w:t>
      </w:r>
      <w:r>
        <w:t>Article </w:t>
      </w:r>
      <w:r w:rsidRPr="0033346C">
        <w:t xml:space="preserve">21.5 proceedings; (ii) the original complainant refuses to participate in </w:t>
      </w:r>
      <w:r w:rsidR="00B542A9">
        <w:t>such proceedings; and (iii) the </w:t>
      </w:r>
      <w:r w:rsidRPr="0033346C">
        <w:t xml:space="preserve">original complainant has already suspended concessions vis-à-vis the original respondent in accordance with </w:t>
      </w:r>
      <w:r>
        <w:t>Article </w:t>
      </w:r>
      <w:r w:rsidRPr="0033346C">
        <w:t>22 of the DSU.</w:t>
      </w:r>
      <w:r w:rsidRPr="0033346C">
        <w:rPr>
          <w:rStyle w:val="FootnoteReference"/>
        </w:rPr>
        <w:footnoteReference w:id="67"/>
      </w:r>
      <w:r w:rsidRPr="0033346C">
        <w:t xml:space="preserve"> For the </w:t>
      </w:r>
      <w:r>
        <w:t>European Union</w:t>
      </w:r>
      <w:r w:rsidRPr="0033346C">
        <w:t>, the Panel thus attached, without textual basis, such qualifications to the right of an original respondent to seek adjudication of a disagreement concerning the WTO-consistency of its measure taken to comply.</w:t>
      </w:r>
      <w:r w:rsidRPr="0033346C">
        <w:rPr>
          <w:rStyle w:val="FootnoteReference"/>
        </w:rPr>
        <w:footnoteReference w:id="68"/>
      </w:r>
      <w:r w:rsidRPr="0033346C">
        <w:t xml:space="preserve"> As to the Panel's application of </w:t>
      </w:r>
      <w:r>
        <w:t>Article </w:t>
      </w:r>
      <w:r w:rsidRPr="0033346C">
        <w:t xml:space="preserve">21.5, the </w:t>
      </w:r>
      <w:r>
        <w:t>European Union</w:t>
      </w:r>
      <w:r w:rsidRPr="0033346C">
        <w:t xml:space="preserve"> submits that the Panel erred in finding that a "disagreement" within the meaning of </w:t>
      </w:r>
      <w:r>
        <w:t>this</w:t>
      </w:r>
      <w:r w:rsidRPr="0033346C">
        <w:t xml:space="preserve"> provision did not exist between the parties with respect to the two measures at issue.</w:t>
      </w:r>
      <w:r w:rsidRPr="0033346C">
        <w:rPr>
          <w:rStyle w:val="FootnoteReference"/>
        </w:rPr>
        <w:footnoteReference w:id="69"/>
      </w:r>
      <w:r w:rsidRPr="0033346C">
        <w:t xml:space="preserve"> Finally, the </w:t>
      </w:r>
      <w:r>
        <w:t>European Union</w:t>
      </w:r>
      <w:r w:rsidR="00B542A9">
        <w:t xml:space="preserve"> submits that, by </w:t>
      </w:r>
      <w:r w:rsidRPr="0033346C">
        <w:t xml:space="preserve">refusing to make findings </w:t>
      </w:r>
      <w:r>
        <w:t>as</w:t>
      </w:r>
      <w:r w:rsidRPr="0033346C">
        <w:t xml:space="preserve"> to whether the </w:t>
      </w:r>
      <w:r>
        <w:t>European Union</w:t>
      </w:r>
      <w:r w:rsidRPr="0033346C">
        <w:t xml:space="preserve"> had achieved withdrawal, within the meaning of </w:t>
      </w:r>
      <w:r>
        <w:t>Article </w:t>
      </w:r>
      <w:r w:rsidRPr="0033346C">
        <w:t xml:space="preserve">7.8 of the </w:t>
      </w:r>
      <w:r>
        <w:t>SCM Agreement</w:t>
      </w:r>
      <w:r w:rsidRPr="0033346C">
        <w:t xml:space="preserve">, in respect of the Mühlenberger Loch and Bremen Airport measures, the Panel incorrectly declined to exercise validly established jurisdiction, thereby acting inconsistently with </w:t>
      </w:r>
      <w:r>
        <w:t>Article </w:t>
      </w:r>
      <w:r w:rsidRPr="0033346C">
        <w:t>11 of the DSU.</w:t>
      </w:r>
      <w:r w:rsidRPr="0033346C">
        <w:rPr>
          <w:rStyle w:val="FootnoteReference"/>
        </w:rPr>
        <w:footnoteReference w:id="70"/>
      </w:r>
      <w:r w:rsidRPr="0033346C">
        <w:t xml:space="preserve"> Based on these alleged errors in the Panel's analysis, the </w:t>
      </w:r>
      <w:r>
        <w:t>European Union</w:t>
      </w:r>
      <w:r w:rsidRPr="0033346C">
        <w:t xml:space="preserve"> requests </w:t>
      </w:r>
      <w:r>
        <w:t>us</w:t>
      </w:r>
      <w:r w:rsidRPr="0033346C">
        <w:t xml:space="preserve"> to reverse the Panel's findings, complete the legal analysis</w:t>
      </w:r>
      <w:r>
        <w:t>,</w:t>
      </w:r>
      <w:r w:rsidRPr="0033346C">
        <w:t xml:space="preserve"> </w:t>
      </w:r>
      <w:r>
        <w:t>and find</w:t>
      </w:r>
      <w:r w:rsidRPr="0033346C">
        <w:t xml:space="preserve"> that the </w:t>
      </w:r>
      <w:r>
        <w:t>European Union</w:t>
      </w:r>
      <w:r w:rsidRPr="0033346C">
        <w:t xml:space="preserve"> ha</w:t>
      </w:r>
      <w:r>
        <w:t>s</w:t>
      </w:r>
      <w:r w:rsidRPr="0033346C">
        <w:t xml:space="preserve"> withdrawn the subsidies that had been found to flow from the </w:t>
      </w:r>
      <w:r>
        <w:t xml:space="preserve">two </w:t>
      </w:r>
      <w:r w:rsidRPr="0033346C">
        <w:t>measures at issue.</w:t>
      </w:r>
      <w:r w:rsidRPr="0033346C">
        <w:rPr>
          <w:rStyle w:val="FootnoteReference"/>
        </w:rPr>
        <w:footnoteReference w:id="71"/>
      </w:r>
      <w:r w:rsidRPr="0033346C">
        <w:t xml:space="preserve"> </w:t>
      </w:r>
    </w:p>
    <w:p w:rsidR="00933169" w:rsidRPr="0033346C" w:rsidRDefault="00933169" w:rsidP="00DC4FDF">
      <w:pPr>
        <w:pStyle w:val="BodyText"/>
      </w:pPr>
      <w:r w:rsidRPr="0033346C">
        <w:t xml:space="preserve">Before addressing the </w:t>
      </w:r>
      <w:r>
        <w:t>European Union</w:t>
      </w:r>
      <w:r w:rsidRPr="0033346C">
        <w:t>'s claims of error, we briefly recall the Panel's analysis concerning the Mühlenberger Loch and the Bremen Airport measures.</w:t>
      </w:r>
    </w:p>
    <w:p w:rsidR="00933169" w:rsidRPr="0033346C" w:rsidRDefault="00933169" w:rsidP="00DC4FDF">
      <w:pPr>
        <w:pStyle w:val="Heading3"/>
        <w:numPr>
          <w:ilvl w:val="2"/>
          <w:numId w:val="8"/>
        </w:numPr>
      </w:pPr>
      <w:bookmarkStart w:id="44" w:name="_Toc514059206"/>
      <w:r w:rsidRPr="0033346C">
        <w:t>The Panel's findings</w:t>
      </w:r>
      <w:bookmarkEnd w:id="44"/>
    </w:p>
    <w:p w:rsidR="00933169" w:rsidRPr="0033346C" w:rsidRDefault="00933169" w:rsidP="00DC4FDF">
      <w:pPr>
        <w:pStyle w:val="BodyText"/>
      </w:pPr>
      <w:r w:rsidRPr="0033346C">
        <w:t xml:space="preserve">Regarding the Bremen Airport </w:t>
      </w:r>
      <w:r>
        <w:t xml:space="preserve">runway extension </w:t>
      </w:r>
      <w:r w:rsidRPr="0033346C">
        <w:t>measure</w:t>
      </w:r>
      <w:r>
        <w:t>, the Panel noted that "{t}he United States</w:t>
      </w:r>
      <w:r w:rsidRPr="0033346C">
        <w:t>' claims of non-compliance d</w:t>
      </w:r>
      <w:r>
        <w:t>{id}</w:t>
      </w:r>
      <w:r w:rsidRPr="0033346C">
        <w:t xml:space="preserve"> not include" claims with respect to this measure.</w:t>
      </w:r>
      <w:r w:rsidRPr="0033346C">
        <w:rPr>
          <w:rStyle w:val="FootnoteReference"/>
        </w:rPr>
        <w:footnoteReference w:id="72"/>
      </w:r>
      <w:r w:rsidRPr="0033346C">
        <w:t xml:space="preserve"> In respect of the Mühlenberger Loch </w:t>
      </w:r>
      <w:r>
        <w:t xml:space="preserve">aircraft assembly site </w:t>
      </w:r>
      <w:r w:rsidRPr="0033346C">
        <w:t xml:space="preserve">measure, the Panel noted that the measure was initially within the scope of the </w:t>
      </w:r>
      <w:r>
        <w:t>United States</w:t>
      </w:r>
      <w:r w:rsidRPr="0033346C">
        <w:t xml:space="preserve">' challenge to the </w:t>
      </w:r>
      <w:r>
        <w:t>European Union</w:t>
      </w:r>
      <w:r w:rsidRPr="0033346C">
        <w:t xml:space="preserve">'s alleged compliance. However, having reviewed the </w:t>
      </w:r>
      <w:r>
        <w:t>European Union</w:t>
      </w:r>
      <w:r w:rsidRPr="0033346C">
        <w:t xml:space="preserve">'s explanation in its first written submission to the Panel of the methodology it had used to adjust the rental for the Mühlenberger Loch site to a market rate, the </w:t>
      </w:r>
      <w:r>
        <w:t>United States</w:t>
      </w:r>
      <w:r w:rsidRPr="0033346C">
        <w:t xml:space="preserve"> subsequently decided not to pursue its claim with regard to this measure.</w:t>
      </w:r>
      <w:r w:rsidRPr="0033346C">
        <w:rPr>
          <w:rStyle w:val="FootnoteReference"/>
        </w:rPr>
        <w:footnoteReference w:id="73"/>
      </w:r>
      <w:r w:rsidRPr="0033346C">
        <w:t xml:space="preserve"> In footnote 1847 to para</w:t>
      </w:r>
      <w:r w:rsidR="00B542A9">
        <w:t>graph 6.1102 of its Report, the </w:t>
      </w:r>
      <w:r w:rsidRPr="0033346C">
        <w:t>Panel stated:</w:t>
      </w:r>
    </w:p>
    <w:p w:rsidR="00933169" w:rsidRPr="0033346C" w:rsidRDefault="00933169" w:rsidP="00933169">
      <w:pPr>
        <w:pStyle w:val="Quotation"/>
      </w:pPr>
      <w:r w:rsidRPr="0033346C">
        <w:t xml:space="preserve">The extent to which the full or partial repayment of a subsidy or the alignment of its terms with a market benchmark may amount to the "withdrawal" of a subsidy for the purpose of </w:t>
      </w:r>
      <w:r>
        <w:t>Article </w:t>
      </w:r>
      <w:r w:rsidRPr="0033346C">
        <w:t xml:space="preserve">7.8 of the </w:t>
      </w:r>
      <w:r>
        <w:t>SCM Agreement</w:t>
      </w:r>
      <w:r w:rsidRPr="0033346C">
        <w:t xml:space="preserve"> are questions that are not before us and we, therefore, make no specific findings as to whether such actions may suffice to bring an implementing Member into conformity with its obligations under the </w:t>
      </w:r>
      <w:r>
        <w:t>SCM Agreement</w:t>
      </w:r>
      <w:r w:rsidRPr="0033346C">
        <w:t xml:space="preserve">. We note, however, that the </w:t>
      </w:r>
      <w:r>
        <w:t>United States</w:t>
      </w:r>
      <w:r w:rsidRPr="0033346C">
        <w:t xml:space="preserve"> does not challenge the </w:t>
      </w:r>
      <w:r>
        <w:t>European Union</w:t>
      </w:r>
      <w:r w:rsidRPr="0033346C">
        <w:t xml:space="preserve">'s alleged "withdrawal" of the subsidies in relation to the Bremen Airport runway extension and the Mühlenberger Loch aircraft assembly site, both of which were found to cause adverse effects in the original proceeding. According to the </w:t>
      </w:r>
      <w:r>
        <w:t>European Union</w:t>
      </w:r>
      <w:r w:rsidRPr="0033346C">
        <w:t>, the terms of these subsidies were aligned to a market benchmark before the end of the implementation period.</w:t>
      </w:r>
      <w:r w:rsidRPr="0033346C">
        <w:rPr>
          <w:rStyle w:val="FootnoteReference"/>
        </w:rPr>
        <w:footnoteReference w:id="74"/>
      </w:r>
    </w:p>
    <w:p w:rsidR="00933169" w:rsidRPr="0033346C" w:rsidRDefault="00933169" w:rsidP="00DC4FDF">
      <w:pPr>
        <w:pStyle w:val="BodyText"/>
      </w:pPr>
      <w:r w:rsidRPr="0033346C">
        <w:lastRenderedPageBreak/>
        <w:t xml:space="preserve">Similarly, the Panel observed that the </w:t>
      </w:r>
      <w:r>
        <w:t>United States</w:t>
      </w:r>
      <w:r w:rsidRPr="0033346C">
        <w:t>' claims of continued adverse effects "d</w:t>
      </w:r>
      <w:r>
        <w:t>{id}</w:t>
      </w:r>
      <w:r w:rsidRPr="0033346C">
        <w:t xml:space="preserve"> not include the subsidy measures relating to the Mühlenberger Loch and the extension of the Bremen Airport runway that were found to cause adverse effects in the original proceeding".</w:t>
      </w:r>
      <w:r w:rsidRPr="0033346C">
        <w:rPr>
          <w:rStyle w:val="FootnoteReference"/>
        </w:rPr>
        <w:footnoteReference w:id="75"/>
      </w:r>
    </w:p>
    <w:p w:rsidR="00933169" w:rsidRPr="0033346C" w:rsidRDefault="00933169" w:rsidP="00DC4FDF">
      <w:pPr>
        <w:pStyle w:val="BodyText"/>
      </w:pPr>
      <w:r w:rsidRPr="0033346C">
        <w:t xml:space="preserve">During the </w:t>
      </w:r>
      <w:r>
        <w:t>i</w:t>
      </w:r>
      <w:r w:rsidRPr="0033346C">
        <w:t xml:space="preserve">nterim </w:t>
      </w:r>
      <w:r>
        <w:t>r</w:t>
      </w:r>
      <w:r w:rsidRPr="0033346C">
        <w:t>eview stage of the Panel proceedings</w:t>
      </w:r>
      <w:r w:rsidRPr="0033346C">
        <w:rPr>
          <w:rStyle w:val="FootnoteReference"/>
        </w:rPr>
        <w:footnoteReference w:id="76"/>
      </w:r>
      <w:r w:rsidRPr="0033346C">
        <w:t xml:space="preserve">, the </w:t>
      </w:r>
      <w:r>
        <w:t>European Union</w:t>
      </w:r>
      <w:r w:rsidRPr="0033346C">
        <w:t xml:space="preserve"> requested the Panel to find that the two measures taken to comply in respect of Mühlenberger Loch and Bremen Airport achieved "withdrawal" of the respective subsidies within the meaning of </w:t>
      </w:r>
      <w:r>
        <w:t>Article </w:t>
      </w:r>
      <w:r w:rsidRPr="0033346C">
        <w:t xml:space="preserve">7.8 of the </w:t>
      </w:r>
      <w:r>
        <w:t>SCM Agreement</w:t>
      </w:r>
      <w:r w:rsidRPr="0033346C">
        <w:t>.</w:t>
      </w:r>
      <w:r w:rsidRPr="0033346C">
        <w:rPr>
          <w:rStyle w:val="FootnoteReference"/>
        </w:rPr>
        <w:footnoteReference w:id="77"/>
      </w:r>
      <w:r w:rsidRPr="0033346C">
        <w:t xml:space="preserve"> The </w:t>
      </w:r>
      <w:r>
        <w:t>European Union</w:t>
      </w:r>
      <w:r w:rsidRPr="0033346C">
        <w:t xml:space="preserve"> asserted that the right of an original respondent to have a compliance panel </w:t>
      </w:r>
      <w:r>
        <w:t xml:space="preserve">under Article 21.5 of the DSU </w:t>
      </w:r>
      <w:r w:rsidRPr="0033346C">
        <w:t xml:space="preserve">assess the WTO-consistency of a measure taken to comply was explicitly recognized by the </w:t>
      </w:r>
      <w:r>
        <w:t>Appellate Body</w:t>
      </w:r>
      <w:r w:rsidRPr="0033346C">
        <w:t xml:space="preserve"> in </w:t>
      </w:r>
      <w:r w:rsidRPr="0033346C">
        <w:rPr>
          <w:i/>
        </w:rPr>
        <w:t>US – Continued Suspension / Canada – Continued Suspension</w:t>
      </w:r>
      <w:r w:rsidRPr="0033346C">
        <w:t>.</w:t>
      </w:r>
      <w:r w:rsidRPr="0033346C">
        <w:rPr>
          <w:rStyle w:val="FootnoteReference"/>
        </w:rPr>
        <w:footnoteReference w:id="78"/>
      </w:r>
      <w:r w:rsidRPr="0033346C">
        <w:t xml:space="preserve"> In response, the </w:t>
      </w:r>
      <w:r>
        <w:t>United States</w:t>
      </w:r>
      <w:r w:rsidRPr="0033346C">
        <w:t xml:space="preserve"> requested the Panel to reject the </w:t>
      </w:r>
      <w:r>
        <w:t>European Union</w:t>
      </w:r>
      <w:r w:rsidRPr="0033346C">
        <w:t xml:space="preserve">'s request and confirmed that, as stated in its second written submission to the Panel, it </w:t>
      </w:r>
      <w:r>
        <w:t xml:space="preserve">was not pursuing </w:t>
      </w:r>
      <w:r w:rsidRPr="0033346C">
        <w:t>the claims with respect to the Mühlenberger Loch and Bremen Airport measures.</w:t>
      </w:r>
      <w:r w:rsidRPr="0033346C">
        <w:rPr>
          <w:rStyle w:val="FootnoteReference"/>
        </w:rPr>
        <w:footnoteReference w:id="79"/>
      </w:r>
      <w:r w:rsidRPr="0033346C">
        <w:t xml:space="preserve"> </w:t>
      </w:r>
    </w:p>
    <w:p w:rsidR="00933169" w:rsidRPr="0033346C" w:rsidRDefault="00933169" w:rsidP="00DC4FDF">
      <w:pPr>
        <w:pStyle w:val="BodyText"/>
      </w:pPr>
      <w:r w:rsidRPr="0033346C">
        <w:t xml:space="preserve">Responding to the </w:t>
      </w:r>
      <w:r>
        <w:t>European Union</w:t>
      </w:r>
      <w:r w:rsidRPr="0033346C">
        <w:t xml:space="preserve">'s request for findings presented during the </w:t>
      </w:r>
      <w:r>
        <w:t>i</w:t>
      </w:r>
      <w:r w:rsidRPr="0033346C">
        <w:t xml:space="preserve">nterim </w:t>
      </w:r>
      <w:r>
        <w:t>r</w:t>
      </w:r>
      <w:r w:rsidRPr="0033346C">
        <w:t xml:space="preserve">eview stage, the Panel recalled that its task under </w:t>
      </w:r>
      <w:r>
        <w:t>Article </w:t>
      </w:r>
      <w:r w:rsidRPr="0033346C">
        <w:t xml:space="preserve">21.5 of the DSU was to make an objective assessment as to whether the </w:t>
      </w:r>
      <w:r>
        <w:t>European Union</w:t>
      </w:r>
      <w:r w:rsidRPr="0033346C">
        <w:t xml:space="preserve"> had complied with the </w:t>
      </w:r>
      <w:r>
        <w:t>recommendations and rulings of the DSB</w:t>
      </w:r>
      <w:r w:rsidRPr="0033346C">
        <w:t xml:space="preserve"> to the extent that there was a "</w:t>
      </w:r>
      <w:r w:rsidRPr="0033346C">
        <w:rPr>
          <w:i/>
        </w:rPr>
        <w:t>disagreement</w:t>
      </w:r>
      <w:r w:rsidRPr="0033346C">
        <w:t xml:space="preserve"> as to the existence or consistency" of "measures taken to comply".</w:t>
      </w:r>
      <w:r w:rsidRPr="0033346C">
        <w:rPr>
          <w:rStyle w:val="FootnoteReference"/>
        </w:rPr>
        <w:footnoteReference w:id="80"/>
      </w:r>
      <w:r w:rsidRPr="0033346C">
        <w:t xml:space="preserve"> In this regard, the Panel noted that neither party contested the "existence" of the </w:t>
      </w:r>
      <w:r>
        <w:t>European Union</w:t>
      </w:r>
      <w:r w:rsidRPr="0033346C">
        <w:t xml:space="preserve">'s measures taken to comply, and found that there was no present disagreement between the parties regarding the conformity of the Mühlenberger Loch and Bremen Airport measures with the relevant disciplines </w:t>
      </w:r>
      <w:r>
        <w:t>of the SCM Agreement</w:t>
      </w:r>
      <w:r w:rsidRPr="0033346C">
        <w:t xml:space="preserve"> or whether </w:t>
      </w:r>
      <w:r>
        <w:t>those measures</w:t>
      </w:r>
      <w:r w:rsidRPr="0033346C">
        <w:t xml:space="preserve"> achieve</w:t>
      </w:r>
      <w:r>
        <w:t>d</w:t>
      </w:r>
      <w:r w:rsidRPr="0033346C">
        <w:t xml:space="preserve"> compliance with the recommendations and rulings of the DSB.</w:t>
      </w:r>
      <w:r w:rsidRPr="0033346C">
        <w:rPr>
          <w:rStyle w:val="FootnoteReference"/>
        </w:rPr>
        <w:footnoteReference w:id="81"/>
      </w:r>
      <w:r w:rsidRPr="0033346C">
        <w:t xml:space="preserve"> For the Panel, in the absence of any such "disagreement", there was no question of WTO-consistency to determine in relation to those measures.</w:t>
      </w:r>
      <w:r w:rsidRPr="0033346C">
        <w:rPr>
          <w:rStyle w:val="FootnoteReference"/>
        </w:rPr>
        <w:footnoteReference w:id="82"/>
      </w:r>
      <w:r w:rsidRPr="0033346C">
        <w:t xml:space="preserve"> </w:t>
      </w:r>
    </w:p>
    <w:p w:rsidR="00933169" w:rsidRPr="0033346C" w:rsidRDefault="00933169" w:rsidP="00DC4FDF">
      <w:pPr>
        <w:pStyle w:val="BodyText"/>
      </w:pPr>
      <w:r w:rsidRPr="0033346C">
        <w:t xml:space="preserve">The Panel then addressed the </w:t>
      </w:r>
      <w:r>
        <w:t>European Union</w:t>
      </w:r>
      <w:r w:rsidRPr="0033346C">
        <w:t xml:space="preserve">'s reliance on the </w:t>
      </w:r>
      <w:r>
        <w:t>Appellate Body</w:t>
      </w:r>
      <w:r w:rsidRPr="0033346C">
        <w:t xml:space="preserve"> reports in</w:t>
      </w:r>
      <w:r>
        <w:rPr>
          <w:i/>
        </w:rPr>
        <w:t xml:space="preserve"> US </w:t>
      </w:r>
      <w:r w:rsidRPr="0033346C">
        <w:rPr>
          <w:i/>
        </w:rPr>
        <w:t>– Continued Suspension / Canada ‒ Continued Suspension</w:t>
      </w:r>
      <w:r w:rsidRPr="0033346C">
        <w:t xml:space="preserve">. The Panel noted that, in those disputes, the </w:t>
      </w:r>
      <w:r>
        <w:t>Appellate Body</w:t>
      </w:r>
      <w:r w:rsidRPr="0033346C">
        <w:t xml:space="preserve"> had discussed the scenario where: (i) </w:t>
      </w:r>
      <w:r>
        <w:t>the</w:t>
      </w:r>
      <w:r w:rsidRPr="0033346C">
        <w:t xml:space="preserve"> original respondent initiates </w:t>
      </w:r>
      <w:r>
        <w:t>Article </w:t>
      </w:r>
      <w:r w:rsidRPr="0033346C">
        <w:t>21.5 proceedings; (ii) the original complainant refuses to participate in such proceedings; and (iii) the original complainant has already suspended concessions vis</w:t>
      </w:r>
      <w:r w:rsidRPr="0033346C">
        <w:noBreakHyphen/>
        <w:t>à</w:t>
      </w:r>
      <w:r w:rsidRPr="0033346C">
        <w:noBreakHyphen/>
        <w:t xml:space="preserve">vis the original respondent in accordance with </w:t>
      </w:r>
      <w:r>
        <w:t>Article </w:t>
      </w:r>
      <w:r w:rsidRPr="0033346C">
        <w:t>22 of the DSU.</w:t>
      </w:r>
      <w:r w:rsidRPr="0033346C">
        <w:rPr>
          <w:rStyle w:val="FootnoteReference"/>
        </w:rPr>
        <w:footnoteReference w:id="83"/>
      </w:r>
      <w:r w:rsidRPr="0033346C">
        <w:t xml:space="preserve"> The Panel understood the </w:t>
      </w:r>
      <w:r>
        <w:t>Appellate Body</w:t>
      </w:r>
      <w:r w:rsidRPr="0033346C">
        <w:t xml:space="preserve"> to have considered that</w:t>
      </w:r>
      <w:r>
        <w:t>,</w:t>
      </w:r>
      <w:r w:rsidRPr="0033346C">
        <w:t xml:space="preserve"> </w:t>
      </w:r>
      <w:r>
        <w:t>"</w:t>
      </w:r>
      <w:r w:rsidRPr="0033346C">
        <w:t>in such a scenario</w:t>
      </w:r>
      <w:r>
        <w:t>,</w:t>
      </w:r>
      <w:r w:rsidRPr="0033346C">
        <w:t xml:space="preserve"> the</w:t>
      </w:r>
      <w:r>
        <w:t xml:space="preserve"> compliance panel would be called upon to 'make its determination on the basis of a </w:t>
      </w:r>
      <w:r>
        <w:rPr>
          <w:i/>
        </w:rPr>
        <w:t xml:space="preserve">prima facie </w:t>
      </w:r>
      <w:r>
        <w:t>case presented by the original respondent that its implementing measure has brought it into compliance with the DSB's recommendations and rulings'".</w:t>
      </w:r>
      <w:r w:rsidRPr="0033346C">
        <w:rPr>
          <w:rStyle w:val="FootnoteReference"/>
        </w:rPr>
        <w:footnoteReference w:id="84"/>
      </w:r>
      <w:r w:rsidRPr="0033346C">
        <w:t xml:space="preserve"> </w:t>
      </w:r>
      <w:r>
        <w:t>T</w:t>
      </w:r>
      <w:r w:rsidRPr="0033346C">
        <w:t xml:space="preserve">he Panel </w:t>
      </w:r>
      <w:r>
        <w:t>considered the situation to be different in the present case</w:t>
      </w:r>
      <w:r w:rsidRPr="0033346C">
        <w:t xml:space="preserve">, </w:t>
      </w:r>
      <w:r>
        <w:t>noting that</w:t>
      </w:r>
      <w:r w:rsidRPr="0033346C" w:rsidDel="00BE70D0">
        <w:t xml:space="preserve"> </w:t>
      </w:r>
      <w:r w:rsidRPr="0033346C">
        <w:t xml:space="preserve">the original complainant </w:t>
      </w:r>
      <w:r w:rsidRPr="0033346C">
        <w:rPr>
          <w:i/>
          <w:color w:val="000000"/>
          <w:shd w:val="clear" w:color="auto" w:fill="FFFFFF"/>
        </w:rPr>
        <w:t>–</w:t>
      </w:r>
      <w:r w:rsidRPr="0033346C">
        <w:t xml:space="preserve"> i.e. the </w:t>
      </w:r>
      <w:r>
        <w:t>United States</w:t>
      </w:r>
      <w:r w:rsidRPr="0033346C">
        <w:t xml:space="preserve"> </w:t>
      </w:r>
      <w:r w:rsidRPr="0033346C">
        <w:rPr>
          <w:i/>
          <w:color w:val="000000"/>
          <w:shd w:val="clear" w:color="auto" w:fill="FFFFFF"/>
        </w:rPr>
        <w:t>–</w:t>
      </w:r>
      <w:r w:rsidRPr="0033346C">
        <w:t xml:space="preserve"> (rather than the original respondent) had initiated these </w:t>
      </w:r>
      <w:r>
        <w:t>Article </w:t>
      </w:r>
      <w:r w:rsidRPr="0033346C">
        <w:t>21.5 proceedings</w:t>
      </w:r>
      <w:r>
        <w:t xml:space="preserve">, in which both parties participated, and that the suspension of </w:t>
      </w:r>
      <w:r>
        <w:lastRenderedPageBreak/>
        <w:t>concessions had not been approved or implemented</w:t>
      </w:r>
      <w:r w:rsidRPr="0033346C">
        <w:t>.</w:t>
      </w:r>
      <w:r>
        <w:rPr>
          <w:rStyle w:val="FootnoteReference"/>
        </w:rPr>
        <w:footnoteReference w:id="85"/>
      </w:r>
      <w:r w:rsidRPr="0033346C">
        <w:t xml:space="preserve"> Furthermore, the Panel found no relevant "disagreement" or "associated exigency" to exist in these proceedings.</w:t>
      </w:r>
      <w:r w:rsidRPr="0033346C">
        <w:rPr>
          <w:rStyle w:val="FootnoteReference"/>
        </w:rPr>
        <w:footnoteReference w:id="86"/>
      </w:r>
      <w:r w:rsidRPr="0033346C">
        <w:t xml:space="preserve"> </w:t>
      </w:r>
    </w:p>
    <w:p w:rsidR="00933169" w:rsidRPr="0033346C" w:rsidRDefault="00933169" w:rsidP="00DC4FDF">
      <w:pPr>
        <w:pStyle w:val="BodyText"/>
      </w:pPr>
      <w:r w:rsidRPr="0033346C">
        <w:t xml:space="preserve">For all these reasons, and "in the absence of any explicit refutation by the </w:t>
      </w:r>
      <w:r>
        <w:t>United States</w:t>
      </w:r>
      <w:r w:rsidRPr="0033346C">
        <w:t xml:space="preserve"> of the </w:t>
      </w:r>
      <w:r>
        <w:t>European Union</w:t>
      </w:r>
      <w:r w:rsidRPr="0033346C">
        <w:t xml:space="preserve">'s measures taken to comply with respect to the Mühlenberger Loch or the Bremen Airport runway subsidies", the Panel found that "there {was} no requirement under </w:t>
      </w:r>
      <w:r>
        <w:t>Article </w:t>
      </w:r>
      <w:r w:rsidRPr="0033346C">
        <w:t>21.5 of the DSU for the compliance Panel in this dispute to make any findings on the consistency of those measures with the covered agreements</w:t>
      </w:r>
      <w:r>
        <w:t>.</w:t>
      </w:r>
      <w:r w:rsidRPr="0033346C">
        <w:t>"</w:t>
      </w:r>
      <w:r w:rsidRPr="0033346C">
        <w:rPr>
          <w:rStyle w:val="FootnoteReference"/>
        </w:rPr>
        <w:footnoteReference w:id="87"/>
      </w:r>
      <w:r w:rsidRPr="0033346C">
        <w:t xml:space="preserve"> Finally, referring to </w:t>
      </w:r>
      <w:r>
        <w:t>Article </w:t>
      </w:r>
      <w:r w:rsidRPr="0033346C">
        <w:t xml:space="preserve">22.2 of the DSU, the Panel noted that, under these circumstances, "the </w:t>
      </w:r>
      <w:r>
        <w:t>United States</w:t>
      </w:r>
      <w:r w:rsidRPr="0033346C">
        <w:t xml:space="preserve"> would not be entitled to request the suspension of concessions or other obligations under the covered agreements in relation {to} the Mühlenberger Loch and the Bremen Airport runway measures</w:t>
      </w:r>
      <w:r>
        <w:t>.</w:t>
      </w:r>
      <w:r w:rsidRPr="0033346C">
        <w:t>"</w:t>
      </w:r>
      <w:r w:rsidRPr="0033346C">
        <w:rPr>
          <w:rStyle w:val="FootnoteReference"/>
        </w:rPr>
        <w:footnoteReference w:id="88"/>
      </w:r>
    </w:p>
    <w:p w:rsidR="00933169" w:rsidRPr="0033346C" w:rsidRDefault="00933169" w:rsidP="00DC4FDF">
      <w:pPr>
        <w:pStyle w:val="Heading3"/>
      </w:pPr>
      <w:bookmarkStart w:id="45" w:name="_Toc514059207"/>
      <w:r w:rsidRPr="0033346C">
        <w:t xml:space="preserve">Whether the Panel erred </w:t>
      </w:r>
      <w:r>
        <w:t>by</w:t>
      </w:r>
      <w:r w:rsidRPr="0033346C">
        <w:t xml:space="preserve"> declining to</w:t>
      </w:r>
      <w:r>
        <w:t xml:space="preserve"> make a finding as to</w:t>
      </w:r>
      <w:r w:rsidRPr="0033346C">
        <w:t xml:space="preserve"> </w:t>
      </w:r>
      <w:r>
        <w:t>whether</w:t>
      </w:r>
      <w:r w:rsidRPr="0033346C">
        <w:t xml:space="preserve"> the </w:t>
      </w:r>
      <w:r>
        <w:t>European Union</w:t>
      </w:r>
      <w:r w:rsidRPr="0033346C">
        <w:t xml:space="preserve"> ha</w:t>
      </w:r>
      <w:r>
        <w:t>d</w:t>
      </w:r>
      <w:r w:rsidRPr="0033346C">
        <w:t xml:space="preserve"> "withdrawn" the Mühlenberger Loch and Bremen Airport measures</w:t>
      </w:r>
      <w:bookmarkEnd w:id="45"/>
    </w:p>
    <w:p w:rsidR="00933169" w:rsidRPr="0033346C" w:rsidRDefault="00933169" w:rsidP="00DC4FDF">
      <w:pPr>
        <w:pStyle w:val="BodyText"/>
      </w:pPr>
      <w:r>
        <w:t>Article </w:t>
      </w:r>
      <w:r w:rsidRPr="0033346C">
        <w:t>21.5 of the DSU requires that "disputes" arising out of any</w:t>
      </w:r>
      <w:r w:rsidRPr="0033346C">
        <w:rPr>
          <w:shd w:val="clear" w:color="auto" w:fill="FFFFFF"/>
        </w:rPr>
        <w:t xml:space="preserve"> "disagreement as to the existence or consistency with a covered agreement of measures taken to comply with the recommendations and rulings … shall be decided through recourse to these dispute settlement procedures, including wherever possible resort to the original panel." </w:t>
      </w:r>
      <w:r w:rsidRPr="0033346C">
        <w:t xml:space="preserve">The </w:t>
      </w:r>
      <w:r>
        <w:t>Appellate Body</w:t>
      </w:r>
      <w:r w:rsidRPr="0033346C">
        <w:t xml:space="preserve"> has emphasized the "compulsory" and "obligatory" nature of </w:t>
      </w:r>
      <w:r>
        <w:t>Article </w:t>
      </w:r>
      <w:r w:rsidRPr="0033346C">
        <w:t>21.5 proceeding</w:t>
      </w:r>
      <w:r>
        <w:t>s</w:t>
      </w:r>
      <w:r w:rsidRPr="0033346C">
        <w:t xml:space="preserve"> for resolving disputes concerning the existence or WTO</w:t>
      </w:r>
      <w:r>
        <w:t>-</w:t>
      </w:r>
      <w:r w:rsidRPr="0033346C">
        <w:t>consistency of measures taken to comply with the recommendations and rulings of the DSB.</w:t>
      </w:r>
      <w:r w:rsidRPr="0033346C">
        <w:rPr>
          <w:rStyle w:val="FootnoteReference"/>
        </w:rPr>
        <w:footnoteReference w:id="89"/>
      </w:r>
      <w:r w:rsidRPr="0033346C">
        <w:t xml:space="preserve"> </w:t>
      </w:r>
    </w:p>
    <w:p w:rsidR="00933169" w:rsidRPr="0033346C" w:rsidRDefault="00933169" w:rsidP="00DC4FDF">
      <w:pPr>
        <w:pStyle w:val="BodyText"/>
      </w:pPr>
      <w:r w:rsidRPr="0033346C">
        <w:rPr>
          <w:shd w:val="clear" w:color="auto" w:fill="FFFFFF"/>
        </w:rPr>
        <w:t xml:space="preserve">In </w:t>
      </w:r>
      <w:r w:rsidRPr="0033346C">
        <w:rPr>
          <w:i/>
          <w:shd w:val="clear" w:color="auto" w:fill="FFFFFF"/>
        </w:rPr>
        <w:t>US – Continued Suspension / Canada – Continued Suspension</w:t>
      </w:r>
      <w:r w:rsidRPr="0033346C">
        <w:rPr>
          <w:shd w:val="clear" w:color="auto" w:fill="FFFFFF"/>
        </w:rPr>
        <w:t xml:space="preserve">, the </w:t>
      </w:r>
      <w:r>
        <w:rPr>
          <w:shd w:val="clear" w:color="auto" w:fill="FFFFFF"/>
        </w:rPr>
        <w:t>Appellate Body</w:t>
      </w:r>
      <w:r w:rsidRPr="0033346C">
        <w:rPr>
          <w:shd w:val="clear" w:color="auto" w:fill="FFFFFF"/>
        </w:rPr>
        <w:t xml:space="preserve"> stated that</w:t>
      </w:r>
      <w:r w:rsidRPr="0033346C">
        <w:rPr>
          <w:i/>
          <w:shd w:val="clear" w:color="auto" w:fill="FFFFFF"/>
        </w:rPr>
        <w:t xml:space="preserve"> </w:t>
      </w:r>
      <w:r w:rsidRPr="0033346C">
        <w:rPr>
          <w:shd w:val="clear" w:color="auto" w:fill="FFFFFF"/>
        </w:rPr>
        <w:t xml:space="preserve">a "disagreement" under </w:t>
      </w:r>
      <w:r>
        <w:t>Article </w:t>
      </w:r>
      <w:r w:rsidRPr="0033346C">
        <w:t>21.5 as to the consistency with the WTO agreements of a measure taken to comply "arises from the existence of conflicting views: the original complainant</w:t>
      </w:r>
      <w:r>
        <w:t>'</w:t>
      </w:r>
      <w:r w:rsidRPr="0033346C">
        <w:t>s view that such a measure is inconsistent with the WTO agreements or brings about only partial compliance, and the original respondent</w:t>
      </w:r>
      <w:r>
        <w:t>'</w:t>
      </w:r>
      <w:r w:rsidRPr="0033346C">
        <w:t>s view that a mea</w:t>
      </w:r>
      <w:r>
        <w:t>sure is consistent with the WTO </w:t>
      </w:r>
      <w:r w:rsidRPr="0033346C">
        <w:t>agreements and brings about full compliance with the DSB's recommendations and rulings".</w:t>
      </w:r>
      <w:r w:rsidRPr="0033346C">
        <w:rPr>
          <w:rStyle w:val="FootnoteReference"/>
        </w:rPr>
        <w:footnoteReference w:id="90"/>
      </w:r>
      <w:r w:rsidRPr="0033346C">
        <w:t xml:space="preserve"> </w:t>
      </w:r>
      <w:r>
        <w:t>Article </w:t>
      </w:r>
      <w:r w:rsidRPr="0033346C">
        <w:t xml:space="preserve">21.5 does not indicate which party may initiate proceedings under this provision. Rather, the language of the provision is neutral on this matter and it is open to either party to refer the matter to </w:t>
      </w:r>
      <w:r>
        <w:t>a compliance</w:t>
      </w:r>
      <w:r w:rsidRPr="0033346C">
        <w:t xml:space="preserve"> panel to resolve </w:t>
      </w:r>
      <w:r w:rsidRPr="0033346C">
        <w:rPr>
          <w:shd w:val="clear" w:color="auto" w:fill="FFFFFF"/>
        </w:rPr>
        <w:t>a disagreement as to the existence or consistency with a covered agreement of measures taken to comply</w:t>
      </w:r>
      <w:r w:rsidRPr="0033346C">
        <w:t>.</w:t>
      </w:r>
      <w:r w:rsidRPr="0033346C">
        <w:rPr>
          <w:rStyle w:val="FootnoteReference"/>
        </w:rPr>
        <w:footnoteReference w:id="91"/>
      </w:r>
      <w:r w:rsidRPr="0033346C">
        <w:t xml:space="preserve"> The text of </w:t>
      </w:r>
      <w:r>
        <w:t>Article </w:t>
      </w:r>
      <w:r w:rsidRPr="0033346C">
        <w:t xml:space="preserve">21.5, therefore, does not preclude an original respondent from initiating proceedings under </w:t>
      </w:r>
      <w:r>
        <w:t>this</w:t>
      </w:r>
      <w:r w:rsidRPr="0033346C">
        <w:t xml:space="preserve"> provision to obtain confirmation of the WTO-consistency of its implementing measures.</w:t>
      </w:r>
      <w:r w:rsidRPr="0033346C">
        <w:rPr>
          <w:rStyle w:val="FootnoteReference"/>
        </w:rPr>
        <w:footnoteReference w:id="92"/>
      </w:r>
      <w:r w:rsidRPr="0033346C">
        <w:t xml:space="preserve"> </w:t>
      </w:r>
    </w:p>
    <w:p w:rsidR="00933169" w:rsidRPr="0033346C" w:rsidRDefault="00933169" w:rsidP="00DC4FDF">
      <w:pPr>
        <w:pStyle w:val="BodyText"/>
        <w:rPr>
          <w:shd w:val="clear" w:color="auto" w:fill="FFFFFF"/>
        </w:rPr>
      </w:pPr>
      <w:r>
        <w:t>Article </w:t>
      </w:r>
      <w:r w:rsidRPr="0033346C">
        <w:t xml:space="preserve">6.2 of the DSU is </w:t>
      </w:r>
      <w:r>
        <w:t>"</w:t>
      </w:r>
      <w:r w:rsidRPr="0033346C">
        <w:t>generally applicable</w:t>
      </w:r>
      <w:r>
        <w:t>"</w:t>
      </w:r>
      <w:r w:rsidRPr="0033346C">
        <w:t xml:space="preserve"> to panel requests under </w:t>
      </w:r>
      <w:r>
        <w:t>Article </w:t>
      </w:r>
      <w:r w:rsidRPr="0033346C">
        <w:t>21.5.</w:t>
      </w:r>
      <w:r w:rsidRPr="0033346C">
        <w:rPr>
          <w:vertAlign w:val="superscript"/>
        </w:rPr>
        <w:footnoteReference w:id="93"/>
      </w:r>
      <w:r w:rsidRPr="0033346C">
        <w:t xml:space="preserve"> </w:t>
      </w:r>
      <w:r>
        <w:rPr>
          <w:shd w:val="clear" w:color="auto" w:fill="FFFFFF"/>
        </w:rPr>
        <w:t>Article </w:t>
      </w:r>
      <w:r w:rsidRPr="0033346C">
        <w:rPr>
          <w:shd w:val="clear" w:color="auto" w:fill="FFFFFF"/>
        </w:rPr>
        <w:t>21.5</w:t>
      </w:r>
      <w:r>
        <w:rPr>
          <w:shd w:val="clear" w:color="auto" w:fill="FFFFFF"/>
        </w:rPr>
        <w:t>, for its part,</w:t>
      </w:r>
      <w:r w:rsidRPr="0033346C">
        <w:rPr>
          <w:shd w:val="clear" w:color="auto" w:fill="FFFFFF"/>
        </w:rPr>
        <w:t xml:space="preserve"> expressly links the measures taken to comply </w:t>
      </w:r>
      <w:r>
        <w:rPr>
          <w:shd w:val="clear" w:color="auto" w:fill="FFFFFF"/>
        </w:rPr>
        <w:t>with</w:t>
      </w:r>
      <w:r w:rsidRPr="0033346C">
        <w:rPr>
          <w:shd w:val="clear" w:color="auto" w:fill="FFFFFF"/>
        </w:rPr>
        <w:t xml:space="preserve"> the recommendations and rulings of the DSB.</w:t>
      </w:r>
      <w:r w:rsidRPr="0033346C">
        <w:rPr>
          <w:rStyle w:val="FootnoteReference"/>
          <w:shd w:val="clear" w:color="auto" w:fill="FFFFFF"/>
        </w:rPr>
        <w:footnoteReference w:id="94"/>
      </w:r>
      <w:r>
        <w:rPr>
          <w:shd w:val="clear" w:color="auto" w:fill="FFFFFF"/>
        </w:rPr>
        <w:t xml:space="preserve"> I</w:t>
      </w:r>
      <w:r w:rsidRPr="0033346C">
        <w:rPr>
          <w:shd w:val="clear" w:color="auto" w:fill="FFFFFF"/>
        </w:rPr>
        <w:t xml:space="preserve">n carrying out its adjudicatory function, </w:t>
      </w:r>
      <w:r w:rsidRPr="0033346C">
        <w:t>the task of a</w:t>
      </w:r>
      <w:r>
        <w:t xml:space="preserve"> </w:t>
      </w:r>
      <w:r w:rsidRPr="0033346C">
        <w:t xml:space="preserve">panel </w:t>
      </w:r>
      <w:r>
        <w:t>under Article </w:t>
      </w:r>
      <w:r w:rsidRPr="0033346C">
        <w:t xml:space="preserve">21.5 is to decide "disputes" arising out of any "disagreement as to the existence </w:t>
      </w:r>
      <w:r>
        <w:t>or</w:t>
      </w:r>
      <w:r w:rsidRPr="0033346C">
        <w:t xml:space="preserve"> consistency with a covered agreement of measures taken to comply with the recommendations and rulings". By virtue of </w:t>
      </w:r>
      <w:r>
        <w:t>Article </w:t>
      </w:r>
      <w:r w:rsidRPr="0033346C">
        <w:t xml:space="preserve">11 of the DSU, which also governs proceedings under </w:t>
      </w:r>
      <w:r>
        <w:t>Article </w:t>
      </w:r>
      <w:r w:rsidRPr="0033346C">
        <w:t>21.5,</w:t>
      </w:r>
      <w:r>
        <w:t xml:space="preserve"> </w:t>
      </w:r>
      <w:r w:rsidRPr="0033346C">
        <w:t xml:space="preserve">the task of </w:t>
      </w:r>
      <w:r>
        <w:t>a compliance</w:t>
      </w:r>
      <w:r w:rsidRPr="0033346C">
        <w:t xml:space="preserve"> panel is to "examine fully"</w:t>
      </w:r>
      <w:r>
        <w:t>,</w:t>
      </w:r>
      <w:r w:rsidRPr="0033346C">
        <w:t xml:space="preserve"> and in an objective manner</w:t>
      </w:r>
      <w:r>
        <w:t>,</w:t>
      </w:r>
      <w:r w:rsidRPr="0033346C">
        <w:t xml:space="preserve"> the </w:t>
      </w:r>
      <w:r>
        <w:t>issues raised by the parties</w:t>
      </w:r>
      <w:r w:rsidRPr="0033346C">
        <w:t>.</w:t>
      </w:r>
      <w:r w:rsidRPr="0033346C">
        <w:rPr>
          <w:rStyle w:val="FootnoteReference"/>
        </w:rPr>
        <w:footnoteReference w:id="95"/>
      </w:r>
      <w:r w:rsidRPr="0033346C">
        <w:t xml:space="preserve"> </w:t>
      </w:r>
      <w:r>
        <w:t>Much like i</w:t>
      </w:r>
      <w:r w:rsidRPr="0033346C">
        <w:t xml:space="preserve">t is for </w:t>
      </w:r>
      <w:r>
        <w:t>the</w:t>
      </w:r>
      <w:r w:rsidRPr="0033346C">
        <w:t xml:space="preserve"> </w:t>
      </w:r>
      <w:r>
        <w:t>Article </w:t>
      </w:r>
      <w:r w:rsidRPr="0033346C">
        <w:t xml:space="preserve">21.5 panel – and not for the complainant or the </w:t>
      </w:r>
      <w:r w:rsidRPr="0033346C">
        <w:lastRenderedPageBreak/>
        <w:t>respondent – to determine whether a particular measure is one "taken to comply"</w:t>
      </w:r>
      <w:r w:rsidRPr="0033346C">
        <w:rPr>
          <w:rStyle w:val="FootnoteReference"/>
        </w:rPr>
        <w:footnoteReference w:id="96"/>
      </w:r>
      <w:r>
        <w:t>,</w:t>
      </w:r>
      <w:r w:rsidRPr="0033346C">
        <w:t xml:space="preserve"> </w:t>
      </w:r>
      <w:r>
        <w:t>i</w:t>
      </w:r>
      <w:r w:rsidRPr="0033346C">
        <w:t xml:space="preserve">t is also for the </w:t>
      </w:r>
      <w:r>
        <w:t>Article </w:t>
      </w:r>
      <w:r w:rsidRPr="0033346C">
        <w:t xml:space="preserve">21.5 panel, and not for either party, to determine whether an objectively identifiable "disagreement" exists between the parties. </w:t>
      </w:r>
      <w:r>
        <w:t xml:space="preserve">Thus, a </w:t>
      </w:r>
      <w:r w:rsidRPr="0033346C">
        <w:t xml:space="preserve">panel </w:t>
      </w:r>
      <w:r>
        <w:t>under Article 21.5 must carry out its objective assessment of</w:t>
      </w:r>
      <w:r w:rsidRPr="0033346C">
        <w:t xml:space="preserve"> the existence and WTO-consistency of measures taken to comply in light of the arguments and evidence placed </w:t>
      </w:r>
      <w:r>
        <w:t xml:space="preserve">before it </w:t>
      </w:r>
      <w:r w:rsidRPr="0033346C">
        <w:t xml:space="preserve">by the parties </w:t>
      </w:r>
      <w:r>
        <w:t>and the relevant recommendations and rulings of the DSB</w:t>
      </w:r>
      <w:r w:rsidRPr="0033346C">
        <w:t xml:space="preserve">. </w:t>
      </w:r>
    </w:p>
    <w:p w:rsidR="00933169" w:rsidRPr="0033346C" w:rsidRDefault="00933169" w:rsidP="00DC4FDF">
      <w:pPr>
        <w:pStyle w:val="BodyText"/>
      </w:pPr>
      <w:r w:rsidRPr="0033346C">
        <w:t xml:space="preserve">With these considerations in mind, we begin by examining the </w:t>
      </w:r>
      <w:r>
        <w:t>European Union</w:t>
      </w:r>
      <w:r w:rsidRPr="0033346C">
        <w:t xml:space="preserve">'s claim that the Panel erred in its interpretation of </w:t>
      </w:r>
      <w:r>
        <w:t>Article </w:t>
      </w:r>
      <w:r w:rsidRPr="0033346C">
        <w:t xml:space="preserve">21.5 of the DSU by qualifying the right of an original respondent to seek adjudication of a disagreement regarding the WTO-consistency of a measure taken to comply to scenarios where each of the following three conditions is met: (i) </w:t>
      </w:r>
      <w:r>
        <w:t>the</w:t>
      </w:r>
      <w:r w:rsidRPr="0033346C">
        <w:t xml:space="preserve"> original respondent initiates </w:t>
      </w:r>
      <w:r>
        <w:t>Article </w:t>
      </w:r>
      <w:r w:rsidRPr="0033346C">
        <w:t xml:space="preserve">21.5 proceedings; (ii) the original complainant refuses to participate in such proceedings; and (iii) the original complainant has already suspended concessions vis-à-vis the original respondent in accordance with </w:t>
      </w:r>
      <w:r>
        <w:t>Article </w:t>
      </w:r>
      <w:r w:rsidRPr="0033346C">
        <w:t>22 of the DSU.</w:t>
      </w:r>
      <w:r w:rsidRPr="0033346C">
        <w:rPr>
          <w:rStyle w:val="FootnoteReference"/>
        </w:rPr>
        <w:footnoteReference w:id="97"/>
      </w:r>
      <w:r w:rsidRPr="0033346C">
        <w:t xml:space="preserve"> </w:t>
      </w:r>
    </w:p>
    <w:p w:rsidR="00933169" w:rsidRPr="0033346C" w:rsidRDefault="00933169" w:rsidP="00DC4FDF">
      <w:pPr>
        <w:pStyle w:val="BodyText"/>
      </w:pPr>
      <w:r w:rsidRPr="0033346C">
        <w:t xml:space="preserve">Contrary to what the </w:t>
      </w:r>
      <w:r>
        <w:t>European Union</w:t>
      </w:r>
      <w:r w:rsidRPr="0033346C">
        <w:t xml:space="preserve"> suggests, we do not consider that the Panel dismissed the </w:t>
      </w:r>
      <w:r>
        <w:t>European Union</w:t>
      </w:r>
      <w:r w:rsidRPr="0033346C">
        <w:t xml:space="preserve">'s request for findings on the basis of an alleged failure to meet the three "conditions" discussed by the </w:t>
      </w:r>
      <w:r>
        <w:t>Appellate Body</w:t>
      </w:r>
      <w:r w:rsidRPr="0033346C">
        <w:t xml:space="preserve"> in </w:t>
      </w:r>
      <w:r w:rsidRPr="0033346C">
        <w:rPr>
          <w:i/>
        </w:rPr>
        <w:t>US – Continued Suspension / Canada – Continued Suspension</w:t>
      </w:r>
      <w:r w:rsidRPr="0033346C">
        <w:t>.</w:t>
      </w:r>
      <w:r w:rsidRPr="0033346C">
        <w:rPr>
          <w:rStyle w:val="FootnoteReference"/>
        </w:rPr>
        <w:footnoteReference w:id="98"/>
      </w:r>
      <w:r w:rsidRPr="0033346C">
        <w:t xml:space="preserve"> Instead, the Panel declined to rule on the WTO-consistency of the two measures at issue because it found that "there </w:t>
      </w:r>
      <w:r>
        <w:t>{was}</w:t>
      </w:r>
      <w:r w:rsidRPr="0033346C">
        <w:t xml:space="preserve"> no relevant disagreement between the parties' to resolve".</w:t>
      </w:r>
      <w:r w:rsidRPr="0033346C">
        <w:rPr>
          <w:rStyle w:val="FootnoteReference"/>
        </w:rPr>
        <w:footnoteReference w:id="99"/>
      </w:r>
      <w:r w:rsidRPr="0033346C">
        <w:t xml:space="preserve"> In doing so, the Panel distinguished between the issues arising in the present case and those in </w:t>
      </w:r>
      <w:r w:rsidRPr="0033346C">
        <w:rPr>
          <w:i/>
        </w:rPr>
        <w:t>US ‒ Continued Suspension / Canada – Continued Suspension</w:t>
      </w:r>
      <w:r w:rsidRPr="0033346C">
        <w:t>.</w:t>
      </w:r>
      <w:r w:rsidRPr="0033346C">
        <w:rPr>
          <w:rStyle w:val="FootnoteReference"/>
        </w:rPr>
        <w:footnoteReference w:id="100"/>
      </w:r>
      <w:r w:rsidRPr="0033346C">
        <w:t xml:space="preserve"> We do not consider that the Panel's reasoning distinguishing the present case from the specific situation addressed by the </w:t>
      </w:r>
      <w:r>
        <w:t>Appellate Body in those disputes</w:t>
      </w:r>
      <w:r w:rsidRPr="0033346C">
        <w:t xml:space="preserve"> should be understood as qualifying the rights of parties to have recourse to compliance proceedings by interpreting </w:t>
      </w:r>
      <w:r>
        <w:t>Article </w:t>
      </w:r>
      <w:r w:rsidRPr="0033346C">
        <w:t xml:space="preserve">21.5 in the manner suggested by the </w:t>
      </w:r>
      <w:r>
        <w:t>European Union</w:t>
      </w:r>
      <w:r w:rsidRPr="0033346C">
        <w:t xml:space="preserve">. As we </w:t>
      </w:r>
      <w:r>
        <w:t xml:space="preserve">have </w:t>
      </w:r>
      <w:r w:rsidRPr="0033346C">
        <w:t xml:space="preserve">discussed above, under a proper interpretation of </w:t>
      </w:r>
      <w:r>
        <w:t>Article </w:t>
      </w:r>
      <w:r w:rsidRPr="0033346C">
        <w:t xml:space="preserve">21.5, it is open to either party to refer the matter to </w:t>
      </w:r>
      <w:r>
        <w:t xml:space="preserve">a compliance </w:t>
      </w:r>
      <w:r w:rsidRPr="0033346C">
        <w:t xml:space="preserve">panel </w:t>
      </w:r>
      <w:r>
        <w:t>under this provision</w:t>
      </w:r>
      <w:r w:rsidRPr="0033346C">
        <w:t xml:space="preserve"> to resolve </w:t>
      </w:r>
      <w:r w:rsidRPr="0033346C">
        <w:rPr>
          <w:shd w:val="clear" w:color="auto" w:fill="FFFFFF"/>
        </w:rPr>
        <w:t xml:space="preserve">a disagreement as to the existence or consistency with a covered agreement of </w:t>
      </w:r>
      <w:r>
        <w:rPr>
          <w:shd w:val="clear" w:color="auto" w:fill="FFFFFF"/>
        </w:rPr>
        <w:t xml:space="preserve">a </w:t>
      </w:r>
      <w:r w:rsidR="00D506D0">
        <w:rPr>
          <w:shd w:val="clear" w:color="auto" w:fill="FFFFFF"/>
        </w:rPr>
        <w:t>measure taken to </w:t>
      </w:r>
      <w:r w:rsidRPr="0033346C">
        <w:rPr>
          <w:shd w:val="clear" w:color="auto" w:fill="FFFFFF"/>
        </w:rPr>
        <w:t>comply</w:t>
      </w:r>
      <w:r w:rsidRPr="0033346C">
        <w:t>.</w:t>
      </w:r>
      <w:r w:rsidRPr="0033346C">
        <w:rPr>
          <w:rStyle w:val="FootnoteReference"/>
        </w:rPr>
        <w:footnoteReference w:id="101"/>
      </w:r>
    </w:p>
    <w:p w:rsidR="00933169" w:rsidRPr="0033346C" w:rsidRDefault="00933169" w:rsidP="00DC4FDF">
      <w:pPr>
        <w:pStyle w:val="BodyText"/>
      </w:pPr>
      <w:r w:rsidRPr="0033346C">
        <w:t xml:space="preserve">The </w:t>
      </w:r>
      <w:r>
        <w:t>European Union</w:t>
      </w:r>
      <w:r w:rsidRPr="0033346C">
        <w:t xml:space="preserve"> further submits that the Panel erred in its application of </w:t>
      </w:r>
      <w:r>
        <w:t>Article </w:t>
      </w:r>
      <w:r w:rsidRPr="0033346C">
        <w:t xml:space="preserve">21.5 of the DSU in finding that there was no "disagreement" between the parties, within the meaning of </w:t>
      </w:r>
      <w:r>
        <w:t>this</w:t>
      </w:r>
      <w:r w:rsidRPr="0033346C">
        <w:t xml:space="preserve"> provision, with respect to the Mühlenberger Loch and Bremen Airport measures.</w:t>
      </w:r>
      <w:r w:rsidRPr="0033346C">
        <w:rPr>
          <w:rStyle w:val="FootnoteReference"/>
        </w:rPr>
        <w:footnoteReference w:id="102"/>
      </w:r>
      <w:r w:rsidRPr="0033346C">
        <w:t xml:space="preserve"> According to the </w:t>
      </w:r>
      <w:r>
        <w:t>European Union</w:t>
      </w:r>
      <w:r w:rsidRPr="0033346C">
        <w:t>, a disagreement in respect of the two measures taken to comply existed, and continues to exist, between the parties in the present dispute.</w:t>
      </w:r>
      <w:r w:rsidRPr="0033346C">
        <w:rPr>
          <w:rStyle w:val="FootnoteReference"/>
        </w:rPr>
        <w:footnoteReference w:id="103"/>
      </w:r>
      <w:r w:rsidRPr="0033346C">
        <w:t xml:space="preserve"> First, the </w:t>
      </w:r>
      <w:r>
        <w:t>European Union</w:t>
      </w:r>
      <w:r w:rsidRPr="0033346C">
        <w:t xml:space="preserve"> </w:t>
      </w:r>
      <w:r w:rsidRPr="00A453EC">
        <w:t>refers to its Compliance Communication, identifying</w:t>
      </w:r>
      <w:r w:rsidRPr="0033346C">
        <w:t xml:space="preserve"> the measures it took to comply concerning the Mühlenberger Loch and Bremen Airport measures. </w:t>
      </w:r>
      <w:r>
        <w:t>Recalling that those measures</w:t>
      </w:r>
      <w:r w:rsidRPr="0033346C">
        <w:t xml:space="preserve"> were included in the </w:t>
      </w:r>
      <w:r>
        <w:t>United States</w:t>
      </w:r>
      <w:r w:rsidRPr="0033346C">
        <w:t xml:space="preserve">' </w:t>
      </w:r>
      <w:r w:rsidRPr="00406D1E">
        <w:t>compliance panel</w:t>
      </w:r>
      <w:r>
        <w:t xml:space="preserve"> request</w:t>
      </w:r>
      <w:r w:rsidRPr="0033346C">
        <w:rPr>
          <w:rStyle w:val="FootnoteReference"/>
        </w:rPr>
        <w:footnoteReference w:id="104"/>
      </w:r>
      <w:r w:rsidRPr="0033346C">
        <w:t xml:space="preserve">, the </w:t>
      </w:r>
      <w:r>
        <w:t>European Union</w:t>
      </w:r>
      <w:r w:rsidRPr="0033346C">
        <w:t xml:space="preserve"> submits that </w:t>
      </w:r>
      <w:r>
        <w:t>this is</w:t>
      </w:r>
      <w:r w:rsidRPr="0033346C">
        <w:t xml:space="preserve"> </w:t>
      </w:r>
      <w:r>
        <w:t xml:space="preserve">indicative </w:t>
      </w:r>
      <w:r>
        <w:lastRenderedPageBreak/>
        <w:t>of</w:t>
      </w:r>
      <w:r w:rsidRPr="0033346C">
        <w:t xml:space="preserve"> a "disagreement" within the meaning of </w:t>
      </w:r>
      <w:r>
        <w:t>Article </w:t>
      </w:r>
      <w:r w:rsidRPr="0033346C">
        <w:t>21.5.</w:t>
      </w:r>
      <w:r w:rsidRPr="0033346C">
        <w:rPr>
          <w:rStyle w:val="FootnoteReference"/>
        </w:rPr>
        <w:footnoteReference w:id="105"/>
      </w:r>
      <w:r w:rsidRPr="0033346C">
        <w:t xml:space="preserve"> Second, the </w:t>
      </w:r>
      <w:r>
        <w:t>European Union</w:t>
      </w:r>
      <w:r w:rsidRPr="0033346C">
        <w:t xml:space="preserve"> submits that the parties' </w:t>
      </w:r>
      <w:r>
        <w:t xml:space="preserve">written </w:t>
      </w:r>
      <w:r w:rsidRPr="0033346C">
        <w:t xml:space="preserve">submissions to the Panel also evidence "conflicting views" as to whether the two measures at issue achieved withdrawal of the </w:t>
      </w:r>
      <w:r>
        <w:t xml:space="preserve">respective </w:t>
      </w:r>
      <w:r w:rsidRPr="0033346C">
        <w:t>subsidies.</w:t>
      </w:r>
      <w:r w:rsidRPr="0033346C">
        <w:rPr>
          <w:rStyle w:val="FootnoteReference"/>
        </w:rPr>
        <w:footnoteReference w:id="106"/>
      </w:r>
    </w:p>
    <w:p w:rsidR="00933169" w:rsidRPr="0033346C" w:rsidRDefault="00933169" w:rsidP="00DC4FDF">
      <w:pPr>
        <w:pStyle w:val="BodyText"/>
      </w:pPr>
      <w:r w:rsidRPr="0033346C">
        <w:t xml:space="preserve">The </w:t>
      </w:r>
      <w:r>
        <w:t>United States</w:t>
      </w:r>
      <w:r w:rsidRPr="0033346C">
        <w:t xml:space="preserve"> responds that the Bremen Airport measure was not included in its </w:t>
      </w:r>
      <w:r w:rsidRPr="00406D1E">
        <w:t>compliance panel request</w:t>
      </w:r>
      <w:r w:rsidRPr="0033346C">
        <w:t xml:space="preserve"> as one of the measures </w:t>
      </w:r>
      <w:r>
        <w:t>on which</w:t>
      </w:r>
      <w:r w:rsidRPr="0033346C">
        <w:t xml:space="preserve"> the </w:t>
      </w:r>
      <w:r>
        <w:t>United States</w:t>
      </w:r>
      <w:r w:rsidRPr="0033346C">
        <w:t xml:space="preserve"> requested the Panel to rule.</w:t>
      </w:r>
      <w:r w:rsidRPr="0033346C">
        <w:rPr>
          <w:rStyle w:val="FootnoteReference"/>
        </w:rPr>
        <w:footnoteReference w:id="107"/>
      </w:r>
      <w:r w:rsidRPr="0033346C">
        <w:t xml:space="preserve"> Even assuming that the Bremen Airport measure was properly included in the </w:t>
      </w:r>
      <w:r>
        <w:t>United States</w:t>
      </w:r>
      <w:r w:rsidRPr="00406D1E">
        <w:t>' compliance panel request</w:t>
      </w:r>
      <w:r w:rsidRPr="0033346C">
        <w:t xml:space="preserve">, we note that, in its first written submission to the Panel, the </w:t>
      </w:r>
      <w:r>
        <w:t>United States</w:t>
      </w:r>
      <w:r w:rsidRPr="0033346C">
        <w:t xml:space="preserve"> made it clear that it </w:t>
      </w:r>
      <w:r>
        <w:t>was</w:t>
      </w:r>
      <w:r w:rsidRPr="0033346C">
        <w:t xml:space="preserve"> </w:t>
      </w:r>
      <w:r>
        <w:t>"</w:t>
      </w:r>
      <w:r w:rsidRPr="0033346C">
        <w:t>not challenging t</w:t>
      </w:r>
      <w:r w:rsidR="0020771B">
        <w:t>he EU's compliance with the DSB </w:t>
      </w:r>
      <w:r w:rsidRPr="0033346C">
        <w:t xml:space="preserve">recommendations and rulings with regard to {the infrastructure-related subsidy for the Bremen </w:t>
      </w:r>
      <w:r>
        <w:t>A</w:t>
      </w:r>
      <w:r w:rsidRPr="0033346C">
        <w:t>irport runway}"</w:t>
      </w:r>
      <w:r w:rsidRPr="0033346C">
        <w:rPr>
          <w:rStyle w:val="FootnoteReference"/>
        </w:rPr>
        <w:footnoteReference w:id="108"/>
      </w:r>
      <w:r>
        <w:t>,</w:t>
      </w:r>
      <w:r w:rsidRPr="0033346C">
        <w:t xml:space="preserve"> </w:t>
      </w:r>
      <w:r>
        <w:t>nor "</w:t>
      </w:r>
      <w:r w:rsidRPr="0033346C">
        <w:t>the EU's removal of the Bremen Airport runway subsidy."</w:t>
      </w:r>
      <w:r w:rsidRPr="0033346C">
        <w:rPr>
          <w:rStyle w:val="FootnoteReference"/>
        </w:rPr>
        <w:footnoteReference w:id="109"/>
      </w:r>
      <w:r w:rsidR="0020771B">
        <w:t xml:space="preserve"> At </w:t>
      </w:r>
      <w:r>
        <w:t xml:space="preserve">the </w:t>
      </w:r>
      <w:r w:rsidRPr="0033346C">
        <w:t>oral hearing</w:t>
      </w:r>
      <w:r>
        <w:t xml:space="preserve"> in these appellate proceedings</w:t>
      </w:r>
      <w:r w:rsidRPr="0033346C">
        <w:t xml:space="preserve">, the </w:t>
      </w:r>
      <w:r>
        <w:t>United States</w:t>
      </w:r>
      <w:r w:rsidRPr="0033346C">
        <w:t xml:space="preserve"> confirmed its position that the </w:t>
      </w:r>
      <w:r>
        <w:t>European Union</w:t>
      </w:r>
      <w:r w:rsidRPr="0033346C">
        <w:t xml:space="preserve"> ha</w:t>
      </w:r>
      <w:r>
        <w:t>d</w:t>
      </w:r>
      <w:r w:rsidRPr="0033346C">
        <w:t xml:space="preserve"> taken action with regard to the subsidy arising out of the Bremen Airport measure in a way that ceased its adverse effects and</w:t>
      </w:r>
      <w:r>
        <w:t xml:space="preserve"> that the European Union</w:t>
      </w:r>
      <w:r w:rsidRPr="0033346C">
        <w:t xml:space="preserve"> ha</w:t>
      </w:r>
      <w:r>
        <w:t>d therefore</w:t>
      </w:r>
      <w:r w:rsidRPr="0033346C">
        <w:t xml:space="preserve"> "withdrawn" </w:t>
      </w:r>
      <w:r>
        <w:t>that</w:t>
      </w:r>
      <w:r w:rsidRPr="0033346C">
        <w:t xml:space="preserve"> subsidy.</w:t>
      </w:r>
      <w:r w:rsidRPr="0033346C">
        <w:rPr>
          <w:rStyle w:val="FootnoteReference"/>
        </w:rPr>
        <w:footnoteReference w:id="110"/>
      </w:r>
      <w:r w:rsidRPr="0033346C">
        <w:t xml:space="preserve"> </w:t>
      </w:r>
      <w:r>
        <w:t>In light of its statements before the Panel</w:t>
      </w:r>
      <w:r w:rsidRPr="0033346C">
        <w:t>,</w:t>
      </w:r>
      <w:r>
        <w:t xml:space="preserve"> as confirmed by it on appeal,</w:t>
      </w:r>
      <w:r w:rsidRPr="0033346C">
        <w:t xml:space="preserve"> we understand the </w:t>
      </w:r>
      <w:r>
        <w:t>United States</w:t>
      </w:r>
      <w:r w:rsidRPr="0033346C">
        <w:t xml:space="preserve"> to have clarified that it is not challenging the </w:t>
      </w:r>
      <w:r>
        <w:t>European Union</w:t>
      </w:r>
      <w:r w:rsidRPr="0033346C">
        <w:t xml:space="preserve">'s compliance regarding the Bremen Airport measure and it is not making any claim in respect of that measure. </w:t>
      </w:r>
    </w:p>
    <w:p w:rsidR="00933169" w:rsidRPr="0033346C" w:rsidRDefault="00933169" w:rsidP="00DC4FDF">
      <w:pPr>
        <w:pStyle w:val="BodyText"/>
      </w:pPr>
      <w:r w:rsidRPr="0033346C">
        <w:t xml:space="preserve">Turning to the Mühlenberger Loch measure, the </w:t>
      </w:r>
      <w:r>
        <w:t>United States</w:t>
      </w:r>
      <w:r w:rsidRPr="0033346C">
        <w:t xml:space="preserve"> does not dispute that this measure was expressly included in its </w:t>
      </w:r>
      <w:r w:rsidRPr="00406D1E">
        <w:t>compliance panel request</w:t>
      </w:r>
      <w:r w:rsidRPr="0033346C">
        <w:t xml:space="preserve"> as one of the measures </w:t>
      </w:r>
      <w:r>
        <w:t>on which it was seeking findings</w:t>
      </w:r>
      <w:r w:rsidRPr="0033346C">
        <w:t>.</w:t>
      </w:r>
      <w:r w:rsidRPr="0033346C">
        <w:rPr>
          <w:rStyle w:val="FootnoteReference"/>
        </w:rPr>
        <w:footnoteReference w:id="111"/>
      </w:r>
      <w:r w:rsidRPr="0033346C">
        <w:t xml:space="preserve"> We note that, unlike the Bremen Airport measure, the </w:t>
      </w:r>
      <w:r>
        <w:t>United States</w:t>
      </w:r>
      <w:r w:rsidRPr="0033346C">
        <w:t xml:space="preserve"> </w:t>
      </w:r>
      <w:r>
        <w:t xml:space="preserve">initially </w:t>
      </w:r>
      <w:r w:rsidRPr="0033346C">
        <w:t>pursue</w:t>
      </w:r>
      <w:r>
        <w:t>d</w:t>
      </w:r>
      <w:r w:rsidRPr="0033346C">
        <w:t xml:space="preserve"> its claim with respect to the Mühlenberger Loch measure in its first written submission to the Panel.</w:t>
      </w:r>
      <w:r w:rsidRPr="0033346C">
        <w:rPr>
          <w:rStyle w:val="FootnoteReference"/>
        </w:rPr>
        <w:footnoteReference w:id="112"/>
      </w:r>
      <w:r w:rsidRPr="0033346C">
        <w:t xml:space="preserve"> Subsequently, however, the </w:t>
      </w:r>
      <w:r>
        <w:t>United States</w:t>
      </w:r>
      <w:r w:rsidRPr="0033346C">
        <w:t xml:space="preserve"> clarified that it </w:t>
      </w:r>
      <w:r>
        <w:t>was "</w:t>
      </w:r>
      <w:r w:rsidR="0020771B">
        <w:t>not </w:t>
      </w:r>
      <w:r w:rsidRPr="0033346C">
        <w:t xml:space="preserve">pursuing its claim with regard to </w:t>
      </w:r>
      <w:r>
        <w:t>{that}</w:t>
      </w:r>
      <w:r w:rsidRPr="0033346C">
        <w:t xml:space="preserve"> measure at </w:t>
      </w:r>
      <w:r>
        <w:t>{that}</w:t>
      </w:r>
      <w:r w:rsidRPr="0033346C">
        <w:t xml:space="preserve"> time</w:t>
      </w:r>
      <w:r w:rsidRPr="0033346C">
        <w:rPr>
          <w:rStyle w:val="FootnoteReference"/>
        </w:rPr>
        <w:footnoteReference w:id="113"/>
      </w:r>
      <w:r w:rsidRPr="0033346C">
        <w:t xml:space="preserve"> and stated that "the only subsidies that the EU ha</w:t>
      </w:r>
      <w:r>
        <w:t>{d}</w:t>
      </w:r>
      <w:r w:rsidRPr="0033346C">
        <w:t xml:space="preserve"> withdrawn </w:t>
      </w:r>
      <w:r>
        <w:t>{were}</w:t>
      </w:r>
      <w:r w:rsidRPr="0033346C">
        <w:t xml:space="preserve"> the discounted fee for the use of the Bremen runway and the below-market rental terms for the Mühlenberger Loch site."</w:t>
      </w:r>
      <w:r w:rsidRPr="0033346C">
        <w:rPr>
          <w:rStyle w:val="FootnoteReference"/>
        </w:rPr>
        <w:footnoteReference w:id="114"/>
      </w:r>
      <w:r w:rsidRPr="0033346C">
        <w:t xml:space="preserve"> </w:t>
      </w:r>
    </w:p>
    <w:p w:rsidR="00933169" w:rsidRPr="00FE41CD" w:rsidRDefault="00933169" w:rsidP="00DC4FDF">
      <w:pPr>
        <w:pStyle w:val="BodyText"/>
      </w:pPr>
      <w:r w:rsidRPr="0033346C">
        <w:t xml:space="preserve">On appeal, in support of its position that the parties' "disagreement" with respect to the Mühlenberger Loch </w:t>
      </w:r>
      <w:r>
        <w:t>measure</w:t>
      </w:r>
      <w:r w:rsidRPr="0033346C">
        <w:t xml:space="preserve"> continued to exist during the course of the </w:t>
      </w:r>
      <w:r>
        <w:t>P</w:t>
      </w:r>
      <w:r w:rsidRPr="0033346C">
        <w:t xml:space="preserve">anel proceedings, the </w:t>
      </w:r>
      <w:r>
        <w:t>European Union</w:t>
      </w:r>
      <w:r w:rsidRPr="0033346C">
        <w:t xml:space="preserve"> relies on the heading of a section of the </w:t>
      </w:r>
      <w:r>
        <w:t>United States</w:t>
      </w:r>
      <w:r w:rsidRPr="0033346C">
        <w:t>' second written submission to the Panel, which reads as follows: "</w:t>
      </w:r>
      <w:r>
        <w:t>T</w:t>
      </w:r>
      <w:r w:rsidRPr="0033346C">
        <w:t>he modifications to the Mühlenberger Loch lease did not make the terms consistent with the market and, therefore, failed to withdraw the subsidy".</w:t>
      </w:r>
      <w:r w:rsidRPr="0033346C">
        <w:rPr>
          <w:rStyle w:val="FootnoteReference"/>
        </w:rPr>
        <w:footnoteReference w:id="115"/>
      </w:r>
      <w:r>
        <w:t xml:space="preserve"> While the </w:t>
      </w:r>
      <w:r w:rsidRPr="0033346C">
        <w:t>text</w:t>
      </w:r>
      <w:r>
        <w:t xml:space="preserve"> of the heading</w:t>
      </w:r>
      <w:r w:rsidRPr="0033346C">
        <w:t xml:space="preserve">, when considered in isolation, may suggest that the </w:t>
      </w:r>
      <w:r>
        <w:t xml:space="preserve">United States </w:t>
      </w:r>
      <w:r w:rsidRPr="0033346C">
        <w:t xml:space="preserve">continued to take issue with the Mühlenberger Loch measure, we note that </w:t>
      </w:r>
      <w:r>
        <w:t>in t</w:t>
      </w:r>
      <w:r w:rsidRPr="0033346C">
        <w:t xml:space="preserve">he section </w:t>
      </w:r>
      <w:r>
        <w:t xml:space="preserve">following </w:t>
      </w:r>
      <w:r w:rsidRPr="0033346C">
        <w:t xml:space="preserve">that </w:t>
      </w:r>
      <w:r>
        <w:t>heading</w:t>
      </w:r>
      <w:r w:rsidRPr="0033346C">
        <w:t xml:space="preserve"> the </w:t>
      </w:r>
      <w:r>
        <w:t>United States</w:t>
      </w:r>
      <w:r w:rsidRPr="0033346C">
        <w:t xml:space="preserve"> </w:t>
      </w:r>
      <w:r>
        <w:t>clarified that it was "</w:t>
      </w:r>
      <w:r w:rsidRPr="0033346C">
        <w:t xml:space="preserve">not pursuing its claim with regard to </w:t>
      </w:r>
      <w:r>
        <w:t>{that}</w:t>
      </w:r>
      <w:r w:rsidRPr="0033346C">
        <w:t xml:space="preserve"> measure at </w:t>
      </w:r>
      <w:r>
        <w:t>{that}</w:t>
      </w:r>
      <w:r w:rsidRPr="0033346C">
        <w:t xml:space="preserve"> time".</w:t>
      </w:r>
      <w:r w:rsidRPr="0033346C">
        <w:rPr>
          <w:rStyle w:val="FootnoteReference"/>
        </w:rPr>
        <w:footnoteReference w:id="116"/>
      </w:r>
      <w:r w:rsidRPr="0033346C">
        <w:t xml:space="preserve"> We understand the </w:t>
      </w:r>
      <w:r>
        <w:t>United States</w:t>
      </w:r>
      <w:r w:rsidRPr="0033346C">
        <w:t xml:space="preserve"> therefore to have </w:t>
      </w:r>
      <w:r>
        <w:t>abandoned</w:t>
      </w:r>
      <w:r w:rsidRPr="0033346C">
        <w:t xml:space="preserve"> its claim in respect of the Mühlenberger Loch measure as of its second written submission to the Panel. We also note in this regard that the </w:t>
      </w:r>
      <w:r>
        <w:t>European Union</w:t>
      </w:r>
      <w:r w:rsidRPr="0033346C">
        <w:t xml:space="preserve"> acknowledged before the Panel that "{t}he </w:t>
      </w:r>
      <w:r>
        <w:t>United States</w:t>
      </w:r>
      <w:r w:rsidRPr="0033346C">
        <w:t xml:space="preserve"> agree</w:t>
      </w:r>
      <w:r>
        <w:t>{d}</w:t>
      </w:r>
      <w:r w:rsidRPr="0033346C">
        <w:t xml:space="preserve"> </w:t>
      </w:r>
      <w:r w:rsidRPr="00EE23E7">
        <w:t>with respect to the measures involving take-off and landing fees at Bremen Airport and the lease agreement for the land in the Mühlenberger Loch in Hamburg."</w:t>
      </w:r>
      <w:r w:rsidRPr="0036120C">
        <w:rPr>
          <w:rStyle w:val="FootnoteReference"/>
        </w:rPr>
        <w:footnoteReference w:id="117"/>
      </w:r>
      <w:r w:rsidRPr="0036120C">
        <w:t xml:space="preserve"> </w:t>
      </w:r>
    </w:p>
    <w:p w:rsidR="00933169" w:rsidRPr="00FE41CD" w:rsidRDefault="00933169" w:rsidP="00DC4FDF">
      <w:pPr>
        <w:pStyle w:val="BodyText"/>
      </w:pPr>
      <w:r w:rsidRPr="00FE41CD">
        <w:t xml:space="preserve">It was only during the </w:t>
      </w:r>
      <w:r>
        <w:t>i</w:t>
      </w:r>
      <w:r w:rsidRPr="00FE41CD">
        <w:t xml:space="preserve">nterim </w:t>
      </w:r>
      <w:r>
        <w:t>r</w:t>
      </w:r>
      <w:r w:rsidRPr="00FE41CD">
        <w:t xml:space="preserve">eview stage of the </w:t>
      </w:r>
      <w:r>
        <w:t>P</w:t>
      </w:r>
      <w:r w:rsidRPr="00FE41CD">
        <w:t xml:space="preserve">anel proceedings that the </w:t>
      </w:r>
      <w:r>
        <w:t>European Union</w:t>
      </w:r>
      <w:r w:rsidRPr="00FE41CD">
        <w:t xml:space="preserve"> requested the Panel to make findings with respect to the Bremen Airport and Mühlenberger Loch measures. Asking the Panel to reject the </w:t>
      </w:r>
      <w:r>
        <w:t>European Union</w:t>
      </w:r>
      <w:r w:rsidRPr="00FE41CD">
        <w:t xml:space="preserve">'s request made </w:t>
      </w:r>
      <w:r w:rsidRPr="00FE41CD">
        <w:lastRenderedPageBreak/>
        <w:t xml:space="preserve">during the </w:t>
      </w:r>
      <w:r>
        <w:t>i</w:t>
      </w:r>
      <w:r w:rsidRPr="00FE41CD">
        <w:t xml:space="preserve">nterim </w:t>
      </w:r>
      <w:r>
        <w:t>r</w:t>
      </w:r>
      <w:r w:rsidRPr="00FE41CD">
        <w:t xml:space="preserve">eview stage, the </w:t>
      </w:r>
      <w:r>
        <w:t>United States</w:t>
      </w:r>
      <w:r w:rsidRPr="00FE41CD">
        <w:t xml:space="preserve"> reaffirmed that it was not pursuing the claims with respect to </w:t>
      </w:r>
      <w:r>
        <w:t>those two</w:t>
      </w:r>
      <w:r w:rsidRPr="00FE41CD">
        <w:t xml:space="preserve"> measures.</w:t>
      </w:r>
      <w:r w:rsidRPr="00FE41CD">
        <w:rPr>
          <w:rStyle w:val="FootnoteReference"/>
        </w:rPr>
        <w:footnoteReference w:id="118"/>
      </w:r>
      <w:r w:rsidRPr="00FE41CD">
        <w:t xml:space="preserve"> The </w:t>
      </w:r>
      <w:r>
        <w:t>United States</w:t>
      </w:r>
      <w:r w:rsidRPr="00FE41CD">
        <w:t xml:space="preserve"> confirmed at the first session of the oral hearing in </w:t>
      </w:r>
      <w:r>
        <w:t>these appellate proceedings</w:t>
      </w:r>
      <w:r w:rsidRPr="00FE41CD">
        <w:t xml:space="preserve"> that it considered the </w:t>
      </w:r>
      <w:r>
        <w:t>European Union</w:t>
      </w:r>
      <w:r w:rsidRPr="00FE41CD">
        <w:t xml:space="preserve"> to have "withdrawn" the subsidy arising out of the Mühlenberger Loch measure in a way that ceased its adverse effects.</w:t>
      </w:r>
      <w:r w:rsidRPr="00FE41CD">
        <w:rPr>
          <w:rStyle w:val="FootnoteReference"/>
        </w:rPr>
        <w:footnoteReference w:id="119"/>
      </w:r>
    </w:p>
    <w:p w:rsidR="00933169" w:rsidRPr="00FE41CD" w:rsidRDefault="00933169" w:rsidP="00DC4FDF">
      <w:pPr>
        <w:pStyle w:val="BodyText"/>
      </w:pPr>
      <w:r w:rsidRPr="00FE41CD">
        <w:t xml:space="preserve">As discussed above, a </w:t>
      </w:r>
      <w:r w:rsidRPr="00FE41CD">
        <w:rPr>
          <w:shd w:val="clear" w:color="auto" w:fill="FFFFFF"/>
        </w:rPr>
        <w:t xml:space="preserve">"disagreement" under </w:t>
      </w:r>
      <w:r>
        <w:t>Article </w:t>
      </w:r>
      <w:r w:rsidRPr="00FE41CD">
        <w:t xml:space="preserve">21.5 as </w:t>
      </w:r>
      <w:r>
        <w:t>to the consistency with the WTO </w:t>
      </w:r>
      <w:r w:rsidRPr="00FE41CD">
        <w:t>agreements of a measure taken to comply "arises from the exis</w:t>
      </w:r>
      <w:r w:rsidR="0020771B">
        <w:t>tence of conflicting views: the </w:t>
      </w:r>
      <w:r w:rsidRPr="00FE41CD">
        <w:t>original complainant</w:t>
      </w:r>
      <w:r>
        <w:t>'</w:t>
      </w:r>
      <w:r w:rsidRPr="00FE41CD">
        <w:t>s view that such a measure is inconsistent with the WTO agreements or brings about only partial compliance, and the original respondent</w:t>
      </w:r>
      <w:r>
        <w:t>'</w:t>
      </w:r>
      <w:r w:rsidRPr="00FE41CD">
        <w:t>s view that a measure is consistent with the WTO agreements and brings about full compliance with the DSB</w:t>
      </w:r>
      <w:r>
        <w:t>'</w:t>
      </w:r>
      <w:r w:rsidR="00560553">
        <w:t>s </w:t>
      </w:r>
      <w:r w:rsidRPr="00FE41CD">
        <w:t>recommendations and rulings".</w:t>
      </w:r>
      <w:r w:rsidRPr="00FE41CD">
        <w:rPr>
          <w:rStyle w:val="FootnoteReference"/>
        </w:rPr>
        <w:footnoteReference w:id="120"/>
      </w:r>
      <w:r w:rsidRPr="00FE41CD">
        <w:t xml:space="preserve"> In accordance with </w:t>
      </w:r>
      <w:r>
        <w:t>Article </w:t>
      </w:r>
      <w:r w:rsidRPr="00FE41CD">
        <w:t xml:space="preserve">11 of the DSU, it is for the panel to determine whether an objectively identifiable "disagreement" within the meaning of </w:t>
      </w:r>
      <w:r>
        <w:t>Article </w:t>
      </w:r>
      <w:r w:rsidRPr="00FE41CD">
        <w:t>21.5 exists between the parties.</w:t>
      </w:r>
    </w:p>
    <w:p w:rsidR="00933169" w:rsidRPr="0033346C" w:rsidRDefault="00933169" w:rsidP="00DC4FDF">
      <w:pPr>
        <w:pStyle w:val="BodyText"/>
      </w:pPr>
      <w:r>
        <w:t>B</w:t>
      </w:r>
      <w:r w:rsidRPr="00FE41CD">
        <w:t>y including the Bremen Airport and Mühlenberger</w:t>
      </w:r>
      <w:r w:rsidRPr="0033346C">
        <w:t xml:space="preserve"> Loch measures in its Compliance Communication, </w:t>
      </w:r>
      <w:r>
        <w:t>the European Union</w:t>
      </w:r>
      <w:r w:rsidRPr="00FE41CD">
        <w:t xml:space="preserve"> </w:t>
      </w:r>
      <w:r w:rsidRPr="0033346C">
        <w:t xml:space="preserve">took the view that </w:t>
      </w:r>
      <w:r>
        <w:t>those</w:t>
      </w:r>
      <w:r w:rsidRPr="0033346C">
        <w:t xml:space="preserve"> measures are consistent with the WTO agreements and </w:t>
      </w:r>
      <w:r>
        <w:t>brought</w:t>
      </w:r>
      <w:r w:rsidRPr="0033346C">
        <w:t xml:space="preserve"> the </w:t>
      </w:r>
      <w:r>
        <w:t>European Union</w:t>
      </w:r>
      <w:r w:rsidRPr="0033346C">
        <w:t xml:space="preserve"> into full compliance with the relevant recommendations and rulings by the DSB. It is our understanding, based on a collective reading of its representations before the Panel, that the </w:t>
      </w:r>
      <w:r>
        <w:t>United States</w:t>
      </w:r>
      <w:r w:rsidRPr="0033346C">
        <w:t xml:space="preserve"> did not take issue with or challenge this view held by the </w:t>
      </w:r>
      <w:r>
        <w:t>European Union</w:t>
      </w:r>
      <w:r w:rsidRPr="0033346C">
        <w:t>.</w:t>
      </w:r>
      <w:r w:rsidRPr="0033346C">
        <w:rPr>
          <w:rStyle w:val="FootnoteReference"/>
        </w:rPr>
        <w:footnoteReference w:id="121"/>
      </w:r>
      <w:r w:rsidRPr="0033346C">
        <w:t xml:space="preserve"> Thus, in light of the </w:t>
      </w:r>
      <w:r>
        <w:t>United States</w:t>
      </w:r>
      <w:r w:rsidRPr="0033346C">
        <w:t xml:space="preserve">' and </w:t>
      </w:r>
      <w:r>
        <w:t>European Union</w:t>
      </w:r>
      <w:r w:rsidRPr="0033346C">
        <w:t>'s statements before it, the Panel, in our view, rightly found that there was no "</w:t>
      </w:r>
      <w:r w:rsidRPr="009076E2">
        <w:t xml:space="preserve">disagreement" for it to resolve within the meaning of </w:t>
      </w:r>
      <w:r>
        <w:t>Article </w:t>
      </w:r>
      <w:r w:rsidRPr="009076E2">
        <w:t>21.5 of the DSU.</w:t>
      </w:r>
      <w:r>
        <w:rPr>
          <w:rStyle w:val="FootnoteReference"/>
        </w:rPr>
        <w:footnoteReference w:id="122"/>
      </w:r>
      <w:r w:rsidRPr="009076E2">
        <w:t xml:space="preserve"> With the </w:t>
      </w:r>
      <w:r>
        <w:t>United States</w:t>
      </w:r>
      <w:r w:rsidRPr="009076E2">
        <w:t xml:space="preserve"> having</w:t>
      </w:r>
      <w:r w:rsidRPr="0033346C">
        <w:t xml:space="preserve"> clarified that it did not take issue with the Bremen Airport and Mühlenberger Loch measures</w:t>
      </w:r>
      <w:r>
        <w:rPr>
          <w:rStyle w:val="FootnoteReference"/>
        </w:rPr>
        <w:footnoteReference w:id="123"/>
      </w:r>
      <w:r w:rsidRPr="0033346C">
        <w:t xml:space="preserve">, the </w:t>
      </w:r>
      <w:r>
        <w:t>Panel</w:t>
      </w:r>
      <w:r w:rsidRPr="0033346C">
        <w:t xml:space="preserve"> </w:t>
      </w:r>
      <w:r>
        <w:t xml:space="preserve">was </w:t>
      </w:r>
      <w:r w:rsidRPr="0033346C">
        <w:t>not, under the</w:t>
      </w:r>
      <w:r>
        <w:t xml:space="preserve"> circumstances</w:t>
      </w:r>
      <w:r w:rsidRPr="0033346C">
        <w:t xml:space="preserve"> of the present case,</w:t>
      </w:r>
      <w:r>
        <w:t xml:space="preserve"> required</w:t>
      </w:r>
      <w:r w:rsidRPr="0033346C">
        <w:t xml:space="preserve"> to rule on the merits of </w:t>
      </w:r>
      <w:r>
        <w:t xml:space="preserve">the </w:t>
      </w:r>
      <w:r w:rsidRPr="0033346C">
        <w:t xml:space="preserve">claims of WTO-consistency and/or compliance in respect of the </w:t>
      </w:r>
      <w:r>
        <w:t xml:space="preserve">those two </w:t>
      </w:r>
      <w:r w:rsidRPr="0033346C">
        <w:t>measures.</w:t>
      </w:r>
    </w:p>
    <w:p w:rsidR="00933169" w:rsidRPr="00D34FDE" w:rsidRDefault="00933169" w:rsidP="00DC4FDF">
      <w:pPr>
        <w:pStyle w:val="BodyText"/>
      </w:pPr>
      <w:r w:rsidRPr="0033346C">
        <w:t xml:space="preserve">Finally, the </w:t>
      </w:r>
      <w:r>
        <w:t>European Union</w:t>
      </w:r>
      <w:r w:rsidRPr="0033346C">
        <w:t xml:space="preserve"> claims that the Panel acted inconsistently with </w:t>
      </w:r>
      <w:r>
        <w:t>Article </w:t>
      </w:r>
      <w:r w:rsidRPr="0033346C">
        <w:t xml:space="preserve">11 of the DSU by declining to assess whether the </w:t>
      </w:r>
      <w:r>
        <w:t>European Union</w:t>
      </w:r>
      <w:r w:rsidRPr="0033346C">
        <w:t xml:space="preserve"> ha</w:t>
      </w:r>
      <w:r>
        <w:t>d</w:t>
      </w:r>
      <w:r w:rsidRPr="0033346C">
        <w:t xml:space="preserve"> achieved withdrawal, within the meaning of </w:t>
      </w:r>
      <w:r>
        <w:t>Article </w:t>
      </w:r>
      <w:r w:rsidRPr="0033346C">
        <w:t xml:space="preserve">7.8 of the </w:t>
      </w:r>
      <w:r>
        <w:t>SCM Agreement</w:t>
      </w:r>
      <w:r w:rsidRPr="0033346C">
        <w:t>, in respect of the Mühlenberger Loch and Bremen Airport measures.</w:t>
      </w:r>
      <w:r w:rsidRPr="0033346C">
        <w:rPr>
          <w:rStyle w:val="FootnoteReference"/>
        </w:rPr>
        <w:footnoteReference w:id="124"/>
      </w:r>
      <w:r w:rsidRPr="0033346C">
        <w:t xml:space="preserve"> The </w:t>
      </w:r>
      <w:r>
        <w:t>European Union</w:t>
      </w:r>
      <w:r w:rsidRPr="0033346C">
        <w:t xml:space="preserve"> submits that a panel acts inconsistently with </w:t>
      </w:r>
      <w:r>
        <w:t>Article </w:t>
      </w:r>
      <w:r w:rsidRPr="0033346C">
        <w:t>11 of the DSU if it declines to exercise validly established jurisdiction on the matter before it.</w:t>
      </w:r>
      <w:r w:rsidRPr="0033346C">
        <w:rPr>
          <w:rStyle w:val="FootnoteReference"/>
        </w:rPr>
        <w:footnoteReference w:id="125"/>
      </w:r>
      <w:r w:rsidRPr="0033346C">
        <w:t xml:space="preserve"> Recalling its position that the "disagreement" between the parties continued to exist throughout the Panel proceedings, the </w:t>
      </w:r>
      <w:r>
        <w:t>European Union</w:t>
      </w:r>
      <w:r w:rsidRPr="0033346C">
        <w:t xml:space="preserve"> asserts that the "matter" relating to the two measures at issue was properly before the Panel and should have been addressed by</w:t>
      </w:r>
      <w:r w:rsidRPr="00D34FDE">
        <w:t xml:space="preserve"> it.</w:t>
      </w:r>
      <w:r w:rsidRPr="00D34FDE">
        <w:rPr>
          <w:rStyle w:val="FootnoteReference"/>
        </w:rPr>
        <w:footnoteReference w:id="126"/>
      </w:r>
      <w:r w:rsidRPr="00D34FDE">
        <w:t xml:space="preserve"> </w:t>
      </w:r>
    </w:p>
    <w:p w:rsidR="00933169" w:rsidRPr="00D34FDE" w:rsidRDefault="00933169" w:rsidP="00DC4FDF">
      <w:pPr>
        <w:pStyle w:val="BodyText"/>
      </w:pPr>
      <w:r w:rsidRPr="00D34FDE">
        <w:t xml:space="preserve">We agree with the </w:t>
      </w:r>
      <w:r>
        <w:t>European Union</w:t>
      </w:r>
      <w:r w:rsidRPr="00D34FDE">
        <w:t xml:space="preserve"> to the extent</w:t>
      </w:r>
      <w:r>
        <w:t xml:space="preserve"> that</w:t>
      </w:r>
      <w:r w:rsidRPr="00D34FDE">
        <w:t xml:space="preserve"> it suggests that a panel acts inconsistently with </w:t>
      </w:r>
      <w:r>
        <w:t>Article </w:t>
      </w:r>
      <w:r w:rsidRPr="00D34FDE">
        <w:t>11 of the DSU if it declines to exercise validly established jurisdiction.</w:t>
      </w:r>
      <w:r w:rsidRPr="00D34FDE">
        <w:rPr>
          <w:rStyle w:val="FootnoteReference"/>
        </w:rPr>
        <w:footnoteReference w:id="127"/>
      </w:r>
      <w:r w:rsidRPr="00D34FDE">
        <w:t xml:space="preserve"> It does not</w:t>
      </w:r>
      <w:r>
        <w:t>, however,</w:t>
      </w:r>
      <w:r w:rsidRPr="00D34FDE">
        <w:t xml:space="preserve"> follow from this that</w:t>
      </w:r>
      <w:r>
        <w:t>,</w:t>
      </w:r>
      <w:r w:rsidRPr="00D34FDE">
        <w:t xml:space="preserve"> once jurisdiction has been established,</w:t>
      </w:r>
      <w:r>
        <w:t xml:space="preserve"> </w:t>
      </w:r>
      <w:r w:rsidRPr="00D34FDE">
        <w:t>a panel is required to rule on the substantive merits of each of the claims before it.</w:t>
      </w:r>
      <w:r w:rsidRPr="00D34FDE">
        <w:rPr>
          <w:rStyle w:val="FootnoteReference"/>
        </w:rPr>
        <w:footnoteReference w:id="128"/>
      </w:r>
      <w:r w:rsidRPr="00D34FDE">
        <w:t xml:space="preserve"> In </w:t>
      </w:r>
      <w:r>
        <w:t>the present case</w:t>
      </w:r>
      <w:r w:rsidRPr="00D34FDE">
        <w:t>,</w:t>
      </w:r>
      <w:r>
        <w:t xml:space="preserve"> we have not found fault in the Panel's conclusion that there was no </w:t>
      </w:r>
      <w:r w:rsidRPr="00D34FDE">
        <w:t xml:space="preserve">"disagreement" between the parties with respect to the Bremen </w:t>
      </w:r>
      <w:r>
        <w:t>A</w:t>
      </w:r>
      <w:r w:rsidRPr="00D34FDE">
        <w:t>irport and Mühlenberger Loch measures.</w:t>
      </w:r>
      <w:r>
        <w:t xml:space="preserve"> In such circumstances,</w:t>
      </w:r>
      <w:r w:rsidRPr="00D34FDE">
        <w:t xml:space="preserve"> </w:t>
      </w:r>
      <w:r>
        <w:t xml:space="preserve">the Panel was not required to make findings on the existence and WTO-consistency </w:t>
      </w:r>
      <w:r>
        <w:lastRenderedPageBreak/>
        <w:t>of those measures,</w:t>
      </w:r>
      <w:r w:rsidRPr="00D34FDE">
        <w:t xml:space="preserve"> </w:t>
      </w:r>
      <w:r>
        <w:t xml:space="preserve">and </w:t>
      </w:r>
      <w:r w:rsidRPr="00D34FDE">
        <w:t>we</w:t>
      </w:r>
      <w:r>
        <w:t xml:space="preserve"> therefore</w:t>
      </w:r>
      <w:r w:rsidRPr="00D34FDE">
        <w:t xml:space="preserve"> do not consider that the Panel erred under</w:t>
      </w:r>
      <w:r w:rsidR="00B542A9">
        <w:t xml:space="preserve"> Article 11 of </w:t>
      </w:r>
      <w:r>
        <w:t>the </w:t>
      </w:r>
      <w:r w:rsidRPr="00D34FDE">
        <w:t>DSU.</w:t>
      </w:r>
    </w:p>
    <w:p w:rsidR="00933169" w:rsidRPr="00D34FDE" w:rsidRDefault="00933169" w:rsidP="00DC4FDF">
      <w:pPr>
        <w:pStyle w:val="BodyText"/>
      </w:pPr>
      <w:r w:rsidRPr="00D34FDE">
        <w:t xml:space="preserve">We further note that the Panel did not find that the </w:t>
      </w:r>
      <w:r>
        <w:t>European Union had acted in a WTO</w:t>
      </w:r>
      <w:r>
        <w:noBreakHyphen/>
        <w:t xml:space="preserve">inconsistent manner or failed to comply with its obligations under Article 7.8 of the SCM Agreement with respect to the </w:t>
      </w:r>
      <w:r w:rsidRPr="00D34FDE">
        <w:t xml:space="preserve">Bremen Airport and Mühlenberger Loch measures. In </w:t>
      </w:r>
      <w:r>
        <w:t>these circumstances</w:t>
      </w:r>
      <w:r w:rsidRPr="00D34FDE">
        <w:t xml:space="preserve">, </w:t>
      </w:r>
      <w:r>
        <w:t xml:space="preserve">we fail to see how </w:t>
      </w:r>
      <w:r w:rsidRPr="00D34FDE">
        <w:t xml:space="preserve">the </w:t>
      </w:r>
      <w:r>
        <w:t>United States</w:t>
      </w:r>
      <w:r w:rsidRPr="00D34FDE">
        <w:t xml:space="preserve"> could request authorization to take countermeasures pursuant to </w:t>
      </w:r>
      <w:r>
        <w:t>Article </w:t>
      </w:r>
      <w:r w:rsidRPr="00D34FDE">
        <w:t xml:space="preserve">7.9 of the </w:t>
      </w:r>
      <w:r>
        <w:t>SCM Agreement</w:t>
      </w:r>
      <w:r w:rsidRPr="00D34FDE">
        <w:t xml:space="preserve"> and </w:t>
      </w:r>
      <w:r>
        <w:t>Article </w:t>
      </w:r>
      <w:r w:rsidRPr="00D34FDE">
        <w:t>22 of the DSU</w:t>
      </w:r>
      <w:r w:rsidRPr="00D34FDE">
        <w:rPr>
          <w:rStyle w:val="FootnoteReference"/>
        </w:rPr>
        <w:footnoteReference w:id="129"/>
      </w:r>
      <w:r w:rsidRPr="00D34FDE">
        <w:t xml:space="preserve"> </w:t>
      </w:r>
      <w:r>
        <w:t>with respect to</w:t>
      </w:r>
      <w:r w:rsidRPr="00D34FDE">
        <w:t xml:space="preserve"> </w:t>
      </w:r>
      <w:r>
        <w:t xml:space="preserve">any effects flowing from such </w:t>
      </w:r>
      <w:r w:rsidRPr="00D34FDE">
        <w:t xml:space="preserve">measures. </w:t>
      </w:r>
      <w:r>
        <w:t>In this regard, we agree with the Panel</w:t>
      </w:r>
      <w:r w:rsidRPr="00D34FDE">
        <w:t xml:space="preserve"> that "the </w:t>
      </w:r>
      <w:r>
        <w:t>United States</w:t>
      </w:r>
      <w:r w:rsidRPr="00D34FDE">
        <w:t xml:space="preserve"> would not be entitled to request the suspension of concessions or other obligations under the covered agreements in relation {to} the M</w:t>
      </w:r>
      <w:r w:rsidR="00B542A9">
        <w:t>ühlenberger Loch and the Bremen </w:t>
      </w:r>
      <w:r w:rsidRPr="00D34FDE">
        <w:t>Airport runway measures."</w:t>
      </w:r>
      <w:r w:rsidRPr="00D34FDE">
        <w:rPr>
          <w:vertAlign w:val="superscript"/>
        </w:rPr>
        <w:footnoteReference w:id="130"/>
      </w:r>
      <w:r w:rsidRPr="00D34FDE">
        <w:t xml:space="preserve"> </w:t>
      </w:r>
    </w:p>
    <w:p w:rsidR="00933169" w:rsidRPr="00933169" w:rsidRDefault="00933169" w:rsidP="00DC4FDF">
      <w:pPr>
        <w:pStyle w:val="BodyText"/>
      </w:pPr>
      <w:r w:rsidRPr="00D34FDE">
        <w:t xml:space="preserve">For these reasons, we </w:t>
      </w:r>
      <w:r w:rsidRPr="009C2940">
        <w:rPr>
          <w:u w:val="single"/>
        </w:rPr>
        <w:t>find</w:t>
      </w:r>
      <w:r w:rsidRPr="00D34FDE">
        <w:t xml:space="preserve"> that the Panel did not err </w:t>
      </w:r>
      <w:r>
        <w:t>by</w:t>
      </w:r>
      <w:r w:rsidRPr="00D34FDE">
        <w:t xml:space="preserve"> declining to </w:t>
      </w:r>
      <w:r>
        <w:t xml:space="preserve">make a finding as to </w:t>
      </w:r>
      <w:r w:rsidRPr="00D34FDE">
        <w:t xml:space="preserve">whether the </w:t>
      </w:r>
      <w:r>
        <w:t>European Union</w:t>
      </w:r>
      <w:r w:rsidRPr="00D34FDE">
        <w:t xml:space="preserve"> had achieved compliance with respect to the Mühlenberger Loch </w:t>
      </w:r>
      <w:r>
        <w:t xml:space="preserve">aircraft assembly site measure </w:t>
      </w:r>
      <w:r w:rsidRPr="00D34FDE">
        <w:t xml:space="preserve">and the Bremen Airport </w:t>
      </w:r>
      <w:r>
        <w:t>runway extension</w:t>
      </w:r>
      <w:r w:rsidRPr="00D34FDE">
        <w:t xml:space="preserve"> measure</w:t>
      </w:r>
      <w:r>
        <w:t>, and see no need to make further findings in respect of those measures</w:t>
      </w:r>
      <w:r w:rsidRPr="00D34FDE">
        <w:t>.</w:t>
      </w:r>
    </w:p>
    <w:p w:rsidR="0007161B" w:rsidRDefault="000A10EA" w:rsidP="00DC4FDF">
      <w:pPr>
        <w:pStyle w:val="Heading2"/>
        <w:rPr>
          <w:lang w:val="en-US"/>
        </w:rPr>
      </w:pPr>
      <w:bookmarkStart w:id="46" w:name="_Toc514059208"/>
      <w:r>
        <w:rPr>
          <w:lang w:val="en-US"/>
        </w:rPr>
        <w:t>Article </w:t>
      </w:r>
      <w:r w:rsidR="0007161B">
        <w:rPr>
          <w:lang w:val="en-US"/>
        </w:rPr>
        <w:t>3.1(</w:t>
      </w:r>
      <w:r w:rsidR="00F61C98">
        <w:rPr>
          <w:lang w:val="en-US"/>
        </w:rPr>
        <w:t>b</w:t>
      </w:r>
      <w:r w:rsidR="0007161B">
        <w:rPr>
          <w:lang w:val="en-US"/>
        </w:rPr>
        <w:t xml:space="preserve">) of the </w:t>
      </w:r>
      <w:r>
        <w:rPr>
          <w:lang w:val="en-US"/>
        </w:rPr>
        <w:t>SCM Agreement</w:t>
      </w:r>
      <w:bookmarkEnd w:id="46"/>
    </w:p>
    <w:p w:rsidR="0007161B" w:rsidRDefault="0007161B" w:rsidP="00DC4FDF">
      <w:pPr>
        <w:pStyle w:val="BodyText"/>
      </w:pPr>
      <w:r w:rsidRPr="003E7F09">
        <w:t xml:space="preserve">The </w:t>
      </w:r>
      <w:r w:rsidR="000A10EA">
        <w:t>United States</w:t>
      </w:r>
      <w:r w:rsidRPr="003E7F09">
        <w:t xml:space="preserve"> seeks review of the Panel's finding that </w:t>
      </w:r>
      <w:r>
        <w:t>it</w:t>
      </w:r>
      <w:r w:rsidRPr="003E7F09">
        <w:t xml:space="preserve"> failed to establish that the </w:t>
      </w:r>
      <w:r w:rsidRPr="00116504">
        <w:t>French, German, Spanish, and UK A350XWB LA/MSF contracts</w:t>
      </w:r>
      <w:r w:rsidRPr="003E7F09">
        <w:t xml:space="preserve"> </w:t>
      </w:r>
      <w:r>
        <w:t>are inconsistent with</w:t>
      </w:r>
      <w:r w:rsidRPr="003E7F09">
        <w:t xml:space="preserve"> </w:t>
      </w:r>
      <w:r w:rsidR="000A10EA">
        <w:t>Article </w:t>
      </w:r>
      <w:r w:rsidRPr="003E7F09">
        <w:t xml:space="preserve">3.1(b) of the </w:t>
      </w:r>
      <w:r w:rsidR="000A10EA">
        <w:t>SCM Agreement</w:t>
      </w:r>
      <w:r>
        <w:t xml:space="preserve"> because they grant subsidies contingent upon the use of domestic over imported goods</w:t>
      </w:r>
      <w:r w:rsidRPr="003E7F09">
        <w:t xml:space="preserve">. </w:t>
      </w:r>
      <w:r>
        <w:t>Should we</w:t>
      </w:r>
      <w:r w:rsidRPr="003E7F09">
        <w:t xml:space="preserve"> </w:t>
      </w:r>
      <w:r>
        <w:t xml:space="preserve">find that the Panel erred in its </w:t>
      </w:r>
      <w:r w:rsidRPr="003E7F09">
        <w:t xml:space="preserve">interpretation of </w:t>
      </w:r>
      <w:r w:rsidR="000A10EA">
        <w:t>Article </w:t>
      </w:r>
      <w:r w:rsidRPr="003E7F09">
        <w:t>3.1(b)</w:t>
      </w:r>
      <w:r>
        <w:t>,</w:t>
      </w:r>
      <w:r w:rsidRPr="003E7F09">
        <w:t xml:space="preserve"> then the </w:t>
      </w:r>
      <w:r w:rsidR="000A10EA">
        <w:t>United States</w:t>
      </w:r>
      <w:r w:rsidRPr="003E7F09">
        <w:t xml:space="preserve"> requests </w:t>
      </w:r>
      <w:r>
        <w:t>that we</w:t>
      </w:r>
      <w:r w:rsidRPr="003E7F09">
        <w:t xml:space="preserve"> reverse</w:t>
      </w:r>
      <w:r w:rsidRPr="003E7F09">
        <w:rPr>
          <w:i/>
        </w:rPr>
        <w:t xml:space="preserve"> </w:t>
      </w:r>
      <w:r w:rsidRPr="003E7F09">
        <w:t>the Panel's finding</w:t>
      </w:r>
      <w:r>
        <w:t>,</w:t>
      </w:r>
      <w:r w:rsidRPr="003E7F09">
        <w:t xml:space="preserve"> complete the </w:t>
      </w:r>
      <w:r>
        <w:t xml:space="preserve">legal </w:t>
      </w:r>
      <w:r w:rsidRPr="003E7F09">
        <w:t>analysis</w:t>
      </w:r>
      <w:r>
        <w:t>, and find</w:t>
      </w:r>
      <w:r w:rsidRPr="003E7F09">
        <w:rPr>
          <w:i/>
        </w:rPr>
        <w:t xml:space="preserve"> </w:t>
      </w:r>
      <w:r w:rsidRPr="003E7F09">
        <w:t xml:space="preserve">that </w:t>
      </w:r>
      <w:r>
        <w:t xml:space="preserve">the </w:t>
      </w:r>
      <w:r w:rsidRPr="003E7F09">
        <w:t>French, German, Spanish, and UK A350XWB LA/MSF</w:t>
      </w:r>
      <w:r>
        <w:t xml:space="preserve"> contracts grant</w:t>
      </w:r>
      <w:r w:rsidRPr="003E7F09">
        <w:t xml:space="preserve"> subsidies contingent </w:t>
      </w:r>
      <w:r>
        <w:t>upon</w:t>
      </w:r>
      <w:r w:rsidRPr="003E7F09">
        <w:t xml:space="preserve"> the use of domestic over imported goods with</w:t>
      </w:r>
      <w:r>
        <w:t>in the meaning of</w:t>
      </w:r>
      <w:r w:rsidRPr="003E7F09">
        <w:t xml:space="preserve"> </w:t>
      </w:r>
      <w:r w:rsidR="000A10EA">
        <w:t>Article </w:t>
      </w:r>
      <w:r w:rsidRPr="003E7F09">
        <w:t>3.1(b).</w:t>
      </w:r>
      <w:r w:rsidRPr="003E7F09">
        <w:rPr>
          <w:rStyle w:val="FootnoteReference"/>
        </w:rPr>
        <w:footnoteReference w:id="131"/>
      </w:r>
    </w:p>
    <w:p w:rsidR="0007161B" w:rsidRPr="003B0ABB" w:rsidRDefault="0007161B" w:rsidP="00DC4FDF">
      <w:pPr>
        <w:pStyle w:val="BodyText"/>
      </w:pPr>
      <w:r w:rsidRPr="00FA7FF3">
        <w:rPr>
          <w:szCs w:val="18"/>
        </w:rPr>
        <w:t xml:space="preserve">We begin by </w:t>
      </w:r>
      <w:r w:rsidRPr="00B42C3D">
        <w:t>summarizing the Panel's findings and the issues appealed</w:t>
      </w:r>
      <w:r>
        <w:t xml:space="preserve"> before turning to consider the </w:t>
      </w:r>
      <w:r w:rsidR="000A10EA">
        <w:t>United States</w:t>
      </w:r>
      <w:r>
        <w:t>' appeal of the Panel's analysis.</w:t>
      </w:r>
    </w:p>
    <w:p w:rsidR="0007161B" w:rsidRDefault="0007161B" w:rsidP="00DC4FDF">
      <w:pPr>
        <w:pStyle w:val="Heading3"/>
        <w:numPr>
          <w:ilvl w:val="2"/>
          <w:numId w:val="7"/>
        </w:numPr>
      </w:pPr>
      <w:bookmarkStart w:id="47" w:name="_Toc514059209"/>
      <w:r>
        <w:t>The Panel's findings</w:t>
      </w:r>
      <w:bookmarkEnd w:id="47"/>
    </w:p>
    <w:p w:rsidR="0007161B" w:rsidRPr="003E7F09" w:rsidRDefault="0007161B" w:rsidP="00DC4FDF">
      <w:pPr>
        <w:pStyle w:val="BodyText"/>
      </w:pPr>
      <w:r w:rsidRPr="003E7F09">
        <w:t xml:space="preserve">The </w:t>
      </w:r>
      <w:r w:rsidRPr="00FA7FF3">
        <w:rPr>
          <w:szCs w:val="18"/>
        </w:rPr>
        <w:t>Panel</w:t>
      </w:r>
      <w:r w:rsidRPr="003E7F09">
        <w:t xml:space="preserve"> </w:t>
      </w:r>
      <w:r>
        <w:t>began</w:t>
      </w:r>
      <w:r w:rsidRPr="003E7F09">
        <w:t xml:space="preserve"> by setting out the factual background, including the two general types of evidence on which the </w:t>
      </w:r>
      <w:r w:rsidR="000A10EA">
        <w:t>United States</w:t>
      </w:r>
      <w:r w:rsidRPr="003E7F09">
        <w:t xml:space="preserve"> based its argument under </w:t>
      </w:r>
      <w:r w:rsidR="000A10EA">
        <w:t>Article </w:t>
      </w:r>
      <w:r w:rsidRPr="003E7F09">
        <w:t>3.1(b)</w:t>
      </w:r>
      <w:r>
        <w:t xml:space="preserve"> of the </w:t>
      </w:r>
      <w:r w:rsidR="000A10EA">
        <w:t>SCM Agreement</w:t>
      </w:r>
      <w:r>
        <w:t>, namely:</w:t>
      </w:r>
      <w:r w:rsidRPr="00D22F37">
        <w:rPr>
          <w:i/>
        </w:rPr>
        <w:t xml:space="preserve"> </w:t>
      </w:r>
      <w:r>
        <w:t xml:space="preserve">(i) the </w:t>
      </w:r>
      <w:r w:rsidRPr="00B14A7D">
        <w:t>publicly available information</w:t>
      </w:r>
      <w:r w:rsidRPr="003E7F09">
        <w:t xml:space="preserve"> regarding the existence of the </w:t>
      </w:r>
      <w:r w:rsidRPr="00B14A7D">
        <w:t>Workshare Agreements</w:t>
      </w:r>
      <w:r>
        <w:t>;</w:t>
      </w:r>
      <w:r w:rsidRPr="003E7F09">
        <w:t xml:space="preserve"> and </w:t>
      </w:r>
      <w:r>
        <w:t xml:space="preserve">(ii) </w:t>
      </w:r>
      <w:r w:rsidRPr="003E7F09">
        <w:t xml:space="preserve">the terms of each </w:t>
      </w:r>
      <w:r>
        <w:t xml:space="preserve">of the </w:t>
      </w:r>
      <w:r w:rsidR="006C0918">
        <w:t>French, German, Spanish, and UK </w:t>
      </w:r>
      <w:r w:rsidRPr="003E7F09">
        <w:t>A350XWB LA/MSF contract</w:t>
      </w:r>
      <w:r>
        <w:t>s</w:t>
      </w:r>
      <w:r w:rsidRPr="003E7F09">
        <w:t>.</w:t>
      </w:r>
      <w:r w:rsidRPr="003E7F09">
        <w:rPr>
          <w:rStyle w:val="FootnoteReference"/>
        </w:rPr>
        <w:footnoteReference w:id="132"/>
      </w:r>
      <w:r w:rsidRPr="003E7F09">
        <w:t xml:space="preserve"> The Panel </w:t>
      </w:r>
      <w:r>
        <w:t>observed that</w:t>
      </w:r>
      <w:r w:rsidRPr="00DE2EE0">
        <w:t xml:space="preserve"> subsidy payments in all four contracts depend on the recipient incurring expenses arising from A350XWB development and production activities</w:t>
      </w:r>
      <w:r>
        <w:t>,</w:t>
      </w:r>
      <w:r w:rsidRPr="00DE2EE0">
        <w:t xml:space="preserve"> and </w:t>
      </w:r>
      <w:r>
        <w:t xml:space="preserve">that they </w:t>
      </w:r>
      <w:r w:rsidRPr="00DE2EE0">
        <w:t xml:space="preserve">require some, if not all, reimbursable expenses to arise from activities performed in the territory of the </w:t>
      </w:r>
      <w:r w:rsidRPr="009A0C95">
        <w:t>subsidy grantor</w:t>
      </w:r>
      <w:r>
        <w:t>. The Panel referred to this as</w:t>
      </w:r>
      <w:r w:rsidRPr="00DE2EE0">
        <w:t xml:space="preserve"> </w:t>
      </w:r>
      <w:r>
        <w:t xml:space="preserve">the </w:t>
      </w:r>
      <w:r>
        <w:lastRenderedPageBreak/>
        <w:t>"</w:t>
      </w:r>
      <w:r w:rsidR="00B542A9">
        <w:t>Domestic </w:t>
      </w:r>
      <w:r w:rsidRPr="00B14A7D">
        <w:t>A350XWB Development Contingency</w:t>
      </w:r>
      <w:r>
        <w:t>"</w:t>
      </w:r>
      <w:r w:rsidRPr="00DE2EE0">
        <w:t>.</w:t>
      </w:r>
      <w:r w:rsidR="00F61C98">
        <w:rPr>
          <w:rStyle w:val="FootnoteReference"/>
        </w:rPr>
        <w:footnoteReference w:id="133"/>
      </w:r>
      <w:r>
        <w:t xml:space="preserve"> The Panel also detected three other types of contingencies in the terms of the </w:t>
      </w:r>
      <w:r w:rsidRPr="00DE2EE0">
        <w:rPr>
          <w:b/>
        </w:rPr>
        <w:t>[</w:t>
      </w:r>
      <w:r w:rsidR="00C8434D" w:rsidRPr="00C8434D">
        <w:rPr>
          <w:b/>
          <w:szCs w:val="16"/>
        </w:rPr>
        <w:t>BCI</w:t>
      </w:r>
      <w:r w:rsidRPr="00DE2EE0">
        <w:rPr>
          <w:b/>
        </w:rPr>
        <w:t>]</w:t>
      </w:r>
      <w:r>
        <w:t xml:space="preserve"> contracts.</w:t>
      </w:r>
      <w:r w:rsidRPr="00DE2EE0">
        <w:rPr>
          <w:rStyle w:val="FootnoteReference"/>
        </w:rPr>
        <w:footnoteReference w:id="134"/>
      </w:r>
      <w:r w:rsidRPr="00DE2EE0">
        <w:t xml:space="preserve"> </w:t>
      </w:r>
      <w:r>
        <w:t>While the Panel observed that</w:t>
      </w:r>
      <w:r w:rsidRPr="003E7F09">
        <w:t xml:space="preserve"> none of the </w:t>
      </w:r>
      <w:r>
        <w:t>contracts</w:t>
      </w:r>
      <w:r w:rsidRPr="003E7F09">
        <w:t xml:space="preserve"> explicitly require</w:t>
      </w:r>
      <w:r>
        <w:t>d</w:t>
      </w:r>
      <w:r w:rsidRPr="003E7F09">
        <w:t xml:space="preserve"> </w:t>
      </w:r>
      <w:r>
        <w:t>"</w:t>
      </w:r>
      <w:r w:rsidRPr="003E7F09">
        <w:t>the use of domestic over imported goods"</w:t>
      </w:r>
      <w:r>
        <w:t>, it noted that they</w:t>
      </w:r>
      <w:r w:rsidRPr="003E7F09">
        <w:t xml:space="preserve"> </w:t>
      </w:r>
      <w:r>
        <w:t>could</w:t>
      </w:r>
      <w:r w:rsidRPr="003E7F09">
        <w:t xml:space="preserve"> nonetheless operate so as to require such use "whether alone or in combination</w:t>
      </w:r>
      <w:r>
        <w:t>"</w:t>
      </w:r>
      <w:r w:rsidRPr="003E7F09">
        <w:t>.</w:t>
      </w:r>
      <w:r w:rsidRPr="003E7F09">
        <w:rPr>
          <w:rStyle w:val="FootnoteReference"/>
        </w:rPr>
        <w:footnoteReference w:id="135"/>
      </w:r>
    </w:p>
    <w:p w:rsidR="0007161B" w:rsidRPr="003E7F09" w:rsidRDefault="0007161B" w:rsidP="00DC4FDF">
      <w:pPr>
        <w:pStyle w:val="BodyText"/>
      </w:pPr>
      <w:r>
        <w:t>T</w:t>
      </w:r>
      <w:r w:rsidRPr="003E7F09">
        <w:t xml:space="preserve">he Panel understood the </w:t>
      </w:r>
      <w:r w:rsidR="000A10EA">
        <w:t>United States</w:t>
      </w:r>
      <w:r w:rsidRPr="003E7F09">
        <w:t xml:space="preserve"> to argue that </w:t>
      </w:r>
      <w:r>
        <w:t xml:space="preserve">both </w:t>
      </w:r>
      <w:r w:rsidRPr="003E7F09">
        <w:t xml:space="preserve">the </w:t>
      </w:r>
      <w:r w:rsidRPr="00C37984">
        <w:t>publicly available information</w:t>
      </w:r>
      <w:r w:rsidRPr="003E7F09">
        <w:t xml:space="preserve"> and the terms of the </w:t>
      </w:r>
      <w:r w:rsidRPr="00B14A7D">
        <w:t>four</w:t>
      </w:r>
      <w:r>
        <w:t xml:space="preserve"> </w:t>
      </w:r>
      <w:r w:rsidRPr="003E7F09">
        <w:t xml:space="preserve">A350XWB LA/MSF contracts </w:t>
      </w:r>
      <w:r>
        <w:t>demonstrate</w:t>
      </w:r>
      <w:r w:rsidRPr="003E7F09">
        <w:t xml:space="preserve"> </w:t>
      </w:r>
      <w:r>
        <w:t>that "</w:t>
      </w:r>
      <w:r w:rsidRPr="003E7F09">
        <w:t xml:space="preserve">the A350XWB LA/MSF contracts are contingent </w:t>
      </w:r>
      <w:r w:rsidR="00F61C98">
        <w:t>{</w:t>
      </w:r>
      <w:r>
        <w:t>on</w:t>
      </w:r>
      <w:r w:rsidR="00F61C98">
        <w:t>}</w:t>
      </w:r>
      <w:r w:rsidRPr="003E7F09">
        <w:t xml:space="preserve"> the use of domestic over imported goods.</w:t>
      </w:r>
      <w:r>
        <w:t>"</w:t>
      </w:r>
      <w:r>
        <w:rPr>
          <w:rStyle w:val="FootnoteReference"/>
        </w:rPr>
        <w:footnoteReference w:id="136"/>
      </w:r>
      <w:r>
        <w:t xml:space="preserve"> However, the Panel found the publicly available information </w:t>
      </w:r>
      <w:r w:rsidRPr="003E7F09">
        <w:t xml:space="preserve">insufficient </w:t>
      </w:r>
      <w:r>
        <w:t>to</w:t>
      </w:r>
      <w:r w:rsidRPr="003E7F09">
        <w:t xml:space="preserve"> support the proposition that </w:t>
      </w:r>
      <w:r>
        <w:t xml:space="preserve">the </w:t>
      </w:r>
      <w:r w:rsidR="00B542A9">
        <w:t>Workshare </w:t>
      </w:r>
      <w:r w:rsidRPr="003E7F09">
        <w:t>Agreements exist</w:t>
      </w:r>
      <w:r>
        <w:t>ed</w:t>
      </w:r>
      <w:r w:rsidRPr="003E7F09">
        <w:t xml:space="preserve"> in a form distinct from the A350XWB LA/MSF contracts.</w:t>
      </w:r>
      <w:r w:rsidRPr="003E7F09">
        <w:rPr>
          <w:rStyle w:val="FootnoteReference"/>
        </w:rPr>
        <w:footnoteReference w:id="137"/>
      </w:r>
      <w:r w:rsidRPr="003E7F09">
        <w:t xml:space="preserve"> </w:t>
      </w:r>
      <w:r w:rsidR="00B542A9">
        <w:t>Turning </w:t>
      </w:r>
      <w:r>
        <w:t xml:space="preserve">to the terms of the </w:t>
      </w:r>
      <w:r w:rsidRPr="00B14A7D">
        <w:t>four</w:t>
      </w:r>
      <w:r>
        <w:t xml:space="preserve"> A350XWB LA/MSF contracts, t</w:t>
      </w:r>
      <w:r w:rsidRPr="003E7F09">
        <w:t xml:space="preserve">he Panel </w:t>
      </w:r>
      <w:r>
        <w:t xml:space="preserve">began by </w:t>
      </w:r>
      <w:r w:rsidRPr="003E7F09">
        <w:t>not</w:t>
      </w:r>
      <w:r>
        <w:t>ing</w:t>
      </w:r>
      <w:r w:rsidRPr="003E7F09">
        <w:t xml:space="preserve"> that a degree of consistency is called for in the interpretation</w:t>
      </w:r>
      <w:r w:rsidRPr="002C1F51">
        <w:t xml:space="preserve"> </w:t>
      </w:r>
      <w:r>
        <w:t xml:space="preserve">of </w:t>
      </w:r>
      <w:r w:rsidR="000A10EA">
        <w:t>Article</w:t>
      </w:r>
      <w:r w:rsidR="00C31A58">
        <w:t xml:space="preserve"> </w:t>
      </w:r>
      <w:r w:rsidRPr="003E7F09">
        <w:t>III of</w:t>
      </w:r>
      <w:r w:rsidR="00C31A58">
        <w:t xml:space="preserve"> </w:t>
      </w:r>
      <w:r w:rsidRPr="003E7F09">
        <w:t>the</w:t>
      </w:r>
      <w:r w:rsidR="00C31A58">
        <w:t xml:space="preserve"> </w:t>
      </w:r>
      <w:r w:rsidR="005C06FD">
        <w:t>General Agreement on Tariffs and Trade 1994 (</w:t>
      </w:r>
      <w:r w:rsidRPr="003E7F09">
        <w:t>GATT</w:t>
      </w:r>
      <w:r w:rsidR="00C31A58">
        <w:t xml:space="preserve"> </w:t>
      </w:r>
      <w:r w:rsidRPr="003E7F09">
        <w:t>1994</w:t>
      </w:r>
      <w:r w:rsidR="005C06FD">
        <w:t>)</w:t>
      </w:r>
      <w:r w:rsidRPr="003E7F09">
        <w:t xml:space="preserve"> and </w:t>
      </w:r>
      <w:r w:rsidR="000A10EA">
        <w:t>Article </w:t>
      </w:r>
      <w:r w:rsidRPr="003E7F09">
        <w:t>3.1(b)</w:t>
      </w:r>
      <w:r w:rsidR="00C31A58">
        <w:t xml:space="preserve"> </w:t>
      </w:r>
      <w:r w:rsidRPr="003E7F09">
        <w:t>of</w:t>
      </w:r>
      <w:r w:rsidR="00C31A58">
        <w:t xml:space="preserve"> </w:t>
      </w:r>
      <w:r w:rsidRPr="003E7F09">
        <w:t>the</w:t>
      </w:r>
      <w:r w:rsidR="00C31A58">
        <w:t xml:space="preserve"> </w:t>
      </w:r>
      <w:r w:rsidR="000A10EA">
        <w:t>SCM Agreement</w:t>
      </w:r>
      <w:r w:rsidRPr="003E7F09">
        <w:t>.</w:t>
      </w:r>
      <w:r w:rsidRPr="003E7F09">
        <w:rPr>
          <w:rStyle w:val="FootnoteReference"/>
        </w:rPr>
        <w:footnoteReference w:id="138"/>
      </w:r>
      <w:r w:rsidRPr="003E7F09">
        <w:t xml:space="preserve"> </w:t>
      </w:r>
      <w:r>
        <w:t xml:space="preserve">The Panel understood </w:t>
      </w:r>
      <w:r w:rsidR="000A10EA">
        <w:t>Article </w:t>
      </w:r>
      <w:r w:rsidR="00C31A58">
        <w:t xml:space="preserve">III:8(b) of the GATT 1994 to </w:t>
      </w:r>
      <w:r>
        <w:t>"suggest{}</w:t>
      </w:r>
      <w:r w:rsidRPr="003E7F09">
        <w:t xml:space="preserve"> that the act of granting subsidies to firms so long as they engage in domestic production activities, without more, should not be equated to making those subsidies contingent on the use of domestic over impo</w:t>
      </w:r>
      <w:r>
        <w:t xml:space="preserve">rted goods and hence prohibited" under </w:t>
      </w:r>
      <w:r w:rsidR="000A10EA">
        <w:t>Article </w:t>
      </w:r>
      <w:r>
        <w:t xml:space="preserve">3.1(b) of the </w:t>
      </w:r>
      <w:r w:rsidR="000A10EA">
        <w:t>SCM Agreement</w:t>
      </w:r>
      <w:r>
        <w:t>.</w:t>
      </w:r>
      <w:r w:rsidRPr="003E7F09">
        <w:rPr>
          <w:rStyle w:val="FootnoteReference"/>
        </w:rPr>
        <w:footnoteReference w:id="139"/>
      </w:r>
      <w:r>
        <w:t xml:space="preserve"> The Panel added</w:t>
      </w:r>
      <w:r w:rsidRPr="003E7F09">
        <w:t xml:space="preserve"> </w:t>
      </w:r>
      <w:r>
        <w:t xml:space="preserve">that </w:t>
      </w:r>
      <w:r w:rsidR="00B542A9">
        <w:t>"the </w:t>
      </w:r>
      <w:r w:rsidRPr="003E7F09">
        <w:t>practice of providing subsidies to firms only so long as they engage in domestic production activity</w:t>
      </w:r>
      <w:r>
        <w:t xml:space="preserve"> </w:t>
      </w:r>
      <w:r w:rsidRPr="003E7F09">
        <w:t xml:space="preserve">can and will many times </w:t>
      </w:r>
      <w:r>
        <w:t xml:space="preserve">… </w:t>
      </w:r>
      <w:r w:rsidRPr="003E7F09">
        <w:t>increase</w:t>
      </w:r>
      <w:r>
        <w:t>{}</w:t>
      </w:r>
      <w:r w:rsidRPr="003E7F09">
        <w:t xml:space="preserve"> consumption of domestic goods" </w:t>
      </w:r>
      <w:r>
        <w:t>thereby</w:t>
      </w:r>
      <w:r w:rsidRPr="003E7F09">
        <w:t xml:space="preserve"> "limit</w:t>
      </w:r>
      <w:r>
        <w:t>{ing}</w:t>
      </w:r>
      <w:r w:rsidRPr="003E7F09">
        <w:t xml:space="preserve"> competitive opportunities for relevant imported goods in certain markets".</w:t>
      </w:r>
      <w:r w:rsidRPr="003E7F09">
        <w:rPr>
          <w:rStyle w:val="FootnoteReference"/>
        </w:rPr>
        <w:footnoteReference w:id="140"/>
      </w:r>
      <w:r>
        <w:t xml:space="preserve"> T</w:t>
      </w:r>
      <w:r w:rsidRPr="003E7F09">
        <w:t xml:space="preserve">he Panel </w:t>
      </w:r>
      <w:r>
        <w:t>emphasized, however,</w:t>
      </w:r>
      <w:r w:rsidRPr="003E7F09">
        <w:t xml:space="preserve"> that "</w:t>
      </w:r>
      <w:r>
        <w:t>{</w:t>
      </w:r>
      <w:r w:rsidRPr="003E7F09">
        <w:t>s</w:t>
      </w:r>
      <w:r>
        <w:t>}</w:t>
      </w:r>
      <w:r w:rsidRPr="003E7F09">
        <w:t>ignificant problems</w:t>
      </w:r>
      <w:r w:rsidRPr="00DA0ECB">
        <w:t xml:space="preserve"> arise</w:t>
      </w:r>
      <w:r>
        <w:t xml:space="preserve"> …</w:t>
      </w:r>
      <w:r w:rsidRPr="00DA0ECB">
        <w:t xml:space="preserve"> if such alterations in the conditions of competition </w:t>
      </w:r>
      <w:r>
        <w:t>…</w:t>
      </w:r>
      <w:r w:rsidRPr="00DA0ECB">
        <w:t xml:space="preserve"> become the focus and determinant of whether a subsidy should be disciplined as being contingent on the use of domestic over imported</w:t>
      </w:r>
      <w:r>
        <w:t xml:space="preserve"> goods</w:t>
      </w:r>
      <w:r w:rsidRPr="003E7F09">
        <w:t>."</w:t>
      </w:r>
      <w:r w:rsidRPr="003E7F09">
        <w:rPr>
          <w:rStyle w:val="FootnoteReference"/>
        </w:rPr>
        <w:footnoteReference w:id="141"/>
      </w:r>
      <w:r>
        <w:t xml:space="preserve"> </w:t>
      </w:r>
    </w:p>
    <w:p w:rsidR="0007161B" w:rsidRPr="00A95E09" w:rsidRDefault="0007161B" w:rsidP="00DC4FDF">
      <w:pPr>
        <w:pStyle w:val="BodyText"/>
      </w:pPr>
      <w:r>
        <w:t xml:space="preserve">The Panel understood the </w:t>
      </w:r>
      <w:r w:rsidR="000A10EA">
        <w:t>United States</w:t>
      </w:r>
      <w:r>
        <w:t xml:space="preserve"> to argue that </w:t>
      </w:r>
      <w:r w:rsidRPr="003E7F09">
        <w:t xml:space="preserve">the A350XWB LA/MSF contracts are </w:t>
      </w:r>
      <w:r>
        <w:t>"</w:t>
      </w:r>
      <w:r w:rsidRPr="003E7F09">
        <w:t xml:space="preserve">contingent on the </w:t>
      </w:r>
      <w:r w:rsidRPr="00142140">
        <w:rPr>
          <w:i/>
        </w:rPr>
        <w:t>use</w:t>
      </w:r>
      <w:r w:rsidRPr="003E7F09">
        <w:t xml:space="preserve"> of domestic over imported goods</w:t>
      </w:r>
      <w:r>
        <w:t>" because they</w:t>
      </w:r>
      <w:r w:rsidRPr="003E7F09">
        <w:t xml:space="preserve"> condition </w:t>
      </w:r>
      <w:r>
        <w:t>"</w:t>
      </w:r>
      <w:r w:rsidRPr="003E7F09">
        <w:t xml:space="preserve">the A350XWB LA/MSF subsidies' receipt on the </w:t>
      </w:r>
      <w:r w:rsidRPr="00B14A7D">
        <w:rPr>
          <w:i/>
        </w:rPr>
        <w:t>production</w:t>
      </w:r>
      <w:r>
        <w:t xml:space="preserve"> of domestic </w:t>
      </w:r>
      <w:r w:rsidRPr="00B14A7D">
        <w:t>LCA</w:t>
      </w:r>
      <w:r>
        <w:t xml:space="preserve"> goods".</w:t>
      </w:r>
      <w:r>
        <w:rPr>
          <w:rStyle w:val="FootnoteReference"/>
        </w:rPr>
        <w:footnoteReference w:id="142"/>
      </w:r>
      <w:r>
        <w:t xml:space="preserve"> The Panel found that the </w:t>
      </w:r>
      <w:r w:rsidRPr="003E7F09">
        <w:t xml:space="preserve">discipline </w:t>
      </w:r>
      <w:r>
        <w:t xml:space="preserve">of </w:t>
      </w:r>
      <w:r w:rsidR="000A10EA">
        <w:t>Article </w:t>
      </w:r>
      <w:r>
        <w:t>3.1(b)</w:t>
      </w:r>
      <w:r w:rsidRPr="003E7F09">
        <w:t xml:space="preserve"> is </w:t>
      </w:r>
      <w:r>
        <w:t>"</w:t>
      </w:r>
      <w:r w:rsidRPr="003E7F09">
        <w:t>narrow and specific</w:t>
      </w:r>
      <w:r>
        <w:t>" and that it is</w:t>
      </w:r>
      <w:r w:rsidRPr="003E7F09">
        <w:t xml:space="preserve"> </w:t>
      </w:r>
      <w:r>
        <w:t>"</w:t>
      </w:r>
      <w:r w:rsidRPr="003E7F09">
        <w:t xml:space="preserve">activated by a subsidy that appropriates an entity's </w:t>
      </w:r>
      <w:r w:rsidRPr="00B14A7D">
        <w:t>judgment</w:t>
      </w:r>
      <w:r w:rsidRPr="003E7F09">
        <w:t xml:space="preserve"> by conditioning its receipt on that entity discriminating among inputs with respect to their domestic or imported nature, whether in law or in fact</w:t>
      </w:r>
      <w:r>
        <w:t>".</w:t>
      </w:r>
      <w:r w:rsidRPr="003E7F09">
        <w:rPr>
          <w:rStyle w:val="FootnoteReference"/>
        </w:rPr>
        <w:footnoteReference w:id="143"/>
      </w:r>
      <w:r>
        <w:t xml:space="preserve"> The Panel further found that "{n}</w:t>
      </w:r>
      <w:r w:rsidRPr="003E7F09">
        <w:t xml:space="preserve">one of the contingencies in the A350XWB LA/MSF contracts </w:t>
      </w:r>
      <w:r>
        <w:t>…</w:t>
      </w:r>
      <w:r w:rsidRPr="003E7F09">
        <w:t xml:space="preserve"> operate in this manner with respect to any entity.</w:t>
      </w:r>
      <w:r>
        <w:t>"</w:t>
      </w:r>
      <w:r w:rsidRPr="003E7F09">
        <w:rPr>
          <w:rStyle w:val="FootnoteReference"/>
        </w:rPr>
        <w:footnoteReference w:id="144"/>
      </w:r>
      <w:r>
        <w:t xml:space="preserve"> T</w:t>
      </w:r>
      <w:r w:rsidRPr="003E7F09">
        <w:t xml:space="preserve">he Panel </w:t>
      </w:r>
      <w:r>
        <w:t>thus found that</w:t>
      </w:r>
      <w:r w:rsidRPr="003E7F09">
        <w:t xml:space="preserve"> the </w:t>
      </w:r>
      <w:r w:rsidR="000A10EA">
        <w:t>United States</w:t>
      </w:r>
      <w:r w:rsidRPr="003E7F09">
        <w:t>' claim that the A350XWB LA/MSF subsidies</w:t>
      </w:r>
      <w:r>
        <w:t xml:space="preserve"> are prohibited subsidies under </w:t>
      </w:r>
      <w:r w:rsidRPr="003E7F09">
        <w:t>Articles 3.1(b) and 3.2 of the </w:t>
      </w:r>
      <w:r w:rsidR="000A10EA">
        <w:t>SCM Agreement</w:t>
      </w:r>
      <w:r>
        <w:t xml:space="preserve"> because they</w:t>
      </w:r>
      <w:r w:rsidRPr="003E7F09">
        <w:t xml:space="preserve"> are </w:t>
      </w:r>
      <w:r w:rsidRPr="00142140">
        <w:rPr>
          <w:i/>
        </w:rPr>
        <w:t>de jure</w:t>
      </w:r>
      <w:r w:rsidRPr="003E7F09">
        <w:t xml:space="preserve"> and/or </w:t>
      </w:r>
      <w:r w:rsidRPr="00142140">
        <w:rPr>
          <w:i/>
        </w:rPr>
        <w:t>de facto</w:t>
      </w:r>
      <w:r w:rsidRPr="003E7F09">
        <w:t xml:space="preserve"> contingent </w:t>
      </w:r>
      <w:r>
        <w:t>upon</w:t>
      </w:r>
      <w:r w:rsidRPr="003E7F09">
        <w:t xml:space="preserve"> the use of domestic over imported goods </w:t>
      </w:r>
      <w:r>
        <w:t>is unsupported by sufficient evidence and therefore fails</w:t>
      </w:r>
      <w:r w:rsidRPr="003E7F09">
        <w:t>.</w:t>
      </w:r>
      <w:r w:rsidRPr="003E7F09">
        <w:rPr>
          <w:rStyle w:val="FootnoteReference"/>
        </w:rPr>
        <w:footnoteReference w:id="145"/>
      </w:r>
    </w:p>
    <w:p w:rsidR="0007161B" w:rsidRPr="00860C45" w:rsidRDefault="0007161B" w:rsidP="00DC4FDF">
      <w:pPr>
        <w:pStyle w:val="Heading3"/>
      </w:pPr>
      <w:bookmarkStart w:id="48" w:name="_Toc514059210"/>
      <w:r w:rsidRPr="00860C45">
        <w:lastRenderedPageBreak/>
        <w:t>Arguments on appeal</w:t>
      </w:r>
      <w:bookmarkEnd w:id="48"/>
      <w:r w:rsidRPr="00860C45">
        <w:t xml:space="preserve"> </w:t>
      </w:r>
    </w:p>
    <w:p w:rsidR="0007161B" w:rsidRPr="003E7F09" w:rsidRDefault="0007161B" w:rsidP="00DC4FDF">
      <w:pPr>
        <w:pStyle w:val="BodyText"/>
      </w:pPr>
      <w:r w:rsidRPr="003E7F09">
        <w:t xml:space="preserve">The </w:t>
      </w:r>
      <w:r w:rsidR="000A10EA">
        <w:t>United States</w:t>
      </w:r>
      <w:r w:rsidRPr="003E7F09">
        <w:t xml:space="preserve"> </w:t>
      </w:r>
      <w:r>
        <w:t>notes</w:t>
      </w:r>
      <w:r w:rsidRPr="003E7F09">
        <w:t xml:space="preserve"> that, while it agrees with the Panel's </w:t>
      </w:r>
      <w:r>
        <w:t>reading</w:t>
      </w:r>
      <w:r w:rsidRPr="003E7F09">
        <w:t xml:space="preserve"> of </w:t>
      </w:r>
      <w:r w:rsidR="000A10EA">
        <w:t>Article </w:t>
      </w:r>
      <w:r w:rsidRPr="003E7F09">
        <w:t>3.1(b)</w:t>
      </w:r>
      <w:r>
        <w:t xml:space="preserve"> of the </w:t>
      </w:r>
      <w:r w:rsidR="000A10EA">
        <w:t>SCM Agreement</w:t>
      </w:r>
      <w:r w:rsidRPr="003E7F09">
        <w:t xml:space="preserve">, </w:t>
      </w:r>
      <w:r>
        <w:t xml:space="preserve">at the time of these proceedings, </w:t>
      </w:r>
      <w:r w:rsidRPr="003E7F09">
        <w:t xml:space="preserve">a "competing interpretation" </w:t>
      </w:r>
      <w:r>
        <w:t>was</w:t>
      </w:r>
      <w:r w:rsidRPr="003E7F09">
        <w:t xml:space="preserve"> under consideration in </w:t>
      </w:r>
      <w:r>
        <w:t xml:space="preserve">the </w:t>
      </w:r>
      <w:r w:rsidRPr="003E7F09">
        <w:rPr>
          <w:i/>
        </w:rPr>
        <w:t>US –</w:t>
      </w:r>
      <w:r>
        <w:rPr>
          <w:i/>
        </w:rPr>
        <w:t xml:space="preserve"> </w:t>
      </w:r>
      <w:r w:rsidRPr="003E7F09">
        <w:rPr>
          <w:i/>
        </w:rPr>
        <w:t>Tax Incentives</w:t>
      </w:r>
      <w:r w:rsidRPr="00E41F05">
        <w:t xml:space="preserve"> </w:t>
      </w:r>
      <w:r>
        <w:t>dispute</w:t>
      </w:r>
      <w:r w:rsidRPr="003E7F09">
        <w:t>.</w:t>
      </w:r>
      <w:r>
        <w:rPr>
          <w:rStyle w:val="FootnoteReference"/>
        </w:rPr>
        <w:footnoteReference w:id="146"/>
      </w:r>
      <w:r>
        <w:t xml:space="preserve"> </w:t>
      </w:r>
      <w:r w:rsidRPr="003E7F09">
        <w:t xml:space="preserve">The </w:t>
      </w:r>
      <w:r w:rsidR="000A10EA">
        <w:t>United States</w:t>
      </w:r>
      <w:r w:rsidRPr="003E7F09">
        <w:t xml:space="preserve"> maintains</w:t>
      </w:r>
      <w:r>
        <w:t xml:space="preserve"> that, if we find</w:t>
      </w:r>
      <w:r w:rsidRPr="003E7F09">
        <w:t xml:space="preserve"> </w:t>
      </w:r>
      <w:r>
        <w:t>the</w:t>
      </w:r>
      <w:r w:rsidRPr="003E7F09">
        <w:t xml:space="preserve"> "competing interpretation" of </w:t>
      </w:r>
      <w:r w:rsidR="000A10EA">
        <w:t>Article </w:t>
      </w:r>
      <w:r w:rsidRPr="003E7F09">
        <w:t xml:space="preserve">3.1(b) developed by the panel in </w:t>
      </w:r>
      <w:r w:rsidRPr="003E7F09">
        <w:rPr>
          <w:i/>
        </w:rPr>
        <w:t>US – Tax Incentives</w:t>
      </w:r>
      <w:r>
        <w:t xml:space="preserve"> to be correct, "then there is no question that the Panel {in the present case} erred in finding that the French, German, Spanish, and UK LA/MSF for the A350 XWB do not constitute import substitution subsidies prohibited by </w:t>
      </w:r>
      <w:r w:rsidR="000A10EA">
        <w:t>Article </w:t>
      </w:r>
      <w:r>
        <w:t>3.1(b)."</w:t>
      </w:r>
      <w:r>
        <w:rPr>
          <w:rStyle w:val="FootnoteReference"/>
        </w:rPr>
        <w:footnoteReference w:id="147"/>
      </w:r>
      <w:r>
        <w:t xml:space="preserve"> The </w:t>
      </w:r>
      <w:r w:rsidR="000A10EA">
        <w:t>United States</w:t>
      </w:r>
      <w:r>
        <w:t xml:space="preserve"> argues that, following this interpretation, </w:t>
      </w:r>
      <w:r w:rsidRPr="003E7F09">
        <w:t xml:space="preserve">"if (i) a subsidy is granted to a domestic producer conditional on the domestic siting of production activities to produce a domestic input in an industrial process, and (ii) a substitution of imported goods for these inputs would result in the producer's loss of the entitlement to the subsidy, then the subsidy is contingent on the use of domestic over imported goods, and therefore is inconsistent with </w:t>
      </w:r>
      <w:r w:rsidR="000A10EA">
        <w:t>Article </w:t>
      </w:r>
      <w:r w:rsidRPr="003E7F09">
        <w:t>3.1(b)."</w:t>
      </w:r>
      <w:r w:rsidRPr="003E7F09">
        <w:rPr>
          <w:rStyle w:val="FootnoteReference"/>
        </w:rPr>
        <w:footnoteReference w:id="148"/>
      </w:r>
      <w:r w:rsidRPr="003E7F09">
        <w:t xml:space="preserve"> The </w:t>
      </w:r>
      <w:r w:rsidR="000A10EA">
        <w:t>United States</w:t>
      </w:r>
      <w:r w:rsidRPr="003E7F09">
        <w:t xml:space="preserve"> </w:t>
      </w:r>
      <w:r>
        <w:t>submits</w:t>
      </w:r>
      <w:r w:rsidRPr="003E7F09">
        <w:t xml:space="preserve"> that</w:t>
      </w:r>
      <w:r>
        <w:t xml:space="preserve">, </w:t>
      </w:r>
      <w:r w:rsidRPr="003E7F09">
        <w:t>because "the subsidies at issue in this dispute are contingent upon</w:t>
      </w:r>
      <w:r>
        <w:t>"</w:t>
      </w:r>
      <w:r w:rsidRPr="003E7F09">
        <w:t xml:space="preserve"> </w:t>
      </w:r>
      <w:r>
        <w:t>a number of</w:t>
      </w:r>
      <w:r w:rsidRPr="003E7F09">
        <w:t xml:space="preserve"> intermediate goods </w:t>
      </w:r>
      <w:r>
        <w:t>"</w:t>
      </w:r>
      <w:r w:rsidRPr="003E7F09">
        <w:t xml:space="preserve">being produced in the </w:t>
      </w:r>
      <w:r>
        <w:t>{</w:t>
      </w:r>
      <w:r w:rsidR="000A10EA">
        <w:t>European Union</w:t>
      </w:r>
      <w:r>
        <w:t>}</w:t>
      </w:r>
      <w:r w:rsidRPr="003E7F09">
        <w:t xml:space="preserve"> and then used to manufacture the A350 XWB", "the goods are 'domestic goods' and therefore Airbus is required to use domestic over imported goods to receive the subsidy."</w:t>
      </w:r>
      <w:r w:rsidRPr="003E7F09">
        <w:rPr>
          <w:rStyle w:val="FootnoteReference"/>
        </w:rPr>
        <w:footnoteReference w:id="149"/>
      </w:r>
      <w:r>
        <w:t xml:space="preserve"> </w:t>
      </w:r>
      <w:r w:rsidR="0020771B">
        <w:t>If </w:t>
      </w:r>
      <w:r>
        <w:t>we</w:t>
      </w:r>
      <w:r w:rsidRPr="003E7F09">
        <w:t xml:space="preserve"> confirm this "competing interpretation", then </w:t>
      </w:r>
      <w:r>
        <w:t xml:space="preserve">the </w:t>
      </w:r>
      <w:r w:rsidR="000A10EA">
        <w:t>United States</w:t>
      </w:r>
      <w:r w:rsidRPr="003E7F09">
        <w:t xml:space="preserve"> </w:t>
      </w:r>
      <w:r>
        <w:t xml:space="preserve">requests that we </w:t>
      </w:r>
      <w:r w:rsidRPr="003E7F09">
        <w:t xml:space="preserve">complete the </w:t>
      </w:r>
      <w:r>
        <w:t xml:space="preserve">legal </w:t>
      </w:r>
      <w:r w:rsidRPr="003E7F09">
        <w:t>analysis based on undisputed facts and Panel findings</w:t>
      </w:r>
      <w:r>
        <w:t xml:space="preserve"> in this dispute</w:t>
      </w:r>
      <w:r w:rsidRPr="003E7F09">
        <w:t xml:space="preserve">, which establish that </w:t>
      </w:r>
      <w:r>
        <w:t xml:space="preserve">the French, German, Spanish, and UK </w:t>
      </w:r>
      <w:r w:rsidRPr="003E7F09">
        <w:t>A350</w:t>
      </w:r>
      <w:r>
        <w:t>XWB</w:t>
      </w:r>
      <w:r w:rsidRPr="003E7F09">
        <w:t xml:space="preserve"> LA/MSF </w:t>
      </w:r>
      <w:r>
        <w:t xml:space="preserve">contracts </w:t>
      </w:r>
      <w:r w:rsidRPr="003E7F09">
        <w:t xml:space="preserve">are contingent </w:t>
      </w:r>
      <w:r>
        <w:t>up</w:t>
      </w:r>
      <w:r w:rsidRPr="003E7F09">
        <w:t xml:space="preserve">on the use of domestic over imported goods </w:t>
      </w:r>
      <w:r>
        <w:t>and therefore inconsistent with</w:t>
      </w:r>
      <w:r w:rsidRPr="003E7F09">
        <w:t xml:space="preserve"> </w:t>
      </w:r>
      <w:r w:rsidR="000A10EA">
        <w:t>Article </w:t>
      </w:r>
      <w:r w:rsidRPr="003E7F09">
        <w:t xml:space="preserve">3.1(b) of the </w:t>
      </w:r>
      <w:r w:rsidR="000A10EA">
        <w:t>SCM Agreement</w:t>
      </w:r>
      <w:r w:rsidRPr="003E7F09">
        <w:t>.</w:t>
      </w:r>
      <w:r w:rsidRPr="003E7F09">
        <w:rPr>
          <w:rStyle w:val="FootnoteReference"/>
        </w:rPr>
        <w:footnoteReference w:id="150"/>
      </w:r>
      <w:r w:rsidRPr="003E7F09">
        <w:t xml:space="preserve"> </w:t>
      </w:r>
    </w:p>
    <w:p w:rsidR="0007161B" w:rsidRPr="003B0ABB" w:rsidRDefault="0007161B" w:rsidP="00DC4FDF">
      <w:pPr>
        <w:pStyle w:val="BodyText"/>
      </w:pPr>
      <w:r>
        <w:t>Referring to "undisputed facts from each of the LA/MSF contracts containing the contingencies, as well as other relevant evidence"</w:t>
      </w:r>
      <w:r>
        <w:rPr>
          <w:rStyle w:val="FootnoteReference"/>
        </w:rPr>
        <w:footnoteReference w:id="151"/>
      </w:r>
      <w:r>
        <w:t>,</w:t>
      </w:r>
      <w:r w:rsidRPr="003E7F09">
        <w:t xml:space="preserve"> the </w:t>
      </w:r>
      <w:r w:rsidR="000A10EA">
        <w:t>United States</w:t>
      </w:r>
      <w:r w:rsidRPr="003E7F09">
        <w:t xml:space="preserve"> </w:t>
      </w:r>
      <w:r>
        <w:t>argues, for instance,</w:t>
      </w:r>
      <w:r w:rsidRPr="003E7F09">
        <w:t xml:space="preserve"> that</w:t>
      </w:r>
      <w:r>
        <w:t xml:space="preserve"> </w:t>
      </w:r>
      <w:r w:rsidRPr="003E7F09">
        <w:t xml:space="preserve">the French A350XWB </w:t>
      </w:r>
      <w:r w:rsidRPr="000F4791">
        <w:rPr>
          <w:i/>
        </w:rPr>
        <w:t xml:space="preserve">Protocole </w:t>
      </w:r>
      <w:r w:rsidRPr="003E7F09">
        <w:t xml:space="preserve">requires </w:t>
      </w:r>
      <w:r w:rsidRPr="000F4791">
        <w:rPr>
          <w:b/>
        </w:rPr>
        <w:t>[</w:t>
      </w:r>
      <w:r w:rsidR="00C8434D" w:rsidRPr="00C8434D">
        <w:rPr>
          <w:b/>
          <w:szCs w:val="16"/>
        </w:rPr>
        <w:t>BCI</w:t>
      </w:r>
      <w:r w:rsidRPr="000F4791">
        <w:rPr>
          <w:b/>
        </w:rPr>
        <w:t>]</w:t>
      </w:r>
      <w:r w:rsidR="009343AF" w:rsidRPr="009343AF">
        <w:rPr>
          <w:rStyle w:val="FootnoteReference"/>
        </w:rPr>
        <w:footnoteReference w:id="152"/>
      </w:r>
      <w:r w:rsidRPr="009C41DD">
        <w:t>,</w:t>
      </w:r>
      <w:r w:rsidRPr="003E7F09">
        <w:t xml:space="preserve"> </w:t>
      </w:r>
      <w:r>
        <w:t>and that these</w:t>
      </w:r>
      <w:r w:rsidRPr="003E7F09">
        <w:t xml:space="preserve"> would be domestic </w:t>
      </w:r>
      <w:r>
        <w:t xml:space="preserve">goods </w:t>
      </w:r>
      <w:r w:rsidRPr="003E7F09">
        <w:t xml:space="preserve">for purposes of </w:t>
      </w:r>
      <w:r w:rsidR="000A10EA">
        <w:t>Article </w:t>
      </w:r>
      <w:r>
        <w:t>3.1(b).</w:t>
      </w:r>
      <w:r w:rsidRPr="003E7F09">
        <w:rPr>
          <w:rStyle w:val="FootnoteReference"/>
        </w:rPr>
        <w:footnoteReference w:id="153"/>
      </w:r>
      <w:r>
        <w:t xml:space="preserve"> The </w:t>
      </w:r>
      <w:r w:rsidR="000A10EA">
        <w:t>United States</w:t>
      </w:r>
      <w:r>
        <w:t xml:space="preserve"> adds that</w:t>
      </w:r>
      <w:r w:rsidRPr="003E7F09">
        <w:t xml:space="preserve"> </w:t>
      </w:r>
      <w:r>
        <w:t>"</w:t>
      </w:r>
      <w:r w:rsidRPr="003E7F09">
        <w:t>it would be theoretically possible to import this good instead of using a domestic version"</w:t>
      </w:r>
      <w:r w:rsidR="00F61C98">
        <w:t>.</w:t>
      </w:r>
      <w:r w:rsidRPr="003E7F09">
        <w:rPr>
          <w:rStyle w:val="FootnoteReference"/>
        </w:rPr>
        <w:footnoteReference w:id="154"/>
      </w:r>
      <w:r w:rsidRPr="003E7F09">
        <w:t xml:space="preserve"> </w:t>
      </w:r>
      <w:r>
        <w:t xml:space="preserve">The </w:t>
      </w:r>
      <w:r w:rsidR="000A10EA">
        <w:t>United States</w:t>
      </w:r>
      <w:r>
        <w:t xml:space="preserve"> further submits that "the </w:t>
      </w:r>
      <w:r w:rsidRPr="003E7F09">
        <w:t>LA/MSF agreements address the comprehensive program undertaken by Airbus to develop and produce the A350 XWB, including inputs and tooling developed specifically for that model as well as the finished LCA."</w:t>
      </w:r>
      <w:r w:rsidRPr="003E7F09">
        <w:rPr>
          <w:rStyle w:val="FootnoteReference"/>
        </w:rPr>
        <w:footnoteReference w:id="155"/>
      </w:r>
      <w:r w:rsidRPr="003E7F09">
        <w:t xml:space="preserve"> </w:t>
      </w:r>
      <w:r>
        <w:t xml:space="preserve">According to the </w:t>
      </w:r>
      <w:r w:rsidR="000A10EA">
        <w:t>United States</w:t>
      </w:r>
      <w:r w:rsidRPr="003E7F09">
        <w:t>, "in manufacturing finished A350 XWBs, Airbus must use</w:t>
      </w:r>
      <w:r>
        <w:t xml:space="preserve"> the</w:t>
      </w:r>
      <w:r w:rsidRPr="003E7F09">
        <w:t xml:space="preserve"> </w:t>
      </w:r>
      <w:r w:rsidRPr="000F4791">
        <w:rPr>
          <w:b/>
        </w:rPr>
        <w:t>[</w:t>
      </w:r>
      <w:r w:rsidR="00C8434D" w:rsidRPr="00C8434D">
        <w:rPr>
          <w:b/>
          <w:szCs w:val="16"/>
        </w:rPr>
        <w:t>BCI</w:t>
      </w:r>
      <w:r w:rsidRPr="000F4791">
        <w:rPr>
          <w:b/>
        </w:rPr>
        <w:t>]</w:t>
      </w:r>
      <w:r w:rsidRPr="003E7F09">
        <w:t>"</w:t>
      </w:r>
      <w:r w:rsidRPr="003E7F09">
        <w:rPr>
          <w:rStyle w:val="FootnoteReference"/>
        </w:rPr>
        <w:footnoteReference w:id="156"/>
      </w:r>
      <w:r>
        <w:t>,</w:t>
      </w:r>
      <w:r w:rsidRPr="003E7F09">
        <w:t xml:space="preserve"> </w:t>
      </w:r>
      <w:r>
        <w:t>and</w:t>
      </w:r>
      <w:r w:rsidRPr="003E7F09">
        <w:t xml:space="preserve"> </w:t>
      </w:r>
      <w:r>
        <w:t>"</w:t>
      </w:r>
      <w:r w:rsidRPr="003E7F09">
        <w:t xml:space="preserve">if </w:t>
      </w:r>
      <w:r w:rsidRPr="000F4791">
        <w:rPr>
          <w:b/>
        </w:rPr>
        <w:t>[</w:t>
      </w:r>
      <w:r w:rsidR="00C8434D" w:rsidRPr="00C8434D">
        <w:rPr>
          <w:b/>
          <w:szCs w:val="16"/>
        </w:rPr>
        <w:t>BCI</w:t>
      </w:r>
      <w:r w:rsidRPr="000F4791">
        <w:rPr>
          <w:b/>
        </w:rPr>
        <w:t>]</w:t>
      </w:r>
      <w:r w:rsidRPr="003E7F09">
        <w:t xml:space="preserve">, Airbus would </w:t>
      </w:r>
      <w:r w:rsidRPr="000F4791">
        <w:rPr>
          <w:b/>
        </w:rPr>
        <w:t>[</w:t>
      </w:r>
      <w:r w:rsidR="00C8434D" w:rsidRPr="00C8434D">
        <w:rPr>
          <w:b/>
          <w:szCs w:val="16"/>
        </w:rPr>
        <w:t>BCI</w:t>
      </w:r>
      <w:r w:rsidRPr="000F4791">
        <w:rPr>
          <w:b/>
        </w:rPr>
        <w:t>]</w:t>
      </w:r>
      <w:r w:rsidRPr="003E7F09">
        <w:t xml:space="preserve"> French A350 XWB LA/MSF</w:t>
      </w:r>
      <w:r>
        <w:t>.</w:t>
      </w:r>
      <w:r w:rsidRPr="003E7F09">
        <w:t>"</w:t>
      </w:r>
      <w:r w:rsidRPr="003E7F09">
        <w:rPr>
          <w:rStyle w:val="FootnoteReference"/>
        </w:rPr>
        <w:footnoteReference w:id="157"/>
      </w:r>
      <w:r>
        <w:t xml:space="preserve"> The </w:t>
      </w:r>
      <w:r w:rsidR="000A10EA">
        <w:t>United States</w:t>
      </w:r>
      <w:r>
        <w:t xml:space="preserve"> submits that,</w:t>
      </w:r>
      <w:r w:rsidRPr="003E7F09">
        <w:t xml:space="preserve"> accordingly, under the interpretation of </w:t>
      </w:r>
      <w:r w:rsidR="000A10EA">
        <w:t>Article </w:t>
      </w:r>
      <w:r w:rsidRPr="003E7F09">
        <w:t>3.1(b)</w:t>
      </w:r>
      <w:r>
        <w:t xml:space="preserve"> developed by the panel in </w:t>
      </w:r>
      <w:r w:rsidRPr="0030171B">
        <w:rPr>
          <w:i/>
          <w:lang w:val="en-US"/>
        </w:rPr>
        <w:t>US –</w:t>
      </w:r>
      <w:r>
        <w:rPr>
          <w:i/>
          <w:lang w:val="en-US"/>
        </w:rPr>
        <w:t xml:space="preserve"> </w:t>
      </w:r>
      <w:r w:rsidRPr="0030171B">
        <w:rPr>
          <w:i/>
          <w:lang w:val="en-US"/>
        </w:rPr>
        <w:t>Tax Incentives</w:t>
      </w:r>
      <w:r w:rsidRPr="003E7F09">
        <w:t xml:space="preserve">, the </w:t>
      </w:r>
      <w:r>
        <w:t xml:space="preserve">French A350XWB LA/MSF </w:t>
      </w:r>
      <w:r w:rsidRPr="003E7F09">
        <w:t xml:space="preserve">subsidy </w:t>
      </w:r>
      <w:r>
        <w:t>"</w:t>
      </w:r>
      <w:r w:rsidRPr="003E7F09">
        <w:t xml:space="preserve">is contingent on the use of domestic over imported </w:t>
      </w:r>
      <w:r w:rsidRPr="000F4791">
        <w:rPr>
          <w:b/>
        </w:rPr>
        <w:t>[</w:t>
      </w:r>
      <w:r w:rsidR="00C8434D" w:rsidRPr="00C8434D">
        <w:rPr>
          <w:b/>
          <w:szCs w:val="16"/>
        </w:rPr>
        <w:t>BCI</w:t>
      </w:r>
      <w:r w:rsidRPr="000F4791">
        <w:rPr>
          <w:b/>
        </w:rPr>
        <w:t>]</w:t>
      </w:r>
      <w:r>
        <w:t xml:space="preserve"> in breach of </w:t>
      </w:r>
      <w:r w:rsidR="000A10EA">
        <w:t>Article </w:t>
      </w:r>
      <w:r>
        <w:t>3.1(b)"</w:t>
      </w:r>
      <w:r w:rsidR="00F61C98">
        <w:t>.</w:t>
      </w:r>
      <w:r w:rsidRPr="003E7F09">
        <w:rPr>
          <w:rStyle w:val="FootnoteReference"/>
        </w:rPr>
        <w:footnoteReference w:id="158"/>
      </w:r>
    </w:p>
    <w:p w:rsidR="0007161B" w:rsidRPr="00324C74" w:rsidRDefault="0007161B" w:rsidP="00DC4FDF">
      <w:pPr>
        <w:pStyle w:val="BodyText"/>
      </w:pPr>
      <w:r>
        <w:t>The</w:t>
      </w:r>
      <w:r w:rsidRPr="00324C74">
        <w:t xml:space="preserve"> </w:t>
      </w:r>
      <w:r w:rsidR="000A10EA">
        <w:t>European Union</w:t>
      </w:r>
      <w:r w:rsidRPr="00324C74">
        <w:t xml:space="preserve"> </w:t>
      </w:r>
      <w:r>
        <w:t>responds</w:t>
      </w:r>
      <w:r w:rsidRPr="00324C74">
        <w:t xml:space="preserve"> that the "assertions upon which the </w:t>
      </w:r>
      <w:r w:rsidR="000A10EA">
        <w:t>United States</w:t>
      </w:r>
      <w:r w:rsidRPr="00324C74">
        <w:t xml:space="preserve"> seeks the </w:t>
      </w:r>
      <w:r w:rsidR="000A10EA">
        <w:t>Appellate Body</w:t>
      </w:r>
      <w:r w:rsidRPr="00324C74">
        <w:t xml:space="preserve">'s review of the Panel's findings do not properly constitute an 'appeal' within the meaning of the DSU", and therefore fall outside the scope of appellate review under </w:t>
      </w:r>
      <w:r w:rsidR="000A10EA">
        <w:t>Article </w:t>
      </w:r>
      <w:r w:rsidRPr="00324C74">
        <w:t>17.6 of the DSU</w:t>
      </w:r>
      <w:r w:rsidRPr="00F40CC0">
        <w:t>.</w:t>
      </w:r>
      <w:r w:rsidRPr="00324C74">
        <w:rPr>
          <w:vertAlign w:val="superscript"/>
        </w:rPr>
        <w:footnoteReference w:id="159"/>
      </w:r>
      <w:r w:rsidRPr="00324C74">
        <w:t xml:space="preserve"> </w:t>
      </w:r>
      <w:r>
        <w:t>T</w:t>
      </w:r>
      <w:r w:rsidRPr="00324C74">
        <w:t xml:space="preserve">he </w:t>
      </w:r>
      <w:r w:rsidR="000A10EA">
        <w:t>European Union</w:t>
      </w:r>
      <w:r w:rsidRPr="00324C74">
        <w:t xml:space="preserve"> submits that the </w:t>
      </w:r>
      <w:r w:rsidR="000A10EA">
        <w:t>United States</w:t>
      </w:r>
      <w:r w:rsidRPr="00324C74">
        <w:t xml:space="preserve"> "agrees with the Panel's interpretation of </w:t>
      </w:r>
      <w:r w:rsidR="000A10EA">
        <w:t>Article </w:t>
      </w:r>
      <w:r w:rsidRPr="00324C74">
        <w:t>3.1(b)"</w:t>
      </w:r>
      <w:r w:rsidRPr="00324C74">
        <w:rPr>
          <w:vertAlign w:val="superscript"/>
        </w:rPr>
        <w:footnoteReference w:id="160"/>
      </w:r>
      <w:r w:rsidRPr="00324C74">
        <w:t xml:space="preserve"> and does not allege any legal error in the Panel's interpretation </w:t>
      </w:r>
      <w:r w:rsidRPr="00324C74">
        <w:lastRenderedPageBreak/>
        <w:t xml:space="preserve">or application of </w:t>
      </w:r>
      <w:r>
        <w:t>this</w:t>
      </w:r>
      <w:r w:rsidRPr="00324C74">
        <w:t xml:space="preserve"> provision, or a failure to make an objective assessment of the matter under </w:t>
      </w:r>
      <w:r w:rsidR="000A10EA">
        <w:t>Article </w:t>
      </w:r>
      <w:r w:rsidRPr="00324C74">
        <w:t>11 of the DSU.</w:t>
      </w:r>
      <w:r w:rsidRPr="00324C74">
        <w:rPr>
          <w:vertAlign w:val="superscript"/>
        </w:rPr>
        <w:footnoteReference w:id="161"/>
      </w:r>
      <w:r w:rsidRPr="00324C74">
        <w:t xml:space="preserve"> Instead, the </w:t>
      </w:r>
      <w:r w:rsidR="000A10EA">
        <w:t>United States</w:t>
      </w:r>
      <w:r w:rsidRPr="00324C74">
        <w:t xml:space="preserve"> "merely asserts that </w:t>
      </w:r>
      <w:r w:rsidR="000A10EA">
        <w:t>Article </w:t>
      </w:r>
      <w:r w:rsidRPr="00324C74">
        <w:t>3.1(b) 'can be given a different reading</w:t>
      </w:r>
      <w:r w:rsidRPr="00133C25">
        <w:t>'" "</w:t>
      </w:r>
      <w:r w:rsidRPr="00324C74">
        <w:t>without explaining what the legal error is</w:t>
      </w:r>
      <w:r>
        <w:t xml:space="preserve"> supposed to be" in the present </w:t>
      </w:r>
      <w:r w:rsidRPr="00324C74">
        <w:t>case</w:t>
      </w:r>
      <w:r>
        <w:t>.</w:t>
      </w:r>
      <w:r w:rsidRPr="00324C74">
        <w:rPr>
          <w:vertAlign w:val="superscript"/>
        </w:rPr>
        <w:footnoteReference w:id="162"/>
      </w:r>
      <w:r>
        <w:t xml:space="preserve"> T</w:t>
      </w:r>
      <w:r w:rsidRPr="00324C74">
        <w:t xml:space="preserve">he </w:t>
      </w:r>
      <w:r w:rsidR="000A10EA">
        <w:t>European Union</w:t>
      </w:r>
      <w:r w:rsidRPr="00324C74">
        <w:t xml:space="preserve"> requests </w:t>
      </w:r>
      <w:r>
        <w:t>us</w:t>
      </w:r>
      <w:r w:rsidRPr="00324C74">
        <w:t xml:space="preserve"> to reject the </w:t>
      </w:r>
      <w:r w:rsidR="000A10EA">
        <w:t>United States</w:t>
      </w:r>
      <w:r w:rsidRPr="00324C74">
        <w:t xml:space="preserve">' appeal as falling outside the scope of appellate review under </w:t>
      </w:r>
      <w:r w:rsidR="000A10EA">
        <w:t>Article </w:t>
      </w:r>
      <w:r w:rsidRPr="00324C74">
        <w:t xml:space="preserve">17.6 of the DSU "because it is based on a case that is entirely different from the case advanced by the </w:t>
      </w:r>
      <w:r w:rsidR="000A10EA">
        <w:t>United States</w:t>
      </w:r>
      <w:r>
        <w:t xml:space="preserve"> before the Panel" in </w:t>
      </w:r>
      <w:r w:rsidR="00B542A9">
        <w:t>this </w:t>
      </w:r>
      <w:r w:rsidRPr="00324C74">
        <w:t>dispute.</w:t>
      </w:r>
      <w:r w:rsidRPr="00324C74">
        <w:rPr>
          <w:vertAlign w:val="superscript"/>
        </w:rPr>
        <w:footnoteReference w:id="163"/>
      </w:r>
      <w:r w:rsidRPr="00324C74">
        <w:t xml:space="preserve"> </w:t>
      </w:r>
    </w:p>
    <w:p w:rsidR="0007161B" w:rsidRDefault="0007161B" w:rsidP="00DC4FDF">
      <w:pPr>
        <w:pStyle w:val="BodyText"/>
      </w:pPr>
      <w:r>
        <w:t>Moreover, t</w:t>
      </w:r>
      <w:r w:rsidRPr="00324C74">
        <w:t xml:space="preserve">he </w:t>
      </w:r>
      <w:r w:rsidR="000A10EA">
        <w:t>European Union</w:t>
      </w:r>
      <w:r w:rsidRPr="00324C74">
        <w:t xml:space="preserve"> argues that, even if </w:t>
      </w:r>
      <w:r>
        <w:t>we</w:t>
      </w:r>
      <w:r w:rsidRPr="00324C74">
        <w:t xml:space="preserve"> were to consider the </w:t>
      </w:r>
      <w:r w:rsidR="000A10EA">
        <w:t>United States</w:t>
      </w:r>
      <w:r w:rsidRPr="00324C74">
        <w:t xml:space="preserve">' appeal, </w:t>
      </w:r>
      <w:r>
        <w:t>we</w:t>
      </w:r>
      <w:r w:rsidRPr="00324C74">
        <w:t xml:space="preserve"> should reject it on the merits.</w:t>
      </w:r>
      <w:r w:rsidRPr="00324C74">
        <w:rPr>
          <w:vertAlign w:val="superscript"/>
        </w:rPr>
        <w:footnoteReference w:id="164"/>
      </w:r>
      <w:r w:rsidRPr="00324C74">
        <w:t xml:space="preserve"> Accord</w:t>
      </w:r>
      <w:r>
        <w:t xml:space="preserve">ing to the </w:t>
      </w:r>
      <w:r w:rsidR="000A10EA">
        <w:t>European Union</w:t>
      </w:r>
      <w:r>
        <w:t>, "the </w:t>
      </w:r>
      <w:r w:rsidRPr="00324C74">
        <w:t xml:space="preserve">ordinary meaning of the terms used {in </w:t>
      </w:r>
      <w:r w:rsidR="000A10EA">
        <w:t>Article </w:t>
      </w:r>
      <w:r w:rsidRPr="00324C74">
        <w:t xml:space="preserve">3.1(b)} suggests that a subsidy contingent on domestic </w:t>
      </w:r>
      <w:r w:rsidRPr="00324C74">
        <w:rPr>
          <w:i/>
        </w:rPr>
        <w:t>production</w:t>
      </w:r>
      <w:r w:rsidRPr="00324C74">
        <w:t>, without more, does not fall within the prohibition set out in that provision."</w:t>
      </w:r>
      <w:r w:rsidRPr="00324C74">
        <w:rPr>
          <w:vertAlign w:val="superscript"/>
        </w:rPr>
        <w:footnoteReference w:id="165"/>
      </w:r>
      <w:r w:rsidR="00B542A9">
        <w:t xml:space="preserve"> The </w:t>
      </w:r>
      <w:r w:rsidR="000A10EA">
        <w:t>European Union</w:t>
      </w:r>
      <w:r w:rsidRPr="00324C74">
        <w:t xml:space="preserve"> further argues that "the line drawn by the </w:t>
      </w:r>
      <w:r>
        <w:t>{SCM} </w:t>
      </w:r>
      <w:r w:rsidRPr="00324C74">
        <w:t>Agreement between prohibited … subsidies and actionable production subsidies would be blurred"</w:t>
      </w:r>
      <w:r w:rsidRPr="00324C74">
        <w:rPr>
          <w:vertAlign w:val="superscript"/>
        </w:rPr>
        <w:footnoteReference w:id="166"/>
      </w:r>
      <w:r w:rsidRPr="00324C74">
        <w:t xml:space="preserve"> if "a requirement of domestic production of goods, coupled with the </w:t>
      </w:r>
      <w:r w:rsidRPr="00B14A7D">
        <w:rPr>
          <w:i/>
        </w:rPr>
        <w:t>fact</w:t>
      </w:r>
      <w:r w:rsidRPr="00324C74">
        <w:rPr>
          <w:i/>
        </w:rPr>
        <w:t xml:space="preserve"> </w:t>
      </w:r>
      <w:r w:rsidRPr="00324C74">
        <w:t xml:space="preserve">that those goods are used downstream, suffices to attract the prohibition" under </w:t>
      </w:r>
      <w:r w:rsidR="000A10EA">
        <w:t>Article </w:t>
      </w:r>
      <w:r w:rsidRPr="00324C74">
        <w:t>3.1(b).</w:t>
      </w:r>
      <w:r w:rsidRPr="00324C74">
        <w:rPr>
          <w:vertAlign w:val="superscript"/>
        </w:rPr>
        <w:footnoteReference w:id="167"/>
      </w:r>
      <w:r w:rsidRPr="00324C74">
        <w:t xml:space="preserve"> </w:t>
      </w:r>
    </w:p>
    <w:p w:rsidR="0007161B" w:rsidRPr="0093678E" w:rsidRDefault="0007161B" w:rsidP="00DC4FDF">
      <w:pPr>
        <w:pStyle w:val="BodyText"/>
      </w:pPr>
      <w:r>
        <w:t xml:space="preserve">Finally, the </w:t>
      </w:r>
      <w:r w:rsidR="000A10EA">
        <w:t>European Union</w:t>
      </w:r>
      <w:r w:rsidRPr="00AC5922">
        <w:t xml:space="preserve"> </w:t>
      </w:r>
      <w:r w:rsidRPr="00D200AF">
        <w:t xml:space="preserve">argues that the </w:t>
      </w:r>
      <w:r w:rsidR="000A10EA">
        <w:t>United States</w:t>
      </w:r>
      <w:r>
        <w:t>'</w:t>
      </w:r>
      <w:r w:rsidRPr="00D200AF">
        <w:t xml:space="preserve"> request for completion</w:t>
      </w:r>
      <w:r>
        <w:t xml:space="preserve"> of the legal analysis should be rejected because it relies on three categories of </w:t>
      </w:r>
      <w:r w:rsidRPr="00D200AF">
        <w:t>factual assertions that "</w:t>
      </w:r>
      <w:r w:rsidRPr="00D22E85">
        <w:t xml:space="preserve">were never made by the </w:t>
      </w:r>
      <w:r w:rsidR="000A10EA">
        <w:t>United States</w:t>
      </w:r>
      <w:r w:rsidRPr="00D22E85">
        <w:t xml:space="preserve"> before the Panel", and </w:t>
      </w:r>
      <w:r>
        <w:t xml:space="preserve">which </w:t>
      </w:r>
      <w:r w:rsidRPr="00D22E85">
        <w:t xml:space="preserve">"{t}he </w:t>
      </w:r>
      <w:r w:rsidR="000A10EA">
        <w:t>European Union</w:t>
      </w:r>
      <w:r w:rsidRPr="00D22E85">
        <w:t xml:space="preserve"> never had an opportunity to dispute"</w:t>
      </w:r>
      <w:r w:rsidRPr="00D200AF">
        <w:t>.</w:t>
      </w:r>
      <w:r w:rsidRPr="00D200AF">
        <w:rPr>
          <w:rStyle w:val="FootnoteReference"/>
        </w:rPr>
        <w:footnoteReference w:id="168"/>
      </w:r>
      <w:r w:rsidRPr="00AC5922">
        <w:t xml:space="preserve"> </w:t>
      </w:r>
      <w:r>
        <w:t>T</w:t>
      </w:r>
      <w:r w:rsidRPr="00D200AF">
        <w:t xml:space="preserve">he </w:t>
      </w:r>
      <w:r w:rsidR="000A10EA">
        <w:t>European Union</w:t>
      </w:r>
      <w:r>
        <w:t xml:space="preserve"> details</w:t>
      </w:r>
      <w:r w:rsidRPr="00D200AF">
        <w:t xml:space="preserve"> </w:t>
      </w:r>
      <w:r>
        <w:t>the relevant</w:t>
      </w:r>
      <w:r w:rsidRPr="00D200AF">
        <w:t xml:space="preserve"> assertions for each </w:t>
      </w:r>
      <w:r>
        <w:t xml:space="preserve">of the four </w:t>
      </w:r>
      <w:r w:rsidRPr="00D200AF">
        <w:t>LA/MSF contract</w:t>
      </w:r>
      <w:r>
        <w:t>s as follows: (i) "'</w:t>
      </w:r>
      <w:r w:rsidRPr="00D200AF">
        <w:t xml:space="preserve">in manufacturing finished A350 XWBs, Airbus </w:t>
      </w:r>
      <w:r w:rsidRPr="00B14A7D">
        <w:rPr>
          <w:u w:val="single"/>
        </w:rPr>
        <w:t>must use</w:t>
      </w:r>
      <w:r>
        <w:t>'</w:t>
      </w:r>
      <w:r w:rsidRPr="00D200AF">
        <w:t xml:space="preserve"> the components that the subsidy recipient is allegedly required to produce</w:t>
      </w:r>
      <w:r>
        <w:t>"</w:t>
      </w:r>
      <w:r w:rsidRPr="00D200AF">
        <w:t xml:space="preserve"> in France, Germany, Spain, or the UK</w:t>
      </w:r>
      <w:r>
        <w:t>, in order</w:t>
      </w:r>
      <w:r w:rsidRPr="00D200AF">
        <w:t xml:space="preserve"> to receive LA/MSF for the A350</w:t>
      </w:r>
      <w:r>
        <w:t>XWB from the respective country</w:t>
      </w:r>
      <w:r>
        <w:rPr>
          <w:rStyle w:val="FootnoteReference"/>
        </w:rPr>
        <w:footnoteReference w:id="169"/>
      </w:r>
      <w:r w:rsidR="00B36EF2">
        <w:t>; (ii) </w:t>
      </w:r>
      <w:r w:rsidRPr="00D200AF">
        <w:t>for certain components that the</w:t>
      </w:r>
      <w:r>
        <w:t xml:space="preserve"> A350XWB </w:t>
      </w:r>
      <w:r w:rsidRPr="00D200AF">
        <w:t xml:space="preserve">LA/MSF contracts </w:t>
      </w:r>
      <w:r>
        <w:t>"</w:t>
      </w:r>
      <w:r w:rsidRPr="00D200AF">
        <w:t>allegedly require</w:t>
      </w:r>
      <w:r>
        <w:t>{}</w:t>
      </w:r>
      <w:r w:rsidRPr="00D200AF">
        <w:t xml:space="preserve"> the subsidy recipient to manufacture, </w:t>
      </w:r>
      <w:r>
        <w:t>'</w:t>
      </w:r>
      <w:r w:rsidRPr="00D200AF">
        <w:t>it would be theoretically possible to import</w:t>
      </w:r>
      <w:r>
        <w:t>' the relevant component"</w:t>
      </w:r>
      <w:r>
        <w:rPr>
          <w:rStyle w:val="FootnoteReference"/>
        </w:rPr>
        <w:footnoteReference w:id="170"/>
      </w:r>
      <w:r>
        <w:t xml:space="preserve">; and (iii) </w:t>
      </w:r>
      <w:r w:rsidRPr="00D200AF">
        <w:t xml:space="preserve">as interpreted by the </w:t>
      </w:r>
      <w:r w:rsidR="000A10EA">
        <w:t>United States</w:t>
      </w:r>
      <w:r w:rsidRPr="00D200AF">
        <w:t xml:space="preserve">, certain provisions in the </w:t>
      </w:r>
      <w:r>
        <w:t xml:space="preserve">French, </w:t>
      </w:r>
      <w:r w:rsidR="002E0F1D">
        <w:t>German, Spanish</w:t>
      </w:r>
      <w:r>
        <w:t xml:space="preserve">, and UK A350XWB LA/MSF </w:t>
      </w:r>
      <w:r w:rsidRPr="00D200AF">
        <w:t>contracts</w:t>
      </w:r>
      <w:r w:rsidRPr="00D200AF">
        <w:rPr>
          <w:rStyle w:val="FootnoteReference"/>
        </w:rPr>
        <w:footnoteReference w:id="171"/>
      </w:r>
      <w:r w:rsidRPr="00D22E85">
        <w:rPr>
          <w:b/>
        </w:rPr>
        <w:t xml:space="preserve"> </w:t>
      </w:r>
      <w:r w:rsidRPr="00D200AF">
        <w:t>provide that</w:t>
      </w:r>
      <w:r w:rsidRPr="00D22E85">
        <w:rPr>
          <w:b/>
        </w:rPr>
        <w:t xml:space="preserve"> </w:t>
      </w:r>
      <w:r w:rsidRPr="00F61C98">
        <w:t>"</w:t>
      </w:r>
      <w:r w:rsidRPr="00D200AF">
        <w:t xml:space="preserve">the subsidy recipient </w:t>
      </w:r>
      <w:r w:rsidRPr="00D22E85">
        <w:rPr>
          <w:b/>
        </w:rPr>
        <w:t>[</w:t>
      </w:r>
      <w:r w:rsidR="00C8434D" w:rsidRPr="00C8434D">
        <w:rPr>
          <w:b/>
          <w:szCs w:val="16"/>
        </w:rPr>
        <w:t>BCI</w:t>
      </w:r>
      <w:r w:rsidRPr="00D22E85">
        <w:rPr>
          <w:b/>
        </w:rPr>
        <w:t xml:space="preserve">] </w:t>
      </w:r>
      <w:r w:rsidRPr="00D200AF">
        <w:t xml:space="preserve">the </w:t>
      </w:r>
      <w:r>
        <w:t xml:space="preserve">… </w:t>
      </w:r>
      <w:r w:rsidRPr="00D200AF">
        <w:t>LA/MSF loan if Airbus SAS used i</w:t>
      </w:r>
      <w:r>
        <w:t>mported instead of domestically</w:t>
      </w:r>
      <w:r>
        <w:noBreakHyphen/>
      </w:r>
      <w:r w:rsidRPr="00D200AF">
        <w:t>produced components</w:t>
      </w:r>
      <w:r>
        <w:t>"</w:t>
      </w:r>
      <w:r w:rsidRPr="00D200AF">
        <w:t xml:space="preserve"> in </w:t>
      </w:r>
      <w:r>
        <w:t xml:space="preserve">the </w:t>
      </w:r>
      <w:r w:rsidRPr="00D200AF">
        <w:t>assembly of the A350XWB.</w:t>
      </w:r>
      <w:r w:rsidRPr="00D200AF">
        <w:rPr>
          <w:rStyle w:val="FootnoteReference"/>
        </w:rPr>
        <w:footnoteReference w:id="172"/>
      </w:r>
    </w:p>
    <w:p w:rsidR="0007161B" w:rsidRPr="00B31949" w:rsidRDefault="0007161B" w:rsidP="00DC4FDF">
      <w:pPr>
        <w:pStyle w:val="Heading3"/>
        <w:rPr>
          <w:lang w:val="en-US"/>
        </w:rPr>
      </w:pPr>
      <w:bookmarkStart w:id="49" w:name="_Ref473275082"/>
      <w:bookmarkStart w:id="50" w:name="_Toc514059211"/>
      <w:r w:rsidRPr="003E7F09">
        <w:t xml:space="preserve">Whether the </w:t>
      </w:r>
      <w:r w:rsidR="000A10EA">
        <w:t>United States</w:t>
      </w:r>
      <w:r w:rsidRPr="003E7F09">
        <w:t>' appeal is within the scope of appellate review</w:t>
      </w:r>
      <w:bookmarkEnd w:id="49"/>
      <w:bookmarkEnd w:id="50"/>
    </w:p>
    <w:p w:rsidR="0007161B" w:rsidRPr="003E7F09" w:rsidRDefault="0007161B" w:rsidP="00DC4FDF">
      <w:pPr>
        <w:pStyle w:val="BodyText"/>
      </w:pPr>
      <w:r>
        <w:t>We now turn to t</w:t>
      </w:r>
      <w:r w:rsidRPr="003E7F09">
        <w:t xml:space="preserve">he </w:t>
      </w:r>
      <w:r w:rsidR="000A10EA">
        <w:t>European Union</w:t>
      </w:r>
      <w:r>
        <w:t>'s</w:t>
      </w:r>
      <w:r w:rsidRPr="003E7F09">
        <w:t xml:space="preserve"> </w:t>
      </w:r>
      <w:r>
        <w:t xml:space="preserve">request </w:t>
      </w:r>
      <w:r w:rsidRPr="003E7F09">
        <w:t xml:space="preserve">that </w:t>
      </w:r>
      <w:r>
        <w:t>we</w:t>
      </w:r>
      <w:r w:rsidRPr="003E7F09">
        <w:t xml:space="preserve"> reject </w:t>
      </w:r>
      <w:r>
        <w:t>this aspect of the</w:t>
      </w:r>
      <w:r w:rsidRPr="003E7F09">
        <w:t xml:space="preserve"> </w:t>
      </w:r>
      <w:r w:rsidR="000A10EA">
        <w:t>United States</w:t>
      </w:r>
      <w:r w:rsidRPr="003E7F09">
        <w:t>' appeal as falling outside the scope of appellate review</w:t>
      </w:r>
      <w:r>
        <w:t xml:space="preserve"> under </w:t>
      </w:r>
      <w:r w:rsidR="000A10EA">
        <w:t>Article </w:t>
      </w:r>
      <w:r>
        <w:t>17.6 of the DSU</w:t>
      </w:r>
      <w:r w:rsidRPr="003E7F09">
        <w:t xml:space="preserve"> </w:t>
      </w:r>
      <w:r>
        <w:t xml:space="preserve">on the basis that </w:t>
      </w:r>
      <w:r w:rsidRPr="003E7F09">
        <w:t xml:space="preserve">the </w:t>
      </w:r>
      <w:r w:rsidR="000A10EA">
        <w:t>United States</w:t>
      </w:r>
      <w:r w:rsidRPr="003E7F09">
        <w:t xml:space="preserve"> has not alleged </w:t>
      </w:r>
      <w:r>
        <w:t>on appeal that the Panel committed</w:t>
      </w:r>
      <w:r w:rsidRPr="003E7F09">
        <w:t xml:space="preserve"> </w:t>
      </w:r>
      <w:r>
        <w:t xml:space="preserve">a </w:t>
      </w:r>
      <w:r w:rsidRPr="003E7F09">
        <w:t xml:space="preserve">legal error </w:t>
      </w:r>
      <w:r>
        <w:t xml:space="preserve">in its analysis of the </w:t>
      </w:r>
      <w:r w:rsidR="000A10EA">
        <w:t>United States</w:t>
      </w:r>
      <w:r>
        <w:t xml:space="preserve">' claim under </w:t>
      </w:r>
      <w:r w:rsidR="000A10EA">
        <w:t>Article </w:t>
      </w:r>
      <w:r>
        <w:t xml:space="preserve">3.1(b) of the </w:t>
      </w:r>
      <w:r w:rsidR="000A10EA">
        <w:t>SCM Agreement</w:t>
      </w:r>
      <w:r w:rsidRPr="003E7F09">
        <w:t>.</w:t>
      </w:r>
      <w:r>
        <w:rPr>
          <w:rStyle w:val="FootnoteReference"/>
        </w:rPr>
        <w:footnoteReference w:id="173"/>
      </w:r>
      <w:r w:rsidRPr="003E7F09">
        <w:t xml:space="preserve"> </w:t>
      </w:r>
      <w:r w:rsidR="00B542A9">
        <w:t>The </w:t>
      </w:r>
      <w:r w:rsidR="000A10EA">
        <w:t>European Union</w:t>
      </w:r>
      <w:r w:rsidRPr="00014CF2">
        <w:t xml:space="preserve"> finds support for its position in the language of Articles 16.4 and 17.13 of the DSU, as well as Rules</w:t>
      </w:r>
      <w:r w:rsidR="000A10EA">
        <w:t> 20</w:t>
      </w:r>
      <w:r w:rsidRPr="00014CF2">
        <w:t>(2)(d)(i), 21(2)(b)(i), and 23(2)(c)(ii)(A) of the Working Procedures.</w:t>
      </w:r>
      <w:r w:rsidRPr="00014CF2">
        <w:rPr>
          <w:rStyle w:val="FootnoteReference"/>
        </w:rPr>
        <w:footnoteReference w:id="174"/>
      </w:r>
      <w:r w:rsidRPr="00014CF2">
        <w:t xml:space="preserve"> </w:t>
      </w:r>
      <w:r w:rsidRPr="00014CF2">
        <w:lastRenderedPageBreak/>
        <w:t>The</w:t>
      </w:r>
      <w:r w:rsidRPr="003E7F09">
        <w:t xml:space="preserve"> </w:t>
      </w:r>
      <w:r w:rsidR="000A10EA">
        <w:t>European Union</w:t>
      </w:r>
      <w:r w:rsidRPr="003E7F09">
        <w:t xml:space="preserve"> </w:t>
      </w:r>
      <w:r>
        <w:t>adds</w:t>
      </w:r>
      <w:r w:rsidRPr="003E7F09">
        <w:t xml:space="preserve"> that the </w:t>
      </w:r>
      <w:r w:rsidR="000A10EA">
        <w:t>United States</w:t>
      </w:r>
      <w:r w:rsidRPr="003E7F09">
        <w:t xml:space="preserve"> </w:t>
      </w:r>
      <w:r>
        <w:t xml:space="preserve">has </w:t>
      </w:r>
      <w:r w:rsidRPr="003E7F09">
        <w:t>fail</w:t>
      </w:r>
      <w:r>
        <w:t>ed</w:t>
      </w:r>
      <w:r w:rsidRPr="003E7F09">
        <w:t xml:space="preserve"> to provide arguments in support of </w:t>
      </w:r>
      <w:r>
        <w:t xml:space="preserve">any </w:t>
      </w:r>
      <w:r w:rsidRPr="003E7F09">
        <w:t>"specific allegations of errors</w:t>
      </w:r>
      <w:r>
        <w:t>"</w:t>
      </w:r>
      <w:r>
        <w:rPr>
          <w:rStyle w:val="FootnoteReference"/>
        </w:rPr>
        <w:footnoteReference w:id="175"/>
      </w:r>
      <w:r w:rsidRPr="003E7F09">
        <w:t xml:space="preserve"> </w:t>
      </w:r>
      <w:r>
        <w:t xml:space="preserve">and </w:t>
      </w:r>
      <w:r w:rsidRPr="003E7F09">
        <w:t xml:space="preserve">improperly seeks to litigate a new case before the </w:t>
      </w:r>
      <w:r w:rsidR="000A10EA">
        <w:t>Appellate Body</w:t>
      </w:r>
      <w:r>
        <w:t>, in that it asserts the existence of</w:t>
      </w:r>
      <w:r w:rsidRPr="009D2771">
        <w:t xml:space="preserve"> </w:t>
      </w:r>
      <w:r>
        <w:t>an express requirement to "use"</w:t>
      </w:r>
      <w:r w:rsidRPr="009D2771">
        <w:t xml:space="preserve"> domestic over imported goods </w:t>
      </w:r>
      <w:r>
        <w:t>on the basis of</w:t>
      </w:r>
      <w:r w:rsidRPr="009D2771">
        <w:t xml:space="preserve"> the terms of</w:t>
      </w:r>
      <w:r>
        <w:t xml:space="preserve"> the French, </w:t>
      </w:r>
      <w:r w:rsidR="002E0F1D">
        <w:t>German, Spanish</w:t>
      </w:r>
      <w:r>
        <w:t>, and UK A350XWB LA/MSF contracts</w:t>
      </w:r>
      <w:r w:rsidRPr="009D2771">
        <w:t xml:space="preserve">, </w:t>
      </w:r>
      <w:r>
        <w:t>and in particular by reference</w:t>
      </w:r>
      <w:r w:rsidRPr="009D2771">
        <w:t xml:space="preserve"> to the </w:t>
      </w:r>
      <w:r w:rsidRPr="009D2771">
        <w:rPr>
          <w:b/>
        </w:rPr>
        <w:t>[</w:t>
      </w:r>
      <w:r w:rsidR="00C8434D" w:rsidRPr="00C8434D">
        <w:rPr>
          <w:b/>
          <w:szCs w:val="16"/>
        </w:rPr>
        <w:t>BCI</w:t>
      </w:r>
      <w:r w:rsidRPr="009D2771">
        <w:rPr>
          <w:b/>
        </w:rPr>
        <w:t>]</w:t>
      </w:r>
      <w:r>
        <w:t xml:space="preserve"> clauses in</w:t>
      </w:r>
      <w:r w:rsidRPr="009D2771">
        <w:t xml:space="preserve"> </w:t>
      </w:r>
      <w:r>
        <w:t xml:space="preserve">those </w:t>
      </w:r>
      <w:r w:rsidRPr="009D2771">
        <w:t>contracts</w:t>
      </w:r>
      <w:r w:rsidRPr="003E7F09">
        <w:t>.</w:t>
      </w:r>
      <w:r w:rsidRPr="003E7F09">
        <w:rPr>
          <w:rStyle w:val="FootnoteReference"/>
        </w:rPr>
        <w:footnoteReference w:id="176"/>
      </w:r>
      <w:r>
        <w:t xml:space="preserve"> We address each of these claims in turn below.</w:t>
      </w:r>
    </w:p>
    <w:p w:rsidR="0007161B" w:rsidRPr="00392456" w:rsidRDefault="0007161B" w:rsidP="00DC4FDF">
      <w:pPr>
        <w:pStyle w:val="BodyText"/>
      </w:pPr>
      <w:r>
        <w:t xml:space="preserve">According to </w:t>
      </w:r>
      <w:r w:rsidR="000A10EA">
        <w:t>Article </w:t>
      </w:r>
      <w:r>
        <w:t xml:space="preserve">17.6 of the DSU, </w:t>
      </w:r>
      <w:r w:rsidRPr="00C038B1">
        <w:t xml:space="preserve">appellate review </w:t>
      </w:r>
      <w:r>
        <w:t>centres on "</w:t>
      </w:r>
      <w:r w:rsidRPr="00C038B1">
        <w:t>issues of law covered in the panel report and legal interpretations developed by</w:t>
      </w:r>
      <w:r>
        <w:t xml:space="preserve"> the</w:t>
      </w:r>
      <w:r w:rsidRPr="00C038B1">
        <w:t xml:space="preserve"> panel</w:t>
      </w:r>
      <w:r>
        <w:t>"</w:t>
      </w:r>
      <w:r w:rsidRPr="00C038B1">
        <w:t>.</w:t>
      </w:r>
      <w:r>
        <w:t xml:space="preserve"> In turn, </w:t>
      </w:r>
      <w:r w:rsidR="000A10EA">
        <w:t>Article </w:t>
      </w:r>
      <w:r w:rsidRPr="003E7F09">
        <w:t>17.12</w:t>
      </w:r>
      <w:r>
        <w:t xml:space="preserve"> of the DSU</w:t>
      </w:r>
      <w:r w:rsidRPr="003E7F09">
        <w:t xml:space="preserve"> </w:t>
      </w:r>
      <w:r>
        <w:t>calls upon the</w:t>
      </w:r>
      <w:r w:rsidRPr="003E7F09">
        <w:t xml:space="preserve"> </w:t>
      </w:r>
      <w:r w:rsidR="000A10EA">
        <w:t>Appellate Body</w:t>
      </w:r>
      <w:r w:rsidRPr="003E7F09">
        <w:t xml:space="preserve"> </w:t>
      </w:r>
      <w:r>
        <w:t>to</w:t>
      </w:r>
      <w:r w:rsidRPr="003E7F09">
        <w:t xml:space="preserve"> </w:t>
      </w:r>
      <w:r>
        <w:t>"</w:t>
      </w:r>
      <w:r w:rsidRPr="003E7F09">
        <w:t>address each of the issues raised" on appeal</w:t>
      </w:r>
      <w:r>
        <w:t xml:space="preserve"> in accordance with </w:t>
      </w:r>
      <w:r w:rsidR="000A10EA">
        <w:t>Article </w:t>
      </w:r>
      <w:r>
        <w:t>17.6</w:t>
      </w:r>
      <w:r w:rsidRPr="003E7F09">
        <w:t xml:space="preserve">. </w:t>
      </w:r>
      <w:r w:rsidRPr="00415D77">
        <w:rPr>
          <w:szCs w:val="18"/>
        </w:rPr>
        <w:t xml:space="preserve">In exercising its mandate, the </w:t>
      </w:r>
      <w:r w:rsidR="000A10EA">
        <w:rPr>
          <w:szCs w:val="18"/>
        </w:rPr>
        <w:t>Appellate Body</w:t>
      </w:r>
      <w:r w:rsidRPr="00415D77">
        <w:rPr>
          <w:szCs w:val="18"/>
        </w:rPr>
        <w:t xml:space="preserve"> may thus be called upon to review any aspect of a panel's legal analysis. </w:t>
      </w:r>
      <w:r>
        <w:rPr>
          <w:szCs w:val="18"/>
        </w:rPr>
        <w:t>Moreover,</w:t>
      </w:r>
      <w:r w:rsidRPr="00415D77">
        <w:rPr>
          <w:szCs w:val="18"/>
        </w:rPr>
        <w:t xml:space="preserve"> </w:t>
      </w:r>
      <w:r>
        <w:rPr>
          <w:szCs w:val="18"/>
        </w:rPr>
        <w:t xml:space="preserve">according to </w:t>
      </w:r>
      <w:r w:rsidR="000A10EA">
        <w:rPr>
          <w:szCs w:val="18"/>
        </w:rPr>
        <w:t>Article </w:t>
      </w:r>
      <w:r w:rsidRPr="00415D77">
        <w:rPr>
          <w:szCs w:val="18"/>
        </w:rPr>
        <w:t>3.2 of the DSU</w:t>
      </w:r>
      <w:r>
        <w:rPr>
          <w:szCs w:val="18"/>
        </w:rPr>
        <w:t>,</w:t>
      </w:r>
      <w:r w:rsidRPr="00415D77">
        <w:rPr>
          <w:szCs w:val="18"/>
        </w:rPr>
        <w:t xml:space="preserve"> the dispute settlement system </w:t>
      </w:r>
      <w:r>
        <w:rPr>
          <w:szCs w:val="18"/>
        </w:rPr>
        <w:t>"is a central element in providing security and predictability to the multilateral trading system", and</w:t>
      </w:r>
      <w:r w:rsidRPr="00415D77">
        <w:rPr>
          <w:szCs w:val="18"/>
        </w:rPr>
        <w:t xml:space="preserve"> </w:t>
      </w:r>
      <w:r>
        <w:rPr>
          <w:szCs w:val="18"/>
        </w:rPr>
        <w:t xml:space="preserve">"serves </w:t>
      </w:r>
      <w:r w:rsidRPr="00415D77">
        <w:rPr>
          <w:szCs w:val="18"/>
        </w:rPr>
        <w:t>to preserve the rights and obligations of Members under the covered agreements</w:t>
      </w:r>
      <w:r>
        <w:rPr>
          <w:szCs w:val="18"/>
        </w:rPr>
        <w:t>"</w:t>
      </w:r>
      <w:r w:rsidRPr="00415D77">
        <w:rPr>
          <w:szCs w:val="18"/>
        </w:rPr>
        <w:t xml:space="preserve"> </w:t>
      </w:r>
      <w:r>
        <w:rPr>
          <w:szCs w:val="18"/>
        </w:rPr>
        <w:t>and "</w:t>
      </w:r>
      <w:r w:rsidRPr="00415D77">
        <w:rPr>
          <w:szCs w:val="18"/>
        </w:rPr>
        <w:t>to clarify the existing provisions of those agreements in accordance with customary rules of interpretation</w:t>
      </w:r>
      <w:r>
        <w:rPr>
          <w:szCs w:val="18"/>
        </w:rPr>
        <w:t xml:space="preserve"> of public international law</w:t>
      </w:r>
      <w:r w:rsidRPr="00415D77">
        <w:rPr>
          <w:szCs w:val="18"/>
        </w:rPr>
        <w:t>"</w:t>
      </w:r>
      <w:r>
        <w:rPr>
          <w:szCs w:val="18"/>
        </w:rPr>
        <w:t>.</w:t>
      </w:r>
      <w:r>
        <w:rPr>
          <w:rStyle w:val="FootnoteReference"/>
        </w:rPr>
        <w:footnoteReference w:id="177"/>
      </w:r>
      <w:r>
        <w:rPr>
          <w:szCs w:val="18"/>
        </w:rPr>
        <w:t xml:space="preserve"> </w:t>
      </w:r>
      <w:r w:rsidR="000A10EA">
        <w:rPr>
          <w:szCs w:val="18"/>
        </w:rPr>
        <w:t>Article </w:t>
      </w:r>
      <w:r>
        <w:rPr>
          <w:szCs w:val="18"/>
        </w:rPr>
        <w:t>3.7 further states that "{t}he aim of the dispute settlement mechanism is</w:t>
      </w:r>
      <w:r w:rsidRPr="003E7F09">
        <w:t xml:space="preserve"> to secure a positive solution to a dispute</w:t>
      </w:r>
      <w:r>
        <w:t>."</w:t>
      </w:r>
      <w:r w:rsidRPr="00415D77">
        <w:rPr>
          <w:szCs w:val="18"/>
        </w:rPr>
        <w:t xml:space="preserve"> </w:t>
      </w:r>
      <w:r>
        <w:t>Therefore</w:t>
      </w:r>
      <w:r w:rsidRPr="003E7F09">
        <w:t xml:space="preserve">, </w:t>
      </w:r>
      <w:r w:rsidRPr="00415D77">
        <w:rPr>
          <w:szCs w:val="18"/>
        </w:rPr>
        <w:t xml:space="preserve">the </w:t>
      </w:r>
      <w:r w:rsidR="000A10EA">
        <w:rPr>
          <w:szCs w:val="18"/>
        </w:rPr>
        <w:t>Appellate Body</w:t>
      </w:r>
      <w:r w:rsidRPr="00415D77">
        <w:rPr>
          <w:szCs w:val="18"/>
        </w:rPr>
        <w:t xml:space="preserve">'s review of issues of law </w:t>
      </w:r>
      <w:r w:rsidRPr="00C038B1">
        <w:t xml:space="preserve">covered in </w:t>
      </w:r>
      <w:r>
        <w:t>a</w:t>
      </w:r>
      <w:r w:rsidRPr="00C038B1">
        <w:t xml:space="preserve"> panel report and legal interpretations developed by </w:t>
      </w:r>
      <w:r>
        <w:t>a</w:t>
      </w:r>
      <w:r w:rsidRPr="00C038B1">
        <w:t xml:space="preserve"> panel</w:t>
      </w:r>
      <w:r w:rsidRPr="00415D77">
        <w:rPr>
          <w:szCs w:val="18"/>
        </w:rPr>
        <w:t xml:space="preserve"> should be seen </w:t>
      </w:r>
      <w:r>
        <w:rPr>
          <w:szCs w:val="18"/>
        </w:rPr>
        <w:t>as part</w:t>
      </w:r>
      <w:r w:rsidRPr="00415D77">
        <w:rPr>
          <w:szCs w:val="18"/>
        </w:rPr>
        <w:t xml:space="preserve"> of its duty under </w:t>
      </w:r>
      <w:r w:rsidR="000A10EA">
        <w:rPr>
          <w:szCs w:val="18"/>
        </w:rPr>
        <w:t>Article </w:t>
      </w:r>
      <w:r w:rsidRPr="00415D77">
        <w:rPr>
          <w:szCs w:val="18"/>
        </w:rPr>
        <w:t>17.12 of the DSU to "address</w:t>
      </w:r>
      <w:r>
        <w:rPr>
          <w:szCs w:val="18"/>
        </w:rPr>
        <w:t xml:space="preserve"> each of the issues raised</w:t>
      </w:r>
      <w:r w:rsidRPr="00415D77">
        <w:rPr>
          <w:szCs w:val="18"/>
        </w:rPr>
        <w:t>"</w:t>
      </w:r>
      <w:r>
        <w:rPr>
          <w:rStyle w:val="FootnoteReference"/>
          <w:szCs w:val="18"/>
        </w:rPr>
        <w:footnoteReference w:id="178"/>
      </w:r>
      <w:r w:rsidRPr="00415D77">
        <w:rPr>
          <w:szCs w:val="18"/>
        </w:rPr>
        <w:t>, which, as provided for under Article</w:t>
      </w:r>
      <w:r>
        <w:rPr>
          <w:szCs w:val="18"/>
        </w:rPr>
        <w:t>s</w:t>
      </w:r>
      <w:r w:rsidRPr="00415D77">
        <w:rPr>
          <w:szCs w:val="18"/>
        </w:rPr>
        <w:t xml:space="preserve"> 3.2 and 3.7, may require it to "clarify the existing provisions" of the covered agreements with a view to </w:t>
      </w:r>
      <w:r>
        <w:rPr>
          <w:szCs w:val="18"/>
        </w:rPr>
        <w:t>securing</w:t>
      </w:r>
      <w:r w:rsidRPr="00415D77">
        <w:rPr>
          <w:szCs w:val="18"/>
        </w:rPr>
        <w:t xml:space="preserve"> a "positive solution to a dispute" between the parties and ensuring </w:t>
      </w:r>
      <w:r w:rsidR="00F61C98">
        <w:rPr>
          <w:szCs w:val="18"/>
        </w:rPr>
        <w:t xml:space="preserve">the </w:t>
      </w:r>
      <w:r w:rsidRPr="00415D77">
        <w:rPr>
          <w:szCs w:val="18"/>
        </w:rPr>
        <w:t xml:space="preserve">"security and predictability" of the multilateral trading system. </w:t>
      </w:r>
      <w:r>
        <w:rPr>
          <w:szCs w:val="18"/>
        </w:rPr>
        <w:t xml:space="preserve">The </w:t>
      </w:r>
      <w:r w:rsidR="000A10EA">
        <w:rPr>
          <w:szCs w:val="18"/>
        </w:rPr>
        <w:t>Appellate Body</w:t>
      </w:r>
      <w:r>
        <w:rPr>
          <w:szCs w:val="18"/>
        </w:rPr>
        <w:t xml:space="preserve"> has noted that s</w:t>
      </w:r>
      <w:r w:rsidRPr="00415D77">
        <w:rPr>
          <w:szCs w:val="18"/>
        </w:rPr>
        <w:t xml:space="preserve">uch </w:t>
      </w:r>
      <w:r w:rsidRPr="00415D77">
        <w:t>"</w:t>
      </w:r>
      <w:r>
        <w:t>{</w:t>
      </w:r>
      <w:r w:rsidRPr="00415D77">
        <w:t>c</w:t>
      </w:r>
      <w:r>
        <w:t>}</w:t>
      </w:r>
      <w:r w:rsidRPr="00415D77">
        <w:t xml:space="preserve">larification, as envisaged in </w:t>
      </w:r>
      <w:r w:rsidR="000A10EA">
        <w:t>Article </w:t>
      </w:r>
      <w:r w:rsidRPr="00415D77">
        <w:t>3.2 of the DSU, elucidates the scope and meaning of the provisions of the covered agreements</w:t>
      </w:r>
      <w:r>
        <w:t>" and that "</w:t>
      </w:r>
      <w:r w:rsidRPr="004628A9">
        <w:t>the relevance of clarification</w:t>
      </w:r>
      <w:r>
        <w:t xml:space="preserve"> contained in adopted </w:t>
      </w:r>
      <w:r w:rsidR="000A10EA">
        <w:t>Appellate Body</w:t>
      </w:r>
      <w:r w:rsidRPr="004628A9">
        <w:t xml:space="preserve"> report</w:t>
      </w:r>
      <w:r>
        <w:t>s</w:t>
      </w:r>
      <w:r w:rsidRPr="004628A9">
        <w:t xml:space="preserve"> is not limited to the application of a </w:t>
      </w:r>
      <w:r>
        <w:t xml:space="preserve">particular </w:t>
      </w:r>
      <w:r w:rsidR="00B542A9">
        <w:t>provision in a specific </w:t>
      </w:r>
      <w:r w:rsidRPr="004628A9">
        <w:t>case</w:t>
      </w:r>
      <w:r>
        <w:t>."</w:t>
      </w:r>
      <w:r>
        <w:rPr>
          <w:rStyle w:val="FootnoteReference"/>
        </w:rPr>
        <w:footnoteReference w:id="179"/>
      </w:r>
    </w:p>
    <w:p w:rsidR="0007161B" w:rsidRPr="003E7F09" w:rsidRDefault="0007161B" w:rsidP="00DC4FDF">
      <w:pPr>
        <w:pStyle w:val="BodyText"/>
      </w:pPr>
      <w:r>
        <w:t>The </w:t>
      </w:r>
      <w:r w:rsidR="000A10EA">
        <w:t>European Union</w:t>
      </w:r>
      <w:r w:rsidRPr="006D46D3">
        <w:t xml:space="preserve"> does not </w:t>
      </w:r>
      <w:r>
        <w:t>contest</w:t>
      </w:r>
      <w:r w:rsidRPr="006D46D3">
        <w:t xml:space="preserve"> that the Panel's interpretation and applicati</w:t>
      </w:r>
      <w:r>
        <w:t xml:space="preserve">on of </w:t>
      </w:r>
      <w:r w:rsidR="000A10EA">
        <w:t>Article </w:t>
      </w:r>
      <w:r>
        <w:t xml:space="preserve">3.1(b) </w:t>
      </w:r>
      <w:r w:rsidRPr="006D46D3">
        <w:t>constitute issue</w:t>
      </w:r>
      <w:r>
        <w:t>s</w:t>
      </w:r>
      <w:r w:rsidRPr="006D46D3">
        <w:t xml:space="preserve"> of law </w:t>
      </w:r>
      <w:r>
        <w:t xml:space="preserve">that the </w:t>
      </w:r>
      <w:r w:rsidR="000A10EA">
        <w:t>Appellate Body</w:t>
      </w:r>
      <w:r>
        <w:t xml:space="preserve"> must address if properly raised; rather</w:t>
      </w:r>
      <w:r w:rsidRPr="006D46D3">
        <w:t xml:space="preserve">, </w:t>
      </w:r>
      <w:r>
        <w:t>it submits</w:t>
      </w:r>
      <w:r w:rsidRPr="006D46D3">
        <w:t xml:space="preserve"> that the </w:t>
      </w:r>
      <w:r w:rsidR="000A10EA">
        <w:t>United States</w:t>
      </w:r>
      <w:r w:rsidRPr="006D46D3">
        <w:t xml:space="preserve"> has failed to </w:t>
      </w:r>
      <w:r>
        <w:t>"</w:t>
      </w:r>
      <w:r w:rsidRPr="006D46D3">
        <w:t>appeal</w:t>
      </w:r>
      <w:r>
        <w:t>"</w:t>
      </w:r>
      <w:r w:rsidRPr="006D46D3">
        <w:t xml:space="preserve"> an issue of law or a legal interpretation</w:t>
      </w:r>
      <w:r>
        <w:t xml:space="preserve">, because it did not raise a specific allegation of error before the </w:t>
      </w:r>
      <w:r w:rsidR="000A10EA">
        <w:t>Appellate Body</w:t>
      </w:r>
      <w:r>
        <w:t xml:space="preserve"> regarding the manner in which the Panel in this dispute interpreted and applied </w:t>
      </w:r>
      <w:r w:rsidR="000A10EA">
        <w:t>Article </w:t>
      </w:r>
      <w:r w:rsidR="00B542A9">
        <w:t>3.1(b). In </w:t>
      </w:r>
      <w:r>
        <w:t xml:space="preserve">the </w:t>
      </w:r>
      <w:r w:rsidR="000A10EA">
        <w:t>European Union</w:t>
      </w:r>
      <w:r>
        <w:t xml:space="preserve">'s view, the </w:t>
      </w:r>
      <w:r w:rsidR="000A10EA">
        <w:t>United States</w:t>
      </w:r>
      <w:r>
        <w:t xml:space="preserve"> "</w:t>
      </w:r>
      <w:r w:rsidRPr="00F07CE0">
        <w:rPr>
          <w:i/>
        </w:rPr>
        <w:t xml:space="preserve">agrees </w:t>
      </w:r>
      <w:r>
        <w:t xml:space="preserve">with the interpretation of </w:t>
      </w:r>
      <w:r w:rsidR="000A10EA">
        <w:t>Article </w:t>
      </w:r>
      <w:r>
        <w:t xml:space="preserve">3.1(b) set out in the Panel Report" and, on appeal, "merely asserts that </w:t>
      </w:r>
      <w:r w:rsidR="000A10EA">
        <w:t>Article </w:t>
      </w:r>
      <w:r>
        <w:t>3.1(b) 'can be given a different reading'", without explaining what the Panel's legal error is.</w:t>
      </w:r>
      <w:r>
        <w:rPr>
          <w:rStyle w:val="FootnoteReference"/>
        </w:rPr>
        <w:footnoteReference w:id="180"/>
      </w:r>
      <w:r w:rsidRPr="00C04E6F">
        <w:t xml:space="preserve"> </w:t>
      </w:r>
    </w:p>
    <w:p w:rsidR="0007161B" w:rsidRDefault="0007161B" w:rsidP="00DC4FDF">
      <w:pPr>
        <w:pStyle w:val="BodyText"/>
      </w:pPr>
      <w:r>
        <w:t xml:space="preserve">We begin by considering the nature of the </w:t>
      </w:r>
      <w:r w:rsidR="000A10EA">
        <w:t>United States</w:t>
      </w:r>
      <w:r>
        <w:t>'</w:t>
      </w:r>
      <w:r w:rsidR="00B542A9">
        <w:t xml:space="preserve"> appeal. In its Notice of Other </w:t>
      </w:r>
      <w:r>
        <w:t xml:space="preserve">Appeal, the </w:t>
      </w:r>
      <w:r w:rsidR="000A10EA">
        <w:t>United States</w:t>
      </w:r>
      <w:r>
        <w:t xml:space="preserve"> frames its appeal as follows:</w:t>
      </w:r>
    </w:p>
    <w:p w:rsidR="0007161B" w:rsidRDefault="0007161B" w:rsidP="00206326">
      <w:pPr>
        <w:pStyle w:val="Quotation"/>
        <w:ind w:left="357"/>
      </w:pPr>
      <w:r w:rsidRPr="0030171B">
        <w:rPr>
          <w:lang w:val="en-US"/>
        </w:rPr>
        <w:t xml:space="preserve">The </w:t>
      </w:r>
      <w:r w:rsidR="000A10EA">
        <w:rPr>
          <w:lang w:val="en-US"/>
        </w:rPr>
        <w:t>United States</w:t>
      </w:r>
      <w:r w:rsidRPr="0030171B">
        <w:rPr>
          <w:lang w:val="en-US"/>
        </w:rPr>
        <w:t xml:space="preserve"> seeks review by the </w:t>
      </w:r>
      <w:r w:rsidR="000A10EA">
        <w:rPr>
          <w:lang w:val="en-US"/>
        </w:rPr>
        <w:t>Appellate Body</w:t>
      </w:r>
      <w:r w:rsidRPr="0030171B">
        <w:rPr>
          <w:lang w:val="en-US"/>
        </w:rPr>
        <w:t xml:space="preserve"> of the Panel</w:t>
      </w:r>
      <w:r>
        <w:rPr>
          <w:lang w:val="en-US"/>
        </w:rPr>
        <w:t>'</w:t>
      </w:r>
      <w:r w:rsidRPr="0030171B">
        <w:rPr>
          <w:lang w:val="en-US"/>
        </w:rPr>
        <w:t xml:space="preserve">s finding that the </w:t>
      </w:r>
      <w:r w:rsidR="000A10EA">
        <w:rPr>
          <w:lang w:val="en-US"/>
        </w:rPr>
        <w:t>United States</w:t>
      </w:r>
      <w:r w:rsidRPr="0030171B">
        <w:rPr>
          <w:lang w:val="en-US"/>
        </w:rPr>
        <w:t xml:space="preserve"> failed to establish that the French, German, Spanish, and UK LA/MSF subsidies for Airbus</w:t>
      </w:r>
      <w:r>
        <w:rPr>
          <w:lang w:val="en-US"/>
        </w:rPr>
        <w:t>'</w:t>
      </w:r>
      <w:r w:rsidRPr="0030171B">
        <w:rPr>
          <w:lang w:val="en-US"/>
        </w:rPr>
        <w:t xml:space="preserve">s A350 XWB constituted prohibited import substitution subsidies, within the meaning of </w:t>
      </w:r>
      <w:r w:rsidR="000A10EA">
        <w:rPr>
          <w:lang w:val="en-US"/>
        </w:rPr>
        <w:t>Article </w:t>
      </w:r>
      <w:r w:rsidRPr="0030171B">
        <w:rPr>
          <w:lang w:val="en-US"/>
        </w:rPr>
        <w:t xml:space="preserve">3.1(b) of the </w:t>
      </w:r>
      <w:r w:rsidRPr="0030171B">
        <w:rPr>
          <w:i/>
          <w:lang w:val="en-US"/>
        </w:rPr>
        <w:t xml:space="preserve">Agreement on Subsidies and Countervailing </w:t>
      </w:r>
      <w:r w:rsidRPr="0030171B">
        <w:rPr>
          <w:i/>
          <w:lang w:val="en-US"/>
        </w:rPr>
        <w:lastRenderedPageBreak/>
        <w:t xml:space="preserve">Measures </w:t>
      </w:r>
      <w:r>
        <w:rPr>
          <w:lang w:val="en-US"/>
        </w:rPr>
        <w:t>("</w:t>
      </w:r>
      <w:r w:rsidR="000A10EA">
        <w:rPr>
          <w:lang w:val="en-US"/>
        </w:rPr>
        <w:t>SCM Agreement</w:t>
      </w:r>
      <w:r>
        <w:rPr>
          <w:lang w:val="en-US"/>
        </w:rPr>
        <w:t>"</w:t>
      </w:r>
      <w:r w:rsidRPr="0030171B">
        <w:rPr>
          <w:lang w:val="en-US"/>
        </w:rPr>
        <w:t>).</w:t>
      </w:r>
      <w:r>
        <w:rPr>
          <w:lang w:val="en-US"/>
        </w:rPr>
        <w:t xml:space="preserve"> </w:t>
      </w:r>
      <w:r w:rsidRPr="0030171B">
        <w:rPr>
          <w:lang w:val="en-US"/>
        </w:rPr>
        <w:t xml:space="preserve">While the </w:t>
      </w:r>
      <w:r w:rsidR="000A10EA">
        <w:rPr>
          <w:lang w:val="en-US"/>
        </w:rPr>
        <w:t>United States</w:t>
      </w:r>
      <w:r>
        <w:rPr>
          <w:lang w:val="en-US"/>
        </w:rPr>
        <w:t xml:space="preserve"> agrees with the Panel'</w:t>
      </w:r>
      <w:r w:rsidRPr="0030171B">
        <w:rPr>
          <w:lang w:val="en-US"/>
        </w:rPr>
        <w:t xml:space="preserve">s interpretation of </w:t>
      </w:r>
      <w:r w:rsidR="000A10EA">
        <w:rPr>
          <w:lang w:val="en-US"/>
        </w:rPr>
        <w:t>Article </w:t>
      </w:r>
      <w:r w:rsidRPr="0030171B">
        <w:rPr>
          <w:lang w:val="en-US"/>
        </w:rPr>
        <w:t xml:space="preserve">3.1(b), a competing interpretation is under consideration in another dispute, </w:t>
      </w:r>
      <w:r w:rsidRPr="0030171B">
        <w:rPr>
          <w:i/>
          <w:lang w:val="en-US"/>
        </w:rPr>
        <w:t xml:space="preserve">US – Conditional Tax Incentives for Large Civil Aircraft </w:t>
      </w:r>
      <w:r>
        <w:rPr>
          <w:lang w:val="en-US"/>
        </w:rPr>
        <w:t>(DS487).</w:t>
      </w:r>
      <w:r w:rsidRPr="0030171B">
        <w:rPr>
          <w:lang w:val="en-US"/>
        </w:rPr>
        <w:t xml:space="preserve"> If the </w:t>
      </w:r>
      <w:r w:rsidR="000A10EA">
        <w:rPr>
          <w:lang w:val="en-US"/>
        </w:rPr>
        <w:t>Appellate Body</w:t>
      </w:r>
      <w:r w:rsidRPr="0030171B">
        <w:rPr>
          <w:lang w:val="en-US"/>
        </w:rPr>
        <w:t xml:space="preserve"> were to determine that this competing interpretation of </w:t>
      </w:r>
      <w:r w:rsidR="000A10EA">
        <w:rPr>
          <w:lang w:val="en-US"/>
        </w:rPr>
        <w:t>Article </w:t>
      </w:r>
      <w:r w:rsidRPr="0030171B">
        <w:rPr>
          <w:lang w:val="en-US"/>
        </w:rPr>
        <w:t xml:space="preserve">3.1(b) is correct, then the Panel here erred in its interpretation and application of </w:t>
      </w:r>
      <w:r w:rsidR="000A10EA">
        <w:rPr>
          <w:lang w:val="en-US"/>
        </w:rPr>
        <w:t>Article </w:t>
      </w:r>
      <w:r w:rsidRPr="0030171B">
        <w:rPr>
          <w:lang w:val="en-US"/>
        </w:rPr>
        <w:t>3.1(b) and its finding that the French, German, Spanish, and UK LA/MSF for the A350 XWB do not constitute import substitution subsidie</w:t>
      </w:r>
      <w:r>
        <w:rPr>
          <w:lang w:val="en-US"/>
        </w:rPr>
        <w:t xml:space="preserve">s prohibited by </w:t>
      </w:r>
      <w:r w:rsidR="000A10EA">
        <w:rPr>
          <w:lang w:val="en-US"/>
        </w:rPr>
        <w:t>Article </w:t>
      </w:r>
      <w:r>
        <w:rPr>
          <w:lang w:val="en-US"/>
        </w:rPr>
        <w:t>3.1(b).</w:t>
      </w:r>
      <w:r>
        <w:rPr>
          <w:rStyle w:val="FootnoteReference"/>
          <w:lang w:val="en-US"/>
        </w:rPr>
        <w:footnoteReference w:id="181"/>
      </w:r>
    </w:p>
    <w:p w:rsidR="0007161B" w:rsidRDefault="0007161B" w:rsidP="00DC4FDF">
      <w:pPr>
        <w:pStyle w:val="BodyText"/>
      </w:pPr>
      <w:r>
        <w:t xml:space="preserve">In its other appellant's submission, the </w:t>
      </w:r>
      <w:r w:rsidR="000A10EA">
        <w:t>United States</w:t>
      </w:r>
      <w:r>
        <w:t xml:space="preserve"> further clarifies the meaning and content of its Notice of Other Appeal and the nature of its claims of error. It explains that,</w:t>
      </w:r>
      <w:r w:rsidRPr="0076686C">
        <w:t xml:space="preserve"> </w:t>
      </w:r>
      <w:r>
        <w:t>"</w:t>
      </w:r>
      <w:r w:rsidRPr="004E04EB">
        <w:rPr>
          <w:i/>
        </w:rPr>
        <w:t>to the extent that</w:t>
      </w:r>
      <w:r>
        <w:t xml:space="preserve"> the </w:t>
      </w:r>
      <w:r w:rsidR="000A10EA">
        <w:t>Appellate Body</w:t>
      </w:r>
      <w:r>
        <w:t xml:space="preserve"> considers that {another} interpretation of </w:t>
      </w:r>
      <w:r w:rsidR="000A10EA">
        <w:t>Article </w:t>
      </w:r>
      <w:r>
        <w:t>3.1(b) is correct, and the Panel's interpretation of that provision is incorrect",</w:t>
      </w:r>
      <w:r w:rsidRPr="00B94FA0">
        <w:t xml:space="preserve"> </w:t>
      </w:r>
      <w:r w:rsidRPr="0076686C">
        <w:t xml:space="preserve">the Panel </w:t>
      </w:r>
      <w:r>
        <w:t>"</w:t>
      </w:r>
      <w:r w:rsidRPr="000C2AB6">
        <w:t>erred</w:t>
      </w:r>
      <w:r w:rsidRPr="0076686C">
        <w:t xml:space="preserve"> in finding that the French, German, Spanish, and UK LA/MSF for the A350 XWB do not constitute import substitution subsidies prohibited by </w:t>
      </w:r>
      <w:r w:rsidR="000A10EA">
        <w:t>Article </w:t>
      </w:r>
      <w:r w:rsidRPr="0076686C">
        <w:t>3.1(b)</w:t>
      </w:r>
      <w:r>
        <w:t>"</w:t>
      </w:r>
      <w:r w:rsidRPr="0076686C">
        <w:t>.</w:t>
      </w:r>
      <w:r w:rsidRPr="0076686C">
        <w:rPr>
          <w:rStyle w:val="FootnoteReference"/>
        </w:rPr>
        <w:footnoteReference w:id="182"/>
      </w:r>
      <w:r>
        <w:t xml:space="preserve"> In this regard, </w:t>
      </w:r>
      <w:r w:rsidRPr="0076686C">
        <w:t xml:space="preserve">the </w:t>
      </w:r>
      <w:r w:rsidR="000A10EA">
        <w:t>United States</w:t>
      </w:r>
      <w:r w:rsidRPr="0076686C">
        <w:t xml:space="preserve"> </w:t>
      </w:r>
      <w:r>
        <w:t>notes</w:t>
      </w:r>
      <w:r w:rsidRPr="0076686C">
        <w:t xml:space="preserve"> that the Panel </w:t>
      </w:r>
      <w:r>
        <w:t xml:space="preserve">found that "subsidies conditioned on the domestic production of inputs to be used in the manufacture of the A350 XWB are not prohibited under </w:t>
      </w:r>
      <w:r w:rsidR="000A10EA">
        <w:t>Article </w:t>
      </w:r>
      <w:r>
        <w:t>3.1(b)"</w:t>
      </w:r>
      <w:r w:rsidR="00F61C98">
        <w:t>.</w:t>
      </w:r>
      <w:r>
        <w:rPr>
          <w:rStyle w:val="FootnoteReference"/>
        </w:rPr>
        <w:footnoteReference w:id="183"/>
      </w:r>
      <w:r>
        <w:t xml:space="preserve"> The </w:t>
      </w:r>
      <w:r w:rsidR="000A10EA">
        <w:t>United States</w:t>
      </w:r>
      <w:r>
        <w:t xml:space="preserve"> observes, however, that </w:t>
      </w:r>
      <w:r w:rsidRPr="0076686C">
        <w:t>"</w:t>
      </w:r>
      <w:r w:rsidR="000A10EA">
        <w:t>Article </w:t>
      </w:r>
      <w:r w:rsidRPr="0076686C">
        <w:t>3.1(b) can be given a different reading"</w:t>
      </w:r>
      <w:r>
        <w:t>, that it advocated this reading before the Panel in the present dispute, and that</w:t>
      </w:r>
      <w:r w:rsidRPr="0076686C">
        <w:t xml:space="preserve"> the panel in </w:t>
      </w:r>
      <w:r w:rsidRPr="0076686C">
        <w:rPr>
          <w:i/>
        </w:rPr>
        <w:t>US – Tax Incentives</w:t>
      </w:r>
      <w:r>
        <w:rPr>
          <w:i/>
        </w:rPr>
        <w:t xml:space="preserve"> </w:t>
      </w:r>
      <w:r>
        <w:t xml:space="preserve">agreed with this other reading of </w:t>
      </w:r>
      <w:r w:rsidR="000A10EA">
        <w:t>Article </w:t>
      </w:r>
      <w:r>
        <w:t>3.1(b)</w:t>
      </w:r>
      <w:r w:rsidRPr="0076686C">
        <w:t>.</w:t>
      </w:r>
      <w:r w:rsidRPr="0076686C">
        <w:rPr>
          <w:rStyle w:val="FootnoteReference"/>
        </w:rPr>
        <w:footnoteReference w:id="184"/>
      </w:r>
      <w:r w:rsidRPr="0076686C">
        <w:t xml:space="preserve"> The </w:t>
      </w:r>
      <w:r w:rsidR="000A10EA">
        <w:t>United States</w:t>
      </w:r>
      <w:r w:rsidRPr="0076686C">
        <w:t xml:space="preserve"> </w:t>
      </w:r>
      <w:r>
        <w:t>underscores</w:t>
      </w:r>
      <w:r w:rsidRPr="0076686C">
        <w:t xml:space="preserve"> that </w:t>
      </w:r>
      <w:r>
        <w:t xml:space="preserve">this other reading of </w:t>
      </w:r>
      <w:r w:rsidR="000A10EA">
        <w:t>Article </w:t>
      </w:r>
      <w:r>
        <w:t>3.1(b) may not</w:t>
      </w:r>
      <w:r w:rsidRPr="0076686C">
        <w:t xml:space="preserve"> be "the best interpretation</w:t>
      </w:r>
      <w:r>
        <w:t>" of this provision</w:t>
      </w:r>
      <w:r w:rsidRPr="0076686C">
        <w:t xml:space="preserve">, but </w:t>
      </w:r>
      <w:r>
        <w:t xml:space="preserve">emphasizes </w:t>
      </w:r>
      <w:r w:rsidR="00734335">
        <w:t>that it "has </w:t>
      </w:r>
      <w:r w:rsidRPr="0076686C">
        <w:t xml:space="preserve">an interest in ensuring that the same legal approach </w:t>
      </w:r>
      <w:r w:rsidR="00B542A9">
        <w:t>is applied" in this case and in </w:t>
      </w:r>
      <w:r>
        <w:rPr>
          <w:i/>
        </w:rPr>
        <w:t>US ‒</w:t>
      </w:r>
      <w:r w:rsidR="00734335">
        <w:rPr>
          <w:i/>
        </w:rPr>
        <w:t> Tax </w:t>
      </w:r>
      <w:r w:rsidRPr="0076686C">
        <w:rPr>
          <w:i/>
        </w:rPr>
        <w:t>Incentives</w:t>
      </w:r>
      <w:r w:rsidRPr="0076686C">
        <w:t>.</w:t>
      </w:r>
      <w:r w:rsidRPr="0076686C">
        <w:rPr>
          <w:rStyle w:val="FootnoteReference"/>
        </w:rPr>
        <w:footnoteReference w:id="185"/>
      </w:r>
      <w:r w:rsidRPr="0076686C">
        <w:t xml:space="preserve"> </w:t>
      </w:r>
    </w:p>
    <w:p w:rsidR="0007161B" w:rsidRPr="0076686C" w:rsidRDefault="0007161B" w:rsidP="00DC4FDF">
      <w:pPr>
        <w:pStyle w:val="BodyText"/>
      </w:pPr>
      <w:r>
        <w:t xml:space="preserve">As we see it, the </w:t>
      </w:r>
      <w:r w:rsidR="000A10EA">
        <w:t>United States</w:t>
      </w:r>
      <w:r>
        <w:t xml:space="preserve"> contends that, </w:t>
      </w:r>
      <w:r w:rsidRPr="004E04EB">
        <w:rPr>
          <w:i/>
        </w:rPr>
        <w:t>depending on</w:t>
      </w:r>
      <w:r>
        <w:t xml:space="preserve"> our reading of </w:t>
      </w:r>
      <w:r w:rsidR="000A10EA">
        <w:t>Article </w:t>
      </w:r>
      <w:r>
        <w:t xml:space="preserve">3.1(b) of the </w:t>
      </w:r>
      <w:r w:rsidR="000A10EA">
        <w:t>SCM Agreement</w:t>
      </w:r>
      <w:r>
        <w:t xml:space="preserve">, the Panel </w:t>
      </w:r>
      <w:r w:rsidRPr="0076686C">
        <w:t xml:space="preserve">erred </w:t>
      </w:r>
      <w:r>
        <w:t xml:space="preserve">in its application of </w:t>
      </w:r>
      <w:r w:rsidR="000A10EA">
        <w:t>Article </w:t>
      </w:r>
      <w:r>
        <w:t xml:space="preserve">3.1(b) to the facts of the present case, and in particular </w:t>
      </w:r>
      <w:r w:rsidRPr="0076686C">
        <w:t xml:space="preserve">in finding that </w:t>
      </w:r>
      <w:r>
        <w:t>the relevant A350</w:t>
      </w:r>
      <w:r w:rsidRPr="0076686C">
        <w:t xml:space="preserve">XWB </w:t>
      </w:r>
      <w:r>
        <w:t xml:space="preserve">LA/MSF </w:t>
      </w:r>
      <w:r w:rsidRPr="0076686C">
        <w:t xml:space="preserve">do not constitute import substitution subsidies prohibited by </w:t>
      </w:r>
      <w:r w:rsidR="000A10EA">
        <w:t>Article </w:t>
      </w:r>
      <w:r w:rsidRPr="0076686C">
        <w:t>3.1(b</w:t>
      </w:r>
      <w:r>
        <w:t>)</w:t>
      </w:r>
      <w:r w:rsidRPr="0076686C">
        <w:t>.</w:t>
      </w:r>
      <w:r w:rsidRPr="0076686C">
        <w:rPr>
          <w:rStyle w:val="FootnoteReference"/>
        </w:rPr>
        <w:footnoteReference w:id="186"/>
      </w:r>
      <w:r>
        <w:t xml:space="preserve"> Specifically, in its </w:t>
      </w:r>
      <w:r w:rsidR="00F61C98">
        <w:t xml:space="preserve">other </w:t>
      </w:r>
      <w:r>
        <w:t xml:space="preserve">appellant's submission, </w:t>
      </w:r>
      <w:r w:rsidRPr="003E7F09">
        <w:t xml:space="preserve">the </w:t>
      </w:r>
      <w:r w:rsidR="000A10EA">
        <w:t>United States</w:t>
      </w:r>
      <w:r w:rsidRPr="003E7F09">
        <w:t xml:space="preserve"> describes the approach of the Panel</w:t>
      </w:r>
      <w:r>
        <w:t xml:space="preserve"> in the present case</w:t>
      </w:r>
      <w:r w:rsidRPr="003E7F09">
        <w:rPr>
          <w:rStyle w:val="FootnoteReference"/>
        </w:rPr>
        <w:footnoteReference w:id="187"/>
      </w:r>
      <w:r>
        <w:t>, and</w:t>
      </w:r>
      <w:r w:rsidRPr="003E7F09">
        <w:t xml:space="preserve"> sets out the elements of what it considers to </w:t>
      </w:r>
      <w:r>
        <w:t>constitute</w:t>
      </w:r>
      <w:r w:rsidRPr="003E7F09">
        <w:t xml:space="preserve"> a different interpretation, including by reference </w:t>
      </w:r>
      <w:r>
        <w:t>to</w:t>
      </w:r>
      <w:r w:rsidRPr="003E7F09">
        <w:t xml:space="preserve"> its arguments before the Panel</w:t>
      </w:r>
      <w:r>
        <w:t>.</w:t>
      </w:r>
      <w:r w:rsidRPr="003E7F09">
        <w:rPr>
          <w:rStyle w:val="FootnoteReference"/>
        </w:rPr>
        <w:footnoteReference w:id="188"/>
      </w:r>
      <w:r>
        <w:t xml:space="preserve"> Based on our reading of the </w:t>
      </w:r>
      <w:r w:rsidR="000A10EA">
        <w:t>United States</w:t>
      </w:r>
      <w:r>
        <w:t xml:space="preserve">' Notice of Other Appeal together with its other appellant's submission, and as clarified by the </w:t>
      </w:r>
      <w:r w:rsidR="000A10EA">
        <w:t>United States</w:t>
      </w:r>
      <w:r>
        <w:t xml:space="preserve"> at the oral hearing, we understand the </w:t>
      </w:r>
      <w:r w:rsidR="00F61C98">
        <w:t>United States'</w:t>
      </w:r>
      <w:r w:rsidRPr="00DA00AB">
        <w:t xml:space="preserve"> request</w:t>
      </w:r>
      <w:r>
        <w:t xml:space="preserve"> to be</w:t>
      </w:r>
      <w:r w:rsidRPr="00DA00AB">
        <w:t xml:space="preserve"> that</w:t>
      </w:r>
      <w:r>
        <w:t xml:space="preserve">, if </w:t>
      </w:r>
      <w:r w:rsidRPr="00DA00AB">
        <w:t xml:space="preserve">we consider the Panel </w:t>
      </w:r>
      <w:r w:rsidR="00F61C98">
        <w:t xml:space="preserve">to have </w:t>
      </w:r>
      <w:r w:rsidRPr="00DA00AB">
        <w:t xml:space="preserve">erred in its interpretation of </w:t>
      </w:r>
      <w:r w:rsidR="000A10EA">
        <w:t>Article </w:t>
      </w:r>
      <w:r w:rsidRPr="00DA00AB">
        <w:t>3.1(b)</w:t>
      </w:r>
      <w:r>
        <w:t xml:space="preserve">, </w:t>
      </w:r>
      <w:r w:rsidRPr="00DA00AB">
        <w:t>we review</w:t>
      </w:r>
      <w:r w:rsidRPr="00A74A72">
        <w:t xml:space="preserve"> </w:t>
      </w:r>
      <w:r w:rsidRPr="00DA00AB">
        <w:t>the Panel's application of</w:t>
      </w:r>
      <w:r>
        <w:t xml:space="preserve"> this</w:t>
      </w:r>
      <w:r w:rsidRPr="00DA00AB">
        <w:t xml:space="preserve"> provision</w:t>
      </w:r>
      <w:r>
        <w:t>,</w:t>
      </w:r>
      <w:r w:rsidRPr="00DA00AB">
        <w:t xml:space="preserve"> </w:t>
      </w:r>
      <w:r>
        <w:t xml:space="preserve">and in particular its finding that the </w:t>
      </w:r>
      <w:r w:rsidR="000A10EA">
        <w:t>United States</w:t>
      </w:r>
      <w:r>
        <w:t xml:space="preserve"> has not established that the French, </w:t>
      </w:r>
      <w:r w:rsidR="002E0F1D">
        <w:t>German, Spanish</w:t>
      </w:r>
      <w:r>
        <w:t xml:space="preserve">, and UK A350XWB LA/MSF contracts are inconsistent with </w:t>
      </w:r>
      <w:r w:rsidR="000A10EA">
        <w:t>Article </w:t>
      </w:r>
      <w:r>
        <w:t>3.1(b)</w:t>
      </w:r>
      <w:r w:rsidRPr="00DA00AB">
        <w:t>.</w:t>
      </w:r>
      <w:r w:rsidRPr="003E7F09">
        <w:rPr>
          <w:rStyle w:val="FootnoteReference"/>
        </w:rPr>
        <w:footnoteReference w:id="189"/>
      </w:r>
      <w:r>
        <w:t xml:space="preserve"> Therefore, in our view, in its appeal, the </w:t>
      </w:r>
      <w:r w:rsidR="000A10EA">
        <w:t>United States</w:t>
      </w:r>
      <w:r>
        <w:t xml:space="preserve"> has identified "issues of law covered in the panel report and legal interpretations developed by the panel", within the meaning of </w:t>
      </w:r>
      <w:r w:rsidR="000A10EA">
        <w:t>Article </w:t>
      </w:r>
      <w:r>
        <w:t xml:space="preserve">17.6 of the DSU, with regard to the Panel's interpretation and application </w:t>
      </w:r>
      <w:r w:rsidR="00F61C98">
        <w:t>of</w:t>
      </w:r>
      <w:r>
        <w:t xml:space="preserve"> </w:t>
      </w:r>
      <w:r w:rsidR="000A10EA">
        <w:t>Article </w:t>
      </w:r>
      <w:r>
        <w:t xml:space="preserve">3.1(b) of the </w:t>
      </w:r>
      <w:r w:rsidR="000A10EA">
        <w:t>SCM Agreement</w:t>
      </w:r>
      <w:r>
        <w:t>.</w:t>
      </w:r>
    </w:p>
    <w:p w:rsidR="0007161B" w:rsidRDefault="0007161B" w:rsidP="00DC4FDF">
      <w:pPr>
        <w:pStyle w:val="BodyText"/>
      </w:pPr>
      <w:r>
        <w:t xml:space="preserve">We also consider that the </w:t>
      </w:r>
      <w:r w:rsidR="000A10EA">
        <w:t>United States</w:t>
      </w:r>
      <w:r>
        <w:t xml:space="preserve"> has "alleged e</w:t>
      </w:r>
      <w:r w:rsidR="00B542A9">
        <w:t>rrors" and identified "specific </w:t>
      </w:r>
      <w:r>
        <w:t>allegations of errors" within the meaning of</w:t>
      </w:r>
      <w:r w:rsidRPr="00E8743E">
        <w:t xml:space="preserve"> </w:t>
      </w:r>
      <w:r w:rsidRPr="00806CAD">
        <w:t>Rule</w:t>
      </w:r>
      <w:r>
        <w:t>s</w:t>
      </w:r>
      <w:r w:rsidRPr="00806CAD">
        <w:t xml:space="preserve"> 21(2)(</w:t>
      </w:r>
      <w:r>
        <w:t>b)(i)</w:t>
      </w:r>
      <w:r w:rsidR="00F61C98">
        <w:t>, 23(2)(c)(ii)(A),</w:t>
      </w:r>
      <w:r>
        <w:t xml:space="preserve"> and 23(3) of the Working Procedures with regard to the Panel's interpretation and application of </w:t>
      </w:r>
      <w:r w:rsidR="000A10EA">
        <w:lastRenderedPageBreak/>
        <w:t>Article </w:t>
      </w:r>
      <w:r>
        <w:t>3.1(b).</w:t>
      </w:r>
      <w:r>
        <w:rPr>
          <w:rStyle w:val="FootnoteReference"/>
        </w:rPr>
        <w:footnoteReference w:id="190"/>
      </w:r>
      <w:r w:rsidR="00734335">
        <w:t xml:space="preserve"> In </w:t>
      </w:r>
      <w:r>
        <w:t xml:space="preserve">particular, in its Notice of Other Appeal and other appellant's submission, the </w:t>
      </w:r>
      <w:r w:rsidR="000A10EA">
        <w:t>United States</w:t>
      </w:r>
      <w:r>
        <w:t xml:space="preserve"> alleges an error in the Panel's application of </w:t>
      </w:r>
      <w:r w:rsidR="000A10EA">
        <w:t>Article </w:t>
      </w:r>
      <w:r>
        <w:t>3.1(b)</w:t>
      </w:r>
      <w:r w:rsidR="00F61C98">
        <w:t>,</w:t>
      </w:r>
      <w:r>
        <w:t xml:space="preserve"> conditional upon the existence of an error in the Panel's interpretation of this provision. We are therefore called upon to review and clarify the proper meaning of </w:t>
      </w:r>
      <w:r w:rsidR="000A10EA">
        <w:t>Article </w:t>
      </w:r>
      <w:r>
        <w:t xml:space="preserve">3.1(b), and, if we find that the Panel erred, to examine whether we are in a position to complete the legal analysis and rule on the conformity of the measures at issue with this provision. </w:t>
      </w:r>
    </w:p>
    <w:p w:rsidR="0007161B" w:rsidRDefault="0007161B" w:rsidP="00DC4FDF">
      <w:pPr>
        <w:pStyle w:val="BodyText"/>
      </w:pPr>
      <w:r w:rsidRPr="002719F3">
        <w:t xml:space="preserve">The </w:t>
      </w:r>
      <w:r w:rsidR="000A10EA">
        <w:t>European Union</w:t>
      </w:r>
      <w:r w:rsidRPr="002719F3">
        <w:t xml:space="preserve"> also argues that the </w:t>
      </w:r>
      <w:r w:rsidR="000A10EA">
        <w:t>United States</w:t>
      </w:r>
      <w:r w:rsidRPr="002719F3">
        <w:t xml:space="preserve">' appeal </w:t>
      </w:r>
      <w:r>
        <w:t>is based on</w:t>
      </w:r>
      <w:r w:rsidRPr="002719F3">
        <w:t xml:space="preserve"> a "hypothetical"</w:t>
      </w:r>
      <w:r>
        <w:t xml:space="preserve"> situation that does not arise in the present dispute.</w:t>
      </w:r>
      <w:r>
        <w:rPr>
          <w:rStyle w:val="FootnoteReference"/>
        </w:rPr>
        <w:footnoteReference w:id="191"/>
      </w:r>
      <w:r>
        <w:t xml:space="preserve"> According to the </w:t>
      </w:r>
      <w:r w:rsidR="000A10EA">
        <w:t>European Union</w:t>
      </w:r>
      <w:r>
        <w:t>, "</w:t>
      </w:r>
      <w:r>
        <w:rPr>
          <w:lang w:val="en-US"/>
        </w:rPr>
        <w:t>{c}o</w:t>
      </w:r>
      <w:r w:rsidRPr="00C10E0E">
        <w:rPr>
          <w:lang w:val="en-US"/>
        </w:rPr>
        <w:t xml:space="preserve">nsiderations relating to </w:t>
      </w:r>
      <w:r>
        <w:rPr>
          <w:lang w:val="en-US"/>
        </w:rPr>
        <w:t>{</w:t>
      </w:r>
      <w:r>
        <w:rPr>
          <w:i/>
          <w:lang w:val="en-US"/>
        </w:rPr>
        <w:t>US – Tax Incentives</w:t>
      </w:r>
      <w:r>
        <w:rPr>
          <w:lang w:val="en-US"/>
        </w:rPr>
        <w:t>}</w:t>
      </w:r>
      <w:r w:rsidRPr="00C10E0E">
        <w:rPr>
          <w:lang w:val="en-US"/>
        </w:rPr>
        <w:t xml:space="preserve"> cannot serve as a basis for appellate review, in these proceedings, of interpretative findings allegedly under consideration by a </w:t>
      </w:r>
      <w:r w:rsidRPr="00B14A7D">
        <w:rPr>
          <w:i/>
          <w:lang w:val="en-US"/>
        </w:rPr>
        <w:t>different</w:t>
      </w:r>
      <w:r w:rsidRPr="00B14A7D">
        <w:rPr>
          <w:lang w:val="en-US"/>
        </w:rPr>
        <w:t xml:space="preserve"> </w:t>
      </w:r>
      <w:r w:rsidRPr="00C10E0E">
        <w:rPr>
          <w:lang w:val="en-US"/>
        </w:rPr>
        <w:t xml:space="preserve">panel in a </w:t>
      </w:r>
      <w:r w:rsidRPr="00B14A7D">
        <w:rPr>
          <w:i/>
          <w:lang w:val="en-US"/>
        </w:rPr>
        <w:t>different</w:t>
      </w:r>
      <w:r w:rsidRPr="00B14A7D">
        <w:rPr>
          <w:lang w:val="en-US"/>
        </w:rPr>
        <w:t xml:space="preserve"> </w:t>
      </w:r>
      <w:r w:rsidRPr="00C10E0E">
        <w:rPr>
          <w:lang w:val="en-US"/>
        </w:rPr>
        <w:t>dispute, and cannot serve as a surrogate for a valid allegation of error by the Panel in this dispute.</w:t>
      </w:r>
      <w:r>
        <w:t>"</w:t>
      </w:r>
      <w:r w:rsidRPr="003E7F09">
        <w:rPr>
          <w:rStyle w:val="FootnoteReference"/>
        </w:rPr>
        <w:footnoteReference w:id="192"/>
      </w:r>
      <w:r>
        <w:t xml:space="preserve"> However, c</w:t>
      </w:r>
      <w:r w:rsidRPr="006E4099">
        <w:t>o</w:t>
      </w:r>
      <w:r w:rsidRPr="003E7F09">
        <w:t xml:space="preserve">ntrary to what the </w:t>
      </w:r>
      <w:r w:rsidR="000A10EA">
        <w:t>European Union</w:t>
      </w:r>
      <w:r w:rsidRPr="003E7F09">
        <w:t xml:space="preserve"> argues, the </w:t>
      </w:r>
      <w:r w:rsidR="000A10EA">
        <w:t>United States</w:t>
      </w:r>
      <w:r w:rsidRPr="003E7F09">
        <w:t xml:space="preserve"> is not simply asking </w:t>
      </w:r>
      <w:r>
        <w:t>us</w:t>
      </w:r>
      <w:r w:rsidRPr="003E7F09">
        <w:t xml:space="preserve"> "to address an interpretive position</w:t>
      </w:r>
      <w:r>
        <w:t>"</w:t>
      </w:r>
      <w:r w:rsidRPr="003E7F09">
        <w:t xml:space="preserve"> because of the asserted relevance of </w:t>
      </w:r>
      <w:r>
        <w:t>this</w:t>
      </w:r>
      <w:r w:rsidRPr="003E7F09">
        <w:t xml:space="preserve"> position </w:t>
      </w:r>
      <w:r>
        <w:t xml:space="preserve">to the dispute in </w:t>
      </w:r>
      <w:r w:rsidRPr="00146F5E">
        <w:rPr>
          <w:i/>
        </w:rPr>
        <w:t>US – Tax Incentives</w:t>
      </w:r>
      <w:r w:rsidRPr="003E7F09">
        <w:t>.</w:t>
      </w:r>
      <w:r w:rsidRPr="003E7F09">
        <w:rPr>
          <w:rStyle w:val="FootnoteReference"/>
        </w:rPr>
        <w:footnoteReference w:id="193"/>
      </w:r>
      <w:r w:rsidRPr="003E7F09">
        <w:t xml:space="preserve"> Instead, </w:t>
      </w:r>
      <w:r>
        <w:t xml:space="preserve">while </w:t>
      </w:r>
      <w:r w:rsidRPr="003E7F09">
        <w:t xml:space="preserve">the </w:t>
      </w:r>
      <w:r w:rsidR="000A10EA">
        <w:t>United States</w:t>
      </w:r>
      <w:r w:rsidRPr="003E7F09">
        <w:t xml:space="preserve"> </w:t>
      </w:r>
      <w:r>
        <w:t>refers to</w:t>
      </w:r>
      <w:r w:rsidRPr="003E7F09">
        <w:t xml:space="preserve"> the interpretation of </w:t>
      </w:r>
      <w:r w:rsidR="000A10EA">
        <w:t>Article </w:t>
      </w:r>
      <w:r w:rsidRPr="003E7F09">
        <w:t xml:space="preserve">3.1(b) </w:t>
      </w:r>
      <w:r>
        <w:t xml:space="preserve">developed by the panel </w:t>
      </w:r>
      <w:r w:rsidRPr="003E7F09">
        <w:t xml:space="preserve">in </w:t>
      </w:r>
      <w:r>
        <w:t>that</w:t>
      </w:r>
      <w:r w:rsidRPr="003E7F09">
        <w:t xml:space="preserve"> dispute, </w:t>
      </w:r>
      <w:r>
        <w:t>it</w:t>
      </w:r>
      <w:r w:rsidRPr="003E7F09">
        <w:t xml:space="preserve"> request</w:t>
      </w:r>
      <w:r>
        <w:t>s</w:t>
      </w:r>
      <w:r w:rsidRPr="003E7F09">
        <w:t xml:space="preserve"> that </w:t>
      </w:r>
      <w:r>
        <w:t>we</w:t>
      </w:r>
      <w:r w:rsidRPr="003E7F09">
        <w:t xml:space="preserve"> review the interpretation of </w:t>
      </w:r>
      <w:r>
        <w:t>this</w:t>
      </w:r>
      <w:r w:rsidRPr="003E7F09">
        <w:t xml:space="preserve"> provision</w:t>
      </w:r>
      <w:r>
        <w:t xml:space="preserve"> developed by the </w:t>
      </w:r>
      <w:r w:rsidRPr="003E7F09">
        <w:t xml:space="preserve">Panel </w:t>
      </w:r>
      <w:r w:rsidRPr="00146F5E">
        <w:rPr>
          <w:i/>
        </w:rPr>
        <w:t>in this dispute</w:t>
      </w:r>
      <w:r>
        <w:t>. As observed</w:t>
      </w:r>
      <w:r w:rsidRPr="003E7F09">
        <w:t xml:space="preserve">, </w:t>
      </w:r>
      <w:r>
        <w:t>if</w:t>
      </w:r>
      <w:r w:rsidRPr="003E7F09">
        <w:t xml:space="preserve"> </w:t>
      </w:r>
      <w:r>
        <w:t>we</w:t>
      </w:r>
      <w:r w:rsidRPr="003E7F09">
        <w:t xml:space="preserve"> find that the Panel erred in its interpretation of </w:t>
      </w:r>
      <w:r w:rsidR="000A10EA">
        <w:t>Article </w:t>
      </w:r>
      <w:r w:rsidRPr="003E7F09">
        <w:t xml:space="preserve">3.1(b), </w:t>
      </w:r>
      <w:r>
        <w:t xml:space="preserve">then the </w:t>
      </w:r>
      <w:r w:rsidR="000A10EA">
        <w:t>United States</w:t>
      </w:r>
      <w:r>
        <w:t xml:space="preserve"> considers</w:t>
      </w:r>
      <w:r w:rsidRPr="006E4099">
        <w:t xml:space="preserve"> that </w:t>
      </w:r>
      <w:r>
        <w:t>we should reverse</w:t>
      </w:r>
      <w:r w:rsidRPr="006E4099">
        <w:t xml:space="preserve"> the Panel's findings </w:t>
      </w:r>
      <w:r>
        <w:t xml:space="preserve">applying </w:t>
      </w:r>
      <w:r w:rsidR="000A10EA">
        <w:t>Article </w:t>
      </w:r>
      <w:r w:rsidRPr="006E4099">
        <w:t>3.1(b)</w:t>
      </w:r>
      <w:r>
        <w:t xml:space="preserve"> to the measures at issue and complete the legal </w:t>
      </w:r>
      <w:r w:rsidRPr="003E7F09">
        <w:t>analysis</w:t>
      </w:r>
      <w:r>
        <w:t>.</w:t>
      </w:r>
      <w:r>
        <w:rPr>
          <w:rStyle w:val="FootnoteReference"/>
        </w:rPr>
        <w:footnoteReference w:id="194"/>
      </w:r>
      <w:r>
        <w:t xml:space="preserve"> We therefore disagree with the </w:t>
      </w:r>
      <w:r w:rsidR="000A10EA">
        <w:t>European Union</w:t>
      </w:r>
      <w:r>
        <w:t xml:space="preserve"> to the extent that it claims</w:t>
      </w:r>
      <w:r w:rsidDel="00C44448">
        <w:t xml:space="preserve"> </w:t>
      </w:r>
      <w:r>
        <w:t xml:space="preserve">that the </w:t>
      </w:r>
      <w:r w:rsidR="000A10EA">
        <w:t>United States</w:t>
      </w:r>
      <w:r>
        <w:t xml:space="preserve">' request to review the interpretation and application of </w:t>
      </w:r>
      <w:r w:rsidR="000A10EA">
        <w:t>Article </w:t>
      </w:r>
      <w:r>
        <w:t xml:space="preserve">3.1(b) adopted by the Panel </w:t>
      </w:r>
      <w:r w:rsidRPr="00447100">
        <w:t>in the present dispute</w:t>
      </w:r>
      <w:r>
        <w:t xml:space="preserve"> constitutes a "hypothetical" situation. </w:t>
      </w:r>
    </w:p>
    <w:p w:rsidR="0007161B" w:rsidRDefault="0007161B" w:rsidP="00DC4FDF">
      <w:pPr>
        <w:pStyle w:val="BodyText"/>
      </w:pPr>
      <w:r>
        <w:t xml:space="preserve">Insofar as the </w:t>
      </w:r>
      <w:r w:rsidR="000A10EA">
        <w:t>United States</w:t>
      </w:r>
      <w:r>
        <w:t xml:space="preserve"> has appealed an issue of law covered in this Panel Report, or a legal interpretation of the Panel in this case, the fact that a similar interpretative issue may have arisen in the context of another dispute is not relevant for the admissibility of the present appeal. In fact, there is nothing exceptional about participants referring to legal interpretations developed in other panel and </w:t>
      </w:r>
      <w:r w:rsidR="000A10EA">
        <w:t>Appellate Body</w:t>
      </w:r>
      <w:r>
        <w:t xml:space="preserve"> reports in support of their arguments on appeal. </w:t>
      </w:r>
    </w:p>
    <w:p w:rsidR="0007161B" w:rsidRDefault="0007161B" w:rsidP="00DC4FDF">
      <w:pPr>
        <w:pStyle w:val="BodyText"/>
      </w:pPr>
      <w:r>
        <w:t xml:space="preserve">The </w:t>
      </w:r>
      <w:r w:rsidR="000A10EA">
        <w:t>European Union</w:t>
      </w:r>
      <w:r>
        <w:t xml:space="preserve"> further asserts that </w:t>
      </w:r>
      <w:r w:rsidRPr="003E7F09">
        <w:t xml:space="preserve">the </w:t>
      </w:r>
      <w:r w:rsidR="000A10EA">
        <w:t>United States</w:t>
      </w:r>
      <w:r w:rsidRPr="003E7F09">
        <w:t xml:space="preserve">' other appellant's submission </w:t>
      </w:r>
      <w:r>
        <w:t xml:space="preserve">fails to provide "legal arguments" in support of the "specific allegations of errors" as required by the Working Procedures, insofar as it </w:t>
      </w:r>
      <w:r w:rsidRPr="003E7F09">
        <w:t xml:space="preserve">"offers no explanation of how the (alleged) two interpretations (allegedly) 'compete', using the customary rules of interpretation of public international law found in the </w:t>
      </w:r>
      <w:r w:rsidRPr="00830494">
        <w:rPr>
          <w:i/>
        </w:rPr>
        <w:t>Vienna Convention on the Law of Treaties</w:t>
      </w:r>
      <w:r w:rsidRPr="003E7F09">
        <w:t>"</w:t>
      </w:r>
      <w:r>
        <w:t>.</w:t>
      </w:r>
      <w:r>
        <w:rPr>
          <w:rStyle w:val="FootnoteReference"/>
        </w:rPr>
        <w:footnoteReference w:id="195"/>
      </w:r>
      <w:r>
        <w:t xml:space="preserve"> In the </w:t>
      </w:r>
      <w:r w:rsidR="000A10EA">
        <w:t>European Union</w:t>
      </w:r>
      <w:r>
        <w:t>'s view</w:t>
      </w:r>
      <w:r w:rsidRPr="003E7F09">
        <w:t xml:space="preserve">, </w:t>
      </w:r>
      <w:r>
        <w:t>this</w:t>
      </w:r>
      <w:r w:rsidRPr="003E7F09">
        <w:t xml:space="preserve"> is because </w:t>
      </w:r>
      <w:r>
        <w:t>"</w:t>
      </w:r>
      <w:r w:rsidRPr="003E7F09">
        <w:t xml:space="preserve">there are no 'competing interpretations' in the sense alleged by the </w:t>
      </w:r>
      <w:r w:rsidR="000A10EA">
        <w:t>United States</w:t>
      </w:r>
      <w:r w:rsidRPr="003E7F09">
        <w:t>."</w:t>
      </w:r>
      <w:r w:rsidRPr="003E7F09">
        <w:rPr>
          <w:rStyle w:val="FootnoteReference"/>
        </w:rPr>
        <w:footnoteReference w:id="196"/>
      </w:r>
      <w:r w:rsidRPr="003E7F09">
        <w:t xml:space="preserve"> </w:t>
      </w:r>
    </w:p>
    <w:p w:rsidR="0007161B" w:rsidRPr="00251E74" w:rsidRDefault="0007161B" w:rsidP="00DC4FDF">
      <w:pPr>
        <w:pStyle w:val="BodyText"/>
        <w:rPr>
          <w:u w:val="single"/>
        </w:rPr>
      </w:pPr>
      <w:r>
        <w:t xml:space="preserve">We consider that, in its </w:t>
      </w:r>
      <w:r w:rsidR="00F61C98">
        <w:t xml:space="preserve">other </w:t>
      </w:r>
      <w:r>
        <w:t xml:space="preserve">appellant's submission, the </w:t>
      </w:r>
      <w:r w:rsidR="000A10EA">
        <w:t>United States</w:t>
      </w:r>
      <w:r>
        <w:t xml:space="preserve"> adequately provides legal arguments in support of its request for us to review the Panel's interpretation and application of </w:t>
      </w:r>
      <w:r w:rsidR="000A10EA">
        <w:t>Article </w:t>
      </w:r>
      <w:r>
        <w:t xml:space="preserve">3.1(b). While referring to the interpretation and reasoning developed by the panel in </w:t>
      </w:r>
      <w:r w:rsidR="003726F0">
        <w:rPr>
          <w:i/>
        </w:rPr>
        <w:t>US </w:t>
      </w:r>
      <w:r w:rsidRPr="0061217C">
        <w:rPr>
          <w:i/>
        </w:rPr>
        <w:t>– Tax Incentives</w:t>
      </w:r>
      <w:r>
        <w:t xml:space="preserve">, the </w:t>
      </w:r>
      <w:r w:rsidR="000A10EA">
        <w:t>United States</w:t>
      </w:r>
      <w:r>
        <w:t xml:space="preserve"> has included and further developed legal argumentation on that basis in its submission filed in this appeal. More specifically, the </w:t>
      </w:r>
      <w:r w:rsidR="000A10EA">
        <w:t>United States</w:t>
      </w:r>
      <w:r>
        <w:t xml:space="preserve"> sets out, albeit briefly, a reading of </w:t>
      </w:r>
      <w:r w:rsidR="000A10EA">
        <w:t>Article </w:t>
      </w:r>
      <w:r>
        <w:t xml:space="preserve">3.1(b) that would arguably lead to a finding of inconsistency under this </w:t>
      </w:r>
      <w:r>
        <w:lastRenderedPageBreak/>
        <w:t>provision in the present case.</w:t>
      </w:r>
      <w:r>
        <w:rPr>
          <w:rStyle w:val="FootnoteReference"/>
        </w:rPr>
        <w:footnoteReference w:id="197"/>
      </w:r>
      <w:r>
        <w:t xml:space="preserve"> The </w:t>
      </w:r>
      <w:r w:rsidR="000A10EA">
        <w:t>United States</w:t>
      </w:r>
      <w:r>
        <w:t xml:space="preserve"> also contrasts this with the approach taken by the Panel</w:t>
      </w:r>
      <w:r>
        <w:rPr>
          <w:rStyle w:val="FootnoteReference"/>
        </w:rPr>
        <w:footnoteReference w:id="198"/>
      </w:r>
      <w:r>
        <w:t>, and concludes:</w:t>
      </w:r>
    </w:p>
    <w:p w:rsidR="0007161B" w:rsidRPr="007F7E73" w:rsidRDefault="0007161B" w:rsidP="00206326">
      <w:pPr>
        <w:pStyle w:val="Quotation"/>
        <w:rPr>
          <w:szCs w:val="22"/>
          <w:u w:val="single"/>
        </w:rPr>
      </w:pPr>
      <w:r>
        <w:rPr>
          <w:lang w:val="en-US"/>
        </w:rPr>
        <w:t>Th</w:t>
      </w:r>
      <w:r w:rsidRPr="00A43322">
        <w:rPr>
          <w:lang w:val="en-US"/>
        </w:rPr>
        <w:t xml:space="preserve">is raises a threshold interpretive question that the </w:t>
      </w:r>
      <w:r w:rsidR="000A10EA">
        <w:rPr>
          <w:lang w:val="en-US"/>
        </w:rPr>
        <w:t>Appellate Body</w:t>
      </w:r>
      <w:r>
        <w:rPr>
          <w:lang w:val="en-US"/>
        </w:rPr>
        <w:t xml:space="preserve"> has yet to consider.</w:t>
      </w:r>
      <w:r w:rsidRPr="00A43322">
        <w:rPr>
          <w:lang w:val="en-US"/>
        </w:rPr>
        <w:t xml:space="preserve"> Where a subsidy is contingent not only on the production of a finished good, but is also contingent on the production, in th</w:t>
      </w:r>
      <w:r>
        <w:rPr>
          <w:lang w:val="en-US"/>
        </w:rPr>
        <w:t>e grantor'</w:t>
      </w:r>
      <w:r w:rsidRPr="00A43322">
        <w:rPr>
          <w:lang w:val="en-US"/>
        </w:rPr>
        <w:t xml:space="preserve">s territory, of intermediate goods for use as inputs (or goods used to produce other goods, </w:t>
      </w:r>
      <w:r w:rsidRPr="00A43322">
        <w:rPr>
          <w:i/>
          <w:lang w:val="en-US"/>
        </w:rPr>
        <w:t>i.e.</w:t>
      </w:r>
      <w:r w:rsidRPr="00A43322">
        <w:rPr>
          <w:lang w:val="en-US"/>
        </w:rPr>
        <w:t>, instrumentalities of production) –</w:t>
      </w:r>
      <w:r>
        <w:rPr>
          <w:lang w:val="en-US"/>
        </w:rPr>
        <w:t xml:space="preserve"> which are then presumed to be "domestic"</w:t>
      </w:r>
      <w:r w:rsidRPr="00A43322">
        <w:rPr>
          <w:lang w:val="en-US"/>
        </w:rPr>
        <w:t xml:space="preserve"> – in manufacturing the downstream good, is the subsidy in breach of </w:t>
      </w:r>
      <w:r w:rsidR="000A10EA">
        <w:rPr>
          <w:lang w:val="en-US"/>
        </w:rPr>
        <w:t>Article </w:t>
      </w:r>
      <w:r w:rsidRPr="00A43322">
        <w:rPr>
          <w:lang w:val="en-US"/>
        </w:rPr>
        <w:t>3.1(b)?</w:t>
      </w:r>
      <w:r>
        <w:rPr>
          <w:rStyle w:val="FootnoteReference"/>
        </w:rPr>
        <w:footnoteReference w:id="199"/>
      </w:r>
    </w:p>
    <w:p w:rsidR="0007161B" w:rsidRPr="00193114" w:rsidRDefault="0007161B" w:rsidP="00DC4FDF">
      <w:pPr>
        <w:pStyle w:val="BodyText"/>
        <w:rPr>
          <w:u w:val="single"/>
        </w:rPr>
      </w:pPr>
      <w:r>
        <w:t xml:space="preserve">Notwithstanding the terminology used by the </w:t>
      </w:r>
      <w:r w:rsidR="000A10EA">
        <w:t>United States</w:t>
      </w:r>
      <w:r>
        <w:t>, t</w:t>
      </w:r>
      <w:r w:rsidRPr="003E7F09">
        <w:t xml:space="preserve">he question before </w:t>
      </w:r>
      <w:r>
        <w:t>us</w:t>
      </w:r>
      <w:r w:rsidRPr="003E7F09">
        <w:t xml:space="preserve"> is not whether the interpretation of </w:t>
      </w:r>
      <w:r w:rsidR="000A10EA">
        <w:t>Article </w:t>
      </w:r>
      <w:r w:rsidRPr="003E7F09">
        <w:t xml:space="preserve">3.1(b) </w:t>
      </w:r>
      <w:r>
        <w:t xml:space="preserve">by the Panel </w:t>
      </w:r>
      <w:r w:rsidRPr="003E7F09">
        <w:t xml:space="preserve">in the present dispute </w:t>
      </w:r>
      <w:r>
        <w:t>is different from the interpretation of this provision by the panel</w:t>
      </w:r>
      <w:r w:rsidRPr="003E7F09">
        <w:t xml:space="preserve"> in </w:t>
      </w:r>
      <w:r w:rsidRPr="00830494">
        <w:rPr>
          <w:i/>
        </w:rPr>
        <w:t>US – Tax Incentives</w:t>
      </w:r>
      <w:r>
        <w:t xml:space="preserve">. Rather, we are called upon to examine </w:t>
      </w:r>
      <w:r w:rsidRPr="003E7F09">
        <w:t xml:space="preserve">whether the Panel </w:t>
      </w:r>
      <w:r>
        <w:t>here</w:t>
      </w:r>
      <w:r w:rsidRPr="003E7F09">
        <w:t xml:space="preserve"> erred in its </w:t>
      </w:r>
      <w:r w:rsidRPr="00D86858">
        <w:t>interpretation and application</w:t>
      </w:r>
      <w:r w:rsidRPr="003E7F09">
        <w:t xml:space="preserve"> of </w:t>
      </w:r>
      <w:r w:rsidR="000A10EA">
        <w:t>Article </w:t>
      </w:r>
      <w:r w:rsidRPr="003E7F09">
        <w:t xml:space="preserve">3.1(b). </w:t>
      </w:r>
      <w:r>
        <w:t xml:space="preserve">Consistent with </w:t>
      </w:r>
      <w:r w:rsidRPr="003E7F09">
        <w:t xml:space="preserve">the principle </w:t>
      </w:r>
      <w:r w:rsidRPr="00830494">
        <w:rPr>
          <w:i/>
        </w:rPr>
        <w:t>jura novit curia</w:t>
      </w:r>
      <w:r>
        <w:t xml:space="preserve">, </w:t>
      </w:r>
      <w:r w:rsidRPr="003E7F09">
        <w:t xml:space="preserve">it </w:t>
      </w:r>
      <w:r>
        <w:t xml:space="preserve">was </w:t>
      </w:r>
      <w:r w:rsidRPr="003E7F09">
        <w:t xml:space="preserve">not the responsibility of the </w:t>
      </w:r>
      <w:r w:rsidR="000A10EA">
        <w:t>United States</w:t>
      </w:r>
      <w:r w:rsidRPr="003E7F09">
        <w:t xml:space="preserve"> to provide </w:t>
      </w:r>
      <w:r>
        <w:t xml:space="preserve">us </w:t>
      </w:r>
      <w:r w:rsidRPr="003E7F09">
        <w:t xml:space="preserve">with the "correct" legal interpretation of </w:t>
      </w:r>
      <w:r w:rsidR="000A10EA">
        <w:t>Article </w:t>
      </w:r>
      <w:r w:rsidRPr="003E7F09">
        <w:t>3.1(b)</w:t>
      </w:r>
      <w:r w:rsidRPr="003E7F09">
        <w:rPr>
          <w:rStyle w:val="FootnoteReference"/>
        </w:rPr>
        <w:footnoteReference w:id="200"/>
      </w:r>
      <w:r w:rsidRPr="003E7F09">
        <w:t xml:space="preserve">, nor </w:t>
      </w:r>
      <w:r>
        <w:t>does</w:t>
      </w:r>
      <w:r w:rsidRPr="003E7F09">
        <w:t xml:space="preserve"> </w:t>
      </w:r>
      <w:r>
        <w:t xml:space="preserve">the </w:t>
      </w:r>
      <w:r w:rsidR="000A10EA">
        <w:t>United States</w:t>
      </w:r>
      <w:r>
        <w:t>'</w:t>
      </w:r>
      <w:r w:rsidRPr="003E7F09">
        <w:t xml:space="preserve"> appeal </w:t>
      </w:r>
      <w:r>
        <w:t>of</w:t>
      </w:r>
      <w:r w:rsidRPr="003E7F09">
        <w:t xml:space="preserve"> the Panel's interpretation of </w:t>
      </w:r>
      <w:r w:rsidR="000A10EA">
        <w:t>Article </w:t>
      </w:r>
      <w:r w:rsidRPr="003E7F09">
        <w:t xml:space="preserve">3.1(b) fall outside the scope of appellate review </w:t>
      </w:r>
      <w:r>
        <w:t>merely</w:t>
      </w:r>
      <w:r w:rsidRPr="003E7F09">
        <w:t xml:space="preserve"> because the </w:t>
      </w:r>
      <w:r w:rsidR="000A10EA">
        <w:t>United States</w:t>
      </w:r>
      <w:r w:rsidRPr="003E7F09">
        <w:t xml:space="preserve"> has expressed an opinion as to </w:t>
      </w:r>
      <w:r>
        <w:t xml:space="preserve">a </w:t>
      </w:r>
      <w:r w:rsidRPr="003E7F09">
        <w:t>"preferred" int</w:t>
      </w:r>
      <w:r>
        <w:t>erpretation</w:t>
      </w:r>
      <w:r w:rsidRPr="003E7F09">
        <w:t xml:space="preserve">. </w:t>
      </w:r>
    </w:p>
    <w:p w:rsidR="0007161B" w:rsidRPr="005D37B5" w:rsidRDefault="0007161B" w:rsidP="00DC4FDF">
      <w:pPr>
        <w:pStyle w:val="BodyText"/>
      </w:pPr>
      <w:r>
        <w:t>W</w:t>
      </w:r>
      <w:r w:rsidRPr="003E7F09">
        <w:t xml:space="preserve">e see in the </w:t>
      </w:r>
      <w:r w:rsidR="000A10EA">
        <w:t>United States</w:t>
      </w:r>
      <w:r w:rsidRPr="003E7F09">
        <w:t xml:space="preserve">' </w:t>
      </w:r>
      <w:r>
        <w:t xml:space="preserve">request and in its stated </w:t>
      </w:r>
      <w:r w:rsidRPr="003E7F09">
        <w:t>"interest in ensuring that the same legal approach is applied in this proceeding and in {</w:t>
      </w:r>
      <w:r w:rsidRPr="00146F5E">
        <w:rPr>
          <w:i/>
        </w:rPr>
        <w:t>US – Tax Incentives</w:t>
      </w:r>
      <w:r w:rsidRPr="003E7F09">
        <w:t>}"</w:t>
      </w:r>
      <w:r>
        <w:rPr>
          <w:rStyle w:val="FootnoteReference"/>
        </w:rPr>
        <w:footnoteReference w:id="201"/>
      </w:r>
      <w:r w:rsidRPr="003E7F09">
        <w:t xml:space="preserve"> </w:t>
      </w:r>
      <w:r>
        <w:t xml:space="preserve">a reflection of </w:t>
      </w:r>
      <w:r w:rsidR="000A10EA">
        <w:t>Article </w:t>
      </w:r>
      <w:r w:rsidRPr="005D37B5">
        <w:t>3.2 of the DSU, which provides that the dispute settlement system of the WTO is a central element in providing security and predictability to the multilateral trading system, and that i</w:t>
      </w:r>
      <w:r>
        <w:t>t</w:t>
      </w:r>
      <w:r w:rsidRPr="005D37B5">
        <w:t xml:space="preserve"> serves to preserve the rights and obligations of Members under the covered agreements, </w:t>
      </w:r>
      <w:r>
        <w:t>as well as</w:t>
      </w:r>
      <w:r w:rsidRPr="005D37B5">
        <w:t xml:space="preserve"> to clarify the existing provisions of those agreements in accordance with customary rules of interpretation of public international law</w:t>
      </w:r>
      <w:r>
        <w:t xml:space="preserve">. </w:t>
      </w:r>
    </w:p>
    <w:p w:rsidR="0007161B" w:rsidRPr="003E7F09" w:rsidRDefault="0007161B" w:rsidP="00DC4FDF">
      <w:pPr>
        <w:pStyle w:val="BodyText"/>
      </w:pPr>
      <w:r>
        <w:t xml:space="preserve">Regarding the admissibility of the </w:t>
      </w:r>
      <w:r w:rsidR="000A10EA">
        <w:t>United States</w:t>
      </w:r>
      <w:r>
        <w:t>' appeal</w:t>
      </w:r>
      <w:r w:rsidRPr="003E7F09">
        <w:t xml:space="preserve">, the </w:t>
      </w:r>
      <w:r w:rsidR="000A10EA">
        <w:t>European Union</w:t>
      </w:r>
      <w:r w:rsidRPr="003E7F09">
        <w:t xml:space="preserve"> </w:t>
      </w:r>
      <w:r>
        <w:t xml:space="preserve">also </w:t>
      </w:r>
      <w:r w:rsidRPr="003E7F09">
        <w:t xml:space="preserve">submits that the </w:t>
      </w:r>
      <w:r w:rsidR="000A10EA">
        <w:t>United States</w:t>
      </w:r>
      <w:r w:rsidRPr="003E7F09">
        <w:t xml:space="preserve"> improperly "seeks to litigate a fundamentally different case" </w:t>
      </w:r>
      <w:r>
        <w:t>on appeal than the one it did before the Panel</w:t>
      </w:r>
      <w:r w:rsidRPr="003E7F09">
        <w:rPr>
          <w:rStyle w:val="FootnoteReference"/>
        </w:rPr>
        <w:footnoteReference w:id="202"/>
      </w:r>
      <w:r>
        <w:t xml:space="preserve"> by basing</w:t>
      </w:r>
      <w:r w:rsidRPr="003E7F09">
        <w:t xml:space="preserve"> its appeal "on factual assertions about the content and meaning of specific provisions of the A350XWB LA/MSF contracts </w:t>
      </w:r>
      <w:r w:rsidRPr="007862BC">
        <w:rPr>
          <w:i/>
        </w:rPr>
        <w:t xml:space="preserve">never referred to by the </w:t>
      </w:r>
      <w:r w:rsidR="000A10EA">
        <w:rPr>
          <w:i/>
        </w:rPr>
        <w:t>United States</w:t>
      </w:r>
      <w:r w:rsidRPr="007862BC">
        <w:rPr>
          <w:i/>
        </w:rPr>
        <w:t xml:space="preserve"> when laying out it{s} case to the compliance Panel</w:t>
      </w:r>
      <w:r w:rsidRPr="003E7F09">
        <w:t>"</w:t>
      </w:r>
      <w:r>
        <w:t>.</w:t>
      </w:r>
      <w:r w:rsidRPr="003E7F09">
        <w:rPr>
          <w:rStyle w:val="FootnoteReference"/>
        </w:rPr>
        <w:footnoteReference w:id="203"/>
      </w:r>
      <w:r w:rsidRPr="00A339B4">
        <w:rPr>
          <w:szCs w:val="18"/>
        </w:rPr>
        <w:t xml:space="preserve"> </w:t>
      </w:r>
      <w:r>
        <w:rPr>
          <w:szCs w:val="18"/>
        </w:rPr>
        <w:t xml:space="preserve">The </w:t>
      </w:r>
      <w:r w:rsidR="000A10EA">
        <w:rPr>
          <w:szCs w:val="18"/>
        </w:rPr>
        <w:t>European Union</w:t>
      </w:r>
      <w:r w:rsidRPr="001D08DA">
        <w:rPr>
          <w:szCs w:val="18"/>
        </w:rPr>
        <w:t xml:space="preserve"> </w:t>
      </w:r>
      <w:r>
        <w:rPr>
          <w:szCs w:val="18"/>
        </w:rPr>
        <w:t>underscores in this regard</w:t>
      </w:r>
      <w:r w:rsidRPr="001D08DA">
        <w:rPr>
          <w:szCs w:val="18"/>
        </w:rPr>
        <w:t xml:space="preserve"> that, while </w:t>
      </w:r>
      <w:r w:rsidRPr="003E7F09">
        <w:t xml:space="preserve">the </w:t>
      </w:r>
      <w:r>
        <w:t xml:space="preserve">four A350XWB </w:t>
      </w:r>
      <w:r w:rsidRPr="003E7F09">
        <w:t xml:space="preserve">LA/MSF contracts form part of the </w:t>
      </w:r>
      <w:r>
        <w:t>P</w:t>
      </w:r>
      <w:r w:rsidRPr="003E7F09">
        <w:t xml:space="preserve">anel record, "the </w:t>
      </w:r>
      <w:r w:rsidRPr="00B14A7D">
        <w:rPr>
          <w:i/>
        </w:rPr>
        <w:t>meaning in municipal law</w:t>
      </w:r>
      <w:r w:rsidRPr="003E7F09">
        <w:t xml:space="preserve"> that the </w:t>
      </w:r>
      <w:r w:rsidR="000A10EA">
        <w:t>United States</w:t>
      </w:r>
      <w:r w:rsidRPr="003E7F09">
        <w:t xml:space="preserve"> accords to</w:t>
      </w:r>
      <w:r>
        <w:t>"</w:t>
      </w:r>
      <w:r w:rsidRPr="003E7F09">
        <w:t xml:space="preserve"> </w:t>
      </w:r>
      <w:r w:rsidRPr="001D08DA">
        <w:rPr>
          <w:szCs w:val="18"/>
        </w:rPr>
        <w:t xml:space="preserve">the </w:t>
      </w:r>
      <w:r w:rsidRPr="001D08DA">
        <w:rPr>
          <w:b/>
          <w:szCs w:val="18"/>
        </w:rPr>
        <w:t>[</w:t>
      </w:r>
      <w:r w:rsidR="00C8434D" w:rsidRPr="00C8434D">
        <w:rPr>
          <w:b/>
          <w:szCs w:val="16"/>
        </w:rPr>
        <w:t>BCI</w:t>
      </w:r>
      <w:r w:rsidRPr="001D08DA">
        <w:rPr>
          <w:b/>
          <w:szCs w:val="18"/>
        </w:rPr>
        <w:t>]</w:t>
      </w:r>
      <w:r>
        <w:rPr>
          <w:szCs w:val="18"/>
        </w:rPr>
        <w:t xml:space="preserve"> clauses</w:t>
      </w:r>
      <w:r w:rsidRPr="003E7F09">
        <w:t xml:space="preserve"> </w:t>
      </w:r>
      <w:r>
        <w:t>was</w:t>
      </w:r>
      <w:r w:rsidRPr="003E7F09">
        <w:t xml:space="preserve"> not </w:t>
      </w:r>
      <w:r>
        <w:t xml:space="preserve">argued </w:t>
      </w:r>
      <w:r w:rsidRPr="003E7F09">
        <w:t xml:space="preserve">before the Panel, and that </w:t>
      </w:r>
      <w:r>
        <w:t>a</w:t>
      </w:r>
      <w:r w:rsidRPr="003E7F09">
        <w:t xml:space="preserve"> proper </w:t>
      </w:r>
      <w:r>
        <w:t>determination as to the meaning</w:t>
      </w:r>
      <w:r w:rsidRPr="003E7F09">
        <w:t xml:space="preserve"> of </w:t>
      </w:r>
      <w:r>
        <w:t>those</w:t>
      </w:r>
      <w:r w:rsidRPr="003E7F09">
        <w:t xml:space="preserve"> </w:t>
      </w:r>
      <w:r>
        <w:t>clauses</w:t>
      </w:r>
      <w:r w:rsidRPr="003E7F09">
        <w:t xml:space="preserve"> would require </w:t>
      </w:r>
      <w:r>
        <w:t>us</w:t>
      </w:r>
      <w:r w:rsidRPr="003E7F09">
        <w:t xml:space="preserve"> </w:t>
      </w:r>
      <w:r>
        <w:t>"</w:t>
      </w:r>
      <w:r w:rsidRPr="003E7F09">
        <w:t>to entertain complex new factual arguments</w:t>
      </w:r>
      <w:r>
        <w:t>"</w:t>
      </w:r>
      <w:r w:rsidRPr="003E7F09">
        <w:t xml:space="preserve">, including arguments that </w:t>
      </w:r>
      <w:r>
        <w:t>we</w:t>
      </w:r>
      <w:r w:rsidRPr="003E7F09">
        <w:t xml:space="preserve"> would need </w:t>
      </w:r>
      <w:r>
        <w:t>"</w:t>
      </w:r>
      <w:r w:rsidRPr="003E7F09">
        <w:t xml:space="preserve">to solicit, receive and review from the </w:t>
      </w:r>
      <w:r w:rsidR="000A10EA">
        <w:t>European Union</w:t>
      </w:r>
      <w:r w:rsidRPr="003E7F09">
        <w:t>"</w:t>
      </w:r>
      <w:r>
        <w:t>.</w:t>
      </w:r>
      <w:r w:rsidRPr="003E7F09">
        <w:rPr>
          <w:rStyle w:val="FootnoteReference"/>
        </w:rPr>
        <w:footnoteReference w:id="204"/>
      </w:r>
    </w:p>
    <w:p w:rsidR="0007161B" w:rsidRDefault="0007161B" w:rsidP="00DC4FDF">
      <w:pPr>
        <w:pStyle w:val="BodyText"/>
      </w:pPr>
      <w:r>
        <w:t>I</w:t>
      </w:r>
      <w:r w:rsidRPr="003E7F09">
        <w:t xml:space="preserve">n previous disputes, the </w:t>
      </w:r>
      <w:r w:rsidR="000A10EA">
        <w:t>Appellate Body</w:t>
      </w:r>
      <w:r w:rsidRPr="003E7F09">
        <w:t xml:space="preserve"> has considered that "new arguments are not </w:t>
      </w:r>
      <w:r w:rsidRPr="00A87D5C">
        <w:rPr>
          <w:i/>
          <w:iCs/>
        </w:rPr>
        <w:t xml:space="preserve">per se </w:t>
      </w:r>
      <w:r w:rsidRPr="003E7F09">
        <w:t xml:space="preserve">excluded from the scope of appellate review, </w:t>
      </w:r>
      <w:r w:rsidRPr="00E20443">
        <w:t>simply because they are new</w:t>
      </w:r>
      <w:r w:rsidRPr="003E7F09">
        <w:t>."</w:t>
      </w:r>
      <w:r w:rsidRPr="003E7F09">
        <w:rPr>
          <w:rStyle w:val="FootnoteReference"/>
        </w:rPr>
        <w:footnoteReference w:id="205"/>
      </w:r>
      <w:r w:rsidRPr="003E7F09">
        <w:t xml:space="preserve"> </w:t>
      </w:r>
      <w:r>
        <w:t>At the same time</w:t>
      </w:r>
      <w:r w:rsidRPr="003E7F09">
        <w:t xml:space="preserve">, the ability of the </w:t>
      </w:r>
      <w:r w:rsidR="000A10EA">
        <w:t>Appellate Body</w:t>
      </w:r>
      <w:r w:rsidRPr="003E7F09">
        <w:t xml:space="preserve"> to consider new arguments is circumscribed by its mandate under </w:t>
      </w:r>
      <w:r w:rsidR="000A10EA">
        <w:t>Article </w:t>
      </w:r>
      <w:r w:rsidRPr="003E7F09">
        <w:t>17</w:t>
      </w:r>
      <w:r>
        <w:t>.6</w:t>
      </w:r>
      <w:r w:rsidRPr="003E7F09">
        <w:t xml:space="preserve"> of the DSU to address "</w:t>
      </w:r>
      <w:r w:rsidRPr="00B615F6">
        <w:t>issues of law covered in the panel report and legal interpretations developed</w:t>
      </w:r>
      <w:r w:rsidRPr="003E7F09">
        <w:t xml:space="preserve"> by the panel".</w:t>
      </w:r>
      <w:r w:rsidRPr="003E7F09">
        <w:rPr>
          <w:rStyle w:val="FootnoteReference"/>
        </w:rPr>
        <w:footnoteReference w:id="206"/>
      </w:r>
      <w:r w:rsidRPr="003E7F09">
        <w:t xml:space="preserve"> Thus, the </w:t>
      </w:r>
      <w:r w:rsidR="000A10EA">
        <w:t>Appellate Body</w:t>
      </w:r>
      <w:r w:rsidRPr="003E7F09">
        <w:t xml:space="preserve"> has found that it would not be able to consider new arguments if such arguments required it "to solicit, receive and review new facts", or if a new argument did "not involve either an 'issue of law covered in the panel report' or </w:t>
      </w:r>
      <w:r w:rsidRPr="003E7F09">
        <w:lastRenderedPageBreak/>
        <w:t>'legal interpretations developed by the panel'".</w:t>
      </w:r>
      <w:r w:rsidRPr="003E7F09">
        <w:rPr>
          <w:rStyle w:val="FootnoteReference"/>
        </w:rPr>
        <w:footnoteReference w:id="207"/>
      </w:r>
      <w:r>
        <w:t xml:space="preserve"> As we see it, the </w:t>
      </w:r>
      <w:r w:rsidR="000A10EA">
        <w:t>United States</w:t>
      </w:r>
      <w:r>
        <w:t>' argument on appeal is not new in the sense that it involves an issue of law th</w:t>
      </w:r>
      <w:r w:rsidR="00F61C98">
        <w:t>at was not covered in the Panel </w:t>
      </w:r>
      <w:r>
        <w:t>Report.</w:t>
      </w:r>
      <w:r>
        <w:rPr>
          <w:rStyle w:val="FootnoteReference"/>
        </w:rPr>
        <w:footnoteReference w:id="208"/>
      </w:r>
      <w:r>
        <w:t xml:space="preserve"> However, we understand the </w:t>
      </w:r>
      <w:r w:rsidR="000A10EA">
        <w:t>European Union</w:t>
      </w:r>
      <w:r>
        <w:t xml:space="preserve"> to argue that, to the extent that the </w:t>
      </w:r>
      <w:r w:rsidR="000A10EA">
        <w:t>United States</w:t>
      </w:r>
      <w:r>
        <w:t xml:space="preserve"> relies, only on appeal, on certain clauses in the French, </w:t>
      </w:r>
      <w:r w:rsidR="002E0F1D">
        <w:t>German</w:t>
      </w:r>
      <w:r>
        <w:t xml:space="preserve">, </w:t>
      </w:r>
      <w:r w:rsidR="002E0F1D">
        <w:t>Spanish</w:t>
      </w:r>
      <w:r w:rsidR="00B542A9">
        <w:t>, and </w:t>
      </w:r>
      <w:r w:rsidR="00F61C98">
        <w:t>UK </w:t>
      </w:r>
      <w:r>
        <w:t>A350XWB LA/MSF contracts to establish the existence of</w:t>
      </w:r>
      <w:r w:rsidR="00F61C98">
        <w:t xml:space="preserve"> an</w:t>
      </w:r>
      <w:r>
        <w:t xml:space="preserve"> inconsistency under </w:t>
      </w:r>
      <w:r w:rsidR="000A10EA">
        <w:t>Article </w:t>
      </w:r>
      <w:r>
        <w:t xml:space="preserve">3.1(b), its claim falls outside the scope of </w:t>
      </w:r>
      <w:r w:rsidRPr="00324C74">
        <w:t xml:space="preserve">appellate review under </w:t>
      </w:r>
      <w:r w:rsidR="000A10EA">
        <w:t>Article </w:t>
      </w:r>
      <w:r>
        <w:t>17.6 of the DSU.</w:t>
      </w:r>
    </w:p>
    <w:p w:rsidR="0007161B" w:rsidRPr="003543E4" w:rsidRDefault="0007161B" w:rsidP="00DC4FDF">
      <w:pPr>
        <w:pStyle w:val="BodyText"/>
      </w:pPr>
      <w:r w:rsidRPr="003543E4">
        <w:rPr>
          <w:szCs w:val="18"/>
        </w:rPr>
        <w:t xml:space="preserve">We recall </w:t>
      </w:r>
      <w:r>
        <w:rPr>
          <w:szCs w:val="18"/>
        </w:rPr>
        <w:t xml:space="preserve">in this regard </w:t>
      </w:r>
      <w:r w:rsidRPr="003543E4">
        <w:rPr>
          <w:szCs w:val="18"/>
        </w:rPr>
        <w:t xml:space="preserve">that we have no authority to </w:t>
      </w:r>
      <w:r w:rsidRPr="003543E4">
        <w:t>solicit, receive</w:t>
      </w:r>
      <w:r>
        <w:t>,</w:t>
      </w:r>
      <w:r w:rsidRPr="003543E4">
        <w:t xml:space="preserve"> and review new facts that were not before the Panel and were not considered by it</w:t>
      </w:r>
      <w:r w:rsidRPr="00F90135">
        <w:t>.</w:t>
      </w:r>
      <w:r w:rsidRPr="00F90135">
        <w:rPr>
          <w:rStyle w:val="FootnoteReference"/>
        </w:rPr>
        <w:footnoteReference w:id="209"/>
      </w:r>
      <w:r w:rsidRPr="00F90135">
        <w:t xml:space="preserve"> The </w:t>
      </w:r>
      <w:r w:rsidR="000A10EA">
        <w:t>Appellate Body</w:t>
      </w:r>
      <w:r w:rsidRPr="00F90135">
        <w:t xml:space="preserve"> can review a Member's municipal law on its face "to determine whether the legal characterization by the panel was in error"</w:t>
      </w:r>
      <w:r w:rsidRPr="00F90135">
        <w:rPr>
          <w:rStyle w:val="FootnoteReference"/>
        </w:rPr>
        <w:footnoteReference w:id="210"/>
      </w:r>
      <w:r>
        <w:t>,</w:t>
      </w:r>
      <w:r w:rsidRPr="00F90135">
        <w:t xml:space="preserve"> focusing on its text, the context of the provision</w:t>
      </w:r>
      <w:r>
        <w:t>,</w:t>
      </w:r>
      <w:r w:rsidRPr="00F90135">
        <w:t xml:space="preserve"> and the "overall structure and logic"</w:t>
      </w:r>
      <w:r w:rsidRPr="00F90135">
        <w:rPr>
          <w:rStyle w:val="FootnoteReference"/>
        </w:rPr>
        <w:footnoteReference w:id="211"/>
      </w:r>
      <w:r>
        <w:t xml:space="preserve"> of </w:t>
      </w:r>
      <w:r w:rsidRPr="00F90135">
        <w:t>the municipal law.</w:t>
      </w:r>
      <w:r w:rsidRPr="00F90135">
        <w:rPr>
          <w:rStyle w:val="FootnoteReference"/>
        </w:rPr>
        <w:footnoteReference w:id="212"/>
      </w:r>
      <w:r w:rsidRPr="00F90135">
        <w:t xml:space="preserve"> </w:t>
      </w:r>
      <w:r w:rsidRPr="003543E4">
        <w:rPr>
          <w:szCs w:val="18"/>
        </w:rPr>
        <w:t>However, in instances where a panel's assessment of municipal law goes "beyond the text of an instrument on its face" and "further examination may be required {which} may involve factual elements"</w:t>
      </w:r>
      <w:r w:rsidRPr="00F90135">
        <w:t xml:space="preserve">, the </w:t>
      </w:r>
      <w:r w:rsidR="000A10EA">
        <w:t>Appellate Body</w:t>
      </w:r>
      <w:r w:rsidRPr="00F90135">
        <w:t xml:space="preserve"> will not lightly interfere on appeal with a panel's finding.</w:t>
      </w:r>
      <w:r w:rsidRPr="00F90135">
        <w:rPr>
          <w:rStyle w:val="FootnoteReference"/>
        </w:rPr>
        <w:footnoteReference w:id="213"/>
      </w:r>
      <w:r w:rsidRPr="00F90135">
        <w:t xml:space="preserve"> </w:t>
      </w:r>
      <w:bookmarkStart w:id="51" w:name="_Ref487642320"/>
    </w:p>
    <w:p w:rsidR="0007161B" w:rsidRPr="00357BEF" w:rsidRDefault="0007161B" w:rsidP="00DC4FDF">
      <w:pPr>
        <w:pStyle w:val="BodyText"/>
        <w:rPr>
          <w:szCs w:val="18"/>
        </w:rPr>
      </w:pPr>
      <w:r w:rsidRPr="00EF278D">
        <w:rPr>
          <w:szCs w:val="18"/>
        </w:rPr>
        <w:t xml:space="preserve">The </w:t>
      </w:r>
      <w:r w:rsidRPr="00EF278D">
        <w:rPr>
          <w:b/>
          <w:szCs w:val="18"/>
        </w:rPr>
        <w:t>[</w:t>
      </w:r>
      <w:r w:rsidR="00C8434D" w:rsidRPr="00C8434D">
        <w:rPr>
          <w:b/>
          <w:szCs w:val="16"/>
        </w:rPr>
        <w:t>BCI</w:t>
      </w:r>
      <w:r w:rsidRPr="00EF278D">
        <w:rPr>
          <w:b/>
          <w:szCs w:val="18"/>
        </w:rPr>
        <w:t>]</w:t>
      </w:r>
      <w:r w:rsidRPr="00EF278D">
        <w:rPr>
          <w:szCs w:val="18"/>
        </w:rPr>
        <w:t xml:space="preserve"> clauses are part of the </w:t>
      </w:r>
      <w:r>
        <w:rPr>
          <w:szCs w:val="18"/>
        </w:rPr>
        <w:t xml:space="preserve">French, </w:t>
      </w:r>
      <w:r w:rsidR="002E0F1D">
        <w:rPr>
          <w:szCs w:val="18"/>
        </w:rPr>
        <w:t>German</w:t>
      </w:r>
      <w:r>
        <w:rPr>
          <w:szCs w:val="18"/>
        </w:rPr>
        <w:t xml:space="preserve">, </w:t>
      </w:r>
      <w:r w:rsidR="002E0F1D">
        <w:rPr>
          <w:szCs w:val="18"/>
        </w:rPr>
        <w:t>Spanish</w:t>
      </w:r>
      <w:r>
        <w:rPr>
          <w:szCs w:val="18"/>
        </w:rPr>
        <w:t xml:space="preserve">, and UK </w:t>
      </w:r>
      <w:r w:rsidRPr="00EF278D">
        <w:rPr>
          <w:szCs w:val="18"/>
        </w:rPr>
        <w:t xml:space="preserve">A350XWB LA/MSF contracts and are therefore part of the Panel record. We note, however, that the meaning of those clauses and how they would operate </w:t>
      </w:r>
      <w:r w:rsidR="00F61C98">
        <w:rPr>
          <w:szCs w:val="18"/>
        </w:rPr>
        <w:t>were</w:t>
      </w:r>
      <w:r w:rsidRPr="00EF278D">
        <w:rPr>
          <w:szCs w:val="18"/>
        </w:rPr>
        <w:t xml:space="preserve"> not examined by the Panel in any detail. Therefore, to the extent</w:t>
      </w:r>
      <w:r w:rsidRPr="003E7F09">
        <w:t xml:space="preserve"> that the proper construction of the </w:t>
      </w:r>
      <w:r w:rsidRPr="00EF278D">
        <w:rPr>
          <w:b/>
        </w:rPr>
        <w:t>[</w:t>
      </w:r>
      <w:r w:rsidR="00C8434D" w:rsidRPr="00C8434D">
        <w:rPr>
          <w:b/>
          <w:szCs w:val="16"/>
        </w:rPr>
        <w:t>BCI</w:t>
      </w:r>
      <w:r w:rsidRPr="00EF278D">
        <w:rPr>
          <w:b/>
        </w:rPr>
        <w:t>]</w:t>
      </w:r>
      <w:r w:rsidRPr="003E7F09">
        <w:t xml:space="preserve"> clauses</w:t>
      </w:r>
      <w:r>
        <w:t xml:space="preserve"> and their operation in practice</w:t>
      </w:r>
      <w:r w:rsidRPr="003E7F09">
        <w:t xml:space="preserve"> under the municipal laws of </w:t>
      </w:r>
      <w:r>
        <w:t xml:space="preserve">the </w:t>
      </w:r>
      <w:r w:rsidRPr="003E7F09">
        <w:t xml:space="preserve">four </w:t>
      </w:r>
      <w:r>
        <w:t xml:space="preserve">member States would </w:t>
      </w:r>
      <w:r w:rsidRPr="003E7F09">
        <w:t xml:space="preserve">require </w:t>
      </w:r>
      <w:r>
        <w:t>us</w:t>
      </w:r>
      <w:r w:rsidRPr="003E7F09">
        <w:t xml:space="preserve"> to</w:t>
      </w:r>
      <w:r w:rsidRPr="00EF278D">
        <w:rPr>
          <w:szCs w:val="18"/>
        </w:rPr>
        <w:t xml:space="preserve"> go beyond the text of those clauses and may involve the examination of factual elements, the analysis of those clauses would</w:t>
      </w:r>
      <w:r>
        <w:rPr>
          <w:szCs w:val="18"/>
        </w:rPr>
        <w:t>, as we see it,</w:t>
      </w:r>
      <w:r w:rsidRPr="00EF278D">
        <w:rPr>
          <w:szCs w:val="18"/>
        </w:rPr>
        <w:t xml:space="preserve"> extend beyond our mandate under </w:t>
      </w:r>
      <w:r w:rsidR="000A10EA">
        <w:rPr>
          <w:szCs w:val="18"/>
        </w:rPr>
        <w:t>Article </w:t>
      </w:r>
      <w:r w:rsidRPr="00EF278D">
        <w:rPr>
          <w:szCs w:val="18"/>
        </w:rPr>
        <w:t xml:space="preserve">17.6 of the DSU and may prejudice the due process rights of the </w:t>
      </w:r>
      <w:r w:rsidR="000A10EA">
        <w:rPr>
          <w:szCs w:val="18"/>
        </w:rPr>
        <w:t>European Union</w:t>
      </w:r>
      <w:r w:rsidRPr="00EF278D">
        <w:rPr>
          <w:szCs w:val="18"/>
        </w:rPr>
        <w:t>.</w:t>
      </w:r>
      <w:bookmarkEnd w:id="51"/>
      <w:r>
        <w:rPr>
          <w:rStyle w:val="FootnoteReference"/>
          <w:szCs w:val="18"/>
        </w:rPr>
        <w:footnoteReference w:id="214"/>
      </w:r>
      <w:r>
        <w:rPr>
          <w:szCs w:val="18"/>
        </w:rPr>
        <w:t xml:space="preserve"> </w:t>
      </w:r>
      <w:r>
        <w:t xml:space="preserve">The absence of Panel findings and further exploration by the Panel concerning the meaning of the </w:t>
      </w:r>
      <w:r w:rsidRPr="003D4552">
        <w:rPr>
          <w:b/>
          <w:szCs w:val="18"/>
        </w:rPr>
        <w:t>[</w:t>
      </w:r>
      <w:r w:rsidR="00C8434D" w:rsidRPr="00C8434D">
        <w:rPr>
          <w:b/>
          <w:szCs w:val="16"/>
        </w:rPr>
        <w:t>BCI</w:t>
      </w:r>
      <w:r w:rsidRPr="003D4552">
        <w:rPr>
          <w:b/>
          <w:szCs w:val="18"/>
        </w:rPr>
        <w:t>]</w:t>
      </w:r>
      <w:r w:rsidRPr="003D4552">
        <w:rPr>
          <w:szCs w:val="18"/>
        </w:rPr>
        <w:t xml:space="preserve"> clauses may well have a bearing on our ability to complete the legal analysis, in the event that we reverse the Panel's findings under </w:t>
      </w:r>
      <w:r w:rsidR="000A10EA">
        <w:rPr>
          <w:szCs w:val="18"/>
        </w:rPr>
        <w:t>Article </w:t>
      </w:r>
      <w:r w:rsidRPr="003D4552">
        <w:rPr>
          <w:szCs w:val="18"/>
        </w:rPr>
        <w:t xml:space="preserve">3.1(b) of </w:t>
      </w:r>
      <w:r w:rsidRPr="009435E1">
        <w:rPr>
          <w:szCs w:val="18"/>
        </w:rPr>
        <w:t xml:space="preserve">the </w:t>
      </w:r>
      <w:r w:rsidR="000A10EA">
        <w:rPr>
          <w:szCs w:val="18"/>
        </w:rPr>
        <w:t>SCM Agreement</w:t>
      </w:r>
      <w:r w:rsidRPr="009435E1">
        <w:rPr>
          <w:szCs w:val="18"/>
        </w:rPr>
        <w:t>. However</w:t>
      </w:r>
      <w:r w:rsidRPr="009435E1">
        <w:t xml:space="preserve">, </w:t>
      </w:r>
      <w:r>
        <w:t>the absence of such factual findings does not</w:t>
      </w:r>
      <w:r w:rsidRPr="009435E1">
        <w:t xml:space="preserve"> </w:t>
      </w:r>
      <w:r>
        <w:t xml:space="preserve">preclude </w:t>
      </w:r>
      <w:r w:rsidRPr="009435E1">
        <w:t xml:space="preserve">us from examining the </w:t>
      </w:r>
      <w:r w:rsidR="000A10EA">
        <w:t>United States</w:t>
      </w:r>
      <w:r>
        <w:t>' arguments regarding</w:t>
      </w:r>
      <w:r w:rsidRPr="009435E1">
        <w:t xml:space="preserve"> the Panel</w:t>
      </w:r>
      <w:r>
        <w:t xml:space="preserve">'s articulation of the legal standard under </w:t>
      </w:r>
      <w:r w:rsidR="000A10EA">
        <w:t>Article </w:t>
      </w:r>
      <w:r w:rsidRPr="009435E1">
        <w:t>3.1(b)</w:t>
      </w:r>
      <w:r>
        <w:t>,</w:t>
      </w:r>
      <w:r w:rsidRPr="009435E1">
        <w:t xml:space="preserve"> </w:t>
      </w:r>
      <w:r>
        <w:t>and whether, by reason of this legal standard, the Panel</w:t>
      </w:r>
      <w:r w:rsidRPr="009435E1">
        <w:t xml:space="preserve"> </w:t>
      </w:r>
      <w:r w:rsidRPr="0076686C">
        <w:t xml:space="preserve">erred in finding that </w:t>
      </w:r>
      <w:r>
        <w:t>the A350</w:t>
      </w:r>
      <w:r w:rsidRPr="0076686C">
        <w:t xml:space="preserve">XWB </w:t>
      </w:r>
      <w:r>
        <w:t xml:space="preserve">LA/MSF subsidies </w:t>
      </w:r>
      <w:r w:rsidRPr="0076686C">
        <w:t xml:space="preserve">do not constitute import substitution subsidies prohibited by </w:t>
      </w:r>
      <w:r w:rsidR="000A10EA">
        <w:t>Article </w:t>
      </w:r>
      <w:r w:rsidRPr="0076686C">
        <w:t>3.1(b</w:t>
      </w:r>
      <w:r>
        <w:t xml:space="preserve">). </w:t>
      </w:r>
    </w:p>
    <w:p w:rsidR="0007161B" w:rsidRPr="0019119A" w:rsidRDefault="0007161B" w:rsidP="00DC4FDF">
      <w:pPr>
        <w:pStyle w:val="BodyText"/>
        <w:rPr>
          <w:lang w:val="en-US"/>
        </w:rPr>
      </w:pPr>
      <w:r w:rsidRPr="0019119A">
        <w:rPr>
          <w:szCs w:val="18"/>
        </w:rPr>
        <w:t xml:space="preserve">In light of the </w:t>
      </w:r>
      <w:r>
        <w:rPr>
          <w:szCs w:val="18"/>
        </w:rPr>
        <w:t>foregoing</w:t>
      </w:r>
      <w:r w:rsidRPr="0019119A">
        <w:rPr>
          <w:szCs w:val="18"/>
        </w:rPr>
        <w:t xml:space="preserve">, we </w:t>
      </w:r>
      <w:r w:rsidRPr="001F6843">
        <w:rPr>
          <w:szCs w:val="18"/>
          <w:u w:val="single"/>
        </w:rPr>
        <w:t>find</w:t>
      </w:r>
      <w:r w:rsidRPr="0019119A">
        <w:rPr>
          <w:szCs w:val="18"/>
        </w:rPr>
        <w:t xml:space="preserve"> that the </w:t>
      </w:r>
      <w:r w:rsidR="000A10EA">
        <w:rPr>
          <w:szCs w:val="18"/>
        </w:rPr>
        <w:t>United States</w:t>
      </w:r>
      <w:r>
        <w:rPr>
          <w:szCs w:val="18"/>
        </w:rPr>
        <w:t>'</w:t>
      </w:r>
      <w:r w:rsidRPr="0019119A">
        <w:rPr>
          <w:szCs w:val="18"/>
        </w:rPr>
        <w:t xml:space="preserve"> appeal</w:t>
      </w:r>
      <w:r>
        <w:rPr>
          <w:szCs w:val="18"/>
        </w:rPr>
        <w:t xml:space="preserve"> under </w:t>
      </w:r>
      <w:r w:rsidR="000A10EA">
        <w:rPr>
          <w:szCs w:val="18"/>
        </w:rPr>
        <w:t>Article </w:t>
      </w:r>
      <w:r>
        <w:rPr>
          <w:szCs w:val="18"/>
        </w:rPr>
        <w:t xml:space="preserve">3.1(b) of the </w:t>
      </w:r>
      <w:r w:rsidR="000A10EA">
        <w:rPr>
          <w:szCs w:val="18"/>
        </w:rPr>
        <w:t>SCM Agreement</w:t>
      </w:r>
      <w:r w:rsidRPr="0019119A">
        <w:rPr>
          <w:szCs w:val="18"/>
        </w:rPr>
        <w:t xml:space="preserve"> </w:t>
      </w:r>
      <w:r>
        <w:rPr>
          <w:szCs w:val="18"/>
        </w:rPr>
        <w:t xml:space="preserve">falls </w:t>
      </w:r>
      <w:r w:rsidRPr="0019119A">
        <w:rPr>
          <w:szCs w:val="18"/>
        </w:rPr>
        <w:t xml:space="preserve">within the scope of appellate review under </w:t>
      </w:r>
      <w:r w:rsidR="000A10EA">
        <w:rPr>
          <w:szCs w:val="18"/>
        </w:rPr>
        <w:t>Article </w:t>
      </w:r>
      <w:r w:rsidRPr="0019119A">
        <w:rPr>
          <w:szCs w:val="18"/>
        </w:rPr>
        <w:t xml:space="preserve">17.6 of the DSU, and </w:t>
      </w:r>
      <w:r>
        <w:rPr>
          <w:szCs w:val="18"/>
        </w:rPr>
        <w:t xml:space="preserve">is </w:t>
      </w:r>
      <w:r w:rsidRPr="0019119A">
        <w:rPr>
          <w:szCs w:val="18"/>
        </w:rPr>
        <w:t xml:space="preserve">properly before </w:t>
      </w:r>
      <w:r>
        <w:rPr>
          <w:szCs w:val="18"/>
        </w:rPr>
        <w:t>us</w:t>
      </w:r>
      <w:r w:rsidRPr="0019119A">
        <w:rPr>
          <w:szCs w:val="18"/>
        </w:rPr>
        <w:t xml:space="preserve">. We therefore </w:t>
      </w:r>
      <w:r>
        <w:rPr>
          <w:szCs w:val="18"/>
        </w:rPr>
        <w:t>proceed to</w:t>
      </w:r>
      <w:r w:rsidRPr="0019119A">
        <w:rPr>
          <w:szCs w:val="18"/>
        </w:rPr>
        <w:t xml:space="preserve"> examin</w:t>
      </w:r>
      <w:r>
        <w:rPr>
          <w:szCs w:val="18"/>
        </w:rPr>
        <w:t>e</w:t>
      </w:r>
      <w:r w:rsidRPr="0019119A">
        <w:rPr>
          <w:szCs w:val="18"/>
        </w:rPr>
        <w:t xml:space="preserve"> the </w:t>
      </w:r>
      <w:r>
        <w:rPr>
          <w:szCs w:val="18"/>
        </w:rPr>
        <w:t xml:space="preserve">merits of the </w:t>
      </w:r>
      <w:r w:rsidR="000A10EA">
        <w:rPr>
          <w:szCs w:val="18"/>
        </w:rPr>
        <w:t>United States</w:t>
      </w:r>
      <w:r>
        <w:rPr>
          <w:szCs w:val="18"/>
        </w:rPr>
        <w:t xml:space="preserve">' appeal regarding the </w:t>
      </w:r>
      <w:r w:rsidRPr="0019119A">
        <w:rPr>
          <w:szCs w:val="18"/>
        </w:rPr>
        <w:t xml:space="preserve">Panel's interpretation and application of </w:t>
      </w:r>
      <w:r w:rsidR="000A10EA">
        <w:rPr>
          <w:szCs w:val="18"/>
        </w:rPr>
        <w:t>Article </w:t>
      </w:r>
      <w:r>
        <w:rPr>
          <w:szCs w:val="18"/>
        </w:rPr>
        <w:t xml:space="preserve">3.1(b) of the </w:t>
      </w:r>
      <w:r w:rsidR="000A10EA">
        <w:rPr>
          <w:szCs w:val="18"/>
        </w:rPr>
        <w:t>SCM Agreement</w:t>
      </w:r>
      <w:r w:rsidRPr="0019119A">
        <w:rPr>
          <w:szCs w:val="18"/>
        </w:rPr>
        <w:t>.</w:t>
      </w:r>
    </w:p>
    <w:p w:rsidR="0007161B" w:rsidRPr="00EC08F3" w:rsidRDefault="0007161B" w:rsidP="00DC4FDF">
      <w:pPr>
        <w:pStyle w:val="Heading3"/>
      </w:pPr>
      <w:bookmarkStart w:id="52" w:name="_Toc514059212"/>
      <w:r w:rsidRPr="00EC08F3">
        <w:lastRenderedPageBreak/>
        <w:t xml:space="preserve">The legal standard under </w:t>
      </w:r>
      <w:r w:rsidR="000A10EA">
        <w:t>Article </w:t>
      </w:r>
      <w:r w:rsidRPr="00EC08F3">
        <w:t xml:space="preserve">3.1(b) of the </w:t>
      </w:r>
      <w:r w:rsidR="000A10EA">
        <w:t>SCM Agreement</w:t>
      </w:r>
      <w:bookmarkEnd w:id="52"/>
    </w:p>
    <w:p w:rsidR="0007161B" w:rsidRDefault="000A10EA" w:rsidP="00DC4FDF">
      <w:pPr>
        <w:pStyle w:val="BodyText"/>
        <w:keepNext/>
        <w:keepLines/>
      </w:pPr>
      <w:r>
        <w:rPr>
          <w:snapToGrid w:val="0"/>
        </w:rPr>
        <w:t>Article </w:t>
      </w:r>
      <w:r w:rsidR="0007161B">
        <w:t xml:space="preserve">3.1(b) of the </w:t>
      </w:r>
      <w:r>
        <w:t>SCM Agreement</w:t>
      </w:r>
      <w:r w:rsidR="0007161B">
        <w:t xml:space="preserve"> reads:</w:t>
      </w:r>
    </w:p>
    <w:p w:rsidR="0007161B" w:rsidRDefault="0007161B" w:rsidP="00206326">
      <w:pPr>
        <w:pStyle w:val="Quotation"/>
        <w:keepNext/>
        <w:keepLines/>
      </w:pPr>
      <w:r>
        <w:t xml:space="preserve">Except as provided in the Agreement on Agriculture, the following subsidies, within the meaning of </w:t>
      </w:r>
      <w:r w:rsidR="000A10EA">
        <w:t>Article </w:t>
      </w:r>
      <w:r>
        <w:t>1, shall be prohibited:</w:t>
      </w:r>
    </w:p>
    <w:p w:rsidR="0007161B" w:rsidRDefault="0007161B" w:rsidP="00206326">
      <w:pPr>
        <w:pStyle w:val="Quotation"/>
        <w:keepNext/>
        <w:keepLines/>
        <w:jc w:val="left"/>
      </w:pPr>
      <w:r>
        <w:t>…</w:t>
      </w:r>
    </w:p>
    <w:p w:rsidR="0007161B" w:rsidRPr="00ED176B" w:rsidRDefault="0007161B" w:rsidP="00206326">
      <w:pPr>
        <w:pStyle w:val="Quotation"/>
        <w:keepNext/>
        <w:keepLines/>
        <w:ind w:left="993" w:hanging="426"/>
      </w:pPr>
      <w:r>
        <w:t>(b)</w:t>
      </w:r>
      <w:r>
        <w:tab/>
      </w:r>
      <w:r w:rsidRPr="00ED176B">
        <w:t>subsidies contingent, whether solely or as one of several other conditions, upon the use of domestic over imported goods.</w:t>
      </w:r>
    </w:p>
    <w:p w:rsidR="0007161B" w:rsidRDefault="000A10EA" w:rsidP="00DC4FDF">
      <w:pPr>
        <w:pStyle w:val="BodyText"/>
        <w:numPr>
          <w:ilvl w:val="0"/>
          <w:numId w:val="0"/>
        </w:numPr>
      </w:pPr>
      <w:r>
        <w:t>Article </w:t>
      </w:r>
      <w:r w:rsidR="0007161B">
        <w:t>3.2 adds that "{a} Member shall neither grant nor maintain subsidies referred to in paragraph 1."</w:t>
      </w:r>
    </w:p>
    <w:p w:rsidR="0007161B" w:rsidRDefault="0007161B" w:rsidP="00DC4FDF">
      <w:pPr>
        <w:pStyle w:val="BodyText"/>
      </w:pPr>
      <w:r w:rsidRPr="00483D03">
        <w:t xml:space="preserve">The </w:t>
      </w:r>
      <w:r w:rsidR="000A10EA">
        <w:t>SCM Agreement</w:t>
      </w:r>
      <w:r w:rsidRPr="00483D03">
        <w:t xml:space="preserve"> distinguishes between two categories of subsidies: prohibited subsidies (Part II</w:t>
      </w:r>
      <w:r>
        <w:t xml:space="preserve"> of the Agreement</w:t>
      </w:r>
      <w:r w:rsidRPr="00483D03">
        <w:t>)</w:t>
      </w:r>
      <w:r>
        <w:t>;</w:t>
      </w:r>
      <w:r w:rsidRPr="00483D03">
        <w:t xml:space="preserve"> and actionable subsidies (Part III</w:t>
      </w:r>
      <w:r>
        <w:t xml:space="preserve"> of the Agreement</w:t>
      </w:r>
      <w:r w:rsidRPr="00483D03">
        <w:t xml:space="preserve">). </w:t>
      </w:r>
      <w:r>
        <w:t>The</w:t>
      </w:r>
      <w:r w:rsidRPr="00A922FB">
        <w:rPr>
          <w:snapToGrid w:val="0"/>
        </w:rPr>
        <w:t xml:space="preserve"> granting of </w:t>
      </w:r>
      <w:r>
        <w:rPr>
          <w:snapToGrid w:val="0"/>
        </w:rPr>
        <w:t>subsidies</w:t>
      </w:r>
      <w:r w:rsidRPr="00A922FB">
        <w:rPr>
          <w:snapToGrid w:val="0"/>
        </w:rPr>
        <w:t xml:space="preserve"> is not, in and of itself, prohibited under the </w:t>
      </w:r>
      <w:r w:rsidR="000A10EA">
        <w:rPr>
          <w:snapToGrid w:val="0"/>
        </w:rPr>
        <w:t>SCM Agreement</w:t>
      </w:r>
      <w:r>
        <w:rPr>
          <w:snapToGrid w:val="0"/>
        </w:rPr>
        <w:t>; n</w:t>
      </w:r>
      <w:r w:rsidRPr="00A922FB">
        <w:rPr>
          <w:snapToGrid w:val="0"/>
        </w:rPr>
        <w:t xml:space="preserve">or does </w:t>
      </w:r>
      <w:r>
        <w:rPr>
          <w:snapToGrid w:val="0"/>
        </w:rPr>
        <w:t>the granting of subsidies</w:t>
      </w:r>
      <w:r w:rsidRPr="00A922FB">
        <w:rPr>
          <w:snapToGrid w:val="0"/>
        </w:rPr>
        <w:t xml:space="preserve"> constitute, without more, an inc</w:t>
      </w:r>
      <w:r>
        <w:rPr>
          <w:snapToGrid w:val="0"/>
        </w:rPr>
        <w:t>onsistency with that Agreement.</w:t>
      </w:r>
      <w:r>
        <w:rPr>
          <w:rStyle w:val="FootnoteReference"/>
          <w:snapToGrid w:val="0"/>
        </w:rPr>
        <w:footnoteReference w:id="215"/>
      </w:r>
      <w:r w:rsidRPr="00A922FB">
        <w:rPr>
          <w:snapToGrid w:val="0"/>
        </w:rPr>
        <w:t xml:space="preserve"> </w:t>
      </w:r>
      <w:r w:rsidRPr="00483D03">
        <w:t xml:space="preserve">Only subsidies contingent upon export performance </w:t>
      </w:r>
      <w:r>
        <w:t xml:space="preserve">within the meaning of </w:t>
      </w:r>
      <w:r w:rsidR="000A10EA">
        <w:t>Article </w:t>
      </w:r>
      <w:r>
        <w:t xml:space="preserve">3.1(a) (commonly referred to as export subsidies), </w:t>
      </w:r>
      <w:r w:rsidRPr="00483D03">
        <w:t xml:space="preserve">or </w:t>
      </w:r>
      <w:r>
        <w:t xml:space="preserve">contingent upon the use of domestic over imported goods within the meaning of </w:t>
      </w:r>
      <w:r w:rsidR="000A10EA">
        <w:t>Article </w:t>
      </w:r>
      <w:r>
        <w:t>3.1(b) (commonly referred to as import substitution subsidies),</w:t>
      </w:r>
      <w:r w:rsidRPr="00483D03">
        <w:t xml:space="preserve"> are prohibited </w:t>
      </w:r>
      <w:r w:rsidRPr="00483D03">
        <w:rPr>
          <w:i/>
        </w:rPr>
        <w:t xml:space="preserve">per se </w:t>
      </w:r>
      <w:r w:rsidRPr="00483D03">
        <w:t xml:space="preserve">under </w:t>
      </w:r>
      <w:r w:rsidR="000A10EA">
        <w:t>Article </w:t>
      </w:r>
      <w:r w:rsidRPr="00483D03">
        <w:t xml:space="preserve">3 of the </w:t>
      </w:r>
      <w:r w:rsidR="000A10EA">
        <w:t>SCM Agreement</w:t>
      </w:r>
      <w:r w:rsidRPr="00483D03">
        <w:t>.</w:t>
      </w:r>
      <w:r>
        <w:rPr>
          <w:rStyle w:val="FootnoteReference"/>
        </w:rPr>
        <w:footnoteReference w:id="216"/>
      </w:r>
      <w:r w:rsidRPr="00483D03">
        <w:t xml:space="preserve"> </w:t>
      </w:r>
      <w:r>
        <w:rPr>
          <w:lang w:val="en-US"/>
        </w:rPr>
        <w:t>In any event, subsidies, if specific, are</w:t>
      </w:r>
      <w:r w:rsidRPr="00A36159">
        <w:rPr>
          <w:lang w:val="en-US"/>
        </w:rPr>
        <w:t xml:space="preserve"> disciplined under </w:t>
      </w:r>
      <w:r>
        <w:rPr>
          <w:lang w:val="en-US"/>
        </w:rPr>
        <w:t xml:space="preserve">Part III of </w:t>
      </w:r>
      <w:r w:rsidRPr="00A36159">
        <w:rPr>
          <w:lang w:val="en-US"/>
        </w:rPr>
        <w:t xml:space="preserve">the </w:t>
      </w:r>
      <w:r w:rsidR="000A10EA">
        <w:rPr>
          <w:lang w:val="en-US"/>
        </w:rPr>
        <w:t>SCM Agreement</w:t>
      </w:r>
      <w:r w:rsidRPr="00A36159">
        <w:rPr>
          <w:lang w:val="en-US"/>
        </w:rPr>
        <w:t xml:space="preserve">, </w:t>
      </w:r>
      <w:r>
        <w:rPr>
          <w:lang w:val="en-US"/>
        </w:rPr>
        <w:t>but</w:t>
      </w:r>
      <w:r w:rsidRPr="00A36159">
        <w:rPr>
          <w:lang w:val="en-US"/>
        </w:rPr>
        <w:t xml:space="preserve"> a complaining Member </w:t>
      </w:r>
      <w:r>
        <w:rPr>
          <w:lang w:val="en-US"/>
        </w:rPr>
        <w:t>must</w:t>
      </w:r>
      <w:r w:rsidRPr="00A36159">
        <w:rPr>
          <w:lang w:val="en-US"/>
        </w:rPr>
        <w:t xml:space="preserve"> demonstrate the existence of adverse </w:t>
      </w:r>
      <w:r w:rsidRPr="00483D03">
        <w:t>effects</w:t>
      </w:r>
      <w:r>
        <w:t xml:space="preserve"> under </w:t>
      </w:r>
      <w:r w:rsidR="000A10EA">
        <w:t>Article </w:t>
      </w:r>
      <w:r>
        <w:t>5 of that Agreement</w:t>
      </w:r>
      <w:r w:rsidRPr="00A36159">
        <w:rPr>
          <w:lang w:val="en-US"/>
        </w:rPr>
        <w:t>.</w:t>
      </w:r>
    </w:p>
    <w:p w:rsidR="0007161B" w:rsidRDefault="000A10EA" w:rsidP="00DC4FDF">
      <w:pPr>
        <w:pStyle w:val="BodyText"/>
      </w:pPr>
      <w:r>
        <w:t>Article </w:t>
      </w:r>
      <w:r w:rsidR="0007161B" w:rsidRPr="003E7F09">
        <w:t>3.1</w:t>
      </w:r>
      <w:r w:rsidR="0007161B">
        <w:t>(b)</w:t>
      </w:r>
      <w:r w:rsidR="0007161B" w:rsidRPr="003E7F09">
        <w:t xml:space="preserve"> of the </w:t>
      </w:r>
      <w:r>
        <w:t>SCM Agreement</w:t>
      </w:r>
      <w:r w:rsidR="0007161B" w:rsidRPr="003E7F09">
        <w:t xml:space="preserve"> prohibits subsidies the granting of which is </w:t>
      </w:r>
      <w:r w:rsidR="0007161B">
        <w:t>"</w:t>
      </w:r>
      <w:r w:rsidR="0007161B" w:rsidRPr="003E7F09">
        <w:t>contingent</w:t>
      </w:r>
      <w:r w:rsidR="0007161B">
        <w:t xml:space="preserve"> … </w:t>
      </w:r>
      <w:r w:rsidR="0007161B" w:rsidRPr="003E7F09">
        <w:t>upon the use of domestic over imported goods".</w:t>
      </w:r>
      <w:r w:rsidR="0007161B">
        <w:t xml:space="preserve"> </w:t>
      </w:r>
      <w:r w:rsidR="0007161B" w:rsidRPr="00F32467">
        <w:t xml:space="preserve">The </w:t>
      </w:r>
      <w:r>
        <w:t>Appellate Body</w:t>
      </w:r>
      <w:r w:rsidR="0007161B" w:rsidRPr="00F32467">
        <w:t xml:space="preserve"> has found that the legal standard for </w:t>
      </w:r>
      <w:r w:rsidR="0007161B">
        <w:t>establishing</w:t>
      </w:r>
      <w:r w:rsidR="0007161B" w:rsidRPr="00F32467">
        <w:t xml:space="preserve"> the existence of "contingency" under </w:t>
      </w:r>
      <w:r>
        <w:t>Article </w:t>
      </w:r>
      <w:r w:rsidR="0007161B" w:rsidRPr="00F32467">
        <w:t xml:space="preserve">3.1(b) </w:t>
      </w:r>
      <w:r w:rsidR="0007161B">
        <w:t>i</w:t>
      </w:r>
      <w:r w:rsidR="0007161B" w:rsidRPr="00F32467">
        <w:t xml:space="preserve">s the same as under </w:t>
      </w:r>
      <w:r>
        <w:t>Article </w:t>
      </w:r>
      <w:r w:rsidR="0007161B" w:rsidRPr="00F32467">
        <w:t xml:space="preserve">3.1(a) of </w:t>
      </w:r>
      <w:r w:rsidR="0007161B">
        <w:t xml:space="preserve">the </w:t>
      </w:r>
      <w:r>
        <w:t>SCM Agreement</w:t>
      </w:r>
      <w:r w:rsidR="0007161B" w:rsidRPr="00F32467">
        <w:t>.</w:t>
      </w:r>
      <w:r w:rsidR="0007161B">
        <w:rPr>
          <w:rStyle w:val="FootnoteReference"/>
        </w:rPr>
        <w:footnoteReference w:id="217"/>
      </w:r>
      <w:r w:rsidR="0007161B">
        <w:t xml:space="preserve"> S</w:t>
      </w:r>
      <w:r w:rsidR="0007161B" w:rsidRPr="003A2F3D">
        <w:rPr>
          <w:szCs w:val="18"/>
        </w:rPr>
        <w:t xml:space="preserve">ince </w:t>
      </w:r>
      <w:r w:rsidR="0007161B" w:rsidRPr="003E7F09">
        <w:t xml:space="preserve">the ordinary </w:t>
      </w:r>
      <w:r w:rsidR="0007161B">
        <w:t>meaning</w:t>
      </w:r>
      <w:r w:rsidR="0007161B" w:rsidRPr="003E7F09">
        <w:t xml:space="preserve"> of "contingent" is "conditional" or "dependent for its existence on something else", a subsidy would be prohibited under </w:t>
      </w:r>
      <w:r>
        <w:t>Article </w:t>
      </w:r>
      <w:r w:rsidR="0007161B" w:rsidRPr="003E7F09">
        <w:t xml:space="preserve">3.1(b) if it is "conditional" </w:t>
      </w:r>
      <w:r w:rsidR="0007161B">
        <w:t>or "dependent for its existence on"</w:t>
      </w:r>
      <w:r w:rsidR="0007161B" w:rsidRPr="003E7F09">
        <w:t xml:space="preserve"> the use of domestic over imported goods.</w:t>
      </w:r>
      <w:r w:rsidR="0007161B">
        <w:rPr>
          <w:rStyle w:val="FootnoteReference"/>
        </w:rPr>
        <w:footnoteReference w:id="218"/>
      </w:r>
      <w:r w:rsidR="0007161B" w:rsidRPr="003E7F09">
        <w:t xml:space="preserve"> </w:t>
      </w:r>
      <w:r w:rsidR="0007161B">
        <w:t>Therefore,</w:t>
      </w:r>
      <w:r w:rsidR="0007161B" w:rsidRPr="00483D03">
        <w:t xml:space="preserve"> a subsidy would be "contingent" upon the use of domestic over imported goods </w:t>
      </w:r>
      <w:r w:rsidR="0007161B">
        <w:t>where</w:t>
      </w:r>
      <w:r w:rsidR="0007161B" w:rsidRPr="00483D03">
        <w:t xml:space="preserve"> the use of those goods is </w:t>
      </w:r>
      <w:r w:rsidR="0007161B">
        <w:t>a condition, in the sense of a requirement</w:t>
      </w:r>
      <w:r w:rsidR="0007161B">
        <w:rPr>
          <w:rStyle w:val="FootnoteReference"/>
        </w:rPr>
        <w:footnoteReference w:id="219"/>
      </w:r>
      <w:r w:rsidR="00B542A9">
        <w:t>, for </w:t>
      </w:r>
      <w:r w:rsidR="0007161B">
        <w:t>receiving the subsidy</w:t>
      </w:r>
      <w:r w:rsidR="0007161B" w:rsidRPr="00483D03">
        <w:t>.</w:t>
      </w:r>
      <w:r w:rsidR="0007161B">
        <w:rPr>
          <w:rStyle w:val="FootnoteReference"/>
        </w:rPr>
        <w:footnoteReference w:id="220"/>
      </w:r>
      <w:r w:rsidR="0007161B">
        <w:t xml:space="preserve"> </w:t>
      </w:r>
    </w:p>
    <w:p w:rsidR="0007161B" w:rsidRPr="004D5E85" w:rsidRDefault="0007161B" w:rsidP="00DC4FDF">
      <w:pPr>
        <w:pStyle w:val="BodyText"/>
        <w:rPr>
          <w:szCs w:val="18"/>
        </w:rPr>
      </w:pPr>
      <w:r w:rsidRPr="00483D03">
        <w:t xml:space="preserve">The </w:t>
      </w:r>
      <w:r w:rsidR="000A10EA">
        <w:t>Appellate Body</w:t>
      </w:r>
      <w:r>
        <w:t xml:space="preserve"> in </w:t>
      </w:r>
      <w:r>
        <w:rPr>
          <w:i/>
        </w:rPr>
        <w:t>US – Tax Incentives</w:t>
      </w:r>
      <w:r>
        <w:t xml:space="preserve"> noted that the term "use" in </w:t>
      </w:r>
      <w:r w:rsidR="000A10EA">
        <w:t>Article </w:t>
      </w:r>
      <w:r>
        <w:t xml:space="preserve">3.1(b) </w:t>
      </w:r>
      <w:r w:rsidRPr="00483D03">
        <w:t>refer</w:t>
      </w:r>
      <w:r>
        <w:t>s</w:t>
      </w:r>
      <w:r w:rsidRPr="00483D03">
        <w:t xml:space="preserve"> to the action </w:t>
      </w:r>
      <w:r>
        <w:t>of using or employing something</w:t>
      </w:r>
      <w:r>
        <w:rPr>
          <w:rStyle w:val="FootnoteReference"/>
        </w:rPr>
        <w:footnoteReference w:id="221"/>
      </w:r>
      <w:r>
        <w:t xml:space="preserve"> and</w:t>
      </w:r>
      <w:r w:rsidRPr="00483D03">
        <w:t xml:space="preserve"> </w:t>
      </w:r>
      <w:r>
        <w:t xml:space="preserve">"may, depending on the particular circumstances, refer to consuming a good in the process of manufacturing, but may also refer to, for instance, incorporating a component into a separate good, or serving as a tool in the </w:t>
      </w:r>
      <w:r>
        <w:lastRenderedPageBreak/>
        <w:t>production of a good</w:t>
      </w:r>
      <w:r w:rsidRPr="00483D03">
        <w:t>.</w:t>
      </w:r>
      <w:r>
        <w:t>"</w:t>
      </w:r>
      <w:r>
        <w:rPr>
          <w:rStyle w:val="FootnoteReference"/>
        </w:rPr>
        <w:footnoteReference w:id="222"/>
      </w:r>
      <w:r w:rsidRPr="00483D03">
        <w:t xml:space="preserve"> </w:t>
      </w:r>
      <w:r>
        <w:t xml:space="preserve">The </w:t>
      </w:r>
      <w:r w:rsidR="000A10EA">
        <w:t>Appellate Body</w:t>
      </w:r>
      <w:r>
        <w:t xml:space="preserve"> also noted that the term "goods" in </w:t>
      </w:r>
      <w:r w:rsidR="000A10EA">
        <w:t>Article </w:t>
      </w:r>
      <w:r>
        <w:t>3.1(b) is qualified by the adjectives "domestic" and "imported", which implies that the "goods" concerned should be at least potentially tradable.</w:t>
      </w:r>
      <w:r>
        <w:rPr>
          <w:rStyle w:val="FootnoteReference"/>
        </w:rPr>
        <w:footnoteReference w:id="223"/>
      </w:r>
      <w:r>
        <w:t xml:space="preserve"> Finally, t</w:t>
      </w:r>
      <w:r w:rsidRPr="003E7F09">
        <w:t xml:space="preserve">he </w:t>
      </w:r>
      <w:r>
        <w:t>term</w:t>
      </w:r>
      <w:r w:rsidRPr="003E7F09">
        <w:t xml:space="preserve"> </w:t>
      </w:r>
      <w:r>
        <w:t>"over" expresses a preference between two things and, in the context of the phrase "contingent … upon the use of domestic over imported goods", refers to the use of domestic goods in preference to, or instead of, imported goods.</w:t>
      </w:r>
      <w:r>
        <w:rPr>
          <w:rStyle w:val="FootnoteReference"/>
        </w:rPr>
        <w:footnoteReference w:id="224"/>
      </w:r>
    </w:p>
    <w:p w:rsidR="0007161B" w:rsidRDefault="0007161B" w:rsidP="00DC4FDF">
      <w:pPr>
        <w:pStyle w:val="BodyText"/>
      </w:pPr>
      <w:r>
        <w:rPr>
          <w:lang w:val="en-US"/>
        </w:rPr>
        <w:t>The term "c</w:t>
      </w:r>
      <w:r w:rsidRPr="00CF7B66">
        <w:rPr>
          <w:lang w:val="en-US"/>
        </w:rPr>
        <w:t xml:space="preserve">ontingency" under </w:t>
      </w:r>
      <w:r w:rsidR="000A10EA">
        <w:t>Article </w:t>
      </w:r>
      <w:r>
        <w:t>3.1(b) covers contingency both in law and in fact, but</w:t>
      </w:r>
      <w:r w:rsidRPr="00483D03">
        <w:t xml:space="preserve"> the legal standard expressed by the </w:t>
      </w:r>
      <w:r>
        <w:t>term</w:t>
      </w:r>
      <w:r w:rsidRPr="00483D03">
        <w:t xml:space="preserve"> "contingent" is the same for </w:t>
      </w:r>
      <w:r w:rsidRPr="00CF7B66">
        <w:rPr>
          <w:i/>
        </w:rPr>
        <w:t xml:space="preserve">de jure </w:t>
      </w:r>
      <w:r w:rsidRPr="00483D03">
        <w:t xml:space="preserve">and </w:t>
      </w:r>
      <w:r w:rsidRPr="00CF7B66">
        <w:rPr>
          <w:i/>
        </w:rPr>
        <w:t xml:space="preserve">de facto </w:t>
      </w:r>
      <w:r w:rsidRPr="00483D03">
        <w:t>contingency.</w:t>
      </w:r>
      <w:r>
        <w:rPr>
          <w:rStyle w:val="FootnoteReference"/>
        </w:rPr>
        <w:footnoteReference w:id="225"/>
      </w:r>
      <w:r w:rsidRPr="004F1656">
        <w:t xml:space="preserve"> </w:t>
      </w:r>
      <w:r w:rsidRPr="00483D03">
        <w:t xml:space="preserve">A subsidy will be </w:t>
      </w:r>
      <w:r w:rsidRPr="00147E08">
        <w:rPr>
          <w:i/>
        </w:rPr>
        <w:t xml:space="preserve">de jure </w:t>
      </w:r>
      <w:r w:rsidRPr="00483D03">
        <w:t>contingent upon the use of domestic over imported goods "when the existence of that condition can be demonstrated on the basis of the very words of the relevant legislation, regulation or other legal instrument consti</w:t>
      </w:r>
      <w:r w:rsidR="00B542A9">
        <w:t>tuting the measure", or can "be </w:t>
      </w:r>
      <w:r w:rsidRPr="00483D03">
        <w:t>derived by necessary implication from the words actually used in the measure".</w:t>
      </w:r>
      <w:r>
        <w:rPr>
          <w:rStyle w:val="FootnoteReference"/>
        </w:rPr>
        <w:footnoteReference w:id="226"/>
      </w:r>
      <w:r w:rsidRPr="00A22B8C">
        <w:t xml:space="preserve"> </w:t>
      </w:r>
      <w:r w:rsidR="00B542A9">
        <w:t>The </w:t>
      </w:r>
      <w:r w:rsidR="000A10EA">
        <w:t>Appellate Body</w:t>
      </w:r>
      <w:r w:rsidRPr="0076711C">
        <w:t xml:space="preserve"> </w:t>
      </w:r>
      <w:r>
        <w:t xml:space="preserve">has observed that proving </w:t>
      </w:r>
      <w:r>
        <w:rPr>
          <w:i/>
        </w:rPr>
        <w:t xml:space="preserve">de facto </w:t>
      </w:r>
      <w:r>
        <w:t xml:space="preserve">contingency "is a much </w:t>
      </w:r>
      <w:r w:rsidRPr="00B14A7D">
        <w:t>more difficult task".</w:t>
      </w:r>
      <w:r w:rsidRPr="00B14A7D">
        <w:rPr>
          <w:rStyle w:val="FootnoteReference"/>
        </w:rPr>
        <w:footnoteReference w:id="227"/>
      </w:r>
      <w:r w:rsidRPr="00B14A7D">
        <w:t xml:space="preserve"> The existence of </w:t>
      </w:r>
      <w:r w:rsidRPr="00B14A7D">
        <w:rPr>
          <w:i/>
        </w:rPr>
        <w:t>de facto</w:t>
      </w:r>
      <w:r w:rsidRPr="00B14A7D">
        <w:t xml:space="preserve"> contingency "must be </w:t>
      </w:r>
      <w:r w:rsidRPr="00B14A7D">
        <w:rPr>
          <w:i/>
        </w:rPr>
        <w:t>inferred</w:t>
      </w:r>
      <w:r w:rsidRPr="00B14A7D">
        <w:t xml:space="preserve"> from the total</w:t>
      </w:r>
      <w:r w:rsidRPr="00483D03">
        <w:t xml:space="preserve"> configuration of the facts constituting and surrounding the granting of the subsidy</w:t>
      </w:r>
      <w:r>
        <w:t>, none of which on its own is likely to be decisive in any given case</w:t>
      </w:r>
      <w:r w:rsidRPr="00483D03">
        <w:t>"</w:t>
      </w:r>
      <w:r>
        <w:t>.</w:t>
      </w:r>
      <w:r>
        <w:rPr>
          <w:rStyle w:val="FootnoteReference"/>
        </w:rPr>
        <w:footnoteReference w:id="228"/>
      </w:r>
      <w:r>
        <w:t xml:space="preserve"> Factors that may be relevant in this regard </w:t>
      </w:r>
      <w:r w:rsidRPr="00483D03">
        <w:t>includ</w:t>
      </w:r>
      <w:r>
        <w:t>e</w:t>
      </w:r>
      <w:r w:rsidRPr="00483D03">
        <w:t xml:space="preserve"> the design and structure of the measure granting the subsidy</w:t>
      </w:r>
      <w:r>
        <w:t>,</w:t>
      </w:r>
      <w:r w:rsidRPr="00483D03">
        <w:t xml:space="preserve"> the modalities of operation set o</w:t>
      </w:r>
      <w:r>
        <w:t>ut in such a measure, and </w:t>
      </w:r>
      <w:r w:rsidRPr="00483D03">
        <w:t>the relevant factual circumstances surrounding the granting of the subsidy that provide the context for understanding the measure's design, structure, and modalities of operation.</w:t>
      </w:r>
      <w:r>
        <w:rPr>
          <w:rStyle w:val="FootnoteReference"/>
        </w:rPr>
        <w:footnoteReference w:id="229"/>
      </w:r>
      <w:r>
        <w:t xml:space="preserve"> While these factors have been relied upon in addressing </w:t>
      </w:r>
      <w:r>
        <w:rPr>
          <w:i/>
        </w:rPr>
        <w:t xml:space="preserve">de facto </w:t>
      </w:r>
      <w:r>
        <w:t xml:space="preserve">contingency under </w:t>
      </w:r>
      <w:r w:rsidR="000A10EA">
        <w:t>Article </w:t>
      </w:r>
      <w:r>
        <w:t xml:space="preserve">3.1(a), the </w:t>
      </w:r>
      <w:r w:rsidR="000A10EA">
        <w:t>Appellate Body</w:t>
      </w:r>
      <w:r>
        <w:t xml:space="preserve"> considered in </w:t>
      </w:r>
      <w:r>
        <w:rPr>
          <w:i/>
        </w:rPr>
        <w:t>US – Tax Incentives</w:t>
      </w:r>
      <w:r>
        <w:t xml:space="preserve"> that they are also relevant to a </w:t>
      </w:r>
      <w:r w:rsidRPr="003B73D2">
        <w:rPr>
          <w:i/>
        </w:rPr>
        <w:t>de facto</w:t>
      </w:r>
      <w:r>
        <w:t xml:space="preserve"> contingency analysis under </w:t>
      </w:r>
      <w:r w:rsidR="000A10EA">
        <w:t>Article </w:t>
      </w:r>
      <w:r>
        <w:t>3.1(b).</w:t>
      </w:r>
    </w:p>
    <w:p w:rsidR="0007161B" w:rsidRDefault="0007161B" w:rsidP="00DC4FDF">
      <w:pPr>
        <w:pStyle w:val="BodyText"/>
      </w:pPr>
      <w:r>
        <w:t xml:space="preserve">Where an analysis of </w:t>
      </w:r>
      <w:r w:rsidRPr="00550B24">
        <w:t>contingency does not yield a finding</w:t>
      </w:r>
      <w:r>
        <w:t xml:space="preserve"> of inconsistency under </w:t>
      </w:r>
      <w:r w:rsidR="000A10EA">
        <w:t>Article </w:t>
      </w:r>
      <w:r w:rsidRPr="00550B24">
        <w:t xml:space="preserve">3.1(b) on the basis of the </w:t>
      </w:r>
      <w:r>
        <w:t>words actually used in</w:t>
      </w:r>
      <w:r w:rsidRPr="00550B24">
        <w:t xml:space="preserve"> the measure, or any necessary implication therefrom, </w:t>
      </w:r>
      <w:r w:rsidRPr="0076711C">
        <w:t xml:space="preserve">the existence of a requirement to use domestic over imported </w:t>
      </w:r>
      <w:r>
        <w:t>goods</w:t>
      </w:r>
      <w:r w:rsidRPr="0076711C">
        <w:t xml:space="preserve"> </w:t>
      </w:r>
      <w:r w:rsidRPr="00550B24">
        <w:t xml:space="preserve">may still </w:t>
      </w:r>
      <w:r w:rsidRPr="0076711C">
        <w:t xml:space="preserve">be </w:t>
      </w:r>
      <w:r>
        <w:t>found</w:t>
      </w:r>
      <w:r w:rsidRPr="0076711C">
        <w:t xml:space="preserve"> on the basis of</w:t>
      </w:r>
      <w:r>
        <w:t xml:space="preserve"> the above-mentioned factors and factual circumstances that form part of</w:t>
      </w:r>
      <w:r w:rsidRPr="0076711C">
        <w:t xml:space="preserve"> </w:t>
      </w:r>
      <w:r>
        <w:t>the total configuration of the facts constituting and surrounding the granting of the subsidy.</w:t>
      </w:r>
      <w:r>
        <w:rPr>
          <w:rStyle w:val="FootnoteReference"/>
        </w:rPr>
        <w:footnoteReference w:id="230"/>
      </w:r>
      <w:r w:rsidR="00B542A9">
        <w:t xml:space="preserve"> The </w:t>
      </w:r>
      <w:r w:rsidR="000A10EA">
        <w:t>Appellate Body</w:t>
      </w:r>
      <w:r>
        <w:t xml:space="preserve"> in </w:t>
      </w:r>
      <w:r>
        <w:rPr>
          <w:i/>
          <w:lang w:val="en-US"/>
        </w:rPr>
        <w:t>US – Tax Incentives</w:t>
      </w:r>
      <w:r>
        <w:t xml:space="preserve"> noted that the </w:t>
      </w:r>
      <w:r w:rsidRPr="00381320">
        <w:t xml:space="preserve">analysis of </w:t>
      </w:r>
      <w:r w:rsidRPr="00CF7B66">
        <w:rPr>
          <w:i/>
        </w:rPr>
        <w:t xml:space="preserve">de jure </w:t>
      </w:r>
      <w:r w:rsidRPr="00A86FC4">
        <w:t>and</w:t>
      </w:r>
      <w:r w:rsidRPr="00CF7B66">
        <w:rPr>
          <w:i/>
        </w:rPr>
        <w:t xml:space="preserve"> de facto</w:t>
      </w:r>
      <w:r w:rsidRPr="00381320">
        <w:t xml:space="preserve"> contingency under </w:t>
      </w:r>
      <w:r w:rsidR="000A10EA">
        <w:t>Article </w:t>
      </w:r>
      <w:r w:rsidRPr="00381320">
        <w:t>3.1(b)</w:t>
      </w:r>
      <w:r>
        <w:t>,</w:t>
      </w:r>
      <w:r w:rsidRPr="00381320">
        <w:t xml:space="preserve"> </w:t>
      </w:r>
      <w:r>
        <w:t>in light of the above-mentioned factors and circumstances, should be understood as a continuum, and a panel should conduct a holistic assessment of all relevant elements and evidence on record.</w:t>
      </w:r>
      <w:r>
        <w:rPr>
          <w:rStyle w:val="FootnoteReference"/>
        </w:rPr>
        <w:footnoteReference w:id="231"/>
      </w:r>
      <w:r>
        <w:t xml:space="preserve"> </w:t>
      </w:r>
    </w:p>
    <w:p w:rsidR="0007161B" w:rsidRDefault="0007161B" w:rsidP="00DC4FDF">
      <w:pPr>
        <w:pStyle w:val="BodyText"/>
      </w:pPr>
      <w:r w:rsidRPr="00C30D0F">
        <w:t xml:space="preserve">Accordingly, </w:t>
      </w:r>
      <w:r w:rsidR="000A10EA">
        <w:t>Article </w:t>
      </w:r>
      <w:r w:rsidRPr="00C30D0F">
        <w:t>3.1(b) prohibit</w:t>
      </w:r>
      <w:r>
        <w:t>s</w:t>
      </w:r>
      <w:r w:rsidRPr="00C30D0F">
        <w:t xml:space="preserve"> those subsidies that are </w:t>
      </w:r>
      <w:r w:rsidRPr="009136EE">
        <w:rPr>
          <w:i/>
        </w:rPr>
        <w:t>de jure</w:t>
      </w:r>
      <w:r w:rsidRPr="00C30D0F">
        <w:t xml:space="preserve"> or </w:t>
      </w:r>
      <w:r w:rsidRPr="009136EE">
        <w:rPr>
          <w:i/>
        </w:rPr>
        <w:t>de facto</w:t>
      </w:r>
      <w:r w:rsidRPr="00C30D0F">
        <w:t xml:space="preserve"> contingent such that they require the use of domestic goods in preference to, or instead of, imported goods as a condition for receiving the subsidy. </w:t>
      </w:r>
      <w:r>
        <w:t xml:space="preserve">While the distinction between </w:t>
      </w:r>
      <w:r w:rsidRPr="009136EE">
        <w:rPr>
          <w:i/>
        </w:rPr>
        <w:t xml:space="preserve">de jure </w:t>
      </w:r>
      <w:r>
        <w:t xml:space="preserve">and </w:t>
      </w:r>
      <w:r w:rsidRPr="009136EE">
        <w:rPr>
          <w:i/>
        </w:rPr>
        <w:t xml:space="preserve">de facto </w:t>
      </w:r>
      <w:r>
        <w:t>contingency lies in the "evidence {that} may be employed to prove" that a subsidy is contingent upon the use of domestic over imported goods</w:t>
      </w:r>
      <w:r>
        <w:rPr>
          <w:rStyle w:val="FootnoteReference"/>
        </w:rPr>
        <w:footnoteReference w:id="232"/>
      </w:r>
      <w:r>
        <w:t xml:space="preserve">, in both its </w:t>
      </w:r>
      <w:r w:rsidRPr="009136EE">
        <w:rPr>
          <w:i/>
        </w:rPr>
        <w:t xml:space="preserve">de jure </w:t>
      </w:r>
      <w:r>
        <w:t xml:space="preserve">and </w:t>
      </w:r>
      <w:r w:rsidRPr="009136EE">
        <w:rPr>
          <w:i/>
        </w:rPr>
        <w:t>de</w:t>
      </w:r>
      <w:r>
        <w:rPr>
          <w:i/>
        </w:rPr>
        <w:t> </w:t>
      </w:r>
      <w:r w:rsidRPr="009136EE">
        <w:rPr>
          <w:i/>
        </w:rPr>
        <w:t xml:space="preserve">facto </w:t>
      </w:r>
      <w:r>
        <w:t>analyses, a</w:t>
      </w:r>
      <w:r w:rsidR="00B542A9">
        <w:t> </w:t>
      </w:r>
      <w:r w:rsidRPr="00351FD2">
        <w:t>panel</w:t>
      </w:r>
      <w:r>
        <w:t xml:space="preserve"> </w:t>
      </w:r>
      <w:r w:rsidRPr="00351FD2">
        <w:t>assess</w:t>
      </w:r>
      <w:r>
        <w:t>es</w:t>
      </w:r>
      <w:r w:rsidRPr="00351FD2">
        <w:t xml:space="preserve"> the consistency of the </w:t>
      </w:r>
      <w:r>
        <w:t xml:space="preserve">granting of a subsidy under </w:t>
      </w:r>
      <w:r w:rsidR="000A10EA">
        <w:t>Article </w:t>
      </w:r>
      <w:r>
        <w:t xml:space="preserve">3.1(b) </w:t>
      </w:r>
      <w:r w:rsidRPr="00483D03">
        <w:t xml:space="preserve">with the </w:t>
      </w:r>
      <w:r w:rsidRPr="008A62D4">
        <w:t>same</w:t>
      </w:r>
      <w:r w:rsidRPr="009136EE">
        <w:rPr>
          <w:i/>
        </w:rPr>
        <w:t xml:space="preserve"> </w:t>
      </w:r>
      <w:r w:rsidRPr="00483D03">
        <w:t>obligation</w:t>
      </w:r>
      <w:r>
        <w:t xml:space="preserve"> and against a single legal standard of contingency</w:t>
      </w:r>
      <w:r w:rsidRPr="001F139E">
        <w:t xml:space="preserve">. In each </w:t>
      </w:r>
      <w:r w:rsidRPr="006E6F73">
        <w:t xml:space="preserve">case, an assessment of whether a subsidy is contingent within the meaning of </w:t>
      </w:r>
      <w:r w:rsidR="000A10EA">
        <w:t>Article </w:t>
      </w:r>
      <w:r w:rsidRPr="006E6F73">
        <w:t xml:space="preserve">3.1(b) requires a </w:t>
      </w:r>
      <w:r w:rsidRPr="00140645">
        <w:t xml:space="preserve">thorough analysis </w:t>
      </w:r>
      <w:r w:rsidRPr="00140645">
        <w:lastRenderedPageBreak/>
        <w:t xml:space="preserve">of whether the </w:t>
      </w:r>
      <w:r w:rsidRPr="00E60EA6">
        <w:t xml:space="preserve">conditional relationship between the granting of the subsidy and the use </w:t>
      </w:r>
      <w:r>
        <w:t xml:space="preserve">of </w:t>
      </w:r>
      <w:r w:rsidRPr="00E60EA6">
        <w:t xml:space="preserve">domestic over imported </w:t>
      </w:r>
      <w:r>
        <w:t>goods</w:t>
      </w:r>
      <w:r w:rsidRPr="00E60EA6">
        <w:t xml:space="preserve"> </w:t>
      </w:r>
      <w:r w:rsidRPr="00180E10">
        <w:t>is</w:t>
      </w:r>
      <w:r w:rsidRPr="00FF3DB5">
        <w:t xml:space="preserve"> objectively observable on the basis of a </w:t>
      </w:r>
      <w:r w:rsidRPr="003C1B5E">
        <w:t xml:space="preserve">careful </w:t>
      </w:r>
      <w:r>
        <w:t xml:space="preserve">and rigorous </w:t>
      </w:r>
      <w:r w:rsidRPr="003C1B5E">
        <w:t xml:space="preserve">scrutiny of all </w:t>
      </w:r>
      <w:r>
        <w:t xml:space="preserve">the relevant </w:t>
      </w:r>
      <w:r w:rsidRPr="003C1B5E">
        <w:t>evidence. This is especially important when the alleged contingency is not cle</w:t>
      </w:r>
      <w:r w:rsidRPr="005F6200">
        <w:t>ar</w:t>
      </w:r>
      <w:r>
        <w:t xml:space="preserve">ly expressed </w:t>
      </w:r>
      <w:r w:rsidRPr="005F6200">
        <w:t>in the language used in the relevant legal instrument.</w:t>
      </w:r>
      <w:r w:rsidRPr="00646EC0">
        <w:rPr>
          <w:vertAlign w:val="superscript"/>
        </w:rPr>
        <w:footnoteReference w:id="233"/>
      </w:r>
      <w:r>
        <w:t xml:space="preserve"> </w:t>
      </w:r>
    </w:p>
    <w:p w:rsidR="0007161B" w:rsidRDefault="0007161B" w:rsidP="00DC4FDF">
      <w:pPr>
        <w:pStyle w:val="BodyText"/>
      </w:pPr>
      <w:r>
        <w:t xml:space="preserve">The </w:t>
      </w:r>
      <w:r w:rsidR="000A10EA">
        <w:t>Appellate Body</w:t>
      </w:r>
      <w:r>
        <w:t xml:space="preserve"> in </w:t>
      </w:r>
      <w:r>
        <w:rPr>
          <w:i/>
        </w:rPr>
        <w:t xml:space="preserve">US – Tax Incentives </w:t>
      </w:r>
      <w:r>
        <w:t>further observed that, insofar as, b</w:t>
      </w:r>
      <w:r w:rsidRPr="00935FFD">
        <w:t xml:space="preserve">y its </w:t>
      </w:r>
      <w:r w:rsidRPr="00483D03">
        <w:t>terms</w:t>
      </w:r>
      <w:r w:rsidRPr="00935FFD">
        <w:t xml:space="preserve">, </w:t>
      </w:r>
      <w:r w:rsidR="000A10EA">
        <w:t>Article </w:t>
      </w:r>
      <w:r w:rsidRPr="00935FFD">
        <w:t xml:space="preserve">3.1(b) does not prohibit the subsidization of domestic "production" </w:t>
      </w:r>
      <w:r>
        <w:rPr>
          <w:i/>
        </w:rPr>
        <w:t>per </w:t>
      </w:r>
      <w:r w:rsidRPr="00651539">
        <w:rPr>
          <w:i/>
        </w:rPr>
        <w:t>se</w:t>
      </w:r>
      <w:r>
        <w:t>, but rather the granting of subsidies contingent upon the use of domestic over imported goods, s</w:t>
      </w:r>
      <w:r w:rsidRPr="00483D03">
        <w:t xml:space="preserve">ubsidies </w:t>
      </w:r>
      <w:r>
        <w:t xml:space="preserve">that relate to domestic production </w:t>
      </w:r>
      <w:r w:rsidRPr="00483D03">
        <w:t>are</w:t>
      </w:r>
      <w:r>
        <w:t xml:space="preserve"> not,</w:t>
      </w:r>
      <w:r w:rsidRPr="00483D03">
        <w:t xml:space="preserve"> </w:t>
      </w:r>
      <w:r>
        <w:t xml:space="preserve">for that reason alone, </w:t>
      </w:r>
      <w:r w:rsidRPr="00483D03">
        <w:t xml:space="preserve">prohibited under </w:t>
      </w:r>
      <w:r w:rsidR="000A10EA">
        <w:t>Article </w:t>
      </w:r>
      <w:r w:rsidRPr="00483D03">
        <w:t xml:space="preserve">3 of the </w:t>
      </w:r>
      <w:r w:rsidR="000A10EA">
        <w:t>SCM Agreement</w:t>
      </w:r>
      <w:r w:rsidRPr="00483D03">
        <w:t>.</w:t>
      </w:r>
      <w:r>
        <w:rPr>
          <w:rStyle w:val="FootnoteReference"/>
        </w:rPr>
        <w:footnoteReference w:id="234"/>
      </w:r>
      <w:r w:rsidRPr="00E40746">
        <w:t xml:space="preserve"> </w:t>
      </w:r>
      <w:r>
        <w:t>In particular, such subsidies can ordinarily be expected to increase the supply of the subsidized domestic goods in the relevant market, thereby increasing the use of these goods downstream and adversely affecting imports, without necessarily requiring the use of domestic over imported goods as a condition for granting the subsidy.</w:t>
      </w:r>
      <w:r>
        <w:rPr>
          <w:rStyle w:val="FootnoteReference"/>
        </w:rPr>
        <w:footnoteReference w:id="235"/>
      </w:r>
      <w:r>
        <w:t xml:space="preserve"> </w:t>
      </w:r>
    </w:p>
    <w:p w:rsidR="0007161B" w:rsidRPr="008A3467" w:rsidRDefault="0007161B" w:rsidP="00DC4FDF">
      <w:pPr>
        <w:pStyle w:val="BodyText"/>
      </w:pPr>
      <w:r>
        <w:t xml:space="preserve">With regard to the relevance of </w:t>
      </w:r>
      <w:r w:rsidR="000A10EA">
        <w:t>Article </w:t>
      </w:r>
      <w:r>
        <w:t xml:space="preserve">III:8(b) of the GATT 1994, we note that this provision </w:t>
      </w:r>
      <w:r w:rsidRPr="00483D03">
        <w:t xml:space="preserve">exempts from the national treatment obligation in </w:t>
      </w:r>
      <w:r w:rsidR="000A10EA">
        <w:t>Article </w:t>
      </w:r>
      <w:r w:rsidRPr="00651539">
        <w:t>III "the payment of subsidies exclusively to domestic producers"</w:t>
      </w:r>
      <w:r>
        <w:t>, and</w:t>
      </w:r>
      <w:r w:rsidRPr="00651539">
        <w:t xml:space="preserve"> </w:t>
      </w:r>
      <w:r>
        <w:t xml:space="preserve">thus </w:t>
      </w:r>
      <w:r w:rsidRPr="003E7F09">
        <w:t xml:space="preserve">makes clear that the provision of subsidies to domestic producers only, and not to foreign </w:t>
      </w:r>
      <w:r>
        <w:t>producers</w:t>
      </w:r>
      <w:r w:rsidRPr="003E7F09">
        <w:t xml:space="preserve">, does not in itself constitute </w:t>
      </w:r>
      <w:r>
        <w:t>a breach of</w:t>
      </w:r>
      <w:r w:rsidRPr="003E7F09">
        <w:t xml:space="preserve"> </w:t>
      </w:r>
      <w:r w:rsidR="000A10EA">
        <w:t>Article </w:t>
      </w:r>
      <w:r w:rsidRPr="003E7F09">
        <w:t>III.</w:t>
      </w:r>
      <w:r>
        <w:rPr>
          <w:rStyle w:val="FootnoteReference"/>
        </w:rPr>
        <w:footnoteReference w:id="236"/>
      </w:r>
      <w:r w:rsidRPr="003E7F09">
        <w:t xml:space="preserve"> </w:t>
      </w:r>
      <w:r>
        <w:t xml:space="preserve">The </w:t>
      </w:r>
      <w:r w:rsidR="000A10EA">
        <w:t>Appellate Body</w:t>
      </w:r>
      <w:r>
        <w:t xml:space="preserve"> in </w:t>
      </w:r>
      <w:r>
        <w:rPr>
          <w:i/>
        </w:rPr>
        <w:t xml:space="preserve">US – Tax Incentives </w:t>
      </w:r>
      <w:r>
        <w:t xml:space="preserve">observed that, while </w:t>
      </w:r>
      <w:r w:rsidR="000A10EA">
        <w:t>Article </w:t>
      </w:r>
      <w:r w:rsidRPr="00483D03">
        <w:t xml:space="preserve">III:8(b) </w:t>
      </w:r>
      <w:r>
        <w:t>of the GATT 1994 comports</w:t>
      </w:r>
      <w:r w:rsidRPr="00483D03">
        <w:t xml:space="preserve"> </w:t>
      </w:r>
      <w:r>
        <w:t>with a reading</w:t>
      </w:r>
      <w:r w:rsidRPr="00483D03">
        <w:t xml:space="preserve"> of </w:t>
      </w:r>
      <w:r w:rsidR="000A10EA">
        <w:t>Article </w:t>
      </w:r>
      <w:r w:rsidRPr="00483D03">
        <w:t>3.1(b)</w:t>
      </w:r>
      <w:r w:rsidRPr="000F6BB9">
        <w:t xml:space="preserve"> </w:t>
      </w:r>
      <w:r>
        <w:t xml:space="preserve">of the </w:t>
      </w:r>
      <w:r w:rsidR="000A10EA">
        <w:t>SCM Agreement</w:t>
      </w:r>
      <w:r>
        <w:t xml:space="preserve"> under which </w:t>
      </w:r>
      <w:r w:rsidRPr="007F1083">
        <w:t>something more than</w:t>
      </w:r>
      <w:r>
        <w:t xml:space="preserve"> mere </w:t>
      </w:r>
      <w:r w:rsidRPr="00483D03">
        <w:t>subsidization of domestic production</w:t>
      </w:r>
      <w:r>
        <w:t xml:space="preserve"> is required for finding an import substitution subsidy</w:t>
      </w:r>
      <w:r w:rsidRPr="00CE582F">
        <w:rPr>
          <w:snapToGrid w:val="0"/>
        </w:rPr>
        <w:t xml:space="preserve">, a subsidy exempt from the </w:t>
      </w:r>
      <w:r w:rsidR="000A10EA">
        <w:rPr>
          <w:snapToGrid w:val="0"/>
        </w:rPr>
        <w:t>Article </w:t>
      </w:r>
      <w:r>
        <w:rPr>
          <w:snapToGrid w:val="0"/>
        </w:rPr>
        <w:t>III </w:t>
      </w:r>
      <w:r w:rsidRPr="00CE582F">
        <w:rPr>
          <w:snapToGrid w:val="0"/>
        </w:rPr>
        <w:t>national treatment obligation by virtue of it being paid exclusively to domestic producers</w:t>
      </w:r>
      <w:r>
        <w:rPr>
          <w:snapToGrid w:val="0"/>
        </w:rPr>
        <w:t xml:space="preserve"> within the meaning of </w:t>
      </w:r>
      <w:r w:rsidR="000A10EA">
        <w:rPr>
          <w:snapToGrid w:val="0"/>
        </w:rPr>
        <w:t>Article </w:t>
      </w:r>
      <w:r>
        <w:rPr>
          <w:snapToGrid w:val="0"/>
        </w:rPr>
        <w:t xml:space="preserve">III:8(b) of the GATT 1994 </w:t>
      </w:r>
      <w:r w:rsidRPr="00CE582F">
        <w:rPr>
          <w:snapToGrid w:val="0"/>
        </w:rPr>
        <w:t xml:space="preserve">may still be found to be contingent upon the use by those producers </w:t>
      </w:r>
      <w:r>
        <w:rPr>
          <w:snapToGrid w:val="0"/>
        </w:rPr>
        <w:t xml:space="preserve">of domestic over imported goods under </w:t>
      </w:r>
      <w:r w:rsidR="000A10EA">
        <w:rPr>
          <w:snapToGrid w:val="0"/>
        </w:rPr>
        <w:t>Article </w:t>
      </w:r>
      <w:r>
        <w:rPr>
          <w:snapToGrid w:val="0"/>
        </w:rPr>
        <w:t xml:space="preserve">3.1(b) of the </w:t>
      </w:r>
      <w:r w:rsidR="000A10EA">
        <w:rPr>
          <w:snapToGrid w:val="0"/>
        </w:rPr>
        <w:t>SCM Agreement</w:t>
      </w:r>
      <w:r>
        <w:rPr>
          <w:snapToGrid w:val="0"/>
        </w:rPr>
        <w:t>.</w:t>
      </w:r>
      <w:r>
        <w:rPr>
          <w:rStyle w:val="FootnoteReference"/>
          <w:snapToGrid w:val="0"/>
        </w:rPr>
        <w:footnoteReference w:id="237"/>
      </w:r>
    </w:p>
    <w:p w:rsidR="0007161B" w:rsidRPr="009D3035" w:rsidRDefault="0007161B" w:rsidP="00DC4FDF">
      <w:pPr>
        <w:pStyle w:val="BodyText"/>
      </w:pPr>
      <w:r>
        <w:t>In light of the above, t</w:t>
      </w:r>
      <w:r w:rsidRPr="00483D03">
        <w:t xml:space="preserve">o the extent that </w:t>
      </w:r>
      <w:r>
        <w:t xml:space="preserve">no conditionality requiring the use of domestic over imported goods can be determined, but the effect of the subsidy is to </w:t>
      </w:r>
      <w:r w:rsidRPr="00A32F69">
        <w:t>displace or impede</w:t>
      </w:r>
      <w:r>
        <w:t>,</w:t>
      </w:r>
      <w:r w:rsidR="00B542A9">
        <w:t xml:space="preserve"> or </w:t>
      </w:r>
      <w:r>
        <w:t>otherwise cause adverse effects to imports, those</w:t>
      </w:r>
      <w:r w:rsidRPr="004B6D56">
        <w:t xml:space="preserve"> eff</w:t>
      </w:r>
      <w:r>
        <w:t xml:space="preserve">ects are disciplined under Part III of the </w:t>
      </w:r>
      <w:r w:rsidR="000A10EA">
        <w:t>SCM Agreement</w:t>
      </w:r>
      <w:r w:rsidRPr="004B6D56">
        <w:t xml:space="preserve">. </w:t>
      </w:r>
      <w:r>
        <w:t>In other words, t</w:t>
      </w:r>
      <w:r w:rsidRPr="00C25B07">
        <w:t xml:space="preserve">he </w:t>
      </w:r>
      <w:r>
        <w:t xml:space="preserve">relevant </w:t>
      </w:r>
      <w:r w:rsidRPr="00C25B07">
        <w:t xml:space="preserve">question </w:t>
      </w:r>
      <w:r>
        <w:t xml:space="preserve">in determining the existence of contingency under </w:t>
      </w:r>
      <w:r w:rsidR="000A10EA">
        <w:t>Article </w:t>
      </w:r>
      <w:r>
        <w:t xml:space="preserve">3.1(b) </w:t>
      </w:r>
      <w:r w:rsidRPr="00C25B07">
        <w:t xml:space="preserve">is not whether </w:t>
      </w:r>
      <w:r>
        <w:t xml:space="preserve">the eligibility </w:t>
      </w:r>
      <w:r w:rsidRPr="00C25B07">
        <w:t xml:space="preserve">requirements </w:t>
      </w:r>
      <w:r>
        <w:t xml:space="preserve">under a subsidy </w:t>
      </w:r>
      <w:r w:rsidRPr="00C25B07">
        <w:t xml:space="preserve">may </w:t>
      </w:r>
      <w:r w:rsidRPr="009D3035">
        <w:rPr>
          <w:i/>
        </w:rPr>
        <w:t>result</w:t>
      </w:r>
      <w:r w:rsidRPr="00C25B07">
        <w:t xml:space="preserve"> in </w:t>
      </w:r>
      <w:r>
        <w:t>the</w:t>
      </w:r>
      <w:r w:rsidRPr="00C25B07">
        <w:t xml:space="preserve"> use o</w:t>
      </w:r>
      <w:r>
        <w:t xml:space="preserve">f more domestic and fewer imported goods. Rather, the question is </w:t>
      </w:r>
      <w:r w:rsidRPr="00C25B07">
        <w:t xml:space="preserve">whether </w:t>
      </w:r>
      <w:r w:rsidRPr="009D3035">
        <w:rPr>
          <w:i/>
        </w:rPr>
        <w:t xml:space="preserve">a condition requiring </w:t>
      </w:r>
      <w:r w:rsidRPr="00480C00">
        <w:t>the use</w:t>
      </w:r>
      <w:r w:rsidRPr="00C25B07">
        <w:t xml:space="preserve"> </w:t>
      </w:r>
      <w:r>
        <w:t xml:space="preserve">of </w:t>
      </w:r>
      <w:r w:rsidRPr="00C25B07">
        <w:t>domestic over imported goods</w:t>
      </w:r>
      <w:r>
        <w:t xml:space="preserve"> </w:t>
      </w:r>
      <w:r w:rsidRPr="00431EA7">
        <w:t>can be discerned from the terms of the measure itself, or inferred from its design, structure, modalities of operation</w:t>
      </w:r>
      <w:r>
        <w:t>,</w:t>
      </w:r>
      <w:r w:rsidRPr="00431EA7">
        <w:t xml:space="preserve"> and</w:t>
      </w:r>
      <w:r>
        <w:t xml:space="preserve"> the</w:t>
      </w:r>
      <w:r w:rsidRPr="00431EA7">
        <w:t xml:space="preserve"> relevant factual circumstances </w:t>
      </w:r>
      <w:r>
        <w:t xml:space="preserve">constituting and </w:t>
      </w:r>
      <w:r w:rsidRPr="00431EA7">
        <w:t xml:space="preserve">surrounding the granting of the subsidy </w:t>
      </w:r>
      <w:r>
        <w:t>that</w:t>
      </w:r>
      <w:r w:rsidRPr="00431EA7">
        <w:t xml:space="preserve"> provid</w:t>
      </w:r>
      <w:r>
        <w:t>e</w:t>
      </w:r>
      <w:r w:rsidRPr="00431EA7">
        <w:t xml:space="preserve"> context for understanding </w:t>
      </w:r>
      <w:r>
        <w:t xml:space="preserve">the operation of </w:t>
      </w:r>
      <w:r w:rsidRPr="00431EA7">
        <w:t xml:space="preserve">these </w:t>
      </w:r>
      <w:r>
        <w:t>factors.</w:t>
      </w:r>
      <w:r>
        <w:rPr>
          <w:rStyle w:val="FootnoteReference"/>
        </w:rPr>
        <w:footnoteReference w:id="238"/>
      </w:r>
    </w:p>
    <w:p w:rsidR="0007161B" w:rsidRPr="00BC1427" w:rsidRDefault="0007161B" w:rsidP="00DC4FDF">
      <w:pPr>
        <w:pStyle w:val="Heading3"/>
        <w:rPr>
          <w:lang w:val="en-US"/>
        </w:rPr>
      </w:pPr>
      <w:bookmarkStart w:id="53" w:name="_Toc514059213"/>
      <w:r w:rsidRPr="00BC1427">
        <w:t xml:space="preserve">The </w:t>
      </w:r>
      <w:r w:rsidR="000A10EA">
        <w:t>United States</w:t>
      </w:r>
      <w:r w:rsidRPr="00BC1427">
        <w:t>' claim on appeal</w:t>
      </w:r>
      <w:bookmarkEnd w:id="53"/>
      <w:r w:rsidRPr="00BC1427">
        <w:t xml:space="preserve"> </w:t>
      </w:r>
    </w:p>
    <w:p w:rsidR="0007161B" w:rsidRPr="003E7F09" w:rsidRDefault="0007161B" w:rsidP="00DC4FDF">
      <w:pPr>
        <w:pStyle w:val="BodyText"/>
      </w:pPr>
      <w:r>
        <w:t>I</w:t>
      </w:r>
      <w:r w:rsidRPr="003E7F09">
        <w:t xml:space="preserve">n the interpretation section of its </w:t>
      </w:r>
      <w:r>
        <w:t>R</w:t>
      </w:r>
      <w:r w:rsidRPr="003E7F09">
        <w:t>eport</w:t>
      </w:r>
      <w:r>
        <w:t>,</w:t>
      </w:r>
      <w:r w:rsidRPr="003E7F09">
        <w:t xml:space="preserve"> the Panel </w:t>
      </w:r>
      <w:r>
        <w:t>summarized</w:t>
      </w:r>
      <w:r w:rsidRPr="003E7F09">
        <w:t xml:space="preserve"> the jurisprudence of </w:t>
      </w:r>
      <w:r>
        <w:t xml:space="preserve">the </w:t>
      </w:r>
      <w:r w:rsidR="000A10EA">
        <w:t>Appellate Body</w:t>
      </w:r>
      <w:r w:rsidRPr="003E7F09">
        <w:t xml:space="preserve"> under </w:t>
      </w:r>
      <w:r w:rsidR="000A10EA">
        <w:t>Article </w:t>
      </w:r>
      <w:r>
        <w:t xml:space="preserve">3.1(b) of the </w:t>
      </w:r>
      <w:r w:rsidR="000A10EA">
        <w:t>SCM Agreement</w:t>
      </w:r>
      <w:r w:rsidRPr="003E7F09">
        <w:t>.</w:t>
      </w:r>
      <w:r w:rsidRPr="003E7F09">
        <w:rPr>
          <w:rStyle w:val="FootnoteReference"/>
        </w:rPr>
        <w:footnoteReference w:id="239"/>
      </w:r>
      <w:r w:rsidRPr="003E7F09">
        <w:t xml:space="preserve"> </w:t>
      </w:r>
      <w:r>
        <w:t>In particular, t</w:t>
      </w:r>
      <w:r w:rsidRPr="003E7F09">
        <w:t xml:space="preserve">he Panel noted the </w:t>
      </w:r>
      <w:r w:rsidR="000A10EA">
        <w:t>Appellate Body</w:t>
      </w:r>
      <w:r w:rsidRPr="003E7F09">
        <w:t>'s findings that "</w:t>
      </w:r>
      <w:r w:rsidR="000A10EA">
        <w:t>Article </w:t>
      </w:r>
      <w:r w:rsidRPr="003E7F09">
        <w:t xml:space="preserve">3.1(b)'s scope covers both </w:t>
      </w:r>
      <w:r w:rsidRPr="00961E34">
        <w:rPr>
          <w:i/>
        </w:rPr>
        <w:t>de jure</w:t>
      </w:r>
      <w:r w:rsidRPr="003E7F09">
        <w:rPr>
          <w:i/>
        </w:rPr>
        <w:t xml:space="preserve"> </w:t>
      </w:r>
      <w:r w:rsidRPr="003E7F09">
        <w:t xml:space="preserve">and </w:t>
      </w:r>
      <w:r w:rsidRPr="003E7F09">
        <w:rPr>
          <w:i/>
        </w:rPr>
        <w:t>de facto</w:t>
      </w:r>
      <w:r w:rsidRPr="003E7F09">
        <w:t xml:space="preserve"> contingency"</w:t>
      </w:r>
      <w:r>
        <w:rPr>
          <w:rStyle w:val="FootnoteReference"/>
        </w:rPr>
        <w:footnoteReference w:id="240"/>
      </w:r>
      <w:r w:rsidRPr="003E7F09">
        <w:t xml:space="preserve"> and "an evaluation of </w:t>
      </w:r>
      <w:r w:rsidRPr="003E7F09">
        <w:rPr>
          <w:i/>
        </w:rPr>
        <w:t>de facto</w:t>
      </w:r>
      <w:r w:rsidRPr="003E7F09">
        <w:t xml:space="preserve"> contingency under </w:t>
      </w:r>
      <w:r w:rsidR="000A10EA">
        <w:t>Article </w:t>
      </w:r>
      <w:r w:rsidRPr="003E7F09">
        <w:t>3.1(b) should be objectively assessed with respect to the total configuration of facts constituting and surround</w:t>
      </w:r>
      <w:r>
        <w:t>ing the granting of the subsidy</w:t>
      </w:r>
      <w:r w:rsidRPr="003E7F09">
        <w:t>"</w:t>
      </w:r>
      <w:r>
        <w:t>.</w:t>
      </w:r>
      <w:r w:rsidRPr="003E7F09">
        <w:rPr>
          <w:rStyle w:val="FootnoteReference"/>
        </w:rPr>
        <w:footnoteReference w:id="241"/>
      </w:r>
      <w:r w:rsidRPr="003E7F09">
        <w:t xml:space="preserve"> </w:t>
      </w:r>
      <w:r>
        <w:t>T</w:t>
      </w:r>
      <w:r w:rsidRPr="003E7F09">
        <w:t xml:space="preserve">he Panel further developed its </w:t>
      </w:r>
      <w:r>
        <w:t>understanding of</w:t>
      </w:r>
      <w:r w:rsidRPr="003E7F09">
        <w:t xml:space="preserve"> </w:t>
      </w:r>
      <w:r w:rsidR="000A10EA">
        <w:t>Article </w:t>
      </w:r>
      <w:r w:rsidRPr="003E7F09">
        <w:t xml:space="preserve">3.1(b) </w:t>
      </w:r>
      <w:r>
        <w:t>in</w:t>
      </w:r>
      <w:r w:rsidRPr="003E7F09">
        <w:t xml:space="preserve"> applying </w:t>
      </w:r>
      <w:r>
        <w:t>this</w:t>
      </w:r>
      <w:r w:rsidRPr="003E7F09">
        <w:t xml:space="preserve"> legal standard to the measures at issue</w:t>
      </w:r>
      <w:r>
        <w:t xml:space="preserve"> in this dispute</w:t>
      </w:r>
      <w:r w:rsidRPr="003E7F09">
        <w:t>.</w:t>
      </w:r>
      <w:r>
        <w:rPr>
          <w:rStyle w:val="FootnoteReference"/>
        </w:rPr>
        <w:footnoteReference w:id="242"/>
      </w:r>
      <w:r w:rsidRPr="003E7F09">
        <w:t xml:space="preserve"> </w:t>
      </w:r>
      <w:r>
        <w:t xml:space="preserve">We proceed by reviewing the Panel's interpretation in light of our own understanding of the proper interpretation of </w:t>
      </w:r>
      <w:r w:rsidR="000A10EA">
        <w:t>Article </w:t>
      </w:r>
      <w:r>
        <w:t>3.1(b) as set out above.</w:t>
      </w:r>
    </w:p>
    <w:p w:rsidR="0007161B" w:rsidRDefault="0007161B" w:rsidP="00DC4FDF">
      <w:pPr>
        <w:pStyle w:val="BodyText"/>
      </w:pPr>
      <w:r>
        <w:rPr>
          <w:szCs w:val="18"/>
        </w:rPr>
        <w:lastRenderedPageBreak/>
        <w:t xml:space="preserve">As the </w:t>
      </w:r>
      <w:r w:rsidR="000A10EA">
        <w:rPr>
          <w:szCs w:val="18"/>
        </w:rPr>
        <w:t>Appellate Body</w:t>
      </w:r>
      <w:r>
        <w:rPr>
          <w:szCs w:val="18"/>
        </w:rPr>
        <w:t xml:space="preserve"> noted in </w:t>
      </w:r>
      <w:r>
        <w:rPr>
          <w:i/>
          <w:szCs w:val="18"/>
        </w:rPr>
        <w:t>US – Tax Incentives</w:t>
      </w:r>
      <w:r>
        <w:rPr>
          <w:szCs w:val="18"/>
        </w:rPr>
        <w:t xml:space="preserve">, </w:t>
      </w:r>
      <w:r>
        <w:t>both import substitution subsidies and other subsidies that relate to</w:t>
      </w:r>
      <w:r w:rsidRPr="00A26968">
        <w:t xml:space="preserve"> </w:t>
      </w:r>
      <w:r>
        <w:t xml:space="preserve">domestic </w:t>
      </w:r>
      <w:r w:rsidRPr="00A26968">
        <w:t xml:space="preserve">production </w:t>
      </w:r>
      <w:r>
        <w:t xml:space="preserve">may have detrimental effects in respect of imported goods. Subsidies contingent upon import substitution, by their nature, adversely affect competitive conditions of imported goods. Yet, also </w:t>
      </w:r>
      <w:r w:rsidRPr="00483D03">
        <w:t>subsidies</w:t>
      </w:r>
      <w:r>
        <w:t xml:space="preserve"> that relate to the production of certain goods in a Member's domestic territory can ordinarily be expected to increase the supply of the subsidized goods in the relevant market, which would have the consequence of increasing </w:t>
      </w:r>
      <w:r w:rsidRPr="00483D03">
        <w:t xml:space="preserve">the use of subsidized domestic goods </w:t>
      </w:r>
      <w:r>
        <w:t xml:space="preserve">downstream </w:t>
      </w:r>
      <w:r w:rsidRPr="00483D03">
        <w:t xml:space="preserve">and </w:t>
      </w:r>
      <w:r>
        <w:t xml:space="preserve">adversely affecting </w:t>
      </w:r>
      <w:r w:rsidRPr="00483D03">
        <w:t>import</w:t>
      </w:r>
      <w:r>
        <w:t>s.</w:t>
      </w:r>
      <w:r w:rsidRPr="00483D03">
        <w:t xml:space="preserve"> </w:t>
      </w:r>
      <w:r>
        <w:t xml:space="preserve">In the specific case of </w:t>
      </w:r>
      <w:r w:rsidRPr="00483D03">
        <w:t>subsidies</w:t>
      </w:r>
      <w:r>
        <w:t xml:space="preserve"> </w:t>
      </w:r>
      <w:r w:rsidRPr="00483D03">
        <w:t xml:space="preserve">granted for the production of both </w:t>
      </w:r>
      <w:r>
        <w:t>an input</w:t>
      </w:r>
      <w:r w:rsidRPr="00483D03">
        <w:t xml:space="preserve"> and </w:t>
      </w:r>
      <w:r>
        <w:t xml:space="preserve">a </w:t>
      </w:r>
      <w:r w:rsidRPr="00483D03">
        <w:t>final good</w:t>
      </w:r>
      <w:r>
        <w:t xml:space="preserve">, subsidy recipients would likely both </w:t>
      </w:r>
      <w:r w:rsidRPr="00483D03">
        <w:t xml:space="preserve">"produce" and "use" the subsidized </w:t>
      </w:r>
      <w:r>
        <w:t>inputs</w:t>
      </w:r>
      <w:r w:rsidRPr="00483D03">
        <w:t xml:space="preserve"> in the production </w:t>
      </w:r>
      <w:r>
        <w:t>of the subsidized final good.</w:t>
      </w:r>
      <w:r w:rsidRPr="00861A6E">
        <w:t xml:space="preserve"> </w:t>
      </w:r>
      <w:r>
        <w:t>Such subsidies would have consequences for the subsidized producers' input-sourcing decisions to the extent that, h</w:t>
      </w:r>
      <w:r w:rsidRPr="00483D03">
        <w:t xml:space="preserve">aving been required to produce </w:t>
      </w:r>
      <w:r>
        <w:t xml:space="preserve">an </w:t>
      </w:r>
      <w:r w:rsidRPr="00483D03">
        <w:t>input domestically</w:t>
      </w:r>
      <w:r>
        <w:t xml:space="preserve">, and </w:t>
      </w:r>
      <w:r w:rsidRPr="00483D03">
        <w:t xml:space="preserve">for reasons of production costs and efficiency, </w:t>
      </w:r>
      <w:r>
        <w:t>they</w:t>
      </w:r>
      <w:r w:rsidRPr="00483D03">
        <w:t xml:space="preserve"> would </w:t>
      </w:r>
      <w:r>
        <w:t>likely</w:t>
      </w:r>
      <w:r w:rsidRPr="00483D03">
        <w:t xml:space="preserve"> use at least some of these inputs in their downstream production activities.</w:t>
      </w:r>
      <w:r>
        <w:t xml:space="preserve"> This is even more so in instances where the subsidized input is specialized in nature or where vertical integration between the upstream and downstream stages of the production chain exists.</w:t>
      </w:r>
      <w:r w:rsidRPr="00483D03">
        <w:t xml:space="preserve"> </w:t>
      </w:r>
      <w:r>
        <w:t>However</w:t>
      </w:r>
      <w:r w:rsidRPr="00483D03">
        <w:t xml:space="preserve">, </w:t>
      </w:r>
      <w:r>
        <w:t>while such subsidies may</w:t>
      </w:r>
      <w:r w:rsidRPr="00483D03">
        <w:t xml:space="preserve"> foster the use of subsidized domestic goods and result in displacement in respect of imported goods, </w:t>
      </w:r>
      <w:r w:rsidR="00B542A9">
        <w:t>such effects do not, in </w:t>
      </w:r>
      <w:r>
        <w:t xml:space="preserve">and of themselves, demonstrate the existence of a requirement to </w:t>
      </w:r>
      <w:r w:rsidRPr="00483D03">
        <w:t xml:space="preserve">use </w:t>
      </w:r>
      <w:r>
        <w:t>domestic over imported</w:t>
      </w:r>
      <w:r w:rsidRPr="00483D03">
        <w:t xml:space="preserve"> goods</w:t>
      </w:r>
      <w:r>
        <w:t>.</w:t>
      </w:r>
      <w:r>
        <w:rPr>
          <w:rStyle w:val="FootnoteReference"/>
        </w:rPr>
        <w:footnoteReference w:id="243"/>
      </w:r>
      <w:r>
        <w:t xml:space="preserve"> As observed, t</w:t>
      </w:r>
      <w:r w:rsidRPr="00C25B07">
        <w:t xml:space="preserve">he </w:t>
      </w:r>
      <w:r>
        <w:t xml:space="preserve">relevant </w:t>
      </w:r>
      <w:r w:rsidRPr="00C25B07">
        <w:t xml:space="preserve">question </w:t>
      </w:r>
      <w:r>
        <w:t xml:space="preserve">in determining the existence of contingency under </w:t>
      </w:r>
      <w:r w:rsidR="000A10EA">
        <w:t>Article </w:t>
      </w:r>
      <w:r>
        <w:t xml:space="preserve">3.1(b) </w:t>
      </w:r>
      <w:r w:rsidRPr="00C25B07">
        <w:t xml:space="preserve">is not whether </w:t>
      </w:r>
      <w:r>
        <w:t>conditions for eligibility</w:t>
      </w:r>
      <w:r w:rsidRPr="00C25B07">
        <w:t xml:space="preserve"> </w:t>
      </w:r>
      <w:r>
        <w:t>and access to the subsidy</w:t>
      </w:r>
      <w:r w:rsidRPr="00C25B07">
        <w:t xml:space="preserve"> may </w:t>
      </w:r>
      <w:r w:rsidRPr="001A013E">
        <w:rPr>
          <w:i/>
        </w:rPr>
        <w:t>result</w:t>
      </w:r>
      <w:r w:rsidRPr="00C25B07">
        <w:t xml:space="preserve"> in </w:t>
      </w:r>
      <w:r>
        <w:t>the</w:t>
      </w:r>
      <w:r w:rsidRPr="00C25B07">
        <w:t xml:space="preserve"> use o</w:t>
      </w:r>
      <w:r>
        <w:t xml:space="preserve">f more domestic and fewer imported goods, but </w:t>
      </w:r>
      <w:r w:rsidRPr="00C25B07">
        <w:t xml:space="preserve">whether </w:t>
      </w:r>
      <w:r>
        <w:t>the</w:t>
      </w:r>
      <w:r w:rsidRPr="00C25B07">
        <w:t xml:space="preserve"> </w:t>
      </w:r>
      <w:r>
        <w:t xml:space="preserve">measure </w:t>
      </w:r>
      <w:r w:rsidRPr="00C25B07">
        <w:t xml:space="preserve">reflects </w:t>
      </w:r>
      <w:r w:rsidRPr="001A013E">
        <w:rPr>
          <w:i/>
        </w:rPr>
        <w:t xml:space="preserve">a condition requiring </w:t>
      </w:r>
      <w:r w:rsidRPr="00480C00">
        <w:t>the use</w:t>
      </w:r>
      <w:r w:rsidRPr="00C25B07">
        <w:t xml:space="preserve"> </w:t>
      </w:r>
      <w:r>
        <w:t xml:space="preserve">of </w:t>
      </w:r>
      <w:r w:rsidRPr="00C25B07">
        <w:t>domestic over imported goods.</w:t>
      </w:r>
      <w:r>
        <w:rPr>
          <w:rStyle w:val="FootnoteReference"/>
        </w:rPr>
        <w:footnoteReference w:id="244"/>
      </w:r>
      <w:r>
        <w:t xml:space="preserve"> </w:t>
      </w:r>
    </w:p>
    <w:p w:rsidR="0007161B" w:rsidRPr="002D0DFD" w:rsidRDefault="0007161B" w:rsidP="00DC4FDF">
      <w:pPr>
        <w:pStyle w:val="BodyText"/>
      </w:pPr>
      <w:r w:rsidRPr="002D0DFD">
        <w:t>At the same time, we recall that whether a subsidy is contingent upon the use of domestic over imported goods has to be established on the basis of the total configuration of the facts constituting and surrounding the granting of the subsidy.</w:t>
      </w:r>
      <w:r w:rsidRPr="002D0DFD">
        <w:rPr>
          <w:rStyle w:val="FootnoteReference"/>
        </w:rPr>
        <w:footnoteReference w:id="245"/>
      </w:r>
      <w:r w:rsidRPr="002D0DFD">
        <w:t xml:space="preserve"> In particular, </w:t>
      </w:r>
      <w:r w:rsidRPr="003F21B8">
        <w:rPr>
          <w:lang w:val="en-US"/>
        </w:rPr>
        <w:t xml:space="preserve">in discerning whether or not a </w:t>
      </w:r>
      <w:r w:rsidRPr="003F21B8">
        <w:rPr>
          <w:i/>
          <w:lang w:val="en-US"/>
        </w:rPr>
        <w:t>de facto</w:t>
      </w:r>
      <w:r w:rsidRPr="003F21B8">
        <w:rPr>
          <w:lang w:val="en-US"/>
        </w:rPr>
        <w:t xml:space="preserve"> contingency exists, relevant</w:t>
      </w:r>
      <w:r w:rsidRPr="002D0DFD">
        <w:t xml:space="preserve"> factual circumstances may form part of the context for understanding the measure's design, structure, and modalities of operation in a particular market. The </w:t>
      </w:r>
      <w:r w:rsidR="000A10EA">
        <w:rPr>
          <w:szCs w:val="18"/>
        </w:rPr>
        <w:t>Appellate Body</w:t>
      </w:r>
      <w:r w:rsidRPr="003F21B8">
        <w:rPr>
          <w:szCs w:val="18"/>
        </w:rPr>
        <w:t xml:space="preserve"> in </w:t>
      </w:r>
      <w:r w:rsidRPr="003F21B8">
        <w:rPr>
          <w:i/>
          <w:szCs w:val="18"/>
        </w:rPr>
        <w:t>US – Tax Incentives</w:t>
      </w:r>
      <w:r w:rsidRPr="002D0DFD">
        <w:t xml:space="preserve"> noted in this regard that the design and structure of a measure granting a subsidy </w:t>
      </w:r>
      <w:r>
        <w:t>may</w:t>
      </w:r>
      <w:r w:rsidRPr="002D0DFD">
        <w:t xml:space="preserve"> be adapted to factual circumstances </w:t>
      </w:r>
      <w:r>
        <w:t xml:space="preserve">– </w:t>
      </w:r>
      <w:r w:rsidRPr="002D0DFD">
        <w:t>such as</w:t>
      </w:r>
      <w:r>
        <w:t xml:space="preserve"> </w:t>
      </w:r>
      <w:r w:rsidRPr="002D0DFD">
        <w:t>a</w:t>
      </w:r>
      <w:r>
        <w:t xml:space="preserve"> multi-stage production process</w:t>
      </w:r>
      <w:r w:rsidRPr="002D0DFD">
        <w:t xml:space="preserve"> where specialized inputs and final goods are subsidized, or where the production chain is vertically integrated. The modalities of a measure so designed or structured may then operate such that conditions for eligibility or access to the subsidy may entail a condition requiring the use of domestic over imported goods.</w:t>
      </w:r>
      <w:r>
        <w:rPr>
          <w:rStyle w:val="FootnoteReference"/>
        </w:rPr>
        <w:footnoteReference w:id="246"/>
      </w:r>
      <w:r w:rsidRPr="002D0DFD">
        <w:t xml:space="preserve"> </w:t>
      </w:r>
      <w:r>
        <w:t>Ultimately</w:t>
      </w:r>
      <w:r w:rsidRPr="002D0DFD">
        <w:t>, whether a subsidy is simply conditional upon the domestic production of</w:t>
      </w:r>
      <w:r>
        <w:t xml:space="preserve"> certain goods, or upon the use</w:t>
      </w:r>
      <w:r w:rsidRPr="002D0DFD">
        <w:t xml:space="preserve"> by the subsidy recipient of domestic over imported goods</w:t>
      </w:r>
      <w:r>
        <w:t>,</w:t>
      </w:r>
      <w:r w:rsidRPr="002D0DFD">
        <w:t xml:space="preserve"> should be assessed on a case-by-case basis.</w:t>
      </w:r>
      <w:r w:rsidRPr="002D0DFD">
        <w:rPr>
          <w:rStyle w:val="FootnoteReference"/>
        </w:rPr>
        <w:footnoteReference w:id="247"/>
      </w:r>
      <w:r w:rsidR="00B542A9">
        <w:t xml:space="preserve"> We </w:t>
      </w:r>
      <w:r>
        <w:t xml:space="preserve">consider these observations made </w:t>
      </w:r>
      <w:r w:rsidRPr="003F21B8">
        <w:rPr>
          <w:szCs w:val="18"/>
        </w:rPr>
        <w:t xml:space="preserve">in </w:t>
      </w:r>
      <w:r w:rsidRPr="003F21B8">
        <w:rPr>
          <w:i/>
          <w:szCs w:val="18"/>
        </w:rPr>
        <w:t>US – Tax Incentives</w:t>
      </w:r>
      <w:r w:rsidRPr="002D0DFD">
        <w:t xml:space="preserve"> </w:t>
      </w:r>
      <w:r>
        <w:t xml:space="preserve">also useful for our review of the Panel's analysis under </w:t>
      </w:r>
      <w:r w:rsidR="000A10EA">
        <w:t>Article </w:t>
      </w:r>
      <w:r>
        <w:t xml:space="preserve">3.1(b) in this appeal. </w:t>
      </w:r>
    </w:p>
    <w:p w:rsidR="0007161B" w:rsidRDefault="0007161B" w:rsidP="00DC4FDF">
      <w:pPr>
        <w:pStyle w:val="BodyText"/>
      </w:pPr>
      <w:r>
        <w:t xml:space="preserve">In the present case, the Panel began its analysis by addressing the </w:t>
      </w:r>
      <w:r w:rsidR="000A10EA">
        <w:t>European Union</w:t>
      </w:r>
      <w:r>
        <w:t xml:space="preserve">'s assertion that "a proper understanding of </w:t>
      </w:r>
      <w:r w:rsidR="000A10EA">
        <w:t>Article </w:t>
      </w:r>
      <w:r>
        <w:t xml:space="preserve">3.1(b)'s disciplines should be formulated in light of an examination of </w:t>
      </w:r>
      <w:r w:rsidR="000A10EA">
        <w:t>Article </w:t>
      </w:r>
      <w:r>
        <w:t xml:space="preserve">III and, more specifically, </w:t>
      </w:r>
      <w:r w:rsidR="000A10EA">
        <w:t>Article </w:t>
      </w:r>
      <w:r>
        <w:t>III:8(b) of the GATT 1994."</w:t>
      </w:r>
      <w:r>
        <w:rPr>
          <w:rStyle w:val="FootnoteReference"/>
        </w:rPr>
        <w:footnoteReference w:id="248"/>
      </w:r>
      <w:r>
        <w:t xml:space="preserve"> T</w:t>
      </w:r>
      <w:r w:rsidR="00734335">
        <w:t>he </w:t>
      </w:r>
      <w:r w:rsidRPr="003E7F09">
        <w:t xml:space="preserve">Panel </w:t>
      </w:r>
      <w:r>
        <w:t xml:space="preserve">found </w:t>
      </w:r>
      <w:r w:rsidR="000A10EA">
        <w:t>Article </w:t>
      </w:r>
      <w:r w:rsidRPr="003E7F09">
        <w:t xml:space="preserve">III:8(b) </w:t>
      </w:r>
      <w:r>
        <w:t xml:space="preserve">to </w:t>
      </w:r>
      <w:r w:rsidRPr="003E7F09">
        <w:t>confirm</w:t>
      </w:r>
      <w:r>
        <w:t xml:space="preserve"> </w:t>
      </w:r>
      <w:r w:rsidRPr="00A52DC5">
        <w:t xml:space="preserve">that, </w:t>
      </w:r>
      <w:r w:rsidRPr="003E7F09">
        <w:t>"</w:t>
      </w:r>
      <w:r w:rsidRPr="00A52DC5">
        <w:t>without more, the</w:t>
      </w:r>
      <w:r w:rsidRPr="003E7F09">
        <w:t xml:space="preserve"> mere payment of subsidies to firms so long as they engage in domestic production activities should not be interpreted as imparting to such subsidies a discriminatory element as among domestic and foreign goods in a manner that </w:t>
      </w:r>
      <w:r w:rsidR="000A10EA">
        <w:t>Article </w:t>
      </w:r>
      <w:r w:rsidRPr="003E7F09">
        <w:t>III may discipline</w:t>
      </w:r>
      <w:r>
        <w:t>.</w:t>
      </w:r>
      <w:r w:rsidRPr="003E7F09">
        <w:t>"</w:t>
      </w:r>
      <w:r>
        <w:rPr>
          <w:rStyle w:val="FootnoteReference"/>
        </w:rPr>
        <w:footnoteReference w:id="249"/>
      </w:r>
      <w:r w:rsidRPr="003E7F09">
        <w:t xml:space="preserve"> </w:t>
      </w:r>
      <w:r>
        <w:t>T</w:t>
      </w:r>
      <w:r w:rsidRPr="003E7F09">
        <w:t xml:space="preserve">he Panel </w:t>
      </w:r>
      <w:r>
        <w:t>considered this to suggest that</w:t>
      </w:r>
      <w:r w:rsidRPr="003E7F09">
        <w:t xml:space="preserve"> "the act of granting subsidies to firms so long as they engage in domestic production activities, without more, should not be equated to making those subsidies contingent on the use of domestic over imported goods and hence prohibited</w:t>
      </w:r>
      <w:r>
        <w:t>."</w:t>
      </w:r>
      <w:r w:rsidRPr="003E7F09">
        <w:rPr>
          <w:rStyle w:val="FootnoteReference"/>
        </w:rPr>
        <w:footnoteReference w:id="250"/>
      </w:r>
      <w:r>
        <w:t xml:space="preserve"> </w:t>
      </w:r>
    </w:p>
    <w:p w:rsidR="0007161B" w:rsidRPr="003F37C0" w:rsidRDefault="0007161B" w:rsidP="00DC4FDF">
      <w:pPr>
        <w:pStyle w:val="BodyText"/>
      </w:pPr>
      <w:r>
        <w:t>As observed above,</w:t>
      </w:r>
      <w:r w:rsidRPr="003F37C0">
        <w:rPr>
          <w:szCs w:val="18"/>
        </w:rPr>
        <w:t xml:space="preserve"> </w:t>
      </w:r>
      <w:r w:rsidR="000A10EA">
        <w:rPr>
          <w:szCs w:val="18"/>
        </w:rPr>
        <w:t>Article </w:t>
      </w:r>
      <w:r w:rsidRPr="003F37C0">
        <w:rPr>
          <w:szCs w:val="18"/>
        </w:rPr>
        <w:t xml:space="preserve">III:8(b) of the GATT 1994 </w:t>
      </w:r>
      <w:r>
        <w:t>comports with</w:t>
      </w:r>
      <w:r w:rsidRPr="00483D03">
        <w:t xml:space="preserve"> a </w:t>
      </w:r>
      <w:r>
        <w:t>reading</w:t>
      </w:r>
      <w:r w:rsidRPr="00483D03">
        <w:t xml:space="preserve"> of </w:t>
      </w:r>
      <w:r w:rsidR="000A10EA">
        <w:t>Article </w:t>
      </w:r>
      <w:r w:rsidRPr="00483D03">
        <w:t xml:space="preserve">3.1(b) </w:t>
      </w:r>
      <w:r>
        <w:t xml:space="preserve">of the </w:t>
      </w:r>
      <w:r w:rsidR="000A10EA">
        <w:t>SCM Agreement</w:t>
      </w:r>
      <w:r>
        <w:t xml:space="preserve"> under which something more than mere </w:t>
      </w:r>
      <w:r w:rsidRPr="00483D03">
        <w:t>subsidization of domestic production</w:t>
      </w:r>
      <w:r>
        <w:t xml:space="preserve"> is required for finding the existence of an import substitution subsidy. </w:t>
      </w:r>
      <w:r w:rsidRPr="002D0DFD">
        <w:rPr>
          <w:snapToGrid w:val="0"/>
        </w:rPr>
        <w:t xml:space="preserve">That </w:t>
      </w:r>
      <w:r w:rsidRPr="002D0DFD">
        <w:rPr>
          <w:snapToGrid w:val="0"/>
        </w:rPr>
        <w:lastRenderedPageBreak/>
        <w:t xml:space="preserve">said, </w:t>
      </w:r>
      <w:r>
        <w:rPr>
          <w:snapToGrid w:val="0"/>
        </w:rPr>
        <w:t>a subsidy exempt</w:t>
      </w:r>
      <w:r w:rsidRPr="00CE582F">
        <w:rPr>
          <w:snapToGrid w:val="0"/>
        </w:rPr>
        <w:t xml:space="preserve"> from the </w:t>
      </w:r>
      <w:r w:rsidR="000A10EA">
        <w:rPr>
          <w:snapToGrid w:val="0"/>
        </w:rPr>
        <w:t>Article </w:t>
      </w:r>
      <w:r>
        <w:rPr>
          <w:snapToGrid w:val="0"/>
        </w:rPr>
        <w:t>III </w:t>
      </w:r>
      <w:r w:rsidRPr="00CE582F">
        <w:rPr>
          <w:snapToGrid w:val="0"/>
        </w:rPr>
        <w:t>national treatment obligation by virtue of it being paid exclusively to domestic producers</w:t>
      </w:r>
      <w:r>
        <w:rPr>
          <w:snapToGrid w:val="0"/>
        </w:rPr>
        <w:t xml:space="preserve"> within the meaning of </w:t>
      </w:r>
      <w:r w:rsidR="000A10EA">
        <w:rPr>
          <w:snapToGrid w:val="0"/>
        </w:rPr>
        <w:t>Article </w:t>
      </w:r>
      <w:r>
        <w:rPr>
          <w:snapToGrid w:val="0"/>
        </w:rPr>
        <w:t xml:space="preserve">III:8(b) of the GATT 1994 </w:t>
      </w:r>
      <w:r w:rsidRPr="00CE582F">
        <w:rPr>
          <w:snapToGrid w:val="0"/>
        </w:rPr>
        <w:t xml:space="preserve">may still be found to be contingent upon the use by those producers </w:t>
      </w:r>
      <w:r>
        <w:rPr>
          <w:snapToGrid w:val="0"/>
        </w:rPr>
        <w:t xml:space="preserve">of domestic over imported goods under </w:t>
      </w:r>
      <w:r w:rsidR="000A10EA">
        <w:rPr>
          <w:snapToGrid w:val="0"/>
        </w:rPr>
        <w:t>Article </w:t>
      </w:r>
      <w:r>
        <w:rPr>
          <w:snapToGrid w:val="0"/>
        </w:rPr>
        <w:t xml:space="preserve">3.1(b) of the </w:t>
      </w:r>
      <w:r w:rsidR="000A10EA">
        <w:rPr>
          <w:snapToGrid w:val="0"/>
        </w:rPr>
        <w:t>SCM Agreement</w:t>
      </w:r>
      <w:r>
        <w:rPr>
          <w:snapToGrid w:val="0"/>
        </w:rPr>
        <w:t>.</w:t>
      </w:r>
      <w:r>
        <w:rPr>
          <w:rStyle w:val="FootnoteReference"/>
          <w:snapToGrid w:val="0"/>
        </w:rPr>
        <w:footnoteReference w:id="251"/>
      </w:r>
      <w:r w:rsidRPr="002D0DFD">
        <w:rPr>
          <w:snapToGrid w:val="0"/>
        </w:rPr>
        <w:t xml:space="preserve"> Thus, we do not disagree with the Panel's statement that </w:t>
      </w:r>
      <w:r w:rsidRPr="003E7F09">
        <w:t>"the act of granting subsidies to firms so long as they engage in domestic production activities, without more, should not be equated to making those subsidies contingent on the use of domestic over imported goods and hence prohibited</w:t>
      </w:r>
      <w:r>
        <w:t>.</w:t>
      </w:r>
      <w:r w:rsidRPr="003E7F09">
        <w:t>"</w:t>
      </w:r>
      <w:r>
        <w:rPr>
          <w:rStyle w:val="FootnoteReference"/>
        </w:rPr>
        <w:footnoteReference w:id="252"/>
      </w:r>
      <w:r>
        <w:t xml:space="preserve"> However, we do not see that this statement addresses the specific question of the circumstances under which domestic production subsidies may be found to be contingent upon the use of domestic over imported goods.</w:t>
      </w:r>
    </w:p>
    <w:p w:rsidR="0007161B" w:rsidRDefault="0007161B" w:rsidP="00DC4FDF">
      <w:pPr>
        <w:pStyle w:val="BodyText"/>
      </w:pPr>
      <w:r>
        <w:t>T</w:t>
      </w:r>
      <w:r w:rsidRPr="003E7F09">
        <w:t xml:space="preserve">he Panel </w:t>
      </w:r>
      <w:r>
        <w:t xml:space="preserve">then </w:t>
      </w:r>
      <w:r w:rsidRPr="003E7F09">
        <w:t xml:space="preserve">distinguished subsidies found to be prohibited under </w:t>
      </w:r>
      <w:r w:rsidR="000A10EA">
        <w:t>Article </w:t>
      </w:r>
      <w:r w:rsidRPr="003E7F09">
        <w:t>3.1(b)</w:t>
      </w:r>
      <w:r>
        <w:t xml:space="preserve"> in previous cases from those </w:t>
      </w:r>
      <w:r w:rsidRPr="003E7F09">
        <w:t>domestic subsidies</w:t>
      </w:r>
      <w:r>
        <w:t xml:space="preserve"> requiring the production of certain goods on</w:t>
      </w:r>
      <w:r w:rsidRPr="00091F29">
        <w:t xml:space="preserve"> </w:t>
      </w:r>
      <w:r>
        <w:t>domestic territory</w:t>
      </w:r>
      <w:r w:rsidRPr="003E7F09">
        <w:t>.</w:t>
      </w:r>
      <w:r>
        <w:rPr>
          <w:rStyle w:val="FootnoteReference"/>
        </w:rPr>
        <w:footnoteReference w:id="253"/>
      </w:r>
      <w:r w:rsidRPr="003E7F09">
        <w:t xml:space="preserve"> </w:t>
      </w:r>
      <w:r>
        <w:t>In particular</w:t>
      </w:r>
      <w:r w:rsidRPr="003E7F09">
        <w:t>, the Panel observed that</w:t>
      </w:r>
      <w:r>
        <w:t xml:space="preserve"> </w:t>
      </w:r>
      <w:r w:rsidRPr="003E7F09">
        <w:t xml:space="preserve">prohibited import substitution subsidies would be those that "contain{} elements requiring firms to use certain amounts of domestic goods </w:t>
      </w:r>
      <w:r w:rsidRPr="00B14A7D">
        <w:t xml:space="preserve">as production inputs, i.e. to </w:t>
      </w:r>
      <w:r w:rsidRPr="00B14A7D">
        <w:rPr>
          <w:i/>
        </w:rPr>
        <w:t>discriminate</w:t>
      </w:r>
      <w:r w:rsidRPr="00B14A7D">
        <w:t xml:space="preserve"> between upstream sources of domestic and imported</w:t>
      </w:r>
      <w:r w:rsidRPr="003E7F09">
        <w:t xml:space="preserve"> goods in favour of the former</w:t>
      </w:r>
      <w:r>
        <w:t>.</w:t>
      </w:r>
      <w:r w:rsidRPr="003E7F09">
        <w:t>"</w:t>
      </w:r>
      <w:r>
        <w:rPr>
          <w:rStyle w:val="FootnoteReference"/>
        </w:rPr>
        <w:footnoteReference w:id="254"/>
      </w:r>
      <w:r>
        <w:t xml:space="preserve"> By contrast</w:t>
      </w:r>
      <w:r w:rsidRPr="003E7F09">
        <w:t xml:space="preserve">, "providing subsidies to firms only so long as they engage in domestic production activity can and will many times have an effect occurring </w:t>
      </w:r>
      <w:r w:rsidRPr="00103107">
        <w:t>downstream</w:t>
      </w:r>
      <w:r w:rsidRPr="003E7F09">
        <w:t xml:space="preserve"> from the mandated domestic production activity, i.e. increased consumption of domestic goods due to quantitative and/or qualitative enhancements to the goods produced pursuant to the mandated domestic production activities</w:t>
      </w:r>
      <w:r>
        <w:t>."</w:t>
      </w:r>
      <w:r w:rsidRPr="003E7F09">
        <w:rPr>
          <w:rStyle w:val="FootnoteReference"/>
        </w:rPr>
        <w:footnoteReference w:id="255"/>
      </w:r>
      <w:r>
        <w:t xml:space="preserve"> In the Panel's view, while these latter subsidies could limit competitive opportunities for relevant imported goods in certain markets, Part III, and not Part II, of the </w:t>
      </w:r>
      <w:r w:rsidR="000A10EA">
        <w:t>SCM Agreement</w:t>
      </w:r>
      <w:r>
        <w:t xml:space="preserve"> is concerned with such event chains.</w:t>
      </w:r>
      <w:r>
        <w:rPr>
          <w:rStyle w:val="FootnoteReference"/>
        </w:rPr>
        <w:footnoteReference w:id="256"/>
      </w:r>
    </w:p>
    <w:p w:rsidR="0007161B" w:rsidRPr="000106ED" w:rsidRDefault="0007161B" w:rsidP="00DC4FDF">
      <w:pPr>
        <w:pStyle w:val="BodyText"/>
        <w:rPr>
          <w:szCs w:val="18"/>
        </w:rPr>
      </w:pPr>
      <w:r w:rsidRPr="001E6E73">
        <w:rPr>
          <w:szCs w:val="18"/>
        </w:rPr>
        <w:t xml:space="preserve">We see no error in the Panel's reading of </w:t>
      </w:r>
      <w:r w:rsidR="000A10EA">
        <w:rPr>
          <w:szCs w:val="18"/>
        </w:rPr>
        <w:t>Article </w:t>
      </w:r>
      <w:r w:rsidRPr="001E6E73">
        <w:rPr>
          <w:szCs w:val="18"/>
        </w:rPr>
        <w:t>3.1(b)</w:t>
      </w:r>
      <w:r>
        <w:rPr>
          <w:szCs w:val="18"/>
        </w:rPr>
        <w:t xml:space="preserve"> in this context</w:t>
      </w:r>
      <w:r w:rsidR="00B542A9">
        <w:rPr>
          <w:szCs w:val="18"/>
        </w:rPr>
        <w:t>. To begin with, the </w:t>
      </w:r>
      <w:r w:rsidRPr="001E6E73">
        <w:rPr>
          <w:szCs w:val="18"/>
        </w:rPr>
        <w:t xml:space="preserve">Panel rightly reasoned that </w:t>
      </w:r>
      <w:r>
        <w:rPr>
          <w:szCs w:val="18"/>
        </w:rPr>
        <w:t xml:space="preserve">a </w:t>
      </w:r>
      <w:r w:rsidRPr="001E6E73">
        <w:rPr>
          <w:szCs w:val="18"/>
        </w:rPr>
        <w:t>subsid</w:t>
      </w:r>
      <w:r>
        <w:rPr>
          <w:szCs w:val="18"/>
        </w:rPr>
        <w:t xml:space="preserve">y conditioning eligibility on the production of </w:t>
      </w:r>
      <w:r w:rsidRPr="00A03002">
        <w:rPr>
          <w:szCs w:val="18"/>
        </w:rPr>
        <w:t>a certain good</w:t>
      </w:r>
      <w:r>
        <w:rPr>
          <w:szCs w:val="18"/>
        </w:rPr>
        <w:t xml:space="preserve"> on domestic territory</w:t>
      </w:r>
      <w:r w:rsidRPr="001E6E73">
        <w:rPr>
          <w:szCs w:val="18"/>
        </w:rPr>
        <w:t xml:space="preserve"> </w:t>
      </w:r>
      <w:r>
        <w:rPr>
          <w:szCs w:val="18"/>
        </w:rPr>
        <w:t xml:space="preserve">is </w:t>
      </w:r>
      <w:r w:rsidRPr="001E6E73">
        <w:rPr>
          <w:szCs w:val="18"/>
        </w:rPr>
        <w:t xml:space="preserve">not </w:t>
      </w:r>
      <w:r w:rsidRPr="001E6E73">
        <w:rPr>
          <w:i/>
          <w:szCs w:val="18"/>
        </w:rPr>
        <w:t>per se</w:t>
      </w:r>
      <w:r w:rsidRPr="001E6E73">
        <w:rPr>
          <w:szCs w:val="18"/>
        </w:rPr>
        <w:t xml:space="preserve"> inconsistent with </w:t>
      </w:r>
      <w:r w:rsidR="000A10EA">
        <w:rPr>
          <w:szCs w:val="18"/>
        </w:rPr>
        <w:t>Article </w:t>
      </w:r>
      <w:r w:rsidRPr="001E6E73">
        <w:rPr>
          <w:szCs w:val="18"/>
        </w:rPr>
        <w:t xml:space="preserve">3.1(b). </w:t>
      </w:r>
      <w:r>
        <w:rPr>
          <w:szCs w:val="18"/>
        </w:rPr>
        <w:t>As we have noted,</w:t>
      </w:r>
      <w:r w:rsidRPr="001E6E73">
        <w:rPr>
          <w:szCs w:val="18"/>
        </w:rPr>
        <w:t xml:space="preserve"> </w:t>
      </w:r>
      <w:r>
        <w:rPr>
          <w:szCs w:val="18"/>
        </w:rPr>
        <w:t xml:space="preserve">while </w:t>
      </w:r>
      <w:r>
        <w:t>subsidies that relate to the production of certain goods in a Member's territory</w:t>
      </w:r>
      <w:r w:rsidRPr="008D4015">
        <w:t xml:space="preserve"> </w:t>
      </w:r>
      <w:r>
        <w:t xml:space="preserve">may </w:t>
      </w:r>
      <w:r w:rsidRPr="00483D03">
        <w:t xml:space="preserve">foster the use of subsidized domestic goods and result in displacement in respect of imported goods, </w:t>
      </w:r>
      <w:r>
        <w:t xml:space="preserve">such effects do not, in and of themselves, demonstrate the existence of a requirement to </w:t>
      </w:r>
      <w:r w:rsidRPr="00483D03">
        <w:t xml:space="preserve">use </w:t>
      </w:r>
      <w:r>
        <w:t xml:space="preserve">domestic over </w:t>
      </w:r>
      <w:r w:rsidRPr="00B14A7D">
        <w:t>imported goods.</w:t>
      </w:r>
      <w:r w:rsidRPr="00B14A7D">
        <w:rPr>
          <w:szCs w:val="18"/>
        </w:rPr>
        <w:t xml:space="preserve"> The Panel similarly observed that the fact "that a subsidy </w:t>
      </w:r>
      <w:r w:rsidRPr="00B14A7D">
        <w:rPr>
          <w:i/>
          <w:szCs w:val="18"/>
        </w:rPr>
        <w:t>in fact</w:t>
      </w:r>
      <w:r w:rsidRPr="00B14A7D">
        <w:rPr>
          <w:szCs w:val="18"/>
        </w:rPr>
        <w:t xml:space="preserve"> </w:t>
      </w:r>
      <w:r w:rsidRPr="00B14A7D">
        <w:rPr>
          <w:i/>
          <w:szCs w:val="18"/>
        </w:rPr>
        <w:t>results in the use of domestic over imported goods</w:t>
      </w:r>
      <w:r w:rsidRPr="00B14A7D">
        <w:rPr>
          <w:szCs w:val="18"/>
        </w:rPr>
        <w:t xml:space="preserve"> cannot by itself demonstrate that that subsidy </w:t>
      </w:r>
      <w:r w:rsidRPr="00B14A7D">
        <w:rPr>
          <w:i/>
          <w:szCs w:val="18"/>
        </w:rPr>
        <w:t>is contingent on the use of domestic over imported goods, whether in law or in fact</w:t>
      </w:r>
      <w:r w:rsidRPr="00B14A7D">
        <w:rPr>
          <w:szCs w:val="18"/>
        </w:rPr>
        <w:t>."</w:t>
      </w:r>
      <w:r w:rsidRPr="00B14A7D">
        <w:rPr>
          <w:rStyle w:val="FootnoteReference"/>
          <w:szCs w:val="18"/>
        </w:rPr>
        <w:footnoteReference w:id="257"/>
      </w:r>
      <w:r w:rsidRPr="00B14A7D">
        <w:rPr>
          <w:szCs w:val="18"/>
        </w:rPr>
        <w:t xml:space="preserve"> We also agree with the Panel that basing the </w:t>
      </w:r>
      <w:r w:rsidR="00F61C98">
        <w:rPr>
          <w:szCs w:val="18"/>
        </w:rPr>
        <w:t>legal</w:t>
      </w:r>
      <w:r w:rsidRPr="00B14A7D">
        <w:rPr>
          <w:szCs w:val="18"/>
        </w:rPr>
        <w:t xml:space="preserve"> standard </w:t>
      </w:r>
      <w:r w:rsidR="00F61C98">
        <w:rPr>
          <w:szCs w:val="18"/>
        </w:rPr>
        <w:t xml:space="preserve">under Article 3.1(b) </w:t>
      </w:r>
      <w:r w:rsidRPr="00B14A7D">
        <w:rPr>
          <w:szCs w:val="18"/>
        </w:rPr>
        <w:t>on the market effects of a subsidy would result in</w:t>
      </w:r>
      <w:r w:rsidRPr="000106ED">
        <w:rPr>
          <w:szCs w:val="18"/>
        </w:rPr>
        <w:t xml:space="preserve"> "significantly blurring – and with respect to at least certain subsidies, potentially erasing – the line between the disciplines of Part II of the </w:t>
      </w:r>
      <w:r w:rsidR="000A10EA">
        <w:rPr>
          <w:szCs w:val="18"/>
        </w:rPr>
        <w:t>SCM Agreement</w:t>
      </w:r>
      <w:r w:rsidRPr="000106ED">
        <w:rPr>
          <w:szCs w:val="18"/>
        </w:rPr>
        <w:t xml:space="preserve"> and the effects-based disciplines on actionable subsidies contained in Part III of the </w:t>
      </w:r>
      <w:r w:rsidR="000A10EA">
        <w:rPr>
          <w:szCs w:val="18"/>
        </w:rPr>
        <w:t>SCM Agreement</w:t>
      </w:r>
      <w:r w:rsidRPr="000106ED">
        <w:rPr>
          <w:szCs w:val="18"/>
        </w:rPr>
        <w:t>".</w:t>
      </w:r>
      <w:r w:rsidRPr="001E6E73">
        <w:rPr>
          <w:rStyle w:val="FootnoteReference"/>
          <w:szCs w:val="18"/>
        </w:rPr>
        <w:footnoteReference w:id="258"/>
      </w:r>
      <w:r>
        <w:rPr>
          <w:szCs w:val="18"/>
        </w:rPr>
        <w:t xml:space="preserve"> As we have observed, </w:t>
      </w:r>
      <w:r w:rsidR="00B542A9">
        <w:t>to </w:t>
      </w:r>
      <w:r w:rsidRPr="004613EA">
        <w:t xml:space="preserve">the extent that no conditionality on the use of domestic over imported goods can be established, but the effects of the subsidy are to displace or impede, or </w:t>
      </w:r>
      <w:r>
        <w:t>otherwise cause adverse effects to imports</w:t>
      </w:r>
      <w:r w:rsidRPr="004613EA">
        <w:t xml:space="preserve">, those effects are disciplined under Part III of the </w:t>
      </w:r>
      <w:r w:rsidR="000A10EA">
        <w:t>SCM Agreement</w:t>
      </w:r>
      <w:r w:rsidRPr="004613EA">
        <w:t>.</w:t>
      </w:r>
      <w:r>
        <w:rPr>
          <w:rStyle w:val="FootnoteReference"/>
        </w:rPr>
        <w:footnoteReference w:id="259"/>
      </w:r>
    </w:p>
    <w:p w:rsidR="0007161B" w:rsidRDefault="0007161B" w:rsidP="00DC4FDF">
      <w:pPr>
        <w:pStyle w:val="BodyText"/>
      </w:pPr>
      <w:r>
        <w:t xml:space="preserve">With regard to the legal standard under </w:t>
      </w:r>
      <w:r w:rsidR="000A10EA">
        <w:t>Article </w:t>
      </w:r>
      <w:r>
        <w:t>3.1(b), the Panel stated that the phrase "contingent … upon the use of domestic over imported goods" refers to those subsidies that "contain{} elements requiring firms to use certain amounts of domestic goods as production inputs" and "condition{} the availability of the subsidy on discrimination between upstream sources of goods".</w:t>
      </w:r>
      <w:r>
        <w:rPr>
          <w:rStyle w:val="FootnoteReference"/>
        </w:rPr>
        <w:footnoteReference w:id="260"/>
      </w:r>
      <w:r>
        <w:t xml:space="preserve"> Moreover, the Panel observed that the discipline of </w:t>
      </w:r>
      <w:r w:rsidR="000A10EA">
        <w:t>Article </w:t>
      </w:r>
      <w:r w:rsidR="00B542A9">
        <w:t>3.1(b) is "narrow </w:t>
      </w:r>
      <w:r>
        <w:t>and specific, activated by a subsidy that appropriates an entity's judgment by conditioning {the} receipt {of the subsidy} on that entity discriminating among inputs with respect to their domestic or imported nature, whether in law or in fact."</w:t>
      </w:r>
      <w:r>
        <w:rPr>
          <w:rStyle w:val="FootnoteReference"/>
        </w:rPr>
        <w:footnoteReference w:id="261"/>
      </w:r>
      <w:r w:rsidRPr="007D73CF">
        <w:t xml:space="preserve"> </w:t>
      </w:r>
      <w:r>
        <w:t xml:space="preserve">The Panel also correctly noted that the mere fact that the French, </w:t>
      </w:r>
      <w:r w:rsidR="002E0F1D">
        <w:t>German, Spanish</w:t>
      </w:r>
      <w:r>
        <w:t>, and UK A350XWB LA/MSF contracts may "</w:t>
      </w:r>
      <w:r w:rsidRPr="003E7F09">
        <w:t xml:space="preserve">affect the </w:t>
      </w:r>
      <w:r w:rsidRPr="003E7F09">
        <w:lastRenderedPageBreak/>
        <w:t xml:space="preserve">domestic/import composition of a supply of inputs </w:t>
      </w:r>
      <w:r>
        <w:t>…</w:t>
      </w:r>
      <w:r w:rsidRPr="003E7F09">
        <w:t>, thereby displacing or impeding competitive opportunities for relevant substitute imported goods</w:t>
      </w:r>
      <w:r>
        <w:t xml:space="preserve">", cannot in itself demonstrate the existence of a requirement, whether </w:t>
      </w:r>
      <w:r w:rsidRPr="00C12B9B">
        <w:t>express or implicit</w:t>
      </w:r>
      <w:r>
        <w:t>, to use domestic over imported</w:t>
      </w:r>
      <w:r w:rsidRPr="00483D03">
        <w:t xml:space="preserve"> goods</w:t>
      </w:r>
      <w:r>
        <w:t>.</w:t>
      </w:r>
      <w:r>
        <w:rPr>
          <w:rStyle w:val="FootnoteReference"/>
        </w:rPr>
        <w:footnoteReference w:id="262"/>
      </w:r>
      <w:r w:rsidRPr="0041265D">
        <w:t xml:space="preserve"> </w:t>
      </w:r>
      <w:r>
        <w:t xml:space="preserve">The focus of the Panel's legal standard under </w:t>
      </w:r>
      <w:r w:rsidR="000A10EA">
        <w:t>Article </w:t>
      </w:r>
      <w:r>
        <w:t>3.1(b) on the need to establish a condition requiring the use of domestic over imported goods accords with our reading of this provision.</w:t>
      </w:r>
    </w:p>
    <w:p w:rsidR="0007161B" w:rsidRDefault="0007161B" w:rsidP="00DC4FDF">
      <w:pPr>
        <w:pStyle w:val="BodyText"/>
      </w:pPr>
      <w:r>
        <w:t xml:space="preserve">With regard to the Panel's references to "discrimination", we observe that the </w:t>
      </w:r>
      <w:r w:rsidR="000A10EA">
        <w:t>Appellate Body</w:t>
      </w:r>
      <w:r>
        <w:t xml:space="preserve"> has held that </w:t>
      </w:r>
      <w:r w:rsidR="000A10EA">
        <w:t>Article </w:t>
      </w:r>
      <w:r>
        <w:t>3.1(b) addresses discriminatory conduct.</w:t>
      </w:r>
      <w:r>
        <w:rPr>
          <w:rStyle w:val="FootnoteReference"/>
        </w:rPr>
        <w:footnoteReference w:id="263"/>
      </w:r>
      <w:r>
        <w:t xml:space="preserve"> Import substitution </w:t>
      </w:r>
      <w:r w:rsidRPr="00F85322">
        <w:t>subsidies</w:t>
      </w:r>
      <w:r>
        <w:t>, by their nature, adversely affect competitive conditions of imported goods and thereby</w:t>
      </w:r>
      <w:r w:rsidRPr="00F85322">
        <w:t xml:space="preserve"> </w:t>
      </w:r>
      <w:r>
        <w:t xml:space="preserve">intrinsically distort </w:t>
      </w:r>
      <w:r w:rsidRPr="00F85322">
        <w:t>the preferences of the subsidy recipient by requiring it to</w:t>
      </w:r>
      <w:r>
        <w:t xml:space="preserve"> obtain </w:t>
      </w:r>
      <w:r w:rsidRPr="00F85322">
        <w:t>goods</w:t>
      </w:r>
      <w:r>
        <w:t xml:space="preserve"> from domestic sources, to the detriment of imports</w:t>
      </w:r>
      <w:r w:rsidRPr="00F85322">
        <w:t>.</w:t>
      </w:r>
      <w:r>
        <w:rPr>
          <w:rStyle w:val="FootnoteReference"/>
        </w:rPr>
        <w:footnoteReference w:id="264"/>
      </w:r>
      <w:r>
        <w:t xml:space="preserve"> We consider that, in the context of the phrase "contingent … upon the use of domestic over imported goods", it is the word "over", linking the words "domestic" and "imported", that captures this inherent discriminatory nature of import substitution subsidies. Yet, also subsidies that relate to the production of certain goods in a Member's domestic territory</w:t>
      </w:r>
      <w:r w:rsidRPr="008D4015">
        <w:t xml:space="preserve"> can ordinarily be expected to increase the supply of the subsidized domestic goods </w:t>
      </w:r>
      <w:r>
        <w:t>in the relevant market, which would have the consequence of increasing the use</w:t>
      </w:r>
      <w:r w:rsidRPr="008D4015">
        <w:t xml:space="preserve"> </w:t>
      </w:r>
      <w:r>
        <w:t xml:space="preserve">of </w:t>
      </w:r>
      <w:r w:rsidRPr="008D4015">
        <w:t>the</w:t>
      </w:r>
      <w:r>
        <w:t>se</w:t>
      </w:r>
      <w:r w:rsidRPr="008D4015">
        <w:t xml:space="preserve"> subsidized domestic goods</w:t>
      </w:r>
      <w:r>
        <w:t xml:space="preserve"> </w:t>
      </w:r>
      <w:r w:rsidRPr="003E7F09">
        <w:t>downstream</w:t>
      </w:r>
      <w:r>
        <w:t xml:space="preserve">, and have discriminatory effects in respect of imported goods. However, the legal standard under </w:t>
      </w:r>
      <w:r w:rsidR="000A10EA">
        <w:t>Article </w:t>
      </w:r>
      <w:r>
        <w:t>3.1(b) requires establishing the existence of "contingency", namely, whether</w:t>
      </w:r>
      <w:r w:rsidRPr="00C25B07">
        <w:t xml:space="preserve"> </w:t>
      </w:r>
      <w:r>
        <w:t>the</w:t>
      </w:r>
      <w:r w:rsidRPr="00C25B07">
        <w:t xml:space="preserve"> </w:t>
      </w:r>
      <w:r>
        <w:t xml:space="preserve">measure granting the subsidy </w:t>
      </w:r>
      <w:r w:rsidRPr="00C25B07">
        <w:t xml:space="preserve">reflects </w:t>
      </w:r>
      <w:r w:rsidRPr="00A40EF7">
        <w:t>a condition requiring</w:t>
      </w:r>
      <w:r w:rsidRPr="001A013E">
        <w:rPr>
          <w:i/>
        </w:rPr>
        <w:t xml:space="preserve"> </w:t>
      </w:r>
      <w:r w:rsidRPr="00480C00">
        <w:t>the use</w:t>
      </w:r>
      <w:r w:rsidRPr="00C25B07">
        <w:t xml:space="preserve"> </w:t>
      </w:r>
      <w:r>
        <w:t xml:space="preserve">of </w:t>
      </w:r>
      <w:r w:rsidRPr="00C25B07">
        <w:t>domestic over imported goods</w:t>
      </w:r>
      <w:r>
        <w:t>, and not whether the measure may result in any discriminatory effects to the detriment of imported goods.</w:t>
      </w:r>
    </w:p>
    <w:p w:rsidR="0007161B" w:rsidRDefault="0007161B" w:rsidP="00DC4FDF">
      <w:pPr>
        <w:pStyle w:val="BodyText"/>
      </w:pPr>
      <w:r>
        <w:t xml:space="preserve"> We wish to highlight in this regard the following statement by the Panel:</w:t>
      </w:r>
    </w:p>
    <w:p w:rsidR="0007161B" w:rsidRDefault="0007161B" w:rsidP="00206326">
      <w:pPr>
        <w:pStyle w:val="Quotation"/>
      </w:pPr>
      <w:r>
        <w:t xml:space="preserve">{R}ather than conditioning the availability of the subsidy on discrimination between </w:t>
      </w:r>
      <w:r w:rsidRPr="00B14A7D">
        <w:rPr>
          <w:i/>
        </w:rPr>
        <w:t>upstream</w:t>
      </w:r>
      <w:r w:rsidRPr="00B14A7D">
        <w:t xml:space="preserve"> sources of goods, the practice of providing subsidies to firms only so long as they engage in domestic production activity can and will many times have an effect occurring </w:t>
      </w:r>
      <w:r w:rsidRPr="00B14A7D">
        <w:rPr>
          <w:i/>
        </w:rPr>
        <w:t>downstream</w:t>
      </w:r>
      <w:r w:rsidRPr="00B14A7D">
        <w:t xml:space="preserve"> from the mandated domestic production activity, i.e. increased consumption of domestic goods due to quantitative and/or qualitative enhancements to the goods produced pursuant to the mandated domestic production activities.</w:t>
      </w:r>
      <w:r w:rsidRPr="00B14A7D">
        <w:rPr>
          <w:rStyle w:val="FootnoteReference"/>
        </w:rPr>
        <w:footnoteReference w:id="265"/>
      </w:r>
    </w:p>
    <w:p w:rsidR="0007161B" w:rsidRDefault="0007161B" w:rsidP="00DC4FDF">
      <w:pPr>
        <w:pStyle w:val="BodyText"/>
      </w:pPr>
      <w:r>
        <w:t xml:space="preserve">Since the granting of both </w:t>
      </w:r>
      <w:r w:rsidRPr="00822891">
        <w:t xml:space="preserve">subsidies </w:t>
      </w:r>
      <w:r>
        <w:t>concerning</w:t>
      </w:r>
      <w:r w:rsidRPr="00822891">
        <w:t xml:space="preserve"> the production of inputs and final goods</w:t>
      </w:r>
      <w:r>
        <w:t xml:space="preserve"> domestically </w:t>
      </w:r>
      <w:r w:rsidRPr="00822891">
        <w:t xml:space="preserve">and </w:t>
      </w:r>
      <w:r>
        <w:t xml:space="preserve">subsidies conditional </w:t>
      </w:r>
      <w:r w:rsidRPr="00822891">
        <w:t>upon the use of domestic over imported goods</w:t>
      </w:r>
      <w:r>
        <w:t xml:space="preserve"> may result in "</w:t>
      </w:r>
      <w:r w:rsidRPr="0014196A">
        <w:rPr>
          <w:i/>
        </w:rPr>
        <w:t xml:space="preserve">discriminat{ion} </w:t>
      </w:r>
      <w:r>
        <w:t>between upstream sources of domestic and imported goods in favour of the former"</w:t>
      </w:r>
      <w:r w:rsidRPr="00822891">
        <w:t>,</w:t>
      </w:r>
      <w:r>
        <w:t xml:space="preserve"> we do not consider that</w:t>
      </w:r>
      <w:r w:rsidRPr="00822891">
        <w:t xml:space="preserve"> </w:t>
      </w:r>
      <w:r>
        <w:t xml:space="preserve">the distinction articulated by the Panel between a requirement under the subsidy relating to upstream sourcing decisions ("conditioning the availability of the subsidy on discrimination between upstream sources of goods") and effects occurring downstream resulting from the subsidy ("an effect occurring downstream from the mandated domestic production activity") is particularly useful in establishing the existence of contingency under </w:t>
      </w:r>
      <w:r w:rsidR="000A10EA">
        <w:t>Article </w:t>
      </w:r>
      <w:r>
        <w:t>3.1(b).</w:t>
      </w:r>
      <w:r>
        <w:rPr>
          <w:rStyle w:val="FootnoteReference"/>
        </w:rPr>
        <w:footnoteReference w:id="266"/>
      </w:r>
      <w:r>
        <w:t xml:space="preserve"> However, we understand the Panel to have made this statement as an example illustrating its understanding of the legal standard under </w:t>
      </w:r>
      <w:r w:rsidR="000A10EA">
        <w:t>Article </w:t>
      </w:r>
      <w:r>
        <w:t>3.1(b), namely, the need to establish the existence of a condition that requires the use of d</w:t>
      </w:r>
      <w:r w:rsidR="00B542A9">
        <w:t>omestic over imported goods, as </w:t>
      </w:r>
      <w:r>
        <w:t xml:space="preserve">opposed to relying solely on the existence of displacement effects in respect of imported goods. Therefore, we do not consider that this statement undermines the Panel's articulation of the legal standard under </w:t>
      </w:r>
      <w:r w:rsidR="000A10EA">
        <w:t>Article </w:t>
      </w:r>
      <w:r>
        <w:t>3.1(b).</w:t>
      </w:r>
    </w:p>
    <w:p w:rsidR="0007161B" w:rsidRDefault="0007161B" w:rsidP="00DC4FDF">
      <w:pPr>
        <w:pStyle w:val="BodyText"/>
      </w:pPr>
      <w:r>
        <w:t xml:space="preserve">Referring to the approach taken by the panel in </w:t>
      </w:r>
      <w:r w:rsidRPr="009E7FA6">
        <w:rPr>
          <w:i/>
        </w:rPr>
        <w:t>US – Tax Incentives</w:t>
      </w:r>
      <w:r w:rsidRPr="003E7F09">
        <w:t xml:space="preserve">, </w:t>
      </w:r>
      <w:r w:rsidRPr="00235C68">
        <w:t xml:space="preserve">the </w:t>
      </w:r>
      <w:r w:rsidR="000A10EA">
        <w:t>United States</w:t>
      </w:r>
      <w:r w:rsidRPr="00235C68">
        <w:t xml:space="preserve"> </w:t>
      </w:r>
      <w:r>
        <w:t xml:space="preserve">argues that the implication of that approach would be that, </w:t>
      </w:r>
      <w:r w:rsidRPr="00235C68">
        <w:t>"i</w:t>
      </w:r>
      <w:r w:rsidRPr="007F1083">
        <w:t xml:space="preserve">f (i) a subsidy is granted to a domestic producer conditional on the domestic siting of production activities to produce a domestic input in an industrial process, and (ii) a substitution of imported goods for these inputs would result in the producer's loss of the entitlement to the subsidy, then the subsidy is contingent on the use of domestic over imported goods, and therefore is inconsistent with </w:t>
      </w:r>
      <w:r w:rsidR="000A10EA">
        <w:t>Article </w:t>
      </w:r>
      <w:r w:rsidRPr="007F1083">
        <w:t>3.1(b)."</w:t>
      </w:r>
      <w:r w:rsidRPr="007F1083">
        <w:rPr>
          <w:rStyle w:val="FootnoteReference"/>
          <w:szCs w:val="18"/>
        </w:rPr>
        <w:footnoteReference w:id="267"/>
      </w:r>
      <w:r w:rsidRPr="007F1083">
        <w:rPr>
          <w:rStyle w:val="FootnoteReference"/>
        </w:rPr>
        <w:t xml:space="preserve"> </w:t>
      </w:r>
      <w:r w:rsidR="00734335">
        <w:t>We </w:t>
      </w:r>
      <w:r>
        <w:t xml:space="preserve">recall that the </w:t>
      </w:r>
      <w:r w:rsidR="000A10EA">
        <w:t>Appellate Body</w:t>
      </w:r>
      <w:r>
        <w:t xml:space="preserve"> reversed the relevant findings appealed by the </w:t>
      </w:r>
      <w:r w:rsidR="000A10EA">
        <w:t>United States</w:t>
      </w:r>
      <w:r>
        <w:t xml:space="preserve"> in </w:t>
      </w:r>
      <w:r w:rsidR="002154B1">
        <w:rPr>
          <w:i/>
        </w:rPr>
        <w:lastRenderedPageBreak/>
        <w:t>US </w:t>
      </w:r>
      <w:r w:rsidR="00A453EC">
        <w:rPr>
          <w:i/>
        </w:rPr>
        <w:t>‒</w:t>
      </w:r>
      <w:r w:rsidR="002154B1">
        <w:rPr>
          <w:i/>
        </w:rPr>
        <w:t> </w:t>
      </w:r>
      <w:r>
        <w:rPr>
          <w:i/>
        </w:rPr>
        <w:t xml:space="preserve">Tax Incentives. </w:t>
      </w:r>
      <w:r>
        <w:t xml:space="preserve">In so doing, the </w:t>
      </w:r>
      <w:r w:rsidR="000A10EA">
        <w:t>Appellate Body</w:t>
      </w:r>
      <w:r>
        <w:t xml:space="preserve"> reasoned that, "{w}hile it is not unusual that, in order to receive a subsidy, the recipient is required to meet certain conditions", it was not entirely clear, in the circumstances of that case, "how the </w:t>
      </w:r>
      <w:r w:rsidRPr="005711A2">
        <w:rPr>
          <w:szCs w:val="18"/>
        </w:rPr>
        <w:t xml:space="preserve">Washington </w:t>
      </w:r>
      <w:r>
        <w:t>Department of Revenue would exercise its discretion and whether a loss of the subsidy by the recipient, if these conditions are not met, would demonstrate the existence of a requiremen</w:t>
      </w:r>
      <w:r w:rsidR="00734335">
        <w:t>t to use domestic over imported </w:t>
      </w:r>
      <w:r>
        <w:t>goods."</w:t>
      </w:r>
      <w:r>
        <w:rPr>
          <w:rStyle w:val="FootnoteReference"/>
        </w:rPr>
        <w:footnoteReference w:id="268"/>
      </w:r>
    </w:p>
    <w:p w:rsidR="0007161B" w:rsidRDefault="0007161B" w:rsidP="00DC4FDF">
      <w:pPr>
        <w:pStyle w:val="BodyText"/>
      </w:pPr>
      <w:r>
        <w:t xml:space="preserve">Indeed, as noted above, subsidies </w:t>
      </w:r>
      <w:r w:rsidRPr="00483D03">
        <w:t xml:space="preserve">granted for the production of both </w:t>
      </w:r>
      <w:r>
        <w:t>an input</w:t>
      </w:r>
      <w:r w:rsidRPr="00483D03">
        <w:t xml:space="preserve"> and </w:t>
      </w:r>
      <w:r>
        <w:t xml:space="preserve">a </w:t>
      </w:r>
      <w:r w:rsidRPr="00483D03">
        <w:t>final good</w:t>
      </w:r>
      <w:r>
        <w:t xml:space="preserve"> may well have consequences for the subsidized producers' input-sourcing decisions to the extent that the producer </w:t>
      </w:r>
      <w:r w:rsidRPr="00483D03">
        <w:t xml:space="preserve">would </w:t>
      </w:r>
      <w:r>
        <w:t>likely</w:t>
      </w:r>
      <w:r w:rsidRPr="00483D03">
        <w:t xml:space="preserve"> use at least some of </w:t>
      </w:r>
      <w:r>
        <w:t>the subsidized</w:t>
      </w:r>
      <w:r w:rsidRPr="00483D03">
        <w:t xml:space="preserve"> inputs in </w:t>
      </w:r>
      <w:r>
        <w:t>the</w:t>
      </w:r>
      <w:r w:rsidRPr="00483D03">
        <w:t xml:space="preserve"> production </w:t>
      </w:r>
      <w:r>
        <w:t>of the subsidized final good</w:t>
      </w:r>
      <w:r w:rsidRPr="00483D03">
        <w:t>.</w:t>
      </w:r>
      <w:r>
        <w:rPr>
          <w:rStyle w:val="FootnoteReference"/>
        </w:rPr>
        <w:footnoteReference w:id="269"/>
      </w:r>
      <w:r>
        <w:t xml:space="preserve"> However</w:t>
      </w:r>
      <w:r w:rsidRPr="00483D03">
        <w:t xml:space="preserve">, </w:t>
      </w:r>
      <w:r>
        <w:t>even if such subsidies are likely to</w:t>
      </w:r>
      <w:r w:rsidRPr="00E657AB">
        <w:t xml:space="preserve"> </w:t>
      </w:r>
      <w:r>
        <w:t>affect adversely imported inputs, such effects cannot, in and of themselves, establish the existence of a requirement to use domestic over imported goods within the meaning of</w:t>
      </w:r>
      <w:r w:rsidRPr="00BF651B">
        <w:t xml:space="preserve"> </w:t>
      </w:r>
      <w:r w:rsidR="000A10EA">
        <w:t>Article </w:t>
      </w:r>
      <w:r w:rsidRPr="00BF651B">
        <w:t>3.1(b).</w:t>
      </w:r>
      <w:r>
        <w:t xml:space="preserve"> Admittedly, </w:t>
      </w:r>
      <w:r w:rsidRPr="00E140FD">
        <w:t xml:space="preserve">factual circumstances </w:t>
      </w:r>
      <w:r>
        <w:t xml:space="preserve">such as </w:t>
      </w:r>
      <w:r w:rsidRPr="00E140FD">
        <w:t xml:space="preserve">the existence of a multi-stage production process, the level of specialization of the subsidized inputs, or the level of integration of the production </w:t>
      </w:r>
      <w:r>
        <w:t xml:space="preserve">chain in the relevant industry may </w:t>
      </w:r>
      <w:r w:rsidRPr="00E140FD">
        <w:t xml:space="preserve">form part of the context for understanding </w:t>
      </w:r>
      <w:r>
        <w:t xml:space="preserve">the </w:t>
      </w:r>
      <w:r w:rsidRPr="00E140FD">
        <w:t xml:space="preserve">design, structure, and modalities of operation </w:t>
      </w:r>
      <w:r>
        <w:t>of a measure granting a subsidy in a particular market</w:t>
      </w:r>
      <w:r w:rsidRPr="00E140FD">
        <w:t>.</w:t>
      </w:r>
      <w:r>
        <w:rPr>
          <w:rStyle w:val="FootnoteReference"/>
        </w:rPr>
        <w:footnoteReference w:id="270"/>
      </w:r>
      <w:r w:rsidRPr="00E140FD">
        <w:t xml:space="preserve"> </w:t>
      </w:r>
      <w:r>
        <w:t xml:space="preserve">Ultimately, however, </w:t>
      </w:r>
      <w:r w:rsidRPr="006A7058">
        <w:t>whether a subsidy is simply conditional upon the domestic production of</w:t>
      </w:r>
      <w:r>
        <w:t xml:space="preserve"> certain goods, or upon the use by the subsidy recipient</w:t>
      </w:r>
      <w:r w:rsidRPr="006A7058">
        <w:t xml:space="preserve"> of domestic over imported goods</w:t>
      </w:r>
      <w:r>
        <w:t>,</w:t>
      </w:r>
      <w:r w:rsidRPr="006A7058">
        <w:t xml:space="preserve"> should be assessed </w:t>
      </w:r>
      <w:r>
        <w:t>case by case on the basis of the terms of the measure at issue, t</w:t>
      </w:r>
      <w:r w:rsidR="005B7BEB">
        <w:t>heir necessary implication, and </w:t>
      </w:r>
      <w:r>
        <w:t>other relevant factors and circumstances</w:t>
      </w:r>
      <w:r w:rsidRPr="006A7058">
        <w:t>.</w:t>
      </w:r>
      <w:r>
        <w:rPr>
          <w:rStyle w:val="FootnoteReference"/>
        </w:rPr>
        <w:footnoteReference w:id="271"/>
      </w:r>
      <w:r>
        <w:t xml:space="preserve"> </w:t>
      </w:r>
    </w:p>
    <w:p w:rsidR="0007161B" w:rsidRDefault="0007161B" w:rsidP="00DC4FDF">
      <w:pPr>
        <w:pStyle w:val="BodyText"/>
      </w:pPr>
      <w:r>
        <w:t xml:space="preserve">In light of our analysis above, we </w:t>
      </w:r>
      <w:r>
        <w:rPr>
          <w:u w:val="single"/>
        </w:rPr>
        <w:t>uphold</w:t>
      </w:r>
      <w:r>
        <w:t xml:space="preserve"> the Panel's interpretation of </w:t>
      </w:r>
      <w:r w:rsidR="000A10EA">
        <w:t>Article </w:t>
      </w:r>
      <w:r w:rsidR="005B7BEB">
        <w:t>3.1(b) of the </w:t>
      </w:r>
      <w:r w:rsidR="000A10EA">
        <w:t>SCM Agreement</w:t>
      </w:r>
      <w:r>
        <w:t xml:space="preserve">. </w:t>
      </w:r>
    </w:p>
    <w:p w:rsidR="0007161B" w:rsidRPr="0093678E" w:rsidRDefault="0007161B" w:rsidP="00DC4FDF">
      <w:pPr>
        <w:pStyle w:val="BodyText"/>
      </w:pPr>
      <w:r>
        <w:t xml:space="preserve">We note that the </w:t>
      </w:r>
      <w:r w:rsidR="000A10EA">
        <w:rPr>
          <w:lang w:val="en-US"/>
        </w:rPr>
        <w:t>United States</w:t>
      </w:r>
      <w:r w:rsidRPr="006E2538">
        <w:rPr>
          <w:lang w:val="en-US"/>
        </w:rPr>
        <w:t xml:space="preserve">' appeal of the Panel's application of </w:t>
      </w:r>
      <w:r w:rsidR="000A10EA">
        <w:rPr>
          <w:lang w:val="en-US"/>
        </w:rPr>
        <w:t>Article </w:t>
      </w:r>
      <w:r w:rsidRPr="006E2538">
        <w:rPr>
          <w:lang w:val="en-US"/>
        </w:rPr>
        <w:t xml:space="preserve">3.1(b) and its request for us to complete the legal analysis </w:t>
      </w:r>
      <w:r w:rsidR="00F61C98">
        <w:rPr>
          <w:lang w:val="en-US"/>
        </w:rPr>
        <w:t>are</w:t>
      </w:r>
      <w:r w:rsidRPr="006E2538">
        <w:rPr>
          <w:lang w:val="en-US"/>
        </w:rPr>
        <w:t xml:space="preserve"> conditional upon us reversing the Panel's interpretation of </w:t>
      </w:r>
      <w:r w:rsidR="000A10EA">
        <w:rPr>
          <w:lang w:val="en-US"/>
        </w:rPr>
        <w:t>Article </w:t>
      </w:r>
      <w:r w:rsidRPr="006E2538">
        <w:rPr>
          <w:lang w:val="en-US"/>
        </w:rPr>
        <w:t>3.1(b)</w:t>
      </w:r>
      <w:r>
        <w:rPr>
          <w:lang w:val="en-US"/>
        </w:rPr>
        <w:t>.</w:t>
      </w:r>
      <w:r>
        <w:rPr>
          <w:rStyle w:val="FootnoteReference"/>
        </w:rPr>
        <w:footnoteReference w:id="272"/>
      </w:r>
      <w:r w:rsidRPr="0093678E">
        <w:t xml:space="preserve"> </w:t>
      </w:r>
      <w:r w:rsidRPr="008F7520">
        <w:t xml:space="preserve">Having upheld the Panel's interpretation of </w:t>
      </w:r>
      <w:r w:rsidR="000A10EA">
        <w:t>Article </w:t>
      </w:r>
      <w:r w:rsidRPr="008F7520">
        <w:t xml:space="preserve">3.1(b), </w:t>
      </w:r>
      <w:r w:rsidR="005B7BEB">
        <w:t>we </w:t>
      </w:r>
      <w:r>
        <w:t xml:space="preserve">therefore do not need to </w:t>
      </w:r>
      <w:r w:rsidRPr="00A03682">
        <w:t xml:space="preserve">examine the </w:t>
      </w:r>
      <w:r w:rsidR="000A10EA">
        <w:t>United States</w:t>
      </w:r>
      <w:r w:rsidRPr="00A03682">
        <w:t>' arguments relating to the Panel's application of th</w:t>
      </w:r>
      <w:r>
        <w:t>e</w:t>
      </w:r>
      <w:r w:rsidRPr="00A03682">
        <w:t xml:space="preserve"> legal standard </w:t>
      </w:r>
      <w:r>
        <w:t xml:space="preserve">under </w:t>
      </w:r>
      <w:r w:rsidR="000A10EA">
        <w:t>Article </w:t>
      </w:r>
      <w:r>
        <w:t xml:space="preserve">3.1(b) </w:t>
      </w:r>
      <w:r w:rsidRPr="00A03682">
        <w:t>to the facts of the present case.</w:t>
      </w:r>
      <w:r>
        <w:t xml:space="preserve"> Nor do we need to address the </w:t>
      </w:r>
      <w:r w:rsidR="000A10EA">
        <w:t>United States</w:t>
      </w:r>
      <w:r>
        <w:t>' arguments concerning its</w:t>
      </w:r>
      <w:r w:rsidRPr="008F7520">
        <w:t xml:space="preserve"> request that we complete the legal</w:t>
      </w:r>
      <w:r>
        <w:t xml:space="preserve"> analysis. </w:t>
      </w:r>
      <w:r w:rsidRPr="008F7520">
        <w:t xml:space="preserve">In any event, we </w:t>
      </w:r>
      <w:r w:rsidRPr="006E2538">
        <w:rPr>
          <w:szCs w:val="18"/>
        </w:rPr>
        <w:t xml:space="preserve">note that the meaning of </w:t>
      </w:r>
      <w:r>
        <w:rPr>
          <w:szCs w:val="18"/>
        </w:rPr>
        <w:t xml:space="preserve">the </w:t>
      </w:r>
      <w:r w:rsidRPr="00ED5ACE">
        <w:rPr>
          <w:b/>
          <w:lang w:val="en-US"/>
        </w:rPr>
        <w:t>[</w:t>
      </w:r>
      <w:r w:rsidR="00C8434D" w:rsidRPr="00C8434D">
        <w:rPr>
          <w:b/>
          <w:szCs w:val="16"/>
        </w:rPr>
        <w:t>BCI</w:t>
      </w:r>
      <w:r w:rsidRPr="00ED5ACE">
        <w:rPr>
          <w:b/>
          <w:lang w:val="en-US"/>
        </w:rPr>
        <w:t>]</w:t>
      </w:r>
      <w:r w:rsidRPr="00ED5ACE">
        <w:rPr>
          <w:lang w:val="en-US"/>
        </w:rPr>
        <w:t xml:space="preserve"> clauses in the </w:t>
      </w:r>
      <w:r>
        <w:rPr>
          <w:lang w:val="en-US"/>
        </w:rPr>
        <w:t xml:space="preserve">French, </w:t>
      </w:r>
      <w:r w:rsidR="002E0F1D">
        <w:rPr>
          <w:lang w:val="en-US"/>
        </w:rPr>
        <w:t>German, Spanish</w:t>
      </w:r>
      <w:r>
        <w:rPr>
          <w:lang w:val="en-US"/>
        </w:rPr>
        <w:t xml:space="preserve">, and UK </w:t>
      </w:r>
      <w:r w:rsidRPr="00ED5ACE">
        <w:rPr>
          <w:lang w:val="en-US"/>
        </w:rPr>
        <w:t>A350XWB LA/MSF contracts</w:t>
      </w:r>
      <w:r>
        <w:rPr>
          <w:rStyle w:val="FootnoteReference"/>
          <w:lang w:val="en-US"/>
        </w:rPr>
        <w:footnoteReference w:id="273"/>
      </w:r>
      <w:r w:rsidRPr="006E2538">
        <w:rPr>
          <w:szCs w:val="18"/>
        </w:rPr>
        <w:t xml:space="preserve"> and how they would operate was not </w:t>
      </w:r>
      <w:r>
        <w:rPr>
          <w:szCs w:val="18"/>
        </w:rPr>
        <w:t xml:space="preserve">discussed before and </w:t>
      </w:r>
      <w:r w:rsidRPr="006E2538">
        <w:rPr>
          <w:szCs w:val="18"/>
        </w:rPr>
        <w:t xml:space="preserve">examined by the Panel in any detail. </w:t>
      </w:r>
      <w:r>
        <w:rPr>
          <w:szCs w:val="18"/>
        </w:rPr>
        <w:t>Thus</w:t>
      </w:r>
      <w:r w:rsidRPr="006E2538">
        <w:rPr>
          <w:szCs w:val="18"/>
        </w:rPr>
        <w:t>, to the extent</w:t>
      </w:r>
      <w:r w:rsidRPr="008F7520">
        <w:t xml:space="preserve"> that the proper construction of </w:t>
      </w:r>
      <w:r>
        <w:t>those clauses</w:t>
      </w:r>
      <w:r w:rsidRPr="008F7520">
        <w:t xml:space="preserve"> and their </w:t>
      </w:r>
      <w:r w:rsidRPr="0093678E">
        <w:t>operation in practice</w:t>
      </w:r>
      <w:r w:rsidRPr="008F7520">
        <w:t xml:space="preserve"> under</w:t>
      </w:r>
      <w:r w:rsidR="005B7BEB">
        <w:t xml:space="preserve"> the municipal laws of the four </w:t>
      </w:r>
      <w:r w:rsidRPr="008F7520">
        <w:t>member States would require us to</w:t>
      </w:r>
      <w:r w:rsidRPr="006E2538">
        <w:rPr>
          <w:szCs w:val="18"/>
        </w:rPr>
        <w:t xml:space="preserve"> solicit and review new factual arguments</w:t>
      </w:r>
      <w:r>
        <w:rPr>
          <w:szCs w:val="18"/>
        </w:rPr>
        <w:t>,</w:t>
      </w:r>
      <w:r w:rsidRPr="006E2538">
        <w:rPr>
          <w:szCs w:val="18"/>
        </w:rPr>
        <w:t xml:space="preserve"> </w:t>
      </w:r>
      <w:r>
        <w:rPr>
          <w:szCs w:val="18"/>
        </w:rPr>
        <w:t>and in the absence of sufficient factual findings by the Panel or undisputed facts on the Panel record</w:t>
      </w:r>
      <w:r w:rsidRPr="006E2538">
        <w:rPr>
          <w:szCs w:val="18"/>
        </w:rPr>
        <w:t xml:space="preserve">, </w:t>
      </w:r>
      <w:r>
        <w:rPr>
          <w:szCs w:val="18"/>
        </w:rPr>
        <w:t>any</w:t>
      </w:r>
      <w:r w:rsidRPr="006E2538">
        <w:rPr>
          <w:szCs w:val="18"/>
        </w:rPr>
        <w:t xml:space="preserve"> analysis </w:t>
      </w:r>
      <w:r>
        <w:rPr>
          <w:szCs w:val="18"/>
        </w:rPr>
        <w:t xml:space="preserve">of those clauses </w:t>
      </w:r>
      <w:r w:rsidRPr="006E2538">
        <w:rPr>
          <w:szCs w:val="18"/>
        </w:rPr>
        <w:t xml:space="preserve">would extend beyond our mandate under </w:t>
      </w:r>
      <w:r w:rsidR="000A10EA">
        <w:rPr>
          <w:szCs w:val="18"/>
        </w:rPr>
        <w:t>Article </w:t>
      </w:r>
      <w:r w:rsidRPr="006E2538">
        <w:rPr>
          <w:szCs w:val="18"/>
        </w:rPr>
        <w:t xml:space="preserve">17.6 of the DSU and may prejudice the </w:t>
      </w:r>
      <w:r>
        <w:rPr>
          <w:szCs w:val="18"/>
        </w:rPr>
        <w:t xml:space="preserve">participants' </w:t>
      </w:r>
      <w:r w:rsidRPr="006E2538">
        <w:rPr>
          <w:szCs w:val="18"/>
        </w:rPr>
        <w:t>due</w:t>
      </w:r>
      <w:r>
        <w:rPr>
          <w:szCs w:val="18"/>
        </w:rPr>
        <w:t xml:space="preserve"> process rights</w:t>
      </w:r>
      <w:r w:rsidRPr="006E2538">
        <w:rPr>
          <w:szCs w:val="18"/>
        </w:rPr>
        <w:t>.</w:t>
      </w:r>
      <w:r w:rsidRPr="008F7520">
        <w:rPr>
          <w:rStyle w:val="FootnoteReference"/>
          <w:szCs w:val="18"/>
        </w:rPr>
        <w:footnoteReference w:id="274"/>
      </w:r>
      <w:r w:rsidRPr="006E2538">
        <w:rPr>
          <w:szCs w:val="18"/>
        </w:rPr>
        <w:t xml:space="preserve"> </w:t>
      </w:r>
    </w:p>
    <w:p w:rsidR="0007161B" w:rsidRPr="00235C68" w:rsidRDefault="0007161B" w:rsidP="00DC4FDF">
      <w:pPr>
        <w:pStyle w:val="BodyText"/>
        <w:rPr>
          <w:lang w:val="en-US"/>
        </w:rPr>
      </w:pPr>
      <w:r>
        <w:t xml:space="preserve">The Panel's finding that the </w:t>
      </w:r>
      <w:r w:rsidR="000A10EA">
        <w:t>United States</w:t>
      </w:r>
      <w:r>
        <w:t>' claim u</w:t>
      </w:r>
      <w:r w:rsidR="00734335">
        <w:t xml:space="preserve">nder Articles 3.1(b) and 3.2 of the </w:t>
      </w:r>
      <w:r w:rsidR="000A10EA">
        <w:t>SCM Agreement</w:t>
      </w:r>
      <w:r>
        <w:t xml:space="preserve"> is unsupported by sufficient evidence therefore stands.</w:t>
      </w:r>
      <w:r>
        <w:rPr>
          <w:rStyle w:val="FootnoteReference"/>
        </w:rPr>
        <w:footnoteReference w:id="275"/>
      </w:r>
    </w:p>
    <w:p w:rsidR="0007161B" w:rsidRPr="00B31949" w:rsidRDefault="0007161B" w:rsidP="00DC4FDF">
      <w:pPr>
        <w:pStyle w:val="Heading3"/>
        <w:rPr>
          <w:lang w:val="en-US"/>
        </w:rPr>
      </w:pPr>
      <w:bookmarkStart w:id="54" w:name="_Toc514059214"/>
      <w:r>
        <w:rPr>
          <w:lang w:val="en-US"/>
        </w:rPr>
        <w:lastRenderedPageBreak/>
        <w:t>Conclusion</w:t>
      </w:r>
      <w:bookmarkEnd w:id="54"/>
    </w:p>
    <w:p w:rsidR="0007161B" w:rsidRPr="002423BC" w:rsidRDefault="0007161B" w:rsidP="00DC4FDF">
      <w:pPr>
        <w:pStyle w:val="BodyText"/>
        <w:rPr>
          <w:lang w:val="en-US"/>
        </w:rPr>
      </w:pPr>
      <w:r w:rsidRPr="002423BC">
        <w:rPr>
          <w:lang w:val="en-US"/>
        </w:rPr>
        <w:t xml:space="preserve">With </w:t>
      </w:r>
      <w:r w:rsidRPr="00FA7FF3">
        <w:t>respect</w:t>
      </w:r>
      <w:r w:rsidRPr="002423BC">
        <w:rPr>
          <w:lang w:val="en-US"/>
        </w:rPr>
        <w:t xml:space="preserve"> to the </w:t>
      </w:r>
      <w:r>
        <w:rPr>
          <w:lang w:val="en-US"/>
        </w:rPr>
        <w:t xml:space="preserve">admissibility of </w:t>
      </w:r>
      <w:r w:rsidRPr="002423BC">
        <w:rPr>
          <w:szCs w:val="18"/>
        </w:rPr>
        <w:t xml:space="preserve">the </w:t>
      </w:r>
      <w:r w:rsidR="000A10EA">
        <w:rPr>
          <w:szCs w:val="18"/>
        </w:rPr>
        <w:t>United States</w:t>
      </w:r>
      <w:r w:rsidRPr="002423BC">
        <w:rPr>
          <w:szCs w:val="18"/>
        </w:rPr>
        <w:t>'</w:t>
      </w:r>
      <w:r w:rsidRPr="00EC54CF">
        <w:rPr>
          <w:szCs w:val="18"/>
        </w:rPr>
        <w:t xml:space="preserve"> appeal under </w:t>
      </w:r>
      <w:r w:rsidR="000A10EA">
        <w:rPr>
          <w:szCs w:val="18"/>
        </w:rPr>
        <w:t>Article </w:t>
      </w:r>
      <w:r w:rsidRPr="00EC54CF">
        <w:rPr>
          <w:szCs w:val="18"/>
        </w:rPr>
        <w:t xml:space="preserve">3.1(b) of the </w:t>
      </w:r>
      <w:r w:rsidR="000A10EA">
        <w:rPr>
          <w:szCs w:val="18"/>
        </w:rPr>
        <w:t>SCM Agreement</w:t>
      </w:r>
      <w:r w:rsidRPr="00EC54CF">
        <w:rPr>
          <w:szCs w:val="18"/>
        </w:rPr>
        <w:t xml:space="preserve"> </w:t>
      </w:r>
      <w:r w:rsidRPr="002423BC">
        <w:rPr>
          <w:lang w:val="en-US"/>
        </w:rPr>
        <w:t xml:space="preserve">raised by the </w:t>
      </w:r>
      <w:r w:rsidR="000A10EA">
        <w:rPr>
          <w:lang w:val="en-US"/>
        </w:rPr>
        <w:t>European Union</w:t>
      </w:r>
      <w:r w:rsidRPr="002423BC">
        <w:rPr>
          <w:lang w:val="en-US"/>
        </w:rPr>
        <w:t xml:space="preserve">, we </w:t>
      </w:r>
      <w:r w:rsidRPr="00F61C98">
        <w:rPr>
          <w:u w:val="single"/>
          <w:lang w:val="en-US"/>
        </w:rPr>
        <w:t>find</w:t>
      </w:r>
      <w:r w:rsidRPr="002423BC">
        <w:rPr>
          <w:lang w:val="en-US"/>
        </w:rPr>
        <w:t xml:space="preserve"> that </w:t>
      </w:r>
      <w:r w:rsidRPr="002423BC">
        <w:rPr>
          <w:szCs w:val="18"/>
        </w:rPr>
        <w:t xml:space="preserve">the </w:t>
      </w:r>
      <w:r w:rsidR="000A10EA">
        <w:rPr>
          <w:szCs w:val="18"/>
        </w:rPr>
        <w:t>United States</w:t>
      </w:r>
      <w:r w:rsidRPr="002423BC">
        <w:rPr>
          <w:szCs w:val="18"/>
        </w:rPr>
        <w:t>'</w:t>
      </w:r>
      <w:r w:rsidRPr="00EC54CF">
        <w:rPr>
          <w:szCs w:val="18"/>
        </w:rPr>
        <w:t xml:space="preserve"> appeal falls within the scope of appellate review under </w:t>
      </w:r>
      <w:r w:rsidR="000A10EA">
        <w:rPr>
          <w:szCs w:val="18"/>
        </w:rPr>
        <w:t>Article </w:t>
      </w:r>
      <w:r w:rsidRPr="00EC54CF">
        <w:rPr>
          <w:szCs w:val="18"/>
        </w:rPr>
        <w:t>17.6 of the DSU</w:t>
      </w:r>
      <w:r w:rsidRPr="002423BC">
        <w:rPr>
          <w:szCs w:val="18"/>
        </w:rPr>
        <w:t xml:space="preserve">. In particular, we consider that </w:t>
      </w:r>
      <w:r w:rsidRPr="003E7F09">
        <w:t xml:space="preserve">the </w:t>
      </w:r>
      <w:r w:rsidR="000A10EA">
        <w:t>United States</w:t>
      </w:r>
      <w:r w:rsidRPr="003E7F09">
        <w:t>' appeal adequately identifies "issues of law covered in the panel report and legal interpretat</w:t>
      </w:r>
      <w:r>
        <w:t xml:space="preserve">ions developed by the panel" pursuant to </w:t>
      </w:r>
      <w:r w:rsidR="000A10EA">
        <w:t>Article </w:t>
      </w:r>
      <w:r>
        <w:t xml:space="preserve">17.6 of the DSU, as well as </w:t>
      </w:r>
      <w:r w:rsidR="005B7BEB">
        <w:t>"specific </w:t>
      </w:r>
      <w:r w:rsidRPr="003E7F09">
        <w:t xml:space="preserve">allegations of errors" </w:t>
      </w:r>
      <w:r>
        <w:t xml:space="preserve">within the meaning of the Working Procedures, </w:t>
      </w:r>
      <w:r w:rsidRPr="003E7F09">
        <w:t xml:space="preserve">with regard to the </w:t>
      </w:r>
      <w:r>
        <w:t xml:space="preserve">interpretation and application of </w:t>
      </w:r>
      <w:r w:rsidR="000A10EA">
        <w:t>Article </w:t>
      </w:r>
      <w:r>
        <w:t xml:space="preserve">3.1(b) of the </w:t>
      </w:r>
      <w:r w:rsidR="000A10EA">
        <w:t>SCM Agreement</w:t>
      </w:r>
      <w:r>
        <w:t xml:space="preserve">. </w:t>
      </w:r>
      <w:r w:rsidRPr="002423BC">
        <w:rPr>
          <w:szCs w:val="18"/>
        </w:rPr>
        <w:t xml:space="preserve">Regarding the merits of the </w:t>
      </w:r>
      <w:r w:rsidR="000A10EA">
        <w:rPr>
          <w:szCs w:val="18"/>
        </w:rPr>
        <w:t>United States</w:t>
      </w:r>
      <w:r w:rsidRPr="002423BC">
        <w:rPr>
          <w:szCs w:val="18"/>
        </w:rPr>
        <w:t xml:space="preserve">' appeal, we </w:t>
      </w:r>
      <w:r w:rsidRPr="00F945B6">
        <w:rPr>
          <w:szCs w:val="18"/>
          <w:u w:val="single"/>
        </w:rPr>
        <w:t>uphold</w:t>
      </w:r>
      <w:r w:rsidRPr="002423BC">
        <w:rPr>
          <w:szCs w:val="18"/>
        </w:rPr>
        <w:t xml:space="preserve"> the Panel's interpretation of </w:t>
      </w:r>
      <w:r w:rsidR="000A10EA">
        <w:rPr>
          <w:szCs w:val="18"/>
        </w:rPr>
        <w:t>Article </w:t>
      </w:r>
      <w:r w:rsidRPr="002423BC">
        <w:rPr>
          <w:szCs w:val="18"/>
        </w:rPr>
        <w:t>3.1(b)</w:t>
      </w:r>
      <w:r>
        <w:rPr>
          <w:szCs w:val="18"/>
        </w:rPr>
        <w:t>.</w:t>
      </w:r>
      <w:r w:rsidRPr="002060F9">
        <w:t xml:space="preserve"> </w:t>
      </w:r>
      <w:r>
        <w:t>While we have expressed concerns with certain aspects of the Panel's reasoning, the focus of the Panel's legal standard on the need to establish a condition requiring the use of domestic over imported goods comports with our reading of this provision</w:t>
      </w:r>
      <w:r w:rsidRPr="002423BC">
        <w:rPr>
          <w:szCs w:val="18"/>
        </w:rPr>
        <w:t xml:space="preserve">. </w:t>
      </w:r>
    </w:p>
    <w:p w:rsidR="0007161B" w:rsidRPr="0031549B" w:rsidRDefault="0007161B" w:rsidP="00DC4FDF">
      <w:pPr>
        <w:pStyle w:val="BodyText"/>
        <w:rPr>
          <w:lang w:val="en-US"/>
        </w:rPr>
      </w:pPr>
      <w:r>
        <w:rPr>
          <w:szCs w:val="18"/>
        </w:rPr>
        <w:t>H</w:t>
      </w:r>
      <w:r w:rsidRPr="00FA7FF3">
        <w:rPr>
          <w:szCs w:val="18"/>
        </w:rPr>
        <w:t xml:space="preserve">aving upheld the Panel's interpretation of </w:t>
      </w:r>
      <w:r w:rsidR="000A10EA">
        <w:rPr>
          <w:szCs w:val="18"/>
        </w:rPr>
        <w:t>Article </w:t>
      </w:r>
      <w:r w:rsidRPr="00FA7FF3">
        <w:rPr>
          <w:szCs w:val="18"/>
        </w:rPr>
        <w:t>3.1(b)</w:t>
      </w:r>
      <w:r w:rsidRPr="00E41F05">
        <w:t xml:space="preserve"> </w:t>
      </w:r>
      <w:r>
        <w:t>of the </w:t>
      </w:r>
      <w:r w:rsidR="000A10EA">
        <w:t>SCM Agreement</w:t>
      </w:r>
      <w:r w:rsidRPr="00FA7FF3">
        <w:rPr>
          <w:szCs w:val="18"/>
        </w:rPr>
        <w:t xml:space="preserve">, we </w:t>
      </w:r>
      <w:r>
        <w:t>are</w:t>
      </w:r>
      <w:r w:rsidRPr="00FA7B58">
        <w:t xml:space="preserve"> </w:t>
      </w:r>
      <w:r>
        <w:t>not</w:t>
      </w:r>
      <w:r w:rsidRPr="00FA7B58">
        <w:t xml:space="preserve"> </w:t>
      </w:r>
      <w:r>
        <w:t>required to make findings regarding</w:t>
      </w:r>
      <w:r w:rsidRPr="00FA7B58">
        <w:t xml:space="preserve"> the application of </w:t>
      </w:r>
      <w:r>
        <w:t xml:space="preserve">this provision </w:t>
      </w:r>
      <w:r w:rsidRPr="00FA7B58">
        <w:t>to the facts of the present case</w:t>
      </w:r>
      <w:r>
        <w:t xml:space="preserve">, or to address the </w:t>
      </w:r>
      <w:r w:rsidR="000A10EA">
        <w:t>United States</w:t>
      </w:r>
      <w:r>
        <w:t>' arguments concerning comple</w:t>
      </w:r>
      <w:r w:rsidR="005B7BEB">
        <w:t>tion of the legal analysis. The </w:t>
      </w:r>
      <w:r>
        <w:t xml:space="preserve">Panel's finding that the </w:t>
      </w:r>
      <w:r w:rsidR="000A10EA">
        <w:t>United States</w:t>
      </w:r>
      <w:r>
        <w:t>' claim under Articles 3.1(b) and 3.2 of</w:t>
      </w:r>
      <w:r w:rsidR="005B7BEB">
        <w:t xml:space="preserve"> </w:t>
      </w:r>
      <w:r>
        <w:t>the</w:t>
      </w:r>
      <w:r w:rsidR="005B7BEB">
        <w:t xml:space="preserve"> </w:t>
      </w:r>
      <w:r w:rsidR="000A10EA">
        <w:t>SCM Agreement</w:t>
      </w:r>
      <w:r>
        <w:t xml:space="preserve"> </w:t>
      </w:r>
      <w:r w:rsidRPr="0031549B">
        <w:t>is unsupported by sufficient evidence therefore stands.</w:t>
      </w:r>
    </w:p>
    <w:p w:rsidR="0007161B" w:rsidRDefault="0007161B" w:rsidP="00DC4FDF">
      <w:pPr>
        <w:pStyle w:val="Heading2"/>
      </w:pPr>
      <w:bookmarkStart w:id="55" w:name="_Toc514059215"/>
      <w:r>
        <w:t>Benefit</w:t>
      </w:r>
      <w:bookmarkEnd w:id="55"/>
    </w:p>
    <w:p w:rsidR="0007161B" w:rsidRDefault="0007161B" w:rsidP="00DC4FDF">
      <w:pPr>
        <w:pStyle w:val="BodyText"/>
      </w:pPr>
      <w:r>
        <w:t xml:space="preserve">We turn now to </w:t>
      </w:r>
      <w:r w:rsidRPr="00696860">
        <w:t xml:space="preserve">the </w:t>
      </w:r>
      <w:r w:rsidR="000A10EA">
        <w:t>European Union</w:t>
      </w:r>
      <w:r w:rsidRPr="00696860">
        <w:t xml:space="preserve">'s appeal of the Panel's findings concerning the assessment of whether </w:t>
      </w:r>
      <w:r>
        <w:t xml:space="preserve">each of the French, German, Spanish, and UK </w:t>
      </w:r>
      <w:r w:rsidRPr="000C28D4">
        <w:t xml:space="preserve">A350XWB LA/MSF </w:t>
      </w:r>
      <w:r>
        <w:t xml:space="preserve">contracts </w:t>
      </w:r>
      <w:r w:rsidRPr="00696860">
        <w:t>confer</w:t>
      </w:r>
      <w:r>
        <w:t>s</w:t>
      </w:r>
      <w:r w:rsidRPr="00696860">
        <w:t xml:space="preserve"> a </w:t>
      </w:r>
      <w:r>
        <w:t>"</w:t>
      </w:r>
      <w:r w:rsidRPr="00696860">
        <w:t>benefit</w:t>
      </w:r>
      <w:r>
        <w:t>", and therefore constitutes a "subsidy",</w:t>
      </w:r>
      <w:r w:rsidRPr="00696860">
        <w:t xml:space="preserve"> within the meani</w:t>
      </w:r>
      <w:r>
        <w:t xml:space="preserve">ng of </w:t>
      </w:r>
      <w:r w:rsidR="000A10EA">
        <w:t>Article </w:t>
      </w:r>
      <w:r>
        <w:t xml:space="preserve">1.1(b) of the </w:t>
      </w:r>
      <w:r w:rsidR="000A10EA">
        <w:t>SCM Agreement</w:t>
      </w:r>
      <w:r>
        <w:t>.</w:t>
      </w:r>
      <w:r>
        <w:rPr>
          <w:rStyle w:val="FootnoteReference"/>
        </w:rPr>
        <w:footnoteReference w:id="276"/>
      </w:r>
    </w:p>
    <w:p w:rsidR="0007161B" w:rsidRPr="0097319F" w:rsidRDefault="0007161B" w:rsidP="00DC4FDF">
      <w:pPr>
        <w:pStyle w:val="BodyText"/>
      </w:pPr>
      <w:r>
        <w:t xml:space="preserve">In determining </w:t>
      </w:r>
      <w:r w:rsidRPr="005435FA">
        <w:t xml:space="preserve">whether the </w:t>
      </w:r>
      <w:r w:rsidRPr="000C28D4">
        <w:t xml:space="preserve">A350XWB LA/MSF </w:t>
      </w:r>
      <w:r>
        <w:t>contracts</w:t>
      </w:r>
      <w:r w:rsidRPr="005435FA">
        <w:t xml:space="preserve"> confer a benefit</w:t>
      </w:r>
      <w:r>
        <w:t>, t</w:t>
      </w:r>
      <w:r w:rsidRPr="00264244">
        <w:t>he Panel</w:t>
      </w:r>
      <w:r>
        <w:rPr>
          <w:szCs w:val="18"/>
        </w:rPr>
        <w:t xml:space="preserve"> </w:t>
      </w:r>
      <w:r>
        <w:t>divided</w:t>
      </w:r>
      <w:r w:rsidRPr="00264244">
        <w:t xml:space="preserve"> its analysis</w:t>
      </w:r>
      <w:r w:rsidRPr="0097319F">
        <w:t xml:space="preserve"> into two parts. First, the Panel </w:t>
      </w:r>
      <w:r>
        <w:t xml:space="preserve">assessed the expected rate of return on the loans provided to Airbus through each of the four </w:t>
      </w:r>
      <w:r w:rsidRPr="0097319F">
        <w:t>A350XWB LA/MSF contracts.</w:t>
      </w:r>
      <w:r w:rsidRPr="006477CA">
        <w:rPr>
          <w:rStyle w:val="FootnoteReference"/>
        </w:rPr>
        <w:footnoteReference w:id="277"/>
      </w:r>
      <w:r w:rsidRPr="006477CA">
        <w:t xml:space="preserve"> </w:t>
      </w:r>
      <w:r>
        <w:t>S</w:t>
      </w:r>
      <w:r w:rsidRPr="006477CA">
        <w:t xml:space="preserve">econd, the Panel </w:t>
      </w:r>
      <w:r>
        <w:t>examined</w:t>
      </w:r>
      <w:r w:rsidRPr="006477CA">
        <w:t xml:space="preserve"> the rate of return that a market lender would have demanded for providing financing on the same or similar terms as LA/MSF for the A350XWB. </w:t>
      </w:r>
      <w:r w:rsidRPr="0097319F">
        <w:t xml:space="preserve">In </w:t>
      </w:r>
      <w:r>
        <w:t>evaluating</w:t>
      </w:r>
      <w:r w:rsidRPr="0097319F">
        <w:t xml:space="preserve"> these two issues, the Panel sought to determine whether a benefit had been conferred</w:t>
      </w:r>
      <w:r>
        <w:t>,</w:t>
      </w:r>
      <w:r w:rsidRPr="0097319F">
        <w:t xml:space="preserve"> by conducting a comparison between the expected rates of return of the A350XWB LA/MSF contracts and the market benchmark </w:t>
      </w:r>
      <w:r>
        <w:t>rate</w:t>
      </w:r>
      <w:r w:rsidR="005B7BEB">
        <w:t> </w:t>
      </w:r>
      <w:r w:rsidR="00734335">
        <w:t>of </w:t>
      </w:r>
      <w:r w:rsidRPr="0097319F">
        <w:t>return.</w:t>
      </w:r>
    </w:p>
    <w:p w:rsidR="0007161B" w:rsidRPr="0097319F" w:rsidRDefault="0007161B" w:rsidP="00DC4FDF">
      <w:pPr>
        <w:pStyle w:val="BodyText"/>
      </w:pPr>
      <w:r w:rsidRPr="0097319F">
        <w:t xml:space="preserve">The </w:t>
      </w:r>
      <w:r w:rsidR="000A10EA">
        <w:t>European Union</w:t>
      </w:r>
      <w:r w:rsidRPr="0097319F">
        <w:t xml:space="preserve">'s appeal concerns </w:t>
      </w:r>
      <w:r w:rsidRPr="0097319F">
        <w:rPr>
          <w:i/>
        </w:rPr>
        <w:t>only</w:t>
      </w:r>
      <w:r w:rsidRPr="0097319F">
        <w:t xml:space="preserve"> the second aspect of the Panel's analysis, namely, the </w:t>
      </w:r>
      <w:r w:rsidRPr="00BB1180">
        <w:t>identification</w:t>
      </w:r>
      <w:r w:rsidRPr="0097319F">
        <w:t xml:space="preserve"> of the market benchmark</w:t>
      </w:r>
      <w:r>
        <w:t xml:space="preserve"> rate of return</w:t>
      </w:r>
      <w:r w:rsidRPr="0097319F">
        <w:t xml:space="preserve">. </w:t>
      </w:r>
      <w:r>
        <w:t xml:space="preserve">The Panel </w:t>
      </w:r>
      <w:r w:rsidRPr="0097319F">
        <w:t xml:space="preserve">divided </w:t>
      </w:r>
      <w:r>
        <w:t xml:space="preserve">this part of its analysis </w:t>
      </w:r>
      <w:r w:rsidRPr="0097319F">
        <w:t xml:space="preserve">into two main subsections: (i) the calculation of a </w:t>
      </w:r>
      <w:r w:rsidRPr="00420A9C">
        <w:rPr>
          <w:i/>
        </w:rPr>
        <w:t>general corporate borrowing rate</w:t>
      </w:r>
      <w:r w:rsidRPr="0097319F">
        <w:t xml:space="preserve"> that Airbus would have had to pay to a commercial lender to borrow money; and (ii) the calculation of a </w:t>
      </w:r>
      <w:r w:rsidRPr="00420A9C">
        <w:rPr>
          <w:i/>
        </w:rPr>
        <w:t>project-specific risk premium</w:t>
      </w:r>
      <w:r w:rsidRPr="0097319F">
        <w:t xml:space="preserve"> that represents the additional rate of return that a commercial lender would have required for offering financing to Airbus on the particular terms of the </w:t>
      </w:r>
      <w:r w:rsidRPr="00CE2318">
        <w:t>relevant A350XWB LA/MSF contracts</w:t>
      </w:r>
      <w:r w:rsidRPr="0097319F">
        <w:t>.</w:t>
      </w:r>
      <w:r>
        <w:rPr>
          <w:rStyle w:val="FootnoteReference"/>
        </w:rPr>
        <w:footnoteReference w:id="278"/>
      </w:r>
      <w:r w:rsidRPr="0097319F">
        <w:t xml:space="preserve"> </w:t>
      </w:r>
      <w:r>
        <w:t>On appeal, t</w:t>
      </w:r>
      <w:r w:rsidRPr="0097319F">
        <w:t xml:space="preserve">he </w:t>
      </w:r>
      <w:r w:rsidR="000A10EA">
        <w:t>European Union</w:t>
      </w:r>
      <w:r w:rsidRPr="0097319F">
        <w:t xml:space="preserve"> </w:t>
      </w:r>
      <w:r>
        <w:t>challenges the Panel's analysis regarding both the corporate borrowing rate and the project-specific risk premium</w:t>
      </w:r>
      <w:r w:rsidRPr="0097319F">
        <w:t>.</w:t>
      </w:r>
      <w:r w:rsidRPr="00D7214D">
        <w:t xml:space="preserve"> </w:t>
      </w:r>
      <w:r>
        <w:t xml:space="preserve">We begin by examining the </w:t>
      </w:r>
      <w:r w:rsidR="000A10EA">
        <w:t>European Union</w:t>
      </w:r>
      <w:r>
        <w:t xml:space="preserve">'s appeal concerning the </w:t>
      </w:r>
      <w:r w:rsidRPr="00315013">
        <w:t>Panel's anal</w:t>
      </w:r>
      <w:r w:rsidR="00734335">
        <w:t>ysis of the corporate borrowing </w:t>
      </w:r>
      <w:r w:rsidRPr="00315013">
        <w:t>rate</w:t>
      </w:r>
      <w:r>
        <w:t>.</w:t>
      </w:r>
    </w:p>
    <w:p w:rsidR="0007161B" w:rsidRDefault="0007161B" w:rsidP="00DC4FDF">
      <w:pPr>
        <w:pStyle w:val="Heading3"/>
        <w:numPr>
          <w:ilvl w:val="2"/>
          <w:numId w:val="9"/>
        </w:numPr>
      </w:pPr>
      <w:bookmarkStart w:id="56" w:name="_Toc514059216"/>
      <w:r>
        <w:t>Corporate borrowing rate</w:t>
      </w:r>
      <w:bookmarkEnd w:id="56"/>
    </w:p>
    <w:p w:rsidR="0007161B" w:rsidRDefault="0007161B" w:rsidP="00DC4FDF">
      <w:pPr>
        <w:pStyle w:val="BodyText"/>
      </w:pPr>
      <w:r w:rsidRPr="00867FE3">
        <w:t xml:space="preserve">The </w:t>
      </w:r>
      <w:r w:rsidR="000A10EA">
        <w:t>European Union</w:t>
      </w:r>
      <w:r w:rsidRPr="00867FE3">
        <w:t xml:space="preserve"> </w:t>
      </w:r>
      <w:r>
        <w:t>argues</w:t>
      </w:r>
      <w:r w:rsidRPr="00867FE3">
        <w:t xml:space="preserve"> that the Panel erred in identifying the corporate borrowing rate</w:t>
      </w:r>
      <w:r>
        <w:t xml:space="preserve"> that served as a basis for the market benchmark used in the benefit analysis</w:t>
      </w:r>
      <w:r w:rsidR="005B7BEB">
        <w:t>. In particular, the </w:t>
      </w:r>
      <w:r w:rsidR="000A10EA">
        <w:t>European Union</w:t>
      </w:r>
      <w:r w:rsidRPr="00867FE3">
        <w:t xml:space="preserve"> takes issue with the fact that, </w:t>
      </w:r>
      <w:r w:rsidRPr="009E26F4">
        <w:t>in identifying the</w:t>
      </w:r>
      <w:r>
        <w:t xml:space="preserve"> time </w:t>
      </w:r>
      <w:r w:rsidRPr="009E26F4">
        <w:t xml:space="preserve">period over which to </w:t>
      </w:r>
      <w:r w:rsidRPr="009E26F4">
        <w:lastRenderedPageBreak/>
        <w:t xml:space="preserve">observe the corporate borrowing rate, the Panel erroneously relied on a </w:t>
      </w:r>
      <w:r w:rsidRPr="009E26F4">
        <w:rPr>
          <w:i/>
        </w:rPr>
        <w:t xml:space="preserve">range </w:t>
      </w:r>
      <w:r w:rsidRPr="009E26F4">
        <w:t>of</w:t>
      </w:r>
      <w:r w:rsidRPr="009E26F4">
        <w:rPr>
          <w:i/>
        </w:rPr>
        <w:t xml:space="preserve"> average </w:t>
      </w:r>
      <w:r w:rsidRPr="009E26F4">
        <w:t xml:space="preserve">yields of the </w:t>
      </w:r>
      <w:r w:rsidRPr="002E0F1D">
        <w:t>EADS</w:t>
      </w:r>
      <w:r w:rsidRPr="009E26F4">
        <w:t xml:space="preserve"> bond at issue</w:t>
      </w:r>
      <w:r w:rsidRPr="009E26F4">
        <w:rPr>
          <w:rStyle w:val="FootnoteReference"/>
        </w:rPr>
        <w:footnoteReference w:id="279"/>
      </w:r>
      <w:r w:rsidRPr="009E26F4">
        <w:t xml:space="preserve">, </w:t>
      </w:r>
      <w:r>
        <w:t>rather than</w:t>
      </w:r>
      <w:r w:rsidRPr="009E26F4">
        <w:t xml:space="preserve"> the yield of such </w:t>
      </w:r>
      <w:r>
        <w:t xml:space="preserve">a </w:t>
      </w:r>
      <w:r w:rsidRPr="009E26F4">
        <w:t xml:space="preserve">bond </w:t>
      </w:r>
      <w:r w:rsidRPr="009E26F4">
        <w:rPr>
          <w:i/>
        </w:rPr>
        <w:t>on the day</w:t>
      </w:r>
      <w:r w:rsidRPr="009E26F4">
        <w:t xml:space="preserve"> </w:t>
      </w:r>
      <w:r w:rsidRPr="009E26F4">
        <w:rPr>
          <w:i/>
        </w:rPr>
        <w:t>of conclusion</w:t>
      </w:r>
      <w:r w:rsidRPr="009E26F4">
        <w:t xml:space="preserve"> of each </w:t>
      </w:r>
      <w:r>
        <w:t xml:space="preserve">of the French, German, Spanish, and UK </w:t>
      </w:r>
      <w:r w:rsidRPr="009E26F4">
        <w:t>A350XWB LA/MSF contract</w:t>
      </w:r>
      <w:r>
        <w:t>s</w:t>
      </w:r>
      <w:r w:rsidRPr="009E26F4">
        <w:t xml:space="preserve">. </w:t>
      </w:r>
      <w:r>
        <w:t>T</w:t>
      </w:r>
      <w:r w:rsidRPr="009E26F4">
        <w:t xml:space="preserve">he </w:t>
      </w:r>
      <w:r w:rsidR="000A10EA">
        <w:t>European Union</w:t>
      </w:r>
      <w:r w:rsidRPr="009E26F4">
        <w:t xml:space="preserve"> </w:t>
      </w:r>
      <w:r>
        <w:t>t</w:t>
      </w:r>
      <w:r w:rsidRPr="009E26F4">
        <w:t>herefore requests us to reverse the Panel's conclusion that the corporate borrowing rate component of the market benchmark in the present case can be based on "the</w:t>
      </w:r>
      <w:r w:rsidRPr="00C3713E">
        <w:t xml:space="preserve"> average yields one</w:t>
      </w:r>
      <w:r>
        <w:noBreakHyphen/>
        <w:t xml:space="preserve">month prior and </w:t>
      </w:r>
      <w:r w:rsidR="000A10EA">
        <w:t>six</w:t>
      </w:r>
      <w:r w:rsidR="000A10EA">
        <w:noBreakHyphen/>
        <w:t>month</w:t>
      </w:r>
      <w:r w:rsidRPr="00C3713E">
        <w:t>s prior to the conclusion of the contract, in the form of a range"</w:t>
      </w:r>
      <w:r w:rsidRPr="00E55FB8">
        <w:rPr>
          <w:rStyle w:val="FootnoteReference"/>
        </w:rPr>
        <w:footnoteReference w:id="280"/>
      </w:r>
      <w:r w:rsidRPr="00E55FB8">
        <w:t xml:space="preserve">, and, consequently, </w:t>
      </w:r>
      <w:r>
        <w:t>also</w:t>
      </w:r>
      <w:r w:rsidRPr="00E55FB8">
        <w:t xml:space="preserve"> the Panel's findings related to the corporate borrowing rate </w:t>
      </w:r>
      <w:r>
        <w:t>set out in Table 7 ("Corporate </w:t>
      </w:r>
      <w:r w:rsidRPr="00E55FB8">
        <w:t>borrowing rate estimates"</w:t>
      </w:r>
      <w:r w:rsidRPr="00867FE3">
        <w:t>) at paragraph 6.430 and Table 10 ("Approximate difference between rates of return and market benchmark rate") at paragraph 6.632 of its Report.</w:t>
      </w:r>
      <w:r w:rsidRPr="00867FE3">
        <w:rPr>
          <w:rStyle w:val="FootnoteReference"/>
        </w:rPr>
        <w:footnoteReference w:id="281"/>
      </w:r>
    </w:p>
    <w:p w:rsidR="0007161B" w:rsidRDefault="0007161B" w:rsidP="00DC4FDF">
      <w:pPr>
        <w:pStyle w:val="BodyText"/>
      </w:pPr>
      <w:r w:rsidRPr="00867FE3">
        <w:t xml:space="preserve">The </w:t>
      </w:r>
      <w:r w:rsidR="000A10EA">
        <w:t>European Union</w:t>
      </w:r>
      <w:r w:rsidRPr="00867FE3">
        <w:t xml:space="preserve"> brings two </w:t>
      </w:r>
      <w:r w:rsidRPr="00131F95">
        <w:rPr>
          <w:i/>
        </w:rPr>
        <w:t>principal</w:t>
      </w:r>
      <w:r w:rsidRPr="00867FE3">
        <w:t xml:space="preserve"> claims of error concerning the manner in which the Panel identified the </w:t>
      </w:r>
      <w:r>
        <w:t xml:space="preserve">time period over which to observe </w:t>
      </w:r>
      <w:r w:rsidRPr="00867FE3">
        <w:t xml:space="preserve">the corporate borrowing rate component of the market benchmark. </w:t>
      </w:r>
      <w:r>
        <w:t>First, t</w:t>
      </w:r>
      <w:r w:rsidRPr="00867FE3">
        <w:t xml:space="preserve">he </w:t>
      </w:r>
      <w:r w:rsidR="000A10EA">
        <w:t>European Union</w:t>
      </w:r>
      <w:r>
        <w:t xml:space="preserve"> </w:t>
      </w:r>
      <w:r w:rsidRPr="009E26F4">
        <w:t xml:space="preserve">contends that the Panel erred in its application of </w:t>
      </w:r>
      <w:r w:rsidR="000A10EA">
        <w:t>Article </w:t>
      </w:r>
      <w:r w:rsidRPr="009E26F4">
        <w:t xml:space="preserve">1.1(b) of the </w:t>
      </w:r>
      <w:r w:rsidR="000A10EA">
        <w:t>SCM Agreement</w:t>
      </w:r>
      <w:r w:rsidRPr="009E26F4">
        <w:t xml:space="preserve"> by rejecting data pertaining to the yield of the relevant EADS bond </w:t>
      </w:r>
      <w:r>
        <w:t>on the day</w:t>
      </w:r>
      <w:r w:rsidRPr="009E26F4">
        <w:t xml:space="preserve"> of conclusion of each A350X</w:t>
      </w:r>
      <w:r w:rsidR="005B7BEB">
        <w:t>WB LA/MSF contract. Second, the </w:t>
      </w:r>
      <w:r w:rsidR="000A10EA">
        <w:t>European Union</w:t>
      </w:r>
      <w:r w:rsidRPr="009E26F4">
        <w:t xml:space="preserve"> asserts that the Panel failed to make an objective</w:t>
      </w:r>
      <w:r w:rsidRPr="00867FE3">
        <w:t xml:space="preserve"> assessment of the matter, as required by </w:t>
      </w:r>
      <w:r w:rsidR="000A10EA">
        <w:t>Article </w:t>
      </w:r>
      <w:r w:rsidRPr="00867FE3">
        <w:t>11 of the DSU, because it</w:t>
      </w:r>
      <w:r>
        <w:t>s decision to reject</w:t>
      </w:r>
      <w:r w:rsidRPr="00867FE3">
        <w:t xml:space="preserve"> the </w:t>
      </w:r>
      <w:r>
        <w:t xml:space="preserve">EADS bond </w:t>
      </w:r>
      <w:r w:rsidRPr="00867FE3">
        <w:t xml:space="preserve">yield </w:t>
      </w:r>
      <w:r w:rsidRPr="007420C6">
        <w:t>on the day of conclusion</w:t>
      </w:r>
      <w:r w:rsidRPr="00867FE3">
        <w:t xml:space="preserve"> of each A350XWB LA/MSF contract</w:t>
      </w:r>
      <w:r>
        <w:t xml:space="preserve"> </w:t>
      </w:r>
      <w:r w:rsidRPr="00867FE3">
        <w:t>lack</w:t>
      </w:r>
      <w:r>
        <w:t>s</w:t>
      </w:r>
      <w:r w:rsidRPr="00867FE3">
        <w:t xml:space="preserve"> an evidentiary basis</w:t>
      </w:r>
      <w:r>
        <w:t xml:space="preserve"> and reflects a lack of objectivity and even-handedness</w:t>
      </w:r>
      <w:r w:rsidRPr="00867FE3">
        <w:t>.</w:t>
      </w:r>
    </w:p>
    <w:p w:rsidR="0007161B" w:rsidRDefault="0007161B" w:rsidP="00DC4FDF">
      <w:pPr>
        <w:pStyle w:val="BodyText"/>
      </w:pPr>
      <w:r w:rsidRPr="00867FE3">
        <w:t xml:space="preserve">In the event that </w:t>
      </w:r>
      <w:r>
        <w:t>we</w:t>
      </w:r>
      <w:r w:rsidRPr="00867FE3">
        <w:t xml:space="preserve"> reject the above claims, the </w:t>
      </w:r>
      <w:r w:rsidR="000A10EA">
        <w:t>European Union</w:t>
      </w:r>
      <w:r w:rsidRPr="00867FE3">
        <w:t xml:space="preserve"> </w:t>
      </w:r>
      <w:r>
        <w:t xml:space="preserve">brings two </w:t>
      </w:r>
      <w:r w:rsidRPr="00867FE3">
        <w:rPr>
          <w:i/>
        </w:rPr>
        <w:t>conditional</w:t>
      </w:r>
      <w:r w:rsidRPr="00867FE3">
        <w:t xml:space="preserve"> </w:t>
      </w:r>
      <w:r>
        <w:t xml:space="preserve">claims – a claim of error in the </w:t>
      </w:r>
      <w:r w:rsidRPr="00867FE3">
        <w:t xml:space="preserve">application of </w:t>
      </w:r>
      <w:r w:rsidR="000A10EA">
        <w:t>Article </w:t>
      </w:r>
      <w:r>
        <w:t xml:space="preserve">1.1(b) of the </w:t>
      </w:r>
      <w:r w:rsidR="000A10EA">
        <w:t>SCM Agreement</w:t>
      </w:r>
      <w:r>
        <w:t xml:space="preserve"> and a claim of inconsistency with </w:t>
      </w:r>
      <w:r w:rsidR="000A10EA">
        <w:t>Article </w:t>
      </w:r>
      <w:r>
        <w:t xml:space="preserve">11 of the DSU – challenging the Panel's decision to </w:t>
      </w:r>
      <w:r w:rsidRPr="00867FE3">
        <w:t xml:space="preserve">accept the average yield of the EADS bond over the </w:t>
      </w:r>
      <w:r w:rsidR="000A10EA">
        <w:t>six month</w:t>
      </w:r>
      <w:r w:rsidRPr="00867FE3">
        <w:t>s prior to the conclusion of each of the A350XWB LA/MSF contract</w:t>
      </w:r>
      <w:r>
        <w:t>s</w:t>
      </w:r>
      <w:r w:rsidRPr="00867FE3">
        <w:t xml:space="preserve"> as part of the range </w:t>
      </w:r>
      <w:r>
        <w:t xml:space="preserve">of </w:t>
      </w:r>
      <w:r w:rsidR="008A5F34">
        <w:t xml:space="preserve">average </w:t>
      </w:r>
      <w:r>
        <w:t xml:space="preserve">yields </w:t>
      </w:r>
      <w:r w:rsidRPr="00867FE3">
        <w:t xml:space="preserve">that </w:t>
      </w:r>
      <w:r>
        <w:t>was</w:t>
      </w:r>
      <w:r w:rsidRPr="00867FE3">
        <w:t xml:space="preserve"> used to determine the corporate borrowing rate</w:t>
      </w:r>
      <w:r>
        <w:t>.</w:t>
      </w:r>
      <w:r>
        <w:rPr>
          <w:rStyle w:val="FootnoteReference"/>
        </w:rPr>
        <w:footnoteReference w:id="282"/>
      </w:r>
    </w:p>
    <w:p w:rsidR="0007161B" w:rsidRDefault="0007161B" w:rsidP="00DC4FDF">
      <w:pPr>
        <w:pStyle w:val="BodyText"/>
      </w:pPr>
      <w:r>
        <w:t xml:space="preserve">Before addressing the </w:t>
      </w:r>
      <w:r w:rsidR="000A10EA">
        <w:t>European Union</w:t>
      </w:r>
      <w:r>
        <w:t>'s claims of err</w:t>
      </w:r>
      <w:r w:rsidR="005B7BEB">
        <w:t>or, we begin by summarizing the </w:t>
      </w:r>
      <w:r>
        <w:t>Panel's findings.</w:t>
      </w:r>
    </w:p>
    <w:p w:rsidR="0007161B" w:rsidRDefault="0007161B" w:rsidP="00DC4FDF">
      <w:pPr>
        <w:pStyle w:val="Heading4"/>
        <w:numPr>
          <w:ilvl w:val="3"/>
          <w:numId w:val="10"/>
        </w:numPr>
      </w:pPr>
      <w:bookmarkStart w:id="57" w:name="_Toc514059217"/>
      <w:r>
        <w:t>The Panel's findings</w:t>
      </w:r>
      <w:bookmarkEnd w:id="57"/>
    </w:p>
    <w:p w:rsidR="0007161B" w:rsidRDefault="0007161B" w:rsidP="00DC4FDF">
      <w:pPr>
        <w:pStyle w:val="BodyText"/>
      </w:pPr>
      <w:r w:rsidRPr="00D32743">
        <w:t xml:space="preserve">Having determined the expected rates of return of the </w:t>
      </w:r>
      <w:r>
        <w:t xml:space="preserve">four </w:t>
      </w:r>
      <w:r w:rsidRPr="00D32743">
        <w:t xml:space="preserve">A350XWB LA/MSF contracts, the Panel turned to examine </w:t>
      </w:r>
      <w:r w:rsidRPr="004F5E01">
        <w:t xml:space="preserve">the rate of return that a market lender would have demanded for providing financing on the same or similar terms as LA/MSF for the A350XWB (i.e. the market benchmark rate of return). </w:t>
      </w:r>
      <w:r w:rsidRPr="00C64BE0">
        <w:t>Befo</w:t>
      </w:r>
      <w:r w:rsidRPr="00316CF9">
        <w:t>re the Panel</w:t>
      </w:r>
      <w:r>
        <w:t>,</w:t>
      </w:r>
      <w:r w:rsidRPr="00316CF9">
        <w:t xml:space="preserve"> the </w:t>
      </w:r>
      <w:r w:rsidR="000A10EA">
        <w:t>United States</w:t>
      </w:r>
      <w:r w:rsidRPr="00316CF9">
        <w:t xml:space="preserve"> proposed constructing such a benchmark based on</w:t>
      </w:r>
      <w:r>
        <w:t>:</w:t>
      </w:r>
      <w:r w:rsidRPr="00316CF9">
        <w:t xml:space="preserve"> (i) a general borrowing rate that the recipient (Airbus) would have </w:t>
      </w:r>
      <w:r>
        <w:t xml:space="preserve">had </w:t>
      </w:r>
      <w:r w:rsidRPr="00316CF9">
        <w:t>to pay to a market lender</w:t>
      </w:r>
      <w:r>
        <w:t>;</w:t>
      </w:r>
      <w:r w:rsidRPr="00316CF9">
        <w:t xml:space="preserve"> plus (ii)</w:t>
      </w:r>
      <w:r>
        <w:t> </w:t>
      </w:r>
      <w:r w:rsidRPr="00316CF9">
        <w:t>a</w:t>
      </w:r>
      <w:r>
        <w:t> </w:t>
      </w:r>
      <w:r w:rsidRPr="00316CF9">
        <w:t>project</w:t>
      </w:r>
      <w:r>
        <w:noBreakHyphen/>
      </w:r>
      <w:r w:rsidRPr="00316CF9">
        <w:t xml:space="preserve">specific risk premium that represents the additional return that a lender would </w:t>
      </w:r>
      <w:r>
        <w:t xml:space="preserve">have </w:t>
      </w:r>
      <w:r w:rsidRPr="00316CF9">
        <w:t>require</w:t>
      </w:r>
      <w:r>
        <w:t>d</w:t>
      </w:r>
      <w:r w:rsidRPr="00316CF9">
        <w:t xml:space="preserve"> for offering financing on the particular terms of the </w:t>
      </w:r>
      <w:r w:rsidRPr="00296E63">
        <w:t>relevant A350XWB LA/MSF contracts</w:t>
      </w:r>
      <w:r w:rsidRPr="00047771">
        <w:t>.</w:t>
      </w:r>
      <w:r w:rsidRPr="007D4E98">
        <w:rPr>
          <w:rStyle w:val="FootnoteReference"/>
        </w:rPr>
        <w:footnoteReference w:id="283"/>
      </w:r>
      <w:r w:rsidRPr="006E63EA">
        <w:t xml:space="preserve"> The </w:t>
      </w:r>
      <w:r w:rsidR="000A10EA">
        <w:t>European Union</w:t>
      </w:r>
      <w:r w:rsidRPr="006E63EA">
        <w:t xml:space="preserve"> did not object to this approach for examining whether the </w:t>
      </w:r>
      <w:r w:rsidRPr="00296E63">
        <w:t xml:space="preserve">A350XWB LA/MSF </w:t>
      </w:r>
      <w:r>
        <w:t xml:space="preserve">contracts </w:t>
      </w:r>
      <w:r w:rsidRPr="006E63EA">
        <w:t>confer a benefit.</w:t>
      </w:r>
      <w:r w:rsidRPr="00A22B4D">
        <w:t xml:space="preserve"> </w:t>
      </w:r>
      <w:r w:rsidRPr="00D32743">
        <w:t>However, the Panel observe</w:t>
      </w:r>
      <w:r>
        <w:t>d</w:t>
      </w:r>
      <w:r w:rsidRPr="00D32743">
        <w:t xml:space="preserve"> that the parties had </w:t>
      </w:r>
      <w:r>
        <w:t xml:space="preserve">diverging positions </w:t>
      </w:r>
      <w:r w:rsidRPr="004F5E01">
        <w:t xml:space="preserve">regarding </w:t>
      </w:r>
      <w:r w:rsidRPr="00C64BE0">
        <w:rPr>
          <w:i/>
        </w:rPr>
        <w:t>both</w:t>
      </w:r>
      <w:r w:rsidRPr="00D039E3">
        <w:t xml:space="preserve"> the general corporate borrowing rate </w:t>
      </w:r>
      <w:r w:rsidRPr="005F3B7A">
        <w:rPr>
          <w:i/>
        </w:rPr>
        <w:t>and</w:t>
      </w:r>
      <w:r w:rsidRPr="00181457">
        <w:t xml:space="preserve"> th</w:t>
      </w:r>
      <w:r>
        <w:t>e project</w:t>
      </w:r>
      <w:r>
        <w:noBreakHyphen/>
      </w:r>
      <w:r w:rsidRPr="00CE3CE8">
        <w:t>specific risk premium.</w:t>
      </w:r>
      <w:r w:rsidRPr="00FE454E">
        <w:rPr>
          <w:rStyle w:val="FootnoteReference"/>
        </w:rPr>
        <w:footnoteReference w:id="284"/>
      </w:r>
    </w:p>
    <w:p w:rsidR="0007161B" w:rsidRDefault="0007161B" w:rsidP="00DC4FDF">
      <w:pPr>
        <w:pStyle w:val="BodyText"/>
      </w:pPr>
      <w:r w:rsidRPr="00E37191">
        <w:t xml:space="preserve">The Panel began </w:t>
      </w:r>
      <w:r w:rsidRPr="002F6182">
        <w:t xml:space="preserve">by noting that the determination of the market benchmark rate of return raised the initial question </w:t>
      </w:r>
      <w:r w:rsidRPr="00B613CF">
        <w:t xml:space="preserve">of whether to use the rates derived from the </w:t>
      </w:r>
      <w:r w:rsidRPr="008920B2">
        <w:t xml:space="preserve">data and regression models </w:t>
      </w:r>
      <w:r w:rsidRPr="008920B2">
        <w:lastRenderedPageBreak/>
        <w:t xml:space="preserve">used in the original proceedings, as proposed by the </w:t>
      </w:r>
      <w:r w:rsidR="000A10EA">
        <w:t>United States</w:t>
      </w:r>
      <w:r w:rsidRPr="008920B2">
        <w:t xml:space="preserve">, or from EADS' actual general borrowing costs, as proposed by the </w:t>
      </w:r>
      <w:r w:rsidR="000A10EA">
        <w:t>European Union</w:t>
      </w:r>
      <w:r w:rsidRPr="008920B2">
        <w:t>.</w:t>
      </w:r>
      <w:r w:rsidR="008A5F34">
        <w:rPr>
          <w:rStyle w:val="FootnoteReference"/>
        </w:rPr>
        <w:footnoteReference w:id="285"/>
      </w:r>
      <w:r w:rsidRPr="008920B2">
        <w:t xml:space="preserve"> The </w:t>
      </w:r>
      <w:r w:rsidR="000A10EA">
        <w:t>United States</w:t>
      </w:r>
      <w:r w:rsidRPr="008920B2">
        <w:t xml:space="preserve"> requested an expert – Dr </w:t>
      </w:r>
      <w:r w:rsidRPr="007E4FD9">
        <w:t>James</w:t>
      </w:r>
      <w:r>
        <w:t xml:space="preserve"> </w:t>
      </w:r>
      <w:r w:rsidRPr="008920B2">
        <w:t>Jordan – to prepare a report calculating Airbus' corporate borrowing rate.</w:t>
      </w:r>
      <w:r w:rsidRPr="008920B2">
        <w:rPr>
          <w:rStyle w:val="FootnoteReference"/>
        </w:rPr>
        <w:footnoteReference w:id="286"/>
      </w:r>
      <w:r>
        <w:t xml:space="preserve"> On the basis of this report, t</w:t>
      </w:r>
      <w:r>
        <w:rPr>
          <w:szCs w:val="18"/>
        </w:rPr>
        <w:t xml:space="preserve">he </w:t>
      </w:r>
      <w:r w:rsidR="000A10EA">
        <w:rPr>
          <w:szCs w:val="18"/>
        </w:rPr>
        <w:t>United States</w:t>
      </w:r>
      <w:r>
        <w:rPr>
          <w:szCs w:val="18"/>
        </w:rPr>
        <w:t xml:space="preserve"> presented general corporate borrowing rates that were based on the same data used to derive the general corporate borrowing rates applied in the original proceeding</w:t>
      </w:r>
      <w:r w:rsidR="008A5F34">
        <w:rPr>
          <w:szCs w:val="18"/>
        </w:rPr>
        <w:t>s</w:t>
      </w:r>
      <w:r>
        <w:rPr>
          <w:szCs w:val="18"/>
        </w:rPr>
        <w:t>, updated to account for the timing of the conclusion of the relevant A350XWB LA/MSF contracts.</w:t>
      </w:r>
      <w:r>
        <w:rPr>
          <w:rStyle w:val="FootnoteReference"/>
          <w:szCs w:val="18"/>
        </w:rPr>
        <w:footnoteReference w:id="287"/>
      </w:r>
      <w:r w:rsidRPr="008920B2">
        <w:t xml:space="preserve"> </w:t>
      </w:r>
      <w:r>
        <w:t>T</w:t>
      </w:r>
      <w:r w:rsidRPr="008920B2">
        <w:t xml:space="preserve">he </w:t>
      </w:r>
      <w:r w:rsidR="000A10EA">
        <w:t>European Union</w:t>
      </w:r>
      <w:r w:rsidRPr="008920B2">
        <w:t xml:space="preserve"> rejected the </w:t>
      </w:r>
      <w:r w:rsidR="000A10EA">
        <w:t>United States</w:t>
      </w:r>
      <w:r w:rsidRPr="008920B2">
        <w:t>'</w:t>
      </w:r>
      <w:r w:rsidRPr="006E63EA">
        <w:t xml:space="preserve"> approach, maintaining that, unlike in the original proceeding</w:t>
      </w:r>
      <w:r w:rsidRPr="00A22B4D">
        <w:t>s</w:t>
      </w:r>
      <w:r w:rsidRPr="00D32743">
        <w:t>, the borrowing history and bond data of Airbus' parent company, EADS, we</w:t>
      </w:r>
      <w:r w:rsidRPr="00316CF9">
        <w:t xml:space="preserve">re directly observable </w:t>
      </w:r>
      <w:r>
        <w:t>when</w:t>
      </w:r>
      <w:r w:rsidRPr="00316CF9">
        <w:t xml:space="preserve"> the A350XWB LA/MSF contracts were concluded.</w:t>
      </w:r>
      <w:r w:rsidRPr="00197394">
        <w:rPr>
          <w:rStyle w:val="FootnoteReference"/>
        </w:rPr>
        <w:footnoteReference w:id="288"/>
      </w:r>
      <w:r w:rsidR="005B7BEB">
        <w:t xml:space="preserve"> The </w:t>
      </w:r>
      <w:r w:rsidR="000A10EA">
        <w:t>European Union</w:t>
      </w:r>
      <w:r w:rsidRPr="007D4E98">
        <w:t xml:space="preserve"> also relied on an expert – Professor </w:t>
      </w:r>
      <w:r>
        <w:t xml:space="preserve">Robert </w:t>
      </w:r>
      <w:r w:rsidRPr="007D4E98">
        <w:t>Whitelaw – to calculate the relevant corporate borrowing rate.</w:t>
      </w:r>
      <w:r w:rsidR="008A5F34">
        <w:rPr>
          <w:rStyle w:val="FootnoteReference"/>
        </w:rPr>
        <w:footnoteReference w:id="289"/>
      </w:r>
      <w:r w:rsidRPr="007D4E98">
        <w:t xml:space="preserve"> Professor Whitelaw asserted that "it 'is possible to establish f</w:t>
      </w:r>
      <w:r w:rsidRPr="006E63EA">
        <w:t>rom market data the company's actual cost of long-term borrowing</w:t>
      </w:r>
      <w:r>
        <w:t>', that is, 'EADS' actual, long</w:t>
      </w:r>
      <w:r>
        <w:noBreakHyphen/>
      </w:r>
      <w:r w:rsidRPr="006E63EA">
        <w:t>term borrowing rates at the date of the agreements, expres</w:t>
      </w:r>
      <w:r>
        <w:t>sed as the yield on its longest</w:t>
      </w:r>
      <w:r>
        <w:noBreakHyphen/>
      </w:r>
      <w:r w:rsidRPr="006E63EA">
        <w:t>term bond</w:t>
      </w:r>
      <w:r w:rsidR="000A1C11">
        <w:t>'</w:t>
      </w:r>
      <w:r w:rsidRPr="006E63EA">
        <w:t>."</w:t>
      </w:r>
      <w:r w:rsidRPr="00A22B4D">
        <w:rPr>
          <w:rStyle w:val="FootnoteReference"/>
        </w:rPr>
        <w:footnoteReference w:id="290"/>
      </w:r>
      <w:r w:rsidRPr="00D32743">
        <w:t xml:space="preserve"> </w:t>
      </w:r>
    </w:p>
    <w:p w:rsidR="0007161B" w:rsidRDefault="0007161B" w:rsidP="00DC4FDF">
      <w:pPr>
        <w:pStyle w:val="BodyText"/>
      </w:pPr>
      <w:r>
        <w:t>T</w:t>
      </w:r>
      <w:r w:rsidRPr="00197394">
        <w:t xml:space="preserve">he Panel agreed with the </w:t>
      </w:r>
      <w:r w:rsidR="000A10EA">
        <w:t>European Union</w:t>
      </w:r>
      <w:r w:rsidRPr="00047771">
        <w:t xml:space="preserve"> that the in</w:t>
      </w:r>
      <w:r w:rsidRPr="007D4E98">
        <w:t xml:space="preserve">tegration of the Airbus entities and the availability of the EADS bond data are relevant factual differences between the original and </w:t>
      </w:r>
      <w:r>
        <w:t xml:space="preserve">the </w:t>
      </w:r>
      <w:r w:rsidRPr="00316CF9">
        <w:t>compliance proceedings</w:t>
      </w:r>
      <w:r w:rsidRPr="00197394">
        <w:t>.</w:t>
      </w:r>
      <w:r w:rsidRPr="00047771">
        <w:rPr>
          <w:rStyle w:val="FootnoteReference"/>
        </w:rPr>
        <w:footnoteReference w:id="291"/>
      </w:r>
      <w:r w:rsidRPr="007D4E98">
        <w:t xml:space="preserve"> Th</w:t>
      </w:r>
      <w:r>
        <w:t>us, th</w:t>
      </w:r>
      <w:r w:rsidRPr="007D4E98">
        <w:t xml:space="preserve">e Panel considered that using relevant bond data directly observable at the time that the A350XWB LA/MSF contracts were concluded – to the extent that such data </w:t>
      </w:r>
      <w:r w:rsidRPr="006E63EA">
        <w:t>refle</w:t>
      </w:r>
      <w:r w:rsidRPr="00316CF9">
        <w:t>ct borrowing by the relevant entities – would, in principle, be preferable to</w:t>
      </w:r>
      <w:r>
        <w:t xml:space="preserve"> the approach proposed by the </w:t>
      </w:r>
      <w:r w:rsidR="000A10EA">
        <w:t>United States</w:t>
      </w:r>
      <w:r w:rsidRPr="00047771">
        <w:t>.</w:t>
      </w:r>
      <w:r w:rsidRPr="007D4E98">
        <w:rPr>
          <w:rStyle w:val="FootnoteReference"/>
        </w:rPr>
        <w:footnoteReference w:id="292"/>
      </w:r>
      <w:r>
        <w:t xml:space="preserve"> </w:t>
      </w:r>
      <w:r w:rsidRPr="00A22B4D">
        <w:t xml:space="preserve">However, before reaching its conclusion on the appropriate corporate borrowing rate for constructing the </w:t>
      </w:r>
      <w:r w:rsidRPr="00D32743">
        <w:t xml:space="preserve">market benchmark, the Panel addressed a series of criticisms by the </w:t>
      </w:r>
      <w:r w:rsidR="000A10EA">
        <w:t>United States</w:t>
      </w:r>
      <w:r w:rsidRPr="00D32743">
        <w:t xml:space="preserve"> questioning the extent to which the EADS bond data may be used to construct the relevant corporate borrowing rates. In particular, the Panel examined the following four issue</w:t>
      </w:r>
      <w:r w:rsidRPr="004F5E01">
        <w:t xml:space="preserve">s raised by the </w:t>
      </w:r>
      <w:r w:rsidR="000A10EA">
        <w:t>United States</w:t>
      </w:r>
      <w:r w:rsidRPr="00D039E3">
        <w:t>: (i) whether the EADS bond reflects the</w:t>
      </w:r>
      <w:r>
        <w:t xml:space="preserve"> identity of the borrower; (ii) </w:t>
      </w:r>
      <w:r w:rsidRPr="00D039E3">
        <w:t>the relevant dates for obser</w:t>
      </w:r>
      <w:r w:rsidR="008A5F34">
        <w:t>ving the EADS bond yield; (iii) </w:t>
      </w:r>
      <w:r w:rsidRPr="00D039E3">
        <w:t>whether to adjust the EADS bond yield in terms of maturity and duration; and (iv</w:t>
      </w:r>
      <w:r w:rsidRPr="005F3B7A">
        <w:t>) </w:t>
      </w:r>
      <w:r w:rsidRPr="00181457">
        <w:t>whether to add</w:t>
      </w:r>
      <w:r w:rsidRPr="00CE3CE8">
        <w:t xml:space="preserve"> to the corporate </w:t>
      </w:r>
      <w:r w:rsidRPr="00FE454E">
        <w:t>borro</w:t>
      </w:r>
      <w:r w:rsidRPr="00197394">
        <w:t>wing rate an amount for normal fees and charges associated with general corp</w:t>
      </w:r>
      <w:r>
        <w:t>orate borrowing on the </w:t>
      </w:r>
      <w:r w:rsidRPr="00047771">
        <w:t>market.</w:t>
      </w:r>
      <w:r w:rsidRPr="007D4E98">
        <w:rPr>
          <w:rStyle w:val="FootnoteReference"/>
        </w:rPr>
        <w:footnoteReference w:id="293"/>
      </w:r>
    </w:p>
    <w:p w:rsidR="0007161B" w:rsidRPr="001C3208" w:rsidRDefault="0007161B" w:rsidP="00DC4FDF">
      <w:pPr>
        <w:pStyle w:val="BodyText"/>
      </w:pPr>
      <w:r w:rsidRPr="00A22B4D">
        <w:t xml:space="preserve">With respect to the first issue, the </w:t>
      </w:r>
      <w:r w:rsidR="000A10EA">
        <w:t>United States</w:t>
      </w:r>
      <w:r w:rsidRPr="00D32743">
        <w:t xml:space="preserve"> questioned whether </w:t>
      </w:r>
      <w:r>
        <w:t>a</w:t>
      </w:r>
      <w:r w:rsidRPr="00D32743">
        <w:t xml:space="preserve"> bond representing the corporate borrowing </w:t>
      </w:r>
      <w:r w:rsidRPr="001425FA">
        <w:t>rate</w:t>
      </w:r>
      <w:r>
        <w:t xml:space="preserve"> </w:t>
      </w:r>
      <w:r w:rsidRPr="00D32743">
        <w:t>of EADS – Airbus' parent company – is a good reflection of the general corporate bor</w:t>
      </w:r>
      <w:r w:rsidRPr="00E97614">
        <w:t xml:space="preserve">rowing rate associated with the Airbus entities with which the </w:t>
      </w:r>
      <w:r>
        <w:t>A350XWB LA/MSF</w:t>
      </w:r>
      <w:r w:rsidRPr="00E97614">
        <w:t xml:space="preserve"> contract</w:t>
      </w:r>
      <w:r>
        <w:t>s</w:t>
      </w:r>
      <w:r w:rsidRPr="00E97614">
        <w:t xml:space="preserve"> </w:t>
      </w:r>
      <w:r>
        <w:t>were</w:t>
      </w:r>
      <w:r w:rsidRPr="00E97614">
        <w:t xml:space="preserve"> concluded</w:t>
      </w:r>
      <w:r>
        <w:t>.</w:t>
      </w:r>
      <w:r w:rsidR="00657B57">
        <w:rPr>
          <w:rStyle w:val="FootnoteReference"/>
        </w:rPr>
        <w:footnoteReference w:id="294"/>
      </w:r>
      <w:r>
        <w:t xml:space="preserve"> </w:t>
      </w:r>
      <w:r w:rsidRPr="00E97614">
        <w:t xml:space="preserve">In the Panel's view, the borrowing rate </w:t>
      </w:r>
      <w:r>
        <w:t>can be</w:t>
      </w:r>
      <w:r w:rsidRPr="00E97614">
        <w:t xml:space="preserve"> expected to be </w:t>
      </w:r>
      <w:r w:rsidRPr="007F2F08">
        <w:t xml:space="preserve">closest to the parent company's borrowing rate where the parent is explicitly a co-contractor </w:t>
      </w:r>
      <w:r w:rsidRPr="007F2F08">
        <w:rPr>
          <w:b/>
        </w:rPr>
        <w:t>[</w:t>
      </w:r>
      <w:r w:rsidR="00C8434D" w:rsidRPr="00C8434D">
        <w:rPr>
          <w:b/>
          <w:szCs w:val="16"/>
        </w:rPr>
        <w:t>BCI</w:t>
      </w:r>
      <w:r w:rsidRPr="001D6C67">
        <w:rPr>
          <w:b/>
        </w:rPr>
        <w:t>]</w:t>
      </w:r>
      <w:r w:rsidRPr="007F2F08">
        <w:t>.</w:t>
      </w:r>
      <w:r w:rsidR="00267BCB">
        <w:t xml:space="preserve"> </w:t>
      </w:r>
      <w:r w:rsidRPr="007F2F08">
        <w:t>Noting that the German KfW A350XWB Loan Agreement</w:t>
      </w:r>
      <w:r w:rsidRPr="007F2F08" w:rsidDel="00B423AF">
        <w:t xml:space="preserve"> </w:t>
      </w:r>
      <w:r w:rsidRPr="007F2F08">
        <w:t>and UK A350XWB LA/MSF contract</w:t>
      </w:r>
      <w:r w:rsidRPr="007F2F08" w:rsidDel="00B423AF">
        <w:t xml:space="preserve"> </w:t>
      </w:r>
      <w:r w:rsidRPr="007F2F08">
        <w:t xml:space="preserve">implicate EADS directly as a co-contractor </w:t>
      </w:r>
      <w:r w:rsidRPr="007F2F08">
        <w:rPr>
          <w:b/>
        </w:rPr>
        <w:t>[</w:t>
      </w:r>
      <w:r w:rsidR="00C8434D" w:rsidRPr="00C8434D">
        <w:rPr>
          <w:b/>
          <w:szCs w:val="16"/>
        </w:rPr>
        <w:t>BCI</w:t>
      </w:r>
      <w:r w:rsidRPr="007F2F08">
        <w:rPr>
          <w:b/>
        </w:rPr>
        <w:t>]</w:t>
      </w:r>
      <w:r w:rsidRPr="007F2F08">
        <w:t>, the Panel agreed with</w:t>
      </w:r>
      <w:r w:rsidRPr="00D32743">
        <w:t xml:space="preserve"> the </w:t>
      </w:r>
      <w:r w:rsidR="000A10EA">
        <w:t>European Union</w:t>
      </w:r>
      <w:r w:rsidRPr="004F5E01">
        <w:t xml:space="preserve"> that the reference to EADS' corporate borrowing rate is appropriate for those two contracts.</w:t>
      </w:r>
      <w:r w:rsidRPr="00C64BE0">
        <w:rPr>
          <w:rStyle w:val="FootnoteReference"/>
        </w:rPr>
        <w:footnoteReference w:id="295"/>
      </w:r>
      <w:r>
        <w:t xml:space="preserve"> By contrast, </w:t>
      </w:r>
      <w:r w:rsidRPr="00181457">
        <w:t>the Panel</w:t>
      </w:r>
      <w:r>
        <w:t xml:space="preserve"> indicated that general corporate borrowing rates may be higher than the parent </w:t>
      </w:r>
      <w:r>
        <w:lastRenderedPageBreak/>
        <w:t xml:space="preserve">company rate where the parent </w:t>
      </w:r>
      <w:r w:rsidR="009343AF" w:rsidRPr="009343AF">
        <w:rPr>
          <w:b/>
        </w:rPr>
        <w:t>[</w:t>
      </w:r>
      <w:r w:rsidR="00C8434D" w:rsidRPr="00C8434D">
        <w:rPr>
          <w:b/>
          <w:szCs w:val="16"/>
        </w:rPr>
        <w:t>BCI</w:t>
      </w:r>
      <w:r w:rsidR="009343AF" w:rsidRPr="009343AF">
        <w:rPr>
          <w:b/>
        </w:rPr>
        <w:t>]</w:t>
      </w:r>
      <w:r>
        <w:t>. The Panel thus considered that the corporate borrowing rate for the French Airbus entity, Airbus SAS (Toulouse), and for the Spanish Airbus entity, Airbus Operations SL, could be higher than the corporate borrowing rate for EADS.</w:t>
      </w:r>
      <w:r>
        <w:rPr>
          <w:rStyle w:val="FootnoteReference"/>
        </w:rPr>
        <w:footnoteReference w:id="296"/>
      </w:r>
      <w:r w:rsidRPr="00E97614">
        <w:t xml:space="preserve"> </w:t>
      </w:r>
      <w:r>
        <w:t>As a result</w:t>
      </w:r>
      <w:r w:rsidRPr="00E97614">
        <w:t xml:space="preserve">, for the </w:t>
      </w:r>
      <w:r w:rsidRPr="00047771">
        <w:t xml:space="preserve">French A350XWB LA/MSF contract and </w:t>
      </w:r>
      <w:r>
        <w:t xml:space="preserve">the </w:t>
      </w:r>
      <w:r w:rsidRPr="00047771">
        <w:t xml:space="preserve">Spanish A350XWB </w:t>
      </w:r>
      <w:r w:rsidRPr="007D4E98">
        <w:rPr>
          <w:i/>
        </w:rPr>
        <w:t>Convenio</w:t>
      </w:r>
      <w:r w:rsidRPr="006E63EA">
        <w:t xml:space="preserve">, the EADS bond may be an understatement of the </w:t>
      </w:r>
      <w:r>
        <w:t xml:space="preserve">general </w:t>
      </w:r>
      <w:r w:rsidRPr="00E97614">
        <w:t>corporate</w:t>
      </w:r>
      <w:r>
        <w:t xml:space="preserve"> borrowing</w:t>
      </w:r>
      <w:r w:rsidRPr="00E97614">
        <w:t xml:space="preserve"> rate. However, the Panel considered that using the EADS bond for all four </w:t>
      </w:r>
      <w:r>
        <w:t>A350XWB LA/MSF</w:t>
      </w:r>
      <w:r w:rsidRPr="00E97614">
        <w:t xml:space="preserve"> contracts was preferable to the </w:t>
      </w:r>
      <w:r w:rsidR="000A10EA">
        <w:t>United States</w:t>
      </w:r>
      <w:r>
        <w:t>' proposed alternative</w:t>
      </w:r>
      <w:r w:rsidRPr="00E97614">
        <w:t xml:space="preserve"> on</w:t>
      </w:r>
      <w:r>
        <w:t> </w:t>
      </w:r>
      <w:r w:rsidRPr="00E97614">
        <w:t xml:space="preserve">the understanding that the EADS bond may well be an underestimate for at least the French A350XWB LA/MSF contract and Spanish A350XWB </w:t>
      </w:r>
      <w:r w:rsidRPr="00E97614">
        <w:rPr>
          <w:i/>
        </w:rPr>
        <w:t>Convenio</w:t>
      </w:r>
      <w:r w:rsidRPr="00E97614">
        <w:t>.</w:t>
      </w:r>
      <w:r w:rsidRPr="00E97614">
        <w:rPr>
          <w:rStyle w:val="FootnoteReference"/>
        </w:rPr>
        <w:footnoteReference w:id="297"/>
      </w:r>
    </w:p>
    <w:p w:rsidR="0007161B" w:rsidRPr="001C3208" w:rsidRDefault="0007161B" w:rsidP="00DC4FDF">
      <w:pPr>
        <w:pStyle w:val="BodyText"/>
      </w:pPr>
      <w:r w:rsidRPr="00047771">
        <w:t xml:space="preserve">Regarding the relevant dates for observing the EADS bond yield, the Panel identified two main issues raised by the </w:t>
      </w:r>
      <w:r w:rsidR="000A10EA">
        <w:t>United States</w:t>
      </w:r>
      <w:r w:rsidRPr="006E63EA">
        <w:t xml:space="preserve">: (i) whether </w:t>
      </w:r>
      <w:r>
        <w:t xml:space="preserve">Professor Whitelaw's </w:t>
      </w:r>
      <w:r w:rsidRPr="006E63EA">
        <w:t>approach – which average</w:t>
      </w:r>
      <w:r>
        <w:t>d</w:t>
      </w:r>
      <w:r w:rsidRPr="006E63EA">
        <w:t xml:space="preserve"> the yield over a period representing the time during which the </w:t>
      </w:r>
      <w:r w:rsidRPr="00A22B4D">
        <w:t xml:space="preserve">A350XWB LA/MSF </w:t>
      </w:r>
      <w:r w:rsidRPr="00D32743">
        <w:t xml:space="preserve">contracts were concluded – </w:t>
      </w:r>
      <w:r>
        <w:t>wa</w:t>
      </w:r>
      <w:r w:rsidRPr="00D32743">
        <w:t>s an appropriate way of determini</w:t>
      </w:r>
      <w:r>
        <w:t>ng the EADS bond rate; and (ii) </w:t>
      </w:r>
      <w:r w:rsidRPr="00D32743">
        <w:t xml:space="preserve">which date is relevant for deriving the yield </w:t>
      </w:r>
      <w:r>
        <w:t>applicable to</w:t>
      </w:r>
      <w:r w:rsidRPr="00D32743">
        <w:t xml:space="preserve"> the French A350XWB </w:t>
      </w:r>
      <w:r w:rsidRPr="00E97614">
        <w:t>LA/MSF contract.</w:t>
      </w:r>
      <w:r>
        <w:rPr>
          <w:rStyle w:val="FootnoteReference"/>
        </w:rPr>
        <w:footnoteReference w:id="298"/>
      </w:r>
    </w:p>
    <w:p w:rsidR="0007161B" w:rsidRPr="007F2F08" w:rsidRDefault="0007161B" w:rsidP="00DC4FDF">
      <w:pPr>
        <w:pStyle w:val="BodyText"/>
      </w:pPr>
      <w:r w:rsidRPr="00047771">
        <w:t>With resp</w:t>
      </w:r>
      <w:r w:rsidRPr="007D4E98">
        <w:t xml:space="preserve">ect to Professor Whitelaw's average, </w:t>
      </w:r>
      <w:r w:rsidRPr="00A453EC">
        <w:t xml:space="preserve">the </w:t>
      </w:r>
      <w:r w:rsidR="000A10EA">
        <w:t>European Union</w:t>
      </w:r>
      <w:r w:rsidRPr="00A453EC">
        <w:t xml:space="preserve"> indicated that his proposed corporate borrowing rate was obtained by averaging the EADS bond's yield to maturity</w:t>
      </w:r>
      <w:r w:rsidR="00A2233B">
        <w:t xml:space="preserve"> (YTM)</w:t>
      </w:r>
      <w:r w:rsidRPr="00A453EC">
        <w:t xml:space="preserve"> over </w:t>
      </w:r>
      <w:r w:rsidRPr="00A453EC">
        <w:rPr>
          <w:b/>
        </w:rPr>
        <w:t>[</w:t>
      </w:r>
      <w:r w:rsidR="00C8434D" w:rsidRPr="00C8434D">
        <w:rPr>
          <w:b/>
          <w:szCs w:val="16"/>
        </w:rPr>
        <w:t>BCI</w:t>
      </w:r>
      <w:r w:rsidRPr="00A453EC">
        <w:rPr>
          <w:b/>
        </w:rPr>
        <w:t>]</w:t>
      </w:r>
      <w:r w:rsidRPr="00A453EC">
        <w:t xml:space="preserve"> months. Therefore, Professor Whitelaw derived the YTM of the EADS 5.5% 03/18 medium</w:t>
      </w:r>
      <w:r w:rsidR="008923E4">
        <w:t>-</w:t>
      </w:r>
      <w:r w:rsidRPr="00A453EC">
        <w:t xml:space="preserve">term note (MTN) bond for the period </w:t>
      </w:r>
      <w:r w:rsidRPr="00A453EC">
        <w:rPr>
          <w:b/>
        </w:rPr>
        <w:t>[</w:t>
      </w:r>
      <w:r w:rsidR="00C8434D" w:rsidRPr="00C8434D">
        <w:rPr>
          <w:b/>
          <w:szCs w:val="16"/>
        </w:rPr>
        <w:t>BCI</w:t>
      </w:r>
      <w:r w:rsidRPr="00A453EC">
        <w:rPr>
          <w:b/>
        </w:rPr>
        <w:t>]</w:t>
      </w:r>
      <w:r w:rsidRPr="00A453EC">
        <w:t xml:space="preserve">. According to the </w:t>
      </w:r>
      <w:r w:rsidR="000A10EA">
        <w:t>European Union</w:t>
      </w:r>
      <w:r w:rsidRPr="00A453EC">
        <w:t xml:space="preserve">, this is the period over which all four of the A350XWB LA/MSF contracts were concluded. On this basis, Professor Whitelaw calculated a rate of </w:t>
      </w:r>
      <w:r w:rsidRPr="00A453EC">
        <w:rPr>
          <w:b/>
        </w:rPr>
        <w:t>[</w:t>
      </w:r>
      <w:r w:rsidR="00C8434D" w:rsidRPr="00C8434D">
        <w:rPr>
          <w:b/>
          <w:szCs w:val="16"/>
        </w:rPr>
        <w:t>BCI</w:t>
      </w:r>
      <w:r w:rsidRPr="00A453EC">
        <w:rPr>
          <w:b/>
        </w:rPr>
        <w:t>]</w:t>
      </w:r>
      <w:r w:rsidRPr="00A453EC">
        <w:t xml:space="preserve"> for EADS' actual cost of long-term borrowing for the French, German,</w:t>
      </w:r>
      <w:r w:rsidRPr="007F2F08">
        <w:t xml:space="preserve"> and Spanis</w:t>
      </w:r>
      <w:r w:rsidR="005B7BEB">
        <w:t>h A350XWB LA/MSF contracts, and </w:t>
      </w:r>
      <w:r w:rsidRPr="007F2F08">
        <w:rPr>
          <w:b/>
        </w:rPr>
        <w:t>[</w:t>
      </w:r>
      <w:r w:rsidR="00C8434D" w:rsidRPr="00C8434D">
        <w:rPr>
          <w:b/>
          <w:szCs w:val="16"/>
        </w:rPr>
        <w:t>BCI</w:t>
      </w:r>
      <w:r w:rsidRPr="007F2F08">
        <w:rPr>
          <w:b/>
        </w:rPr>
        <w:t>]</w:t>
      </w:r>
      <w:r w:rsidRPr="007F2F08">
        <w:t xml:space="preserve"> for the UK A350XWB LA/MSF contract.</w:t>
      </w:r>
      <w:r w:rsidRPr="007F2F08">
        <w:rPr>
          <w:rStyle w:val="FootnoteReference"/>
        </w:rPr>
        <w:footnoteReference w:id="299"/>
      </w:r>
    </w:p>
    <w:p w:rsidR="0007161B" w:rsidRPr="00A07420" w:rsidRDefault="0007161B" w:rsidP="00DC4FDF">
      <w:pPr>
        <w:pStyle w:val="BodyText"/>
      </w:pPr>
      <w:r w:rsidRPr="007F2F08">
        <w:t xml:space="preserve">In response, the </w:t>
      </w:r>
      <w:r w:rsidR="000A10EA">
        <w:t>United States</w:t>
      </w:r>
      <w:r w:rsidRPr="007F2F08">
        <w:t xml:space="preserve">' expert, Dr Jordan, criticized "the manner in which Professor Whitelaw derive{d} the results for EADS' actual cost of long-term debt based on the EADS bond, submitting that the </w:t>
      </w:r>
      <w:r w:rsidRPr="007F2F08">
        <w:rPr>
          <w:b/>
        </w:rPr>
        <w:t>[</w:t>
      </w:r>
      <w:r w:rsidR="00C8434D" w:rsidRPr="00C8434D">
        <w:rPr>
          <w:b/>
          <w:szCs w:val="16"/>
        </w:rPr>
        <w:t>BCI</w:t>
      </w:r>
      <w:r w:rsidRPr="007F2F08">
        <w:rPr>
          <w:b/>
        </w:rPr>
        <w:t>]</w:t>
      </w:r>
      <w:r w:rsidRPr="007F2F08">
        <w:t xml:space="preserve"> averaging period used by Professor Whitelaw is an 'inconsistent approach to selecting a yield based on the signing dates of the agreements' and</w:t>
      </w:r>
      <w:r w:rsidRPr="00A22B4D">
        <w:t xml:space="preserve"> produces a downward bias in the selected yield".</w:t>
      </w:r>
      <w:r w:rsidRPr="00D32743">
        <w:rPr>
          <w:rStyle w:val="FootnoteReference"/>
        </w:rPr>
        <w:footnoteReference w:id="300"/>
      </w:r>
      <w:r w:rsidRPr="00D32743">
        <w:t xml:space="preserve"> D</w:t>
      </w:r>
      <w:r w:rsidRPr="00E97614">
        <w:t>r</w:t>
      </w:r>
      <w:r w:rsidR="005B7BEB">
        <w:t xml:space="preserve"> </w:t>
      </w:r>
      <w:r w:rsidRPr="00E97614">
        <w:t>Jo</w:t>
      </w:r>
      <w:r w:rsidR="005B7BEB">
        <w:t>rdan maintained that "Professor </w:t>
      </w:r>
      <w:r w:rsidRPr="00E97614">
        <w:t xml:space="preserve">Whitelaw's corporate borrowing rates are based on yields that include time periods after the LA/MSF loan agreements were finalized. They also do not use consistent periods of time around the loan agreement dates, and </w:t>
      </w:r>
      <w:r w:rsidRPr="00047771">
        <w:t>they are affected by the downward trends in yields</w:t>
      </w:r>
      <w:r>
        <w:t>.</w:t>
      </w:r>
      <w:r w:rsidRPr="00047771">
        <w:t>"</w:t>
      </w:r>
      <w:r w:rsidRPr="00047771">
        <w:rPr>
          <w:rStyle w:val="FootnoteReference"/>
        </w:rPr>
        <w:footnoteReference w:id="301"/>
      </w:r>
      <w:r w:rsidRPr="007D4E98">
        <w:t xml:space="preserve"> </w:t>
      </w:r>
    </w:p>
    <w:p w:rsidR="0007161B" w:rsidRPr="00A07420" w:rsidRDefault="0007161B" w:rsidP="00DC4FDF">
      <w:pPr>
        <w:pStyle w:val="BodyText"/>
      </w:pPr>
      <w:r w:rsidRPr="006447A7">
        <w:t xml:space="preserve">The Panel compared </w:t>
      </w:r>
      <w:r w:rsidRPr="006E63EA">
        <w:t>Professor Whitelaw's average</w:t>
      </w:r>
      <w:r w:rsidRPr="006447A7">
        <w:t xml:space="preserve"> </w:t>
      </w:r>
      <w:r>
        <w:t xml:space="preserve">yields </w:t>
      </w:r>
      <w:r w:rsidRPr="006E63EA">
        <w:t>with</w:t>
      </w:r>
      <w:r w:rsidRPr="006447A7">
        <w:t xml:space="preserve"> Dr Jordan's observation of the EADS bond yield on various dates (i.e. the average yield over the </w:t>
      </w:r>
      <w:r w:rsidR="000A10EA">
        <w:t>six month</w:t>
      </w:r>
      <w:r w:rsidRPr="006447A7">
        <w:t xml:space="preserve">s prior to the </w:t>
      </w:r>
      <w:r>
        <w:t xml:space="preserve">conclusion of </w:t>
      </w:r>
      <w:r w:rsidRPr="006447A7">
        <w:t xml:space="preserve">the relevant </w:t>
      </w:r>
      <w:r w:rsidRPr="00047771">
        <w:t xml:space="preserve">A350XWB LA/MSF </w:t>
      </w:r>
      <w:r w:rsidRPr="007D4E98">
        <w:t xml:space="preserve">contract, the average yield over the month prior to the </w:t>
      </w:r>
      <w:r>
        <w:t xml:space="preserve">conclusion of the relevant </w:t>
      </w:r>
      <w:r w:rsidRPr="007D4E98">
        <w:t xml:space="preserve">contract, and the yield on the day of </w:t>
      </w:r>
      <w:r>
        <w:t xml:space="preserve">conclusion of </w:t>
      </w:r>
      <w:r w:rsidRPr="007D4E98">
        <w:t xml:space="preserve">the </w:t>
      </w:r>
      <w:r>
        <w:t xml:space="preserve">relevant </w:t>
      </w:r>
      <w:r w:rsidRPr="007D4E98">
        <w:t>contract)</w:t>
      </w:r>
      <w:r>
        <w:t>.</w:t>
      </w:r>
      <w:r w:rsidRPr="006E63EA">
        <w:rPr>
          <w:rStyle w:val="FootnoteReference"/>
        </w:rPr>
        <w:footnoteReference w:id="302"/>
      </w:r>
      <w:r w:rsidRPr="006E63EA">
        <w:t xml:space="preserve"> The Panel's comparison </w:t>
      </w:r>
      <w:r>
        <w:t xml:space="preserve">is </w:t>
      </w:r>
      <w:r w:rsidRPr="006447A7">
        <w:t>reproduced below</w:t>
      </w:r>
      <w:r w:rsidRPr="007D4E98">
        <w:t>:</w:t>
      </w:r>
    </w:p>
    <w:p w:rsidR="0007161B" w:rsidRPr="006E63EA" w:rsidRDefault="0007161B" w:rsidP="00206326">
      <w:pPr>
        <w:pStyle w:val="Caption"/>
        <w:keepLines/>
      </w:pPr>
      <w:r>
        <w:lastRenderedPageBreak/>
        <w:t xml:space="preserve">Table </w:t>
      </w:r>
      <w:r w:rsidR="009A724D">
        <w:fldChar w:fldCharType="begin"/>
      </w:r>
      <w:r w:rsidR="009A724D">
        <w:instrText xml:space="preserve"> SEQ Table \* ARABIC </w:instrText>
      </w:r>
      <w:r w:rsidR="009A724D">
        <w:fldChar w:fldCharType="separate"/>
      </w:r>
      <w:r w:rsidR="00FD2727">
        <w:rPr>
          <w:noProof/>
        </w:rPr>
        <w:t>1</w:t>
      </w:r>
      <w:r w:rsidR="009A724D">
        <w:rPr>
          <w:noProof/>
        </w:rPr>
        <w:fldChar w:fldCharType="end"/>
      </w:r>
      <w:r>
        <w:t>:</w:t>
      </w:r>
      <w:r w:rsidRPr="007D4E98">
        <w:t xml:space="preserve"> </w:t>
      </w:r>
      <w:r w:rsidRPr="006E63EA">
        <w:t xml:space="preserve">Respective </w:t>
      </w:r>
      <w:r w:rsidRPr="00777DA2">
        <w:t>proposals</w:t>
      </w:r>
      <w:r w:rsidRPr="006E63EA">
        <w:t xml:space="preserve"> for EADS bond yield values</w:t>
      </w:r>
    </w:p>
    <w:tbl>
      <w:tblPr>
        <w:tblW w:w="9271" w:type="dxa"/>
        <w:tblBorders>
          <w:top w:val="single" w:sz="4" w:space="0" w:color="auto"/>
          <w:left w:val="single" w:sz="4" w:space="0" w:color="auto"/>
          <w:bottom w:val="single" w:sz="4" w:space="0" w:color="auto"/>
          <w:right w:val="single" w:sz="4" w:space="0" w:color="auto"/>
          <w:insideV w:val="single" w:sz="4" w:space="0" w:color="auto"/>
        </w:tblBorders>
        <w:tblCellMar>
          <w:left w:w="57" w:type="dxa"/>
          <w:right w:w="57" w:type="dxa"/>
        </w:tblCellMar>
        <w:tblLook w:val="04A0" w:firstRow="1" w:lastRow="0" w:firstColumn="1" w:lastColumn="0" w:noHBand="0" w:noVBand="1"/>
      </w:tblPr>
      <w:tblGrid>
        <w:gridCol w:w="2184"/>
        <w:gridCol w:w="1701"/>
        <w:gridCol w:w="1701"/>
        <w:gridCol w:w="1275"/>
        <w:gridCol w:w="2410"/>
      </w:tblGrid>
      <w:tr w:rsidR="0007161B" w:rsidRPr="00B84A0D" w:rsidTr="00206326">
        <w:tc>
          <w:tcPr>
            <w:tcW w:w="2184" w:type="dxa"/>
            <w:shd w:val="clear" w:color="auto" w:fill="006283"/>
            <w:vAlign w:val="center"/>
          </w:tcPr>
          <w:p w:rsidR="0007161B" w:rsidRPr="007B2F7C" w:rsidRDefault="0007161B" w:rsidP="00206326">
            <w:pPr>
              <w:keepNext/>
              <w:keepLines/>
              <w:widowControl w:val="0"/>
              <w:jc w:val="center"/>
              <w:rPr>
                <w:b/>
                <w:color w:val="FFFFFF"/>
                <w:sz w:val="16"/>
                <w:szCs w:val="16"/>
              </w:rPr>
            </w:pPr>
            <w:r w:rsidRPr="007B2F7C">
              <w:rPr>
                <w:b/>
                <w:color w:val="FFFFFF"/>
                <w:sz w:val="16"/>
                <w:szCs w:val="16"/>
              </w:rPr>
              <w:t>EU member State and relevant date of conclusion of loan agreement</w:t>
            </w:r>
          </w:p>
        </w:tc>
        <w:tc>
          <w:tcPr>
            <w:tcW w:w="1701" w:type="dxa"/>
            <w:shd w:val="clear" w:color="auto" w:fill="006283"/>
            <w:vAlign w:val="center"/>
          </w:tcPr>
          <w:p w:rsidR="0007161B" w:rsidRPr="007B2F7C" w:rsidRDefault="00657B57" w:rsidP="00206326">
            <w:pPr>
              <w:keepNext/>
              <w:keepLines/>
              <w:widowControl w:val="0"/>
              <w:jc w:val="center"/>
              <w:rPr>
                <w:b/>
                <w:color w:val="FFFFFF"/>
                <w:sz w:val="16"/>
                <w:szCs w:val="16"/>
              </w:rPr>
            </w:pPr>
            <w:r w:rsidRPr="007B2F7C">
              <w:rPr>
                <w:b/>
                <w:color w:val="FFFFFF"/>
                <w:sz w:val="16"/>
                <w:szCs w:val="16"/>
              </w:rPr>
              <w:t xml:space="preserve">6 </w:t>
            </w:r>
            <w:r w:rsidR="0007161B" w:rsidRPr="007B2F7C">
              <w:rPr>
                <w:b/>
                <w:color w:val="FFFFFF"/>
                <w:sz w:val="16"/>
                <w:szCs w:val="16"/>
              </w:rPr>
              <w:t>month average prior to date of loan agreement</w:t>
            </w:r>
          </w:p>
        </w:tc>
        <w:tc>
          <w:tcPr>
            <w:tcW w:w="1701" w:type="dxa"/>
            <w:shd w:val="clear" w:color="auto" w:fill="006283"/>
            <w:vAlign w:val="center"/>
          </w:tcPr>
          <w:p w:rsidR="0007161B" w:rsidRPr="007B2F7C" w:rsidRDefault="00657B57" w:rsidP="00206326">
            <w:pPr>
              <w:keepNext/>
              <w:keepLines/>
              <w:widowControl w:val="0"/>
              <w:jc w:val="center"/>
              <w:rPr>
                <w:b/>
                <w:color w:val="FFFFFF"/>
                <w:sz w:val="16"/>
                <w:szCs w:val="16"/>
              </w:rPr>
            </w:pPr>
            <w:r w:rsidRPr="007B2F7C">
              <w:rPr>
                <w:b/>
                <w:color w:val="FFFFFF"/>
                <w:sz w:val="16"/>
                <w:szCs w:val="16"/>
              </w:rPr>
              <w:t xml:space="preserve">1 </w:t>
            </w:r>
            <w:r w:rsidR="0007161B" w:rsidRPr="007B2F7C">
              <w:rPr>
                <w:b/>
                <w:color w:val="FFFFFF"/>
                <w:sz w:val="16"/>
                <w:szCs w:val="16"/>
              </w:rPr>
              <w:t>month average prior to date of loan agreement</w:t>
            </w:r>
          </w:p>
        </w:tc>
        <w:tc>
          <w:tcPr>
            <w:tcW w:w="1275" w:type="dxa"/>
            <w:shd w:val="clear" w:color="auto" w:fill="006283"/>
            <w:vAlign w:val="center"/>
          </w:tcPr>
          <w:p w:rsidR="0007161B" w:rsidRPr="007B2F7C" w:rsidRDefault="0007161B" w:rsidP="00206326">
            <w:pPr>
              <w:keepNext/>
              <w:keepLines/>
              <w:widowControl w:val="0"/>
              <w:jc w:val="center"/>
              <w:rPr>
                <w:b/>
                <w:color w:val="FFFFFF"/>
                <w:sz w:val="16"/>
                <w:szCs w:val="16"/>
              </w:rPr>
            </w:pPr>
            <w:r w:rsidRPr="007B2F7C">
              <w:rPr>
                <w:b/>
                <w:color w:val="FFFFFF"/>
                <w:sz w:val="16"/>
                <w:szCs w:val="16"/>
              </w:rPr>
              <w:t>Yield on day of loan agreement</w:t>
            </w:r>
          </w:p>
        </w:tc>
        <w:tc>
          <w:tcPr>
            <w:tcW w:w="2410" w:type="dxa"/>
            <w:shd w:val="clear" w:color="auto" w:fill="006283"/>
            <w:vAlign w:val="center"/>
          </w:tcPr>
          <w:p w:rsidR="0007161B" w:rsidRPr="007B2F7C" w:rsidRDefault="0007161B" w:rsidP="00206326">
            <w:pPr>
              <w:keepNext/>
              <w:keepLines/>
              <w:widowControl w:val="0"/>
              <w:jc w:val="center"/>
              <w:rPr>
                <w:b/>
                <w:color w:val="FFFFFF"/>
                <w:sz w:val="16"/>
                <w:szCs w:val="16"/>
              </w:rPr>
            </w:pPr>
            <w:r w:rsidRPr="007B2F7C">
              <w:rPr>
                <w:b/>
                <w:color w:val="FFFFFF"/>
                <w:sz w:val="16"/>
                <w:szCs w:val="16"/>
              </w:rPr>
              <w:t>Whitelaw average yield over [</w:t>
            </w:r>
            <w:r w:rsidR="00C8434D" w:rsidRPr="007B2F7C">
              <w:rPr>
                <w:b/>
                <w:color w:val="FFFFFF" w:themeColor="background1"/>
                <w:sz w:val="16"/>
                <w:szCs w:val="16"/>
              </w:rPr>
              <w:t>BCI</w:t>
            </w:r>
            <w:r w:rsidRPr="007B2F7C">
              <w:rPr>
                <w:b/>
                <w:color w:val="FFFFFF"/>
                <w:sz w:val="16"/>
                <w:szCs w:val="16"/>
              </w:rPr>
              <w:t>] starting [</w:t>
            </w:r>
            <w:r w:rsidR="00C8434D" w:rsidRPr="007B2F7C">
              <w:rPr>
                <w:b/>
                <w:color w:val="FFFFFF" w:themeColor="background1"/>
                <w:sz w:val="16"/>
                <w:szCs w:val="16"/>
              </w:rPr>
              <w:t>BCI</w:t>
            </w:r>
            <w:r w:rsidRPr="007B2F7C">
              <w:rPr>
                <w:b/>
                <w:color w:val="FFFFFF"/>
                <w:sz w:val="16"/>
                <w:szCs w:val="16"/>
              </w:rPr>
              <w:t>]</w:t>
            </w:r>
          </w:p>
        </w:tc>
      </w:tr>
      <w:tr w:rsidR="0007161B" w:rsidRPr="007F2F08" w:rsidTr="00206326">
        <w:trPr>
          <w:trHeight w:val="872"/>
        </w:trPr>
        <w:tc>
          <w:tcPr>
            <w:tcW w:w="2184" w:type="dxa"/>
            <w:shd w:val="clear" w:color="auto" w:fill="auto"/>
          </w:tcPr>
          <w:p w:rsidR="0007161B" w:rsidRPr="007B2F7C" w:rsidRDefault="0007161B" w:rsidP="00206326">
            <w:pPr>
              <w:pStyle w:val="BodyText"/>
              <w:keepNext/>
              <w:keepLines/>
              <w:widowControl w:val="0"/>
              <w:numPr>
                <w:ilvl w:val="0"/>
                <w:numId w:val="0"/>
              </w:numPr>
              <w:spacing w:after="60"/>
              <w:rPr>
                <w:sz w:val="16"/>
                <w:szCs w:val="16"/>
              </w:rPr>
            </w:pPr>
            <w:r w:rsidRPr="007B2F7C">
              <w:rPr>
                <w:sz w:val="16"/>
                <w:szCs w:val="16"/>
              </w:rPr>
              <w:t>France</w:t>
            </w:r>
          </w:p>
          <w:p w:rsidR="0007161B" w:rsidRPr="007B2F7C" w:rsidRDefault="0007161B" w:rsidP="00206326">
            <w:pPr>
              <w:pStyle w:val="BodyText"/>
              <w:keepNext/>
              <w:keepLines/>
              <w:widowControl w:val="0"/>
              <w:numPr>
                <w:ilvl w:val="0"/>
                <w:numId w:val="0"/>
              </w:numPr>
              <w:spacing w:after="60"/>
              <w:rPr>
                <w:sz w:val="16"/>
                <w:szCs w:val="16"/>
              </w:rPr>
            </w:pPr>
            <w:r w:rsidRPr="007B2F7C">
              <w:rPr>
                <w:b/>
                <w:sz w:val="16"/>
                <w:szCs w:val="16"/>
              </w:rPr>
              <w:t>[</w:t>
            </w:r>
            <w:r w:rsidR="00C8434D" w:rsidRPr="007B2F7C">
              <w:rPr>
                <w:b/>
                <w:sz w:val="16"/>
                <w:szCs w:val="16"/>
              </w:rPr>
              <w:t>BCI</w:t>
            </w:r>
            <w:r w:rsidRPr="007B2F7C">
              <w:rPr>
                <w:b/>
                <w:sz w:val="16"/>
                <w:szCs w:val="16"/>
              </w:rPr>
              <w:t>]</w:t>
            </w:r>
          </w:p>
          <w:p w:rsidR="0007161B" w:rsidRPr="007B2F7C" w:rsidRDefault="0007161B" w:rsidP="00206326">
            <w:pPr>
              <w:pStyle w:val="BodyText"/>
              <w:keepNext/>
              <w:keepLines/>
              <w:widowControl w:val="0"/>
              <w:numPr>
                <w:ilvl w:val="0"/>
                <w:numId w:val="0"/>
              </w:numPr>
              <w:spacing w:after="60"/>
              <w:rPr>
                <w:sz w:val="16"/>
                <w:szCs w:val="16"/>
              </w:rPr>
            </w:pPr>
            <w:r w:rsidRPr="007B2F7C">
              <w:rPr>
                <w:sz w:val="16"/>
                <w:szCs w:val="16"/>
              </w:rPr>
              <w:t>(</w:t>
            </w:r>
            <w:r w:rsidRPr="007B2F7C">
              <w:rPr>
                <w:b/>
                <w:sz w:val="16"/>
                <w:szCs w:val="16"/>
              </w:rPr>
              <w:t>[</w:t>
            </w:r>
            <w:r w:rsidR="00C8434D" w:rsidRPr="007B2F7C">
              <w:rPr>
                <w:b/>
                <w:sz w:val="16"/>
                <w:szCs w:val="16"/>
              </w:rPr>
              <w:t>BCI</w:t>
            </w:r>
            <w:r w:rsidRPr="007B2F7C">
              <w:rPr>
                <w:b/>
                <w:sz w:val="16"/>
                <w:szCs w:val="16"/>
              </w:rPr>
              <w:t>]</w:t>
            </w:r>
            <w:r w:rsidRPr="007B2F7C">
              <w:rPr>
                <w:sz w:val="16"/>
                <w:szCs w:val="16"/>
              </w:rPr>
              <w:t>)</w:t>
            </w:r>
            <w:r w:rsidRPr="007B2F7C">
              <w:rPr>
                <w:rStyle w:val="FootnoteReference"/>
                <w:sz w:val="16"/>
                <w:szCs w:val="16"/>
              </w:rPr>
              <w:footnoteReference w:id="303"/>
            </w:r>
          </w:p>
          <w:p w:rsidR="0007161B" w:rsidRPr="007B2F7C" w:rsidRDefault="0007161B" w:rsidP="00206326">
            <w:pPr>
              <w:pStyle w:val="BodyText"/>
              <w:keepNext/>
              <w:keepLines/>
              <w:widowControl w:val="0"/>
              <w:numPr>
                <w:ilvl w:val="0"/>
                <w:numId w:val="0"/>
              </w:numPr>
              <w:spacing w:after="60"/>
              <w:jc w:val="left"/>
              <w:rPr>
                <w:sz w:val="16"/>
                <w:szCs w:val="16"/>
              </w:rPr>
            </w:pPr>
            <w:r w:rsidRPr="007B2F7C">
              <w:rPr>
                <w:b/>
                <w:sz w:val="16"/>
                <w:szCs w:val="16"/>
              </w:rPr>
              <w:t>[</w:t>
            </w:r>
            <w:r w:rsidR="00C8434D" w:rsidRPr="007B2F7C">
              <w:rPr>
                <w:b/>
                <w:sz w:val="16"/>
                <w:szCs w:val="16"/>
              </w:rPr>
              <w:t>BCI</w:t>
            </w:r>
            <w:r w:rsidRPr="007B2F7C">
              <w:rPr>
                <w:b/>
                <w:sz w:val="16"/>
                <w:szCs w:val="16"/>
              </w:rPr>
              <w:t>]</w:t>
            </w:r>
          </w:p>
        </w:tc>
        <w:tc>
          <w:tcPr>
            <w:tcW w:w="1701" w:type="dxa"/>
            <w:shd w:val="clear" w:color="auto" w:fill="auto"/>
          </w:tcPr>
          <w:p w:rsidR="0007161B" w:rsidRPr="007B2F7C" w:rsidRDefault="0007161B" w:rsidP="00206326">
            <w:pPr>
              <w:pStyle w:val="BodyText"/>
              <w:keepNext/>
              <w:keepLines/>
              <w:widowControl w:val="0"/>
              <w:numPr>
                <w:ilvl w:val="0"/>
                <w:numId w:val="0"/>
              </w:numPr>
              <w:spacing w:after="60"/>
              <w:jc w:val="center"/>
              <w:rPr>
                <w:sz w:val="16"/>
                <w:szCs w:val="16"/>
              </w:rPr>
            </w:pPr>
          </w:p>
          <w:p w:rsidR="0007161B" w:rsidRPr="007B2F7C" w:rsidRDefault="0007161B" w:rsidP="00206326">
            <w:pPr>
              <w:pStyle w:val="BodyText"/>
              <w:keepNext/>
              <w:keepLines/>
              <w:widowControl w:val="0"/>
              <w:numPr>
                <w:ilvl w:val="0"/>
                <w:numId w:val="0"/>
              </w:numPr>
              <w:spacing w:after="60"/>
              <w:jc w:val="center"/>
              <w:rPr>
                <w:sz w:val="16"/>
                <w:szCs w:val="16"/>
              </w:rPr>
            </w:pPr>
            <w:r w:rsidRPr="007B2F7C">
              <w:rPr>
                <w:b/>
                <w:sz w:val="16"/>
                <w:szCs w:val="16"/>
              </w:rPr>
              <w:t>[</w:t>
            </w:r>
            <w:r w:rsidR="00C8434D" w:rsidRPr="007B2F7C">
              <w:rPr>
                <w:b/>
                <w:sz w:val="16"/>
                <w:szCs w:val="16"/>
              </w:rPr>
              <w:t>BCI</w:t>
            </w:r>
            <w:r w:rsidRPr="007B2F7C">
              <w:rPr>
                <w:b/>
                <w:sz w:val="16"/>
                <w:szCs w:val="16"/>
              </w:rPr>
              <w:t>]</w:t>
            </w:r>
          </w:p>
          <w:p w:rsidR="0007161B" w:rsidRPr="007B2F7C" w:rsidRDefault="0007161B" w:rsidP="00206326">
            <w:pPr>
              <w:pStyle w:val="BodyText"/>
              <w:keepNext/>
              <w:keepLines/>
              <w:widowControl w:val="0"/>
              <w:numPr>
                <w:ilvl w:val="0"/>
                <w:numId w:val="0"/>
              </w:numPr>
              <w:spacing w:after="60"/>
              <w:jc w:val="center"/>
              <w:rPr>
                <w:sz w:val="16"/>
                <w:szCs w:val="16"/>
              </w:rPr>
            </w:pPr>
            <w:r w:rsidRPr="007B2F7C">
              <w:rPr>
                <w:sz w:val="16"/>
                <w:szCs w:val="16"/>
              </w:rPr>
              <w:t>(</w:t>
            </w:r>
            <w:r w:rsidRPr="007B2F7C">
              <w:rPr>
                <w:b/>
                <w:sz w:val="16"/>
                <w:szCs w:val="16"/>
              </w:rPr>
              <w:t>[</w:t>
            </w:r>
            <w:r w:rsidR="00C8434D" w:rsidRPr="007B2F7C">
              <w:rPr>
                <w:b/>
                <w:sz w:val="16"/>
                <w:szCs w:val="16"/>
              </w:rPr>
              <w:t>BCI</w:t>
            </w:r>
            <w:r w:rsidRPr="007B2F7C">
              <w:rPr>
                <w:b/>
                <w:sz w:val="16"/>
                <w:szCs w:val="16"/>
              </w:rPr>
              <w:t>]</w:t>
            </w:r>
            <w:r w:rsidRPr="007B2F7C">
              <w:rPr>
                <w:sz w:val="16"/>
                <w:szCs w:val="16"/>
              </w:rPr>
              <w:t>)</w:t>
            </w:r>
          </w:p>
          <w:p w:rsidR="0007161B" w:rsidRPr="007B2F7C" w:rsidRDefault="0007161B" w:rsidP="00206326">
            <w:pPr>
              <w:pStyle w:val="BodyText"/>
              <w:keepNext/>
              <w:keepLines/>
              <w:widowControl w:val="0"/>
              <w:numPr>
                <w:ilvl w:val="0"/>
                <w:numId w:val="0"/>
              </w:numPr>
              <w:spacing w:after="60"/>
              <w:jc w:val="center"/>
              <w:rPr>
                <w:sz w:val="16"/>
                <w:szCs w:val="16"/>
              </w:rPr>
            </w:pPr>
            <w:r w:rsidRPr="007B2F7C">
              <w:rPr>
                <w:b/>
                <w:sz w:val="16"/>
                <w:szCs w:val="16"/>
              </w:rPr>
              <w:t>[</w:t>
            </w:r>
            <w:r w:rsidR="00C8434D" w:rsidRPr="007B2F7C">
              <w:rPr>
                <w:b/>
                <w:sz w:val="16"/>
                <w:szCs w:val="16"/>
              </w:rPr>
              <w:t>BCI</w:t>
            </w:r>
            <w:r w:rsidRPr="007B2F7C">
              <w:rPr>
                <w:b/>
                <w:sz w:val="16"/>
                <w:szCs w:val="16"/>
              </w:rPr>
              <w:t>]</w:t>
            </w:r>
          </w:p>
        </w:tc>
        <w:tc>
          <w:tcPr>
            <w:tcW w:w="1701" w:type="dxa"/>
            <w:shd w:val="clear" w:color="auto" w:fill="auto"/>
          </w:tcPr>
          <w:p w:rsidR="0007161B" w:rsidRPr="007B2F7C" w:rsidRDefault="0007161B" w:rsidP="00206326">
            <w:pPr>
              <w:pStyle w:val="BodyText"/>
              <w:keepNext/>
              <w:keepLines/>
              <w:widowControl w:val="0"/>
              <w:numPr>
                <w:ilvl w:val="0"/>
                <w:numId w:val="0"/>
              </w:numPr>
              <w:spacing w:after="60"/>
              <w:jc w:val="center"/>
              <w:rPr>
                <w:sz w:val="16"/>
                <w:szCs w:val="16"/>
              </w:rPr>
            </w:pPr>
          </w:p>
          <w:p w:rsidR="0007161B" w:rsidRPr="007B2F7C" w:rsidRDefault="0007161B" w:rsidP="00206326">
            <w:pPr>
              <w:pStyle w:val="BodyText"/>
              <w:keepNext/>
              <w:keepLines/>
              <w:widowControl w:val="0"/>
              <w:numPr>
                <w:ilvl w:val="0"/>
                <w:numId w:val="0"/>
              </w:numPr>
              <w:spacing w:after="60"/>
              <w:jc w:val="center"/>
              <w:rPr>
                <w:sz w:val="16"/>
                <w:szCs w:val="16"/>
              </w:rPr>
            </w:pPr>
            <w:r w:rsidRPr="007B2F7C">
              <w:rPr>
                <w:b/>
                <w:sz w:val="16"/>
                <w:szCs w:val="16"/>
              </w:rPr>
              <w:t>[</w:t>
            </w:r>
            <w:r w:rsidR="00C8434D" w:rsidRPr="007B2F7C">
              <w:rPr>
                <w:b/>
                <w:sz w:val="16"/>
                <w:szCs w:val="16"/>
              </w:rPr>
              <w:t>BCI</w:t>
            </w:r>
            <w:r w:rsidRPr="007B2F7C">
              <w:rPr>
                <w:b/>
                <w:sz w:val="16"/>
                <w:szCs w:val="16"/>
              </w:rPr>
              <w:t>]</w:t>
            </w:r>
          </w:p>
          <w:p w:rsidR="0007161B" w:rsidRPr="007B2F7C" w:rsidRDefault="0007161B" w:rsidP="00206326">
            <w:pPr>
              <w:pStyle w:val="BodyText"/>
              <w:keepNext/>
              <w:keepLines/>
              <w:widowControl w:val="0"/>
              <w:numPr>
                <w:ilvl w:val="0"/>
                <w:numId w:val="0"/>
              </w:numPr>
              <w:spacing w:after="60"/>
              <w:jc w:val="center"/>
              <w:rPr>
                <w:sz w:val="16"/>
                <w:szCs w:val="16"/>
              </w:rPr>
            </w:pPr>
            <w:r w:rsidRPr="007B2F7C">
              <w:rPr>
                <w:sz w:val="16"/>
                <w:szCs w:val="16"/>
              </w:rPr>
              <w:t>(</w:t>
            </w:r>
            <w:r w:rsidRPr="007B2F7C">
              <w:rPr>
                <w:b/>
                <w:sz w:val="16"/>
                <w:szCs w:val="16"/>
              </w:rPr>
              <w:t>[</w:t>
            </w:r>
            <w:r w:rsidR="00C8434D" w:rsidRPr="007B2F7C">
              <w:rPr>
                <w:b/>
                <w:sz w:val="16"/>
                <w:szCs w:val="16"/>
              </w:rPr>
              <w:t>BCI</w:t>
            </w:r>
            <w:r w:rsidRPr="007B2F7C">
              <w:rPr>
                <w:b/>
                <w:sz w:val="16"/>
                <w:szCs w:val="16"/>
              </w:rPr>
              <w:t>]</w:t>
            </w:r>
            <w:r w:rsidRPr="007B2F7C">
              <w:rPr>
                <w:sz w:val="16"/>
                <w:szCs w:val="16"/>
              </w:rPr>
              <w:t>)</w:t>
            </w:r>
          </w:p>
          <w:p w:rsidR="0007161B" w:rsidRPr="007B2F7C" w:rsidRDefault="0007161B" w:rsidP="00206326">
            <w:pPr>
              <w:pStyle w:val="BodyText"/>
              <w:keepNext/>
              <w:keepLines/>
              <w:widowControl w:val="0"/>
              <w:numPr>
                <w:ilvl w:val="0"/>
                <w:numId w:val="0"/>
              </w:numPr>
              <w:spacing w:after="60"/>
              <w:jc w:val="center"/>
              <w:rPr>
                <w:sz w:val="16"/>
                <w:szCs w:val="16"/>
              </w:rPr>
            </w:pPr>
            <w:r w:rsidRPr="007B2F7C">
              <w:rPr>
                <w:b/>
                <w:sz w:val="16"/>
                <w:szCs w:val="16"/>
              </w:rPr>
              <w:t>[</w:t>
            </w:r>
            <w:r w:rsidR="00C8434D" w:rsidRPr="007B2F7C">
              <w:rPr>
                <w:b/>
                <w:sz w:val="16"/>
                <w:szCs w:val="16"/>
              </w:rPr>
              <w:t>BCI</w:t>
            </w:r>
            <w:r w:rsidRPr="007B2F7C">
              <w:rPr>
                <w:b/>
                <w:sz w:val="16"/>
                <w:szCs w:val="16"/>
              </w:rPr>
              <w:t>]</w:t>
            </w:r>
          </w:p>
        </w:tc>
        <w:tc>
          <w:tcPr>
            <w:tcW w:w="1275" w:type="dxa"/>
            <w:shd w:val="clear" w:color="auto" w:fill="auto"/>
          </w:tcPr>
          <w:p w:rsidR="0007161B" w:rsidRPr="007B2F7C" w:rsidRDefault="0007161B" w:rsidP="00206326">
            <w:pPr>
              <w:pStyle w:val="BodyText"/>
              <w:keepNext/>
              <w:keepLines/>
              <w:widowControl w:val="0"/>
              <w:numPr>
                <w:ilvl w:val="0"/>
                <w:numId w:val="0"/>
              </w:numPr>
              <w:spacing w:after="60"/>
              <w:jc w:val="center"/>
              <w:rPr>
                <w:sz w:val="16"/>
                <w:szCs w:val="16"/>
              </w:rPr>
            </w:pPr>
          </w:p>
          <w:p w:rsidR="0007161B" w:rsidRPr="007B2F7C" w:rsidRDefault="0007161B" w:rsidP="00206326">
            <w:pPr>
              <w:pStyle w:val="BodyText"/>
              <w:keepNext/>
              <w:keepLines/>
              <w:widowControl w:val="0"/>
              <w:numPr>
                <w:ilvl w:val="0"/>
                <w:numId w:val="0"/>
              </w:numPr>
              <w:spacing w:after="60"/>
              <w:jc w:val="center"/>
              <w:rPr>
                <w:sz w:val="16"/>
                <w:szCs w:val="16"/>
              </w:rPr>
            </w:pPr>
            <w:r w:rsidRPr="007B2F7C">
              <w:rPr>
                <w:b/>
                <w:sz w:val="16"/>
                <w:szCs w:val="16"/>
              </w:rPr>
              <w:t>[</w:t>
            </w:r>
            <w:r w:rsidR="00C8434D" w:rsidRPr="007B2F7C">
              <w:rPr>
                <w:b/>
                <w:sz w:val="16"/>
                <w:szCs w:val="16"/>
              </w:rPr>
              <w:t>BCI</w:t>
            </w:r>
            <w:r w:rsidRPr="007B2F7C">
              <w:rPr>
                <w:b/>
                <w:sz w:val="16"/>
                <w:szCs w:val="16"/>
              </w:rPr>
              <w:t>]</w:t>
            </w:r>
          </w:p>
          <w:p w:rsidR="0007161B" w:rsidRPr="007B2F7C" w:rsidRDefault="0007161B" w:rsidP="00206326">
            <w:pPr>
              <w:pStyle w:val="BodyText"/>
              <w:keepNext/>
              <w:keepLines/>
              <w:widowControl w:val="0"/>
              <w:numPr>
                <w:ilvl w:val="0"/>
                <w:numId w:val="0"/>
              </w:numPr>
              <w:spacing w:after="60"/>
              <w:jc w:val="center"/>
              <w:rPr>
                <w:sz w:val="16"/>
                <w:szCs w:val="16"/>
              </w:rPr>
            </w:pPr>
            <w:r w:rsidRPr="007B2F7C">
              <w:rPr>
                <w:sz w:val="16"/>
                <w:szCs w:val="16"/>
              </w:rPr>
              <w:t>(</w:t>
            </w:r>
            <w:r w:rsidRPr="007B2F7C">
              <w:rPr>
                <w:b/>
                <w:sz w:val="16"/>
                <w:szCs w:val="16"/>
              </w:rPr>
              <w:t>[</w:t>
            </w:r>
            <w:r w:rsidR="00C8434D" w:rsidRPr="007B2F7C">
              <w:rPr>
                <w:b/>
                <w:sz w:val="16"/>
                <w:szCs w:val="16"/>
              </w:rPr>
              <w:t>BCI</w:t>
            </w:r>
            <w:r w:rsidRPr="007B2F7C">
              <w:rPr>
                <w:b/>
                <w:sz w:val="16"/>
                <w:szCs w:val="16"/>
              </w:rPr>
              <w:t>]</w:t>
            </w:r>
            <w:r w:rsidRPr="007B2F7C">
              <w:rPr>
                <w:sz w:val="16"/>
                <w:szCs w:val="16"/>
              </w:rPr>
              <w:t>)</w:t>
            </w:r>
          </w:p>
          <w:p w:rsidR="0007161B" w:rsidRPr="007B2F7C" w:rsidRDefault="0007161B" w:rsidP="00206326">
            <w:pPr>
              <w:pStyle w:val="BodyText"/>
              <w:keepNext/>
              <w:keepLines/>
              <w:widowControl w:val="0"/>
              <w:numPr>
                <w:ilvl w:val="0"/>
                <w:numId w:val="0"/>
              </w:numPr>
              <w:spacing w:after="60"/>
              <w:jc w:val="center"/>
              <w:rPr>
                <w:sz w:val="16"/>
                <w:szCs w:val="16"/>
              </w:rPr>
            </w:pPr>
            <w:r w:rsidRPr="007B2F7C">
              <w:rPr>
                <w:b/>
                <w:sz w:val="16"/>
                <w:szCs w:val="16"/>
              </w:rPr>
              <w:t>[</w:t>
            </w:r>
            <w:r w:rsidR="00C8434D" w:rsidRPr="007B2F7C">
              <w:rPr>
                <w:b/>
                <w:sz w:val="16"/>
                <w:szCs w:val="16"/>
              </w:rPr>
              <w:t>BCI</w:t>
            </w:r>
            <w:r w:rsidRPr="007B2F7C">
              <w:rPr>
                <w:b/>
                <w:sz w:val="16"/>
                <w:szCs w:val="16"/>
              </w:rPr>
              <w:t>]</w:t>
            </w:r>
          </w:p>
        </w:tc>
        <w:tc>
          <w:tcPr>
            <w:tcW w:w="2410" w:type="dxa"/>
            <w:shd w:val="clear" w:color="auto" w:fill="auto"/>
          </w:tcPr>
          <w:p w:rsidR="0007161B" w:rsidRPr="007B2F7C" w:rsidRDefault="0007161B" w:rsidP="00206326">
            <w:pPr>
              <w:pStyle w:val="BodyText"/>
              <w:keepNext/>
              <w:keepLines/>
              <w:widowControl w:val="0"/>
              <w:numPr>
                <w:ilvl w:val="0"/>
                <w:numId w:val="0"/>
              </w:numPr>
              <w:spacing w:after="60"/>
              <w:jc w:val="center"/>
              <w:rPr>
                <w:b/>
                <w:sz w:val="16"/>
                <w:szCs w:val="16"/>
              </w:rPr>
            </w:pPr>
          </w:p>
          <w:p w:rsidR="0007161B" w:rsidRPr="007B2F7C" w:rsidRDefault="0007161B" w:rsidP="00206326">
            <w:pPr>
              <w:pStyle w:val="BodyText"/>
              <w:keepNext/>
              <w:keepLines/>
              <w:widowControl w:val="0"/>
              <w:numPr>
                <w:ilvl w:val="0"/>
                <w:numId w:val="0"/>
              </w:numPr>
              <w:spacing w:after="60"/>
              <w:jc w:val="center"/>
              <w:rPr>
                <w:sz w:val="16"/>
                <w:szCs w:val="16"/>
              </w:rPr>
            </w:pPr>
            <w:r w:rsidRPr="007B2F7C">
              <w:rPr>
                <w:b/>
                <w:sz w:val="16"/>
                <w:szCs w:val="16"/>
              </w:rPr>
              <w:t>[</w:t>
            </w:r>
            <w:r w:rsidR="00C8434D" w:rsidRPr="007B2F7C">
              <w:rPr>
                <w:b/>
                <w:sz w:val="16"/>
                <w:szCs w:val="16"/>
              </w:rPr>
              <w:t>BCI</w:t>
            </w:r>
            <w:r w:rsidRPr="007B2F7C">
              <w:rPr>
                <w:b/>
                <w:sz w:val="16"/>
                <w:szCs w:val="16"/>
              </w:rPr>
              <w:t>]</w:t>
            </w:r>
          </w:p>
        </w:tc>
      </w:tr>
      <w:tr w:rsidR="0007161B" w:rsidRPr="007F2F08" w:rsidTr="00206326">
        <w:trPr>
          <w:trHeight w:val="349"/>
        </w:trPr>
        <w:tc>
          <w:tcPr>
            <w:tcW w:w="2184" w:type="dxa"/>
            <w:shd w:val="clear" w:color="auto" w:fill="C9DED4"/>
          </w:tcPr>
          <w:p w:rsidR="0007161B" w:rsidRPr="007B2F7C" w:rsidRDefault="0007161B" w:rsidP="00206326">
            <w:pPr>
              <w:pStyle w:val="BodyText"/>
              <w:keepNext/>
              <w:keepLines/>
              <w:widowControl w:val="0"/>
              <w:numPr>
                <w:ilvl w:val="0"/>
                <w:numId w:val="0"/>
              </w:numPr>
              <w:spacing w:after="60"/>
              <w:rPr>
                <w:sz w:val="16"/>
                <w:szCs w:val="16"/>
              </w:rPr>
            </w:pPr>
            <w:r w:rsidRPr="007B2F7C">
              <w:rPr>
                <w:sz w:val="16"/>
                <w:szCs w:val="16"/>
              </w:rPr>
              <w:t>Germany</w:t>
            </w:r>
          </w:p>
          <w:p w:rsidR="0007161B" w:rsidRPr="007B2F7C" w:rsidRDefault="0007161B" w:rsidP="00206326">
            <w:pPr>
              <w:pStyle w:val="BodyText"/>
              <w:keepNext/>
              <w:keepLines/>
              <w:widowControl w:val="0"/>
              <w:numPr>
                <w:ilvl w:val="0"/>
                <w:numId w:val="0"/>
              </w:numPr>
              <w:spacing w:after="60"/>
              <w:rPr>
                <w:sz w:val="16"/>
                <w:szCs w:val="16"/>
              </w:rPr>
            </w:pPr>
            <w:r w:rsidRPr="007B2F7C">
              <w:rPr>
                <w:b/>
                <w:sz w:val="16"/>
                <w:szCs w:val="16"/>
              </w:rPr>
              <w:t>[</w:t>
            </w:r>
            <w:r w:rsidR="00C8434D" w:rsidRPr="007B2F7C">
              <w:rPr>
                <w:b/>
                <w:sz w:val="16"/>
                <w:szCs w:val="16"/>
              </w:rPr>
              <w:t>BCI</w:t>
            </w:r>
            <w:r w:rsidRPr="007B2F7C">
              <w:rPr>
                <w:b/>
                <w:sz w:val="16"/>
                <w:szCs w:val="16"/>
              </w:rPr>
              <w:t>]</w:t>
            </w:r>
          </w:p>
        </w:tc>
        <w:tc>
          <w:tcPr>
            <w:tcW w:w="1701" w:type="dxa"/>
            <w:shd w:val="clear" w:color="auto" w:fill="C9DED4"/>
          </w:tcPr>
          <w:p w:rsidR="0007161B" w:rsidRPr="007B2F7C" w:rsidRDefault="0007161B" w:rsidP="00206326">
            <w:pPr>
              <w:pStyle w:val="BodyText"/>
              <w:keepNext/>
              <w:keepLines/>
              <w:widowControl w:val="0"/>
              <w:numPr>
                <w:ilvl w:val="0"/>
                <w:numId w:val="0"/>
              </w:numPr>
              <w:spacing w:after="60"/>
              <w:jc w:val="center"/>
              <w:rPr>
                <w:sz w:val="16"/>
                <w:szCs w:val="16"/>
              </w:rPr>
            </w:pPr>
          </w:p>
          <w:p w:rsidR="0007161B" w:rsidRPr="007B2F7C" w:rsidRDefault="0007161B" w:rsidP="00206326">
            <w:pPr>
              <w:pStyle w:val="BodyText"/>
              <w:keepNext/>
              <w:keepLines/>
              <w:widowControl w:val="0"/>
              <w:numPr>
                <w:ilvl w:val="0"/>
                <w:numId w:val="0"/>
              </w:numPr>
              <w:spacing w:after="60"/>
              <w:jc w:val="center"/>
              <w:rPr>
                <w:sz w:val="16"/>
                <w:szCs w:val="16"/>
              </w:rPr>
            </w:pPr>
            <w:r w:rsidRPr="007B2F7C">
              <w:rPr>
                <w:b/>
                <w:sz w:val="16"/>
                <w:szCs w:val="16"/>
              </w:rPr>
              <w:t>[</w:t>
            </w:r>
            <w:r w:rsidR="00C8434D" w:rsidRPr="007B2F7C">
              <w:rPr>
                <w:b/>
                <w:sz w:val="16"/>
                <w:szCs w:val="16"/>
              </w:rPr>
              <w:t>BCI</w:t>
            </w:r>
            <w:r w:rsidRPr="007B2F7C">
              <w:rPr>
                <w:b/>
                <w:sz w:val="16"/>
                <w:szCs w:val="16"/>
              </w:rPr>
              <w:t>]</w:t>
            </w:r>
          </w:p>
        </w:tc>
        <w:tc>
          <w:tcPr>
            <w:tcW w:w="1701" w:type="dxa"/>
            <w:shd w:val="clear" w:color="auto" w:fill="C9DED4"/>
          </w:tcPr>
          <w:p w:rsidR="0007161B" w:rsidRPr="007B2F7C" w:rsidRDefault="0007161B" w:rsidP="00206326">
            <w:pPr>
              <w:pStyle w:val="BodyText"/>
              <w:keepNext/>
              <w:keepLines/>
              <w:widowControl w:val="0"/>
              <w:numPr>
                <w:ilvl w:val="0"/>
                <w:numId w:val="0"/>
              </w:numPr>
              <w:spacing w:after="60"/>
              <w:jc w:val="center"/>
              <w:rPr>
                <w:sz w:val="16"/>
                <w:szCs w:val="16"/>
              </w:rPr>
            </w:pPr>
          </w:p>
          <w:p w:rsidR="0007161B" w:rsidRPr="007B2F7C" w:rsidRDefault="0007161B" w:rsidP="00206326">
            <w:pPr>
              <w:pStyle w:val="BodyText"/>
              <w:keepNext/>
              <w:keepLines/>
              <w:widowControl w:val="0"/>
              <w:numPr>
                <w:ilvl w:val="0"/>
                <w:numId w:val="0"/>
              </w:numPr>
              <w:spacing w:after="60"/>
              <w:jc w:val="center"/>
              <w:rPr>
                <w:sz w:val="16"/>
                <w:szCs w:val="16"/>
              </w:rPr>
            </w:pPr>
            <w:r w:rsidRPr="007B2F7C">
              <w:rPr>
                <w:b/>
                <w:sz w:val="16"/>
                <w:szCs w:val="16"/>
              </w:rPr>
              <w:t>[</w:t>
            </w:r>
            <w:r w:rsidR="00C8434D" w:rsidRPr="007B2F7C">
              <w:rPr>
                <w:b/>
                <w:sz w:val="16"/>
                <w:szCs w:val="16"/>
              </w:rPr>
              <w:t>BCI</w:t>
            </w:r>
            <w:r w:rsidRPr="007B2F7C">
              <w:rPr>
                <w:b/>
                <w:sz w:val="16"/>
                <w:szCs w:val="16"/>
              </w:rPr>
              <w:t>]</w:t>
            </w:r>
          </w:p>
        </w:tc>
        <w:tc>
          <w:tcPr>
            <w:tcW w:w="1275" w:type="dxa"/>
            <w:shd w:val="clear" w:color="auto" w:fill="C9DED4"/>
          </w:tcPr>
          <w:p w:rsidR="0007161B" w:rsidRPr="007B2F7C" w:rsidRDefault="0007161B" w:rsidP="00206326">
            <w:pPr>
              <w:pStyle w:val="BodyText"/>
              <w:keepNext/>
              <w:keepLines/>
              <w:widowControl w:val="0"/>
              <w:numPr>
                <w:ilvl w:val="0"/>
                <w:numId w:val="0"/>
              </w:numPr>
              <w:spacing w:after="60"/>
              <w:jc w:val="center"/>
              <w:rPr>
                <w:sz w:val="16"/>
                <w:szCs w:val="16"/>
              </w:rPr>
            </w:pPr>
          </w:p>
          <w:p w:rsidR="0007161B" w:rsidRPr="007B2F7C" w:rsidRDefault="0007161B" w:rsidP="00206326">
            <w:pPr>
              <w:pStyle w:val="BodyText"/>
              <w:keepNext/>
              <w:keepLines/>
              <w:widowControl w:val="0"/>
              <w:numPr>
                <w:ilvl w:val="0"/>
                <w:numId w:val="0"/>
              </w:numPr>
              <w:spacing w:after="60"/>
              <w:jc w:val="center"/>
              <w:rPr>
                <w:sz w:val="16"/>
                <w:szCs w:val="16"/>
              </w:rPr>
            </w:pPr>
            <w:r w:rsidRPr="007B2F7C">
              <w:rPr>
                <w:b/>
                <w:sz w:val="16"/>
                <w:szCs w:val="16"/>
              </w:rPr>
              <w:t>[</w:t>
            </w:r>
            <w:r w:rsidR="00C8434D" w:rsidRPr="007B2F7C">
              <w:rPr>
                <w:b/>
                <w:sz w:val="16"/>
                <w:szCs w:val="16"/>
              </w:rPr>
              <w:t>BCI</w:t>
            </w:r>
            <w:r w:rsidRPr="007B2F7C">
              <w:rPr>
                <w:b/>
                <w:sz w:val="16"/>
                <w:szCs w:val="16"/>
              </w:rPr>
              <w:t>]</w:t>
            </w:r>
          </w:p>
        </w:tc>
        <w:tc>
          <w:tcPr>
            <w:tcW w:w="2410" w:type="dxa"/>
            <w:shd w:val="clear" w:color="auto" w:fill="C9DED4"/>
          </w:tcPr>
          <w:p w:rsidR="0007161B" w:rsidRPr="007B2F7C" w:rsidRDefault="0007161B" w:rsidP="00206326">
            <w:pPr>
              <w:pStyle w:val="BodyText"/>
              <w:keepNext/>
              <w:keepLines/>
              <w:widowControl w:val="0"/>
              <w:numPr>
                <w:ilvl w:val="0"/>
                <w:numId w:val="0"/>
              </w:numPr>
              <w:spacing w:after="60"/>
              <w:jc w:val="center"/>
              <w:rPr>
                <w:b/>
                <w:sz w:val="16"/>
                <w:szCs w:val="16"/>
              </w:rPr>
            </w:pPr>
          </w:p>
          <w:p w:rsidR="0007161B" w:rsidRPr="007B2F7C" w:rsidRDefault="0007161B" w:rsidP="00206326">
            <w:pPr>
              <w:pStyle w:val="BodyText"/>
              <w:keepNext/>
              <w:keepLines/>
              <w:widowControl w:val="0"/>
              <w:numPr>
                <w:ilvl w:val="0"/>
                <w:numId w:val="0"/>
              </w:numPr>
              <w:spacing w:after="60"/>
              <w:jc w:val="center"/>
              <w:rPr>
                <w:sz w:val="16"/>
                <w:szCs w:val="16"/>
              </w:rPr>
            </w:pPr>
            <w:r w:rsidRPr="007B2F7C">
              <w:rPr>
                <w:b/>
                <w:sz w:val="16"/>
                <w:szCs w:val="16"/>
              </w:rPr>
              <w:t>[</w:t>
            </w:r>
            <w:r w:rsidR="00C8434D" w:rsidRPr="007B2F7C">
              <w:rPr>
                <w:b/>
                <w:sz w:val="16"/>
                <w:szCs w:val="16"/>
              </w:rPr>
              <w:t>BCI</w:t>
            </w:r>
            <w:r w:rsidRPr="007B2F7C">
              <w:rPr>
                <w:b/>
                <w:sz w:val="16"/>
                <w:szCs w:val="16"/>
              </w:rPr>
              <w:t>]</w:t>
            </w:r>
          </w:p>
        </w:tc>
      </w:tr>
      <w:tr w:rsidR="0007161B" w:rsidRPr="007F2F08" w:rsidTr="00206326">
        <w:trPr>
          <w:trHeight w:val="202"/>
        </w:trPr>
        <w:tc>
          <w:tcPr>
            <w:tcW w:w="2184" w:type="dxa"/>
            <w:shd w:val="clear" w:color="auto" w:fill="auto"/>
          </w:tcPr>
          <w:p w:rsidR="0007161B" w:rsidRPr="007B2F7C" w:rsidRDefault="0007161B" w:rsidP="00206326">
            <w:pPr>
              <w:pStyle w:val="BodyText"/>
              <w:keepNext/>
              <w:keepLines/>
              <w:widowControl w:val="0"/>
              <w:numPr>
                <w:ilvl w:val="0"/>
                <w:numId w:val="0"/>
              </w:numPr>
              <w:spacing w:after="60"/>
              <w:rPr>
                <w:sz w:val="16"/>
                <w:szCs w:val="16"/>
              </w:rPr>
            </w:pPr>
            <w:r w:rsidRPr="007B2F7C">
              <w:rPr>
                <w:sz w:val="16"/>
                <w:szCs w:val="16"/>
              </w:rPr>
              <w:t>Spain</w:t>
            </w:r>
          </w:p>
          <w:p w:rsidR="0007161B" w:rsidRPr="007B2F7C" w:rsidRDefault="0007161B" w:rsidP="00206326">
            <w:pPr>
              <w:pStyle w:val="BodyText"/>
              <w:keepNext/>
              <w:keepLines/>
              <w:widowControl w:val="0"/>
              <w:numPr>
                <w:ilvl w:val="0"/>
                <w:numId w:val="0"/>
              </w:numPr>
              <w:spacing w:after="60"/>
              <w:rPr>
                <w:sz w:val="16"/>
                <w:szCs w:val="16"/>
              </w:rPr>
            </w:pPr>
            <w:r w:rsidRPr="007B2F7C">
              <w:rPr>
                <w:b/>
                <w:sz w:val="16"/>
                <w:szCs w:val="16"/>
              </w:rPr>
              <w:t>[</w:t>
            </w:r>
            <w:r w:rsidR="00C8434D" w:rsidRPr="007B2F7C">
              <w:rPr>
                <w:b/>
                <w:sz w:val="16"/>
                <w:szCs w:val="16"/>
              </w:rPr>
              <w:t>BCI</w:t>
            </w:r>
            <w:r w:rsidRPr="007B2F7C">
              <w:rPr>
                <w:b/>
                <w:sz w:val="16"/>
                <w:szCs w:val="16"/>
              </w:rPr>
              <w:t>]</w:t>
            </w:r>
          </w:p>
        </w:tc>
        <w:tc>
          <w:tcPr>
            <w:tcW w:w="1701" w:type="dxa"/>
            <w:shd w:val="clear" w:color="auto" w:fill="auto"/>
          </w:tcPr>
          <w:p w:rsidR="0007161B" w:rsidRPr="007B2F7C" w:rsidRDefault="0007161B" w:rsidP="00206326">
            <w:pPr>
              <w:pStyle w:val="BodyText"/>
              <w:keepNext/>
              <w:keepLines/>
              <w:widowControl w:val="0"/>
              <w:numPr>
                <w:ilvl w:val="0"/>
                <w:numId w:val="0"/>
              </w:numPr>
              <w:spacing w:after="60"/>
              <w:jc w:val="center"/>
              <w:rPr>
                <w:sz w:val="16"/>
                <w:szCs w:val="16"/>
              </w:rPr>
            </w:pPr>
          </w:p>
          <w:p w:rsidR="0007161B" w:rsidRPr="007B2F7C" w:rsidRDefault="0007161B" w:rsidP="00206326">
            <w:pPr>
              <w:pStyle w:val="BodyText"/>
              <w:keepNext/>
              <w:keepLines/>
              <w:widowControl w:val="0"/>
              <w:numPr>
                <w:ilvl w:val="0"/>
                <w:numId w:val="0"/>
              </w:numPr>
              <w:spacing w:after="60"/>
              <w:jc w:val="center"/>
              <w:rPr>
                <w:sz w:val="16"/>
                <w:szCs w:val="16"/>
              </w:rPr>
            </w:pPr>
            <w:r w:rsidRPr="007B2F7C">
              <w:rPr>
                <w:b/>
                <w:sz w:val="16"/>
                <w:szCs w:val="16"/>
              </w:rPr>
              <w:t>[</w:t>
            </w:r>
            <w:r w:rsidR="00C8434D" w:rsidRPr="007B2F7C">
              <w:rPr>
                <w:b/>
                <w:sz w:val="16"/>
                <w:szCs w:val="16"/>
              </w:rPr>
              <w:t>BCI</w:t>
            </w:r>
            <w:r w:rsidRPr="007B2F7C">
              <w:rPr>
                <w:b/>
                <w:sz w:val="16"/>
                <w:szCs w:val="16"/>
              </w:rPr>
              <w:t>]</w:t>
            </w:r>
          </w:p>
        </w:tc>
        <w:tc>
          <w:tcPr>
            <w:tcW w:w="1701" w:type="dxa"/>
            <w:shd w:val="clear" w:color="auto" w:fill="auto"/>
          </w:tcPr>
          <w:p w:rsidR="0007161B" w:rsidRPr="007B2F7C" w:rsidRDefault="0007161B" w:rsidP="00206326">
            <w:pPr>
              <w:pStyle w:val="BodyText"/>
              <w:keepNext/>
              <w:keepLines/>
              <w:widowControl w:val="0"/>
              <w:numPr>
                <w:ilvl w:val="0"/>
                <w:numId w:val="0"/>
              </w:numPr>
              <w:spacing w:after="60"/>
              <w:jc w:val="center"/>
              <w:rPr>
                <w:sz w:val="16"/>
                <w:szCs w:val="16"/>
              </w:rPr>
            </w:pPr>
          </w:p>
          <w:p w:rsidR="0007161B" w:rsidRPr="007B2F7C" w:rsidRDefault="0007161B" w:rsidP="00206326">
            <w:pPr>
              <w:pStyle w:val="BodyText"/>
              <w:keepNext/>
              <w:keepLines/>
              <w:widowControl w:val="0"/>
              <w:numPr>
                <w:ilvl w:val="0"/>
                <w:numId w:val="0"/>
              </w:numPr>
              <w:spacing w:after="60"/>
              <w:jc w:val="center"/>
              <w:rPr>
                <w:sz w:val="16"/>
                <w:szCs w:val="16"/>
              </w:rPr>
            </w:pPr>
            <w:r w:rsidRPr="007B2F7C">
              <w:rPr>
                <w:b/>
                <w:sz w:val="16"/>
                <w:szCs w:val="16"/>
              </w:rPr>
              <w:t>[</w:t>
            </w:r>
            <w:r w:rsidR="00C8434D" w:rsidRPr="007B2F7C">
              <w:rPr>
                <w:b/>
                <w:sz w:val="16"/>
                <w:szCs w:val="16"/>
              </w:rPr>
              <w:t>BCI</w:t>
            </w:r>
            <w:r w:rsidRPr="007B2F7C">
              <w:rPr>
                <w:b/>
                <w:sz w:val="16"/>
                <w:szCs w:val="16"/>
              </w:rPr>
              <w:t>]</w:t>
            </w:r>
          </w:p>
        </w:tc>
        <w:tc>
          <w:tcPr>
            <w:tcW w:w="1275" w:type="dxa"/>
            <w:shd w:val="clear" w:color="auto" w:fill="auto"/>
          </w:tcPr>
          <w:p w:rsidR="0007161B" w:rsidRPr="007B2F7C" w:rsidRDefault="0007161B" w:rsidP="00206326">
            <w:pPr>
              <w:pStyle w:val="BodyText"/>
              <w:keepNext/>
              <w:keepLines/>
              <w:widowControl w:val="0"/>
              <w:numPr>
                <w:ilvl w:val="0"/>
                <w:numId w:val="0"/>
              </w:numPr>
              <w:spacing w:after="60"/>
              <w:jc w:val="center"/>
              <w:rPr>
                <w:sz w:val="16"/>
                <w:szCs w:val="16"/>
              </w:rPr>
            </w:pPr>
          </w:p>
          <w:p w:rsidR="0007161B" w:rsidRPr="007B2F7C" w:rsidRDefault="0007161B" w:rsidP="00206326">
            <w:pPr>
              <w:pStyle w:val="BodyText"/>
              <w:keepNext/>
              <w:keepLines/>
              <w:widowControl w:val="0"/>
              <w:numPr>
                <w:ilvl w:val="0"/>
                <w:numId w:val="0"/>
              </w:numPr>
              <w:spacing w:after="60"/>
              <w:jc w:val="center"/>
              <w:rPr>
                <w:sz w:val="16"/>
                <w:szCs w:val="16"/>
              </w:rPr>
            </w:pPr>
            <w:r w:rsidRPr="007B2F7C">
              <w:rPr>
                <w:b/>
                <w:sz w:val="16"/>
                <w:szCs w:val="16"/>
              </w:rPr>
              <w:t>[</w:t>
            </w:r>
            <w:r w:rsidR="00C8434D" w:rsidRPr="007B2F7C">
              <w:rPr>
                <w:b/>
                <w:sz w:val="16"/>
                <w:szCs w:val="16"/>
              </w:rPr>
              <w:t>BCI</w:t>
            </w:r>
            <w:r w:rsidRPr="007B2F7C">
              <w:rPr>
                <w:b/>
                <w:sz w:val="16"/>
                <w:szCs w:val="16"/>
              </w:rPr>
              <w:t>]</w:t>
            </w:r>
          </w:p>
        </w:tc>
        <w:tc>
          <w:tcPr>
            <w:tcW w:w="2410" w:type="dxa"/>
            <w:shd w:val="clear" w:color="auto" w:fill="auto"/>
          </w:tcPr>
          <w:p w:rsidR="0007161B" w:rsidRPr="007B2F7C" w:rsidRDefault="0007161B" w:rsidP="00206326">
            <w:pPr>
              <w:pStyle w:val="BodyText"/>
              <w:keepNext/>
              <w:keepLines/>
              <w:widowControl w:val="0"/>
              <w:numPr>
                <w:ilvl w:val="0"/>
                <w:numId w:val="0"/>
              </w:numPr>
              <w:spacing w:after="60"/>
              <w:jc w:val="center"/>
              <w:rPr>
                <w:b/>
                <w:sz w:val="16"/>
                <w:szCs w:val="16"/>
              </w:rPr>
            </w:pPr>
          </w:p>
          <w:p w:rsidR="0007161B" w:rsidRPr="007B2F7C" w:rsidRDefault="0007161B" w:rsidP="00206326">
            <w:pPr>
              <w:pStyle w:val="BodyText"/>
              <w:keepNext/>
              <w:keepLines/>
              <w:widowControl w:val="0"/>
              <w:numPr>
                <w:ilvl w:val="0"/>
                <w:numId w:val="0"/>
              </w:numPr>
              <w:spacing w:after="60"/>
              <w:jc w:val="center"/>
              <w:rPr>
                <w:sz w:val="16"/>
                <w:szCs w:val="16"/>
              </w:rPr>
            </w:pPr>
            <w:r w:rsidRPr="007B2F7C">
              <w:rPr>
                <w:b/>
                <w:sz w:val="16"/>
                <w:szCs w:val="16"/>
              </w:rPr>
              <w:t>[</w:t>
            </w:r>
            <w:r w:rsidR="00C8434D" w:rsidRPr="007B2F7C">
              <w:rPr>
                <w:b/>
                <w:sz w:val="16"/>
                <w:szCs w:val="16"/>
              </w:rPr>
              <w:t>BCI</w:t>
            </w:r>
            <w:r w:rsidRPr="007B2F7C">
              <w:rPr>
                <w:b/>
                <w:sz w:val="16"/>
                <w:szCs w:val="16"/>
              </w:rPr>
              <w:t>]</w:t>
            </w:r>
          </w:p>
        </w:tc>
      </w:tr>
      <w:tr w:rsidR="0007161B" w:rsidRPr="00B84A0D" w:rsidTr="00206326">
        <w:tc>
          <w:tcPr>
            <w:tcW w:w="2184" w:type="dxa"/>
            <w:shd w:val="clear" w:color="auto" w:fill="C9DED4"/>
          </w:tcPr>
          <w:p w:rsidR="0007161B" w:rsidRPr="007B2F7C" w:rsidRDefault="0007161B" w:rsidP="00206326">
            <w:pPr>
              <w:pStyle w:val="BodyText"/>
              <w:keepNext/>
              <w:keepLines/>
              <w:widowControl w:val="0"/>
              <w:numPr>
                <w:ilvl w:val="0"/>
                <w:numId w:val="0"/>
              </w:numPr>
              <w:spacing w:after="60"/>
              <w:rPr>
                <w:sz w:val="16"/>
                <w:szCs w:val="16"/>
              </w:rPr>
            </w:pPr>
            <w:r w:rsidRPr="007B2F7C">
              <w:rPr>
                <w:sz w:val="16"/>
                <w:szCs w:val="16"/>
              </w:rPr>
              <w:t>United Kingdom</w:t>
            </w:r>
          </w:p>
          <w:p w:rsidR="0007161B" w:rsidRPr="007B2F7C" w:rsidRDefault="0007161B" w:rsidP="00206326">
            <w:pPr>
              <w:pStyle w:val="BodyText"/>
              <w:keepNext/>
              <w:keepLines/>
              <w:widowControl w:val="0"/>
              <w:numPr>
                <w:ilvl w:val="0"/>
                <w:numId w:val="0"/>
              </w:numPr>
              <w:spacing w:after="60"/>
              <w:rPr>
                <w:sz w:val="16"/>
                <w:szCs w:val="16"/>
              </w:rPr>
            </w:pPr>
            <w:r w:rsidRPr="007B2F7C">
              <w:rPr>
                <w:b/>
                <w:sz w:val="16"/>
                <w:szCs w:val="16"/>
              </w:rPr>
              <w:t>[</w:t>
            </w:r>
            <w:r w:rsidR="00C8434D" w:rsidRPr="007B2F7C">
              <w:rPr>
                <w:b/>
                <w:sz w:val="16"/>
                <w:szCs w:val="16"/>
              </w:rPr>
              <w:t>BCI</w:t>
            </w:r>
            <w:r w:rsidRPr="007B2F7C">
              <w:rPr>
                <w:b/>
                <w:sz w:val="16"/>
                <w:szCs w:val="16"/>
              </w:rPr>
              <w:t>]</w:t>
            </w:r>
          </w:p>
        </w:tc>
        <w:tc>
          <w:tcPr>
            <w:tcW w:w="1701" w:type="dxa"/>
            <w:shd w:val="clear" w:color="auto" w:fill="C9DED4"/>
          </w:tcPr>
          <w:p w:rsidR="0007161B" w:rsidRPr="007B2F7C" w:rsidRDefault="0007161B" w:rsidP="00206326">
            <w:pPr>
              <w:pStyle w:val="BodyText"/>
              <w:keepNext/>
              <w:keepLines/>
              <w:widowControl w:val="0"/>
              <w:numPr>
                <w:ilvl w:val="0"/>
                <w:numId w:val="0"/>
              </w:numPr>
              <w:spacing w:after="60"/>
              <w:jc w:val="center"/>
              <w:rPr>
                <w:sz w:val="16"/>
                <w:szCs w:val="16"/>
              </w:rPr>
            </w:pPr>
          </w:p>
          <w:p w:rsidR="0007161B" w:rsidRPr="007B2F7C" w:rsidRDefault="0007161B" w:rsidP="00206326">
            <w:pPr>
              <w:pStyle w:val="BodyText"/>
              <w:keepNext/>
              <w:keepLines/>
              <w:widowControl w:val="0"/>
              <w:numPr>
                <w:ilvl w:val="0"/>
                <w:numId w:val="0"/>
              </w:numPr>
              <w:spacing w:after="60"/>
              <w:jc w:val="center"/>
              <w:rPr>
                <w:sz w:val="16"/>
                <w:szCs w:val="16"/>
              </w:rPr>
            </w:pPr>
            <w:r w:rsidRPr="007B2F7C">
              <w:rPr>
                <w:b/>
                <w:sz w:val="16"/>
                <w:szCs w:val="16"/>
              </w:rPr>
              <w:t>[</w:t>
            </w:r>
            <w:r w:rsidR="00C8434D" w:rsidRPr="007B2F7C">
              <w:rPr>
                <w:b/>
                <w:sz w:val="16"/>
                <w:szCs w:val="16"/>
              </w:rPr>
              <w:t>BCI</w:t>
            </w:r>
            <w:r w:rsidRPr="007B2F7C">
              <w:rPr>
                <w:b/>
                <w:sz w:val="16"/>
                <w:szCs w:val="16"/>
              </w:rPr>
              <w:t>]</w:t>
            </w:r>
          </w:p>
        </w:tc>
        <w:tc>
          <w:tcPr>
            <w:tcW w:w="1701" w:type="dxa"/>
            <w:shd w:val="clear" w:color="auto" w:fill="C9DED4"/>
          </w:tcPr>
          <w:p w:rsidR="0007161B" w:rsidRPr="007B2F7C" w:rsidRDefault="0007161B" w:rsidP="00206326">
            <w:pPr>
              <w:pStyle w:val="BodyText"/>
              <w:keepNext/>
              <w:keepLines/>
              <w:widowControl w:val="0"/>
              <w:numPr>
                <w:ilvl w:val="0"/>
                <w:numId w:val="0"/>
              </w:numPr>
              <w:spacing w:after="60"/>
              <w:jc w:val="center"/>
              <w:rPr>
                <w:sz w:val="16"/>
                <w:szCs w:val="16"/>
              </w:rPr>
            </w:pPr>
          </w:p>
          <w:p w:rsidR="0007161B" w:rsidRPr="007B2F7C" w:rsidRDefault="0007161B" w:rsidP="00206326">
            <w:pPr>
              <w:pStyle w:val="BodyText"/>
              <w:keepNext/>
              <w:keepLines/>
              <w:widowControl w:val="0"/>
              <w:numPr>
                <w:ilvl w:val="0"/>
                <w:numId w:val="0"/>
              </w:numPr>
              <w:spacing w:after="60"/>
              <w:jc w:val="center"/>
              <w:rPr>
                <w:sz w:val="16"/>
                <w:szCs w:val="16"/>
              </w:rPr>
            </w:pPr>
            <w:r w:rsidRPr="007B2F7C">
              <w:rPr>
                <w:b/>
                <w:sz w:val="16"/>
                <w:szCs w:val="16"/>
              </w:rPr>
              <w:t>[</w:t>
            </w:r>
            <w:r w:rsidR="00C8434D" w:rsidRPr="007B2F7C">
              <w:rPr>
                <w:b/>
                <w:sz w:val="16"/>
                <w:szCs w:val="16"/>
              </w:rPr>
              <w:t>BCI</w:t>
            </w:r>
            <w:r w:rsidRPr="007B2F7C">
              <w:rPr>
                <w:b/>
                <w:sz w:val="16"/>
                <w:szCs w:val="16"/>
              </w:rPr>
              <w:t>]</w:t>
            </w:r>
          </w:p>
        </w:tc>
        <w:tc>
          <w:tcPr>
            <w:tcW w:w="1275" w:type="dxa"/>
            <w:shd w:val="clear" w:color="auto" w:fill="C9DED4"/>
          </w:tcPr>
          <w:p w:rsidR="0007161B" w:rsidRPr="007B2F7C" w:rsidRDefault="0007161B" w:rsidP="00206326">
            <w:pPr>
              <w:pStyle w:val="BodyText"/>
              <w:keepNext/>
              <w:keepLines/>
              <w:widowControl w:val="0"/>
              <w:numPr>
                <w:ilvl w:val="0"/>
                <w:numId w:val="0"/>
              </w:numPr>
              <w:spacing w:after="60"/>
              <w:jc w:val="center"/>
              <w:rPr>
                <w:sz w:val="16"/>
                <w:szCs w:val="16"/>
              </w:rPr>
            </w:pPr>
          </w:p>
          <w:p w:rsidR="0007161B" w:rsidRPr="007B2F7C" w:rsidRDefault="0007161B" w:rsidP="00206326">
            <w:pPr>
              <w:pStyle w:val="BodyText"/>
              <w:keepNext/>
              <w:keepLines/>
              <w:widowControl w:val="0"/>
              <w:numPr>
                <w:ilvl w:val="0"/>
                <w:numId w:val="0"/>
              </w:numPr>
              <w:spacing w:after="60"/>
              <w:jc w:val="center"/>
              <w:rPr>
                <w:sz w:val="16"/>
                <w:szCs w:val="16"/>
              </w:rPr>
            </w:pPr>
            <w:r w:rsidRPr="007B2F7C">
              <w:rPr>
                <w:b/>
                <w:sz w:val="16"/>
                <w:szCs w:val="16"/>
              </w:rPr>
              <w:t>[</w:t>
            </w:r>
            <w:r w:rsidR="00C8434D" w:rsidRPr="007B2F7C">
              <w:rPr>
                <w:b/>
                <w:sz w:val="16"/>
                <w:szCs w:val="16"/>
              </w:rPr>
              <w:t>BCI</w:t>
            </w:r>
            <w:r w:rsidRPr="007B2F7C">
              <w:rPr>
                <w:b/>
                <w:sz w:val="16"/>
                <w:szCs w:val="16"/>
              </w:rPr>
              <w:t>]</w:t>
            </w:r>
          </w:p>
        </w:tc>
        <w:tc>
          <w:tcPr>
            <w:tcW w:w="2410" w:type="dxa"/>
            <w:shd w:val="clear" w:color="auto" w:fill="C9DED4"/>
          </w:tcPr>
          <w:p w:rsidR="0007161B" w:rsidRPr="007B2F7C" w:rsidRDefault="0007161B" w:rsidP="00206326">
            <w:pPr>
              <w:pStyle w:val="BodyText"/>
              <w:keepNext/>
              <w:keepLines/>
              <w:widowControl w:val="0"/>
              <w:numPr>
                <w:ilvl w:val="0"/>
                <w:numId w:val="0"/>
              </w:numPr>
              <w:spacing w:after="60"/>
              <w:jc w:val="center"/>
              <w:rPr>
                <w:b/>
                <w:sz w:val="16"/>
                <w:szCs w:val="16"/>
              </w:rPr>
            </w:pPr>
          </w:p>
          <w:p w:rsidR="0007161B" w:rsidRPr="007B2F7C" w:rsidRDefault="0007161B" w:rsidP="00206326">
            <w:pPr>
              <w:pStyle w:val="BodyText"/>
              <w:keepNext/>
              <w:keepLines/>
              <w:widowControl w:val="0"/>
              <w:numPr>
                <w:ilvl w:val="0"/>
                <w:numId w:val="0"/>
              </w:numPr>
              <w:spacing w:after="60"/>
              <w:jc w:val="center"/>
              <w:rPr>
                <w:sz w:val="16"/>
                <w:szCs w:val="16"/>
              </w:rPr>
            </w:pPr>
            <w:r w:rsidRPr="007B2F7C">
              <w:rPr>
                <w:b/>
                <w:sz w:val="16"/>
                <w:szCs w:val="16"/>
              </w:rPr>
              <w:t>[</w:t>
            </w:r>
            <w:r w:rsidR="00C8434D" w:rsidRPr="007B2F7C">
              <w:rPr>
                <w:b/>
                <w:sz w:val="16"/>
                <w:szCs w:val="16"/>
              </w:rPr>
              <w:t>BCI</w:t>
            </w:r>
            <w:r w:rsidRPr="007B2F7C">
              <w:rPr>
                <w:b/>
                <w:sz w:val="16"/>
                <w:szCs w:val="16"/>
              </w:rPr>
              <w:t>]</w:t>
            </w:r>
          </w:p>
        </w:tc>
      </w:tr>
    </w:tbl>
    <w:p w:rsidR="0007161B" w:rsidRDefault="0007161B" w:rsidP="00DC4FDF">
      <w:pPr>
        <w:pStyle w:val="NoteText"/>
        <w:spacing w:before="120"/>
      </w:pPr>
      <w:r>
        <w:t>Source: Panel Report, Table 6 at paragraph 6.382.</w:t>
      </w:r>
    </w:p>
    <w:p w:rsidR="0007161B" w:rsidRPr="00A55DC0" w:rsidRDefault="0007161B" w:rsidP="00206326">
      <w:pPr>
        <w:pStyle w:val="BodyText"/>
        <w:keepNext/>
        <w:keepLines/>
        <w:spacing w:before="240" w:line="360" w:lineRule="auto"/>
      </w:pPr>
      <w:r>
        <w:t xml:space="preserve">The Panel then noted the </w:t>
      </w:r>
      <w:r w:rsidR="000A10EA">
        <w:t>Appellate Body</w:t>
      </w:r>
      <w:r>
        <w:t>'s guidance from the original proceedings:</w:t>
      </w:r>
    </w:p>
    <w:p w:rsidR="0007161B" w:rsidRDefault="0007161B" w:rsidP="00206326">
      <w:pPr>
        <w:pStyle w:val="Quotation"/>
      </w:pPr>
      <w:r>
        <w:t xml:space="preserve">Under a "benefit" analysis, a comparison is made between the terms and conditions of the financial contribution when it is granted {and} the terms and conditions that would have been offered on the market </w:t>
      </w:r>
      <w:r>
        <w:rPr>
          <w:i/>
        </w:rPr>
        <w:t>at that time</w:t>
      </w:r>
      <w:r>
        <w:t xml:space="preserve"> … a panel's assessment of </w:t>
      </w:r>
      <w:r w:rsidRPr="00670C1F">
        <w:t>benefit</w:t>
      </w:r>
      <w:r>
        <w:t xml:space="preserve"> should focus on the relevant market benchmark at the time the financial contribution is granted to the recipient. That benchmark entails a consideration of what a market participant would have been able to secure on the market at that time.</w:t>
      </w:r>
      <w:r>
        <w:rPr>
          <w:rStyle w:val="FootnoteReference"/>
        </w:rPr>
        <w:footnoteReference w:id="304"/>
      </w:r>
    </w:p>
    <w:p w:rsidR="0007161B" w:rsidRPr="00A55DC0" w:rsidRDefault="0007161B" w:rsidP="00DC4FDF">
      <w:pPr>
        <w:pStyle w:val="BodyText"/>
        <w:keepNext/>
        <w:keepLines/>
      </w:pPr>
      <w:r w:rsidRPr="00B84A0D">
        <w:t xml:space="preserve">On the basis of </w:t>
      </w:r>
      <w:r>
        <w:t>this</w:t>
      </w:r>
      <w:r w:rsidRPr="00B84A0D">
        <w:t xml:space="preserve"> guidance, the Panel indicated that "borrowing costs should be observed at the time that each particular contract was concluded</w:t>
      </w:r>
      <w:r>
        <w:t>.</w:t>
      </w:r>
      <w:r w:rsidRPr="00B84A0D">
        <w:t>"</w:t>
      </w:r>
      <w:r w:rsidRPr="00B84A0D">
        <w:rPr>
          <w:rStyle w:val="FootnoteReference"/>
        </w:rPr>
        <w:footnoteReference w:id="305"/>
      </w:r>
      <w:r w:rsidRPr="00B84A0D">
        <w:t xml:space="preserve"> The Panel explained that "{a}veraging the borrowing rate of contracts concluded over a time</w:t>
      </w:r>
      <w:r w:rsidRPr="00B84A0D">
        <w:noBreakHyphen/>
        <w:t>period during which there were different market borrowing rates may lead to distortions."</w:t>
      </w:r>
      <w:r w:rsidRPr="00B84A0D">
        <w:rPr>
          <w:rStyle w:val="FootnoteReference"/>
        </w:rPr>
        <w:footnoteReference w:id="306"/>
      </w:r>
      <w:r w:rsidRPr="00B84A0D">
        <w:t xml:space="preserve"> For this reason, the Panel considered that:</w:t>
      </w:r>
    </w:p>
    <w:p w:rsidR="0007161B" w:rsidRPr="00F242A3" w:rsidRDefault="0007161B" w:rsidP="00206326">
      <w:pPr>
        <w:pStyle w:val="Quotation"/>
      </w:pPr>
      <w:r w:rsidRPr="00B84A0D">
        <w:t xml:space="preserve">Professor Whitelaw's averaging approach could artificially lower a higher market borrowing rate, leading to a misplaced finding that there was no </w:t>
      </w:r>
      <w:r w:rsidRPr="00670C1F">
        <w:t>subsidisation</w:t>
      </w:r>
      <w:r w:rsidRPr="00B84A0D">
        <w:t>. It could also artificially increase a lower market borrowing rate, and create a danger that a benefit might be found in a case where LA/MSF was really obtained at, or above, market rate. In such an instance there could be a misplaced finding of subsidisation.</w:t>
      </w:r>
      <w:r w:rsidRPr="00B84A0D">
        <w:rPr>
          <w:rStyle w:val="FootnoteReference"/>
          <w:szCs w:val="20"/>
        </w:rPr>
        <w:footnoteReference w:id="307"/>
      </w:r>
    </w:p>
    <w:p w:rsidR="0007161B" w:rsidRDefault="0007161B" w:rsidP="00DC4FDF">
      <w:pPr>
        <w:pStyle w:val="BodyText"/>
      </w:pPr>
      <w:r w:rsidRPr="00B84A0D">
        <w:t xml:space="preserve">The Panel observed that "Professor Whitelaw's averaging approach would result in the application of corporate borrowing rates derived over time periods that are </w:t>
      </w:r>
      <w:r w:rsidRPr="00B84A0D">
        <w:rPr>
          <w:i/>
        </w:rPr>
        <w:t>different</w:t>
      </w:r>
      <w:r w:rsidR="00AE4A50">
        <w:t xml:space="preserve"> for the four </w:t>
      </w:r>
      <w:r w:rsidRPr="00B84A0D">
        <w:t>LA/MSF contracts."</w:t>
      </w:r>
      <w:r w:rsidRPr="000C534D">
        <w:rPr>
          <w:rStyle w:val="FootnoteReference"/>
        </w:rPr>
        <w:footnoteReference w:id="308"/>
      </w:r>
      <w:r>
        <w:t xml:space="preserve"> By way of example, the Panel noted that "</w:t>
      </w:r>
      <w:r w:rsidRPr="00547564">
        <w:t xml:space="preserve">the market </w:t>
      </w:r>
      <w:r w:rsidR="00AE4A50">
        <w:t>rate for the UK </w:t>
      </w:r>
      <w:r w:rsidRPr="00547564">
        <w:t xml:space="preserve">loan agreement, coming later, would be distorted upwards by higher yields from the time when </w:t>
      </w:r>
      <w:r w:rsidRPr="00547564">
        <w:lastRenderedPageBreak/>
        <w:t xml:space="preserve">the French agreement was concluded – some </w:t>
      </w:r>
      <w:r w:rsidRPr="00547564">
        <w:rPr>
          <w:b/>
        </w:rPr>
        <w:t>[</w:t>
      </w:r>
      <w:r w:rsidR="00C8434D" w:rsidRPr="00C8434D">
        <w:rPr>
          <w:b/>
          <w:szCs w:val="16"/>
        </w:rPr>
        <w:t>BCI</w:t>
      </w:r>
      <w:r w:rsidRPr="00547564">
        <w:rPr>
          <w:b/>
        </w:rPr>
        <w:t>]</w:t>
      </w:r>
      <w:r w:rsidRPr="00547564">
        <w:t xml:space="preserve"> earlier</w:t>
      </w:r>
      <w:r>
        <w:t>"</w:t>
      </w:r>
      <w:r w:rsidR="00657B57">
        <w:t>.</w:t>
      </w:r>
      <w:r>
        <w:rPr>
          <w:rStyle w:val="FootnoteReference"/>
        </w:rPr>
        <w:footnoteReference w:id="309"/>
      </w:r>
      <w:r w:rsidRPr="00547564">
        <w:t xml:space="preserve"> </w:t>
      </w:r>
      <w:r>
        <w:t>However, "{t}</w:t>
      </w:r>
      <w:r w:rsidRPr="00547564">
        <w:t>he market rate for the French loan agreement</w:t>
      </w:r>
      <w:r>
        <w:t xml:space="preserve"> …</w:t>
      </w:r>
      <w:r w:rsidRPr="00547564">
        <w:t xml:space="preserve"> would not be judged against market rates from </w:t>
      </w:r>
      <w:r w:rsidRPr="00547564">
        <w:rPr>
          <w:b/>
        </w:rPr>
        <w:t>[</w:t>
      </w:r>
      <w:r w:rsidR="00C8434D" w:rsidRPr="00C8434D">
        <w:rPr>
          <w:b/>
          <w:szCs w:val="16"/>
        </w:rPr>
        <w:t>BCI</w:t>
      </w:r>
      <w:r w:rsidRPr="00547564">
        <w:rPr>
          <w:b/>
        </w:rPr>
        <w:t>]</w:t>
      </w:r>
      <w:r w:rsidRPr="00547564">
        <w:t xml:space="preserve"> prior to its conclusion, when the bond yields were even higher and would have likewise distorted the rates upwards</w:t>
      </w:r>
      <w:r>
        <w:t>."</w:t>
      </w:r>
      <w:r>
        <w:rPr>
          <w:rStyle w:val="FootnoteReference"/>
        </w:rPr>
        <w:footnoteReference w:id="310"/>
      </w:r>
      <w:r>
        <w:t xml:space="preserve"> Thus</w:t>
      </w:r>
      <w:r w:rsidRPr="000C534D">
        <w:t>, the Panel considered that there was no "justification for judging the four LA/MSF agreements by different standards".</w:t>
      </w:r>
      <w:r w:rsidRPr="000C534D">
        <w:rPr>
          <w:rStyle w:val="FootnoteReference"/>
        </w:rPr>
        <w:footnoteReference w:id="311"/>
      </w:r>
    </w:p>
    <w:p w:rsidR="0007161B" w:rsidRPr="00F242A3" w:rsidRDefault="0007161B" w:rsidP="00DC4FDF">
      <w:pPr>
        <w:pStyle w:val="BodyText"/>
      </w:pPr>
      <w:r>
        <w:t>In addition, t</w:t>
      </w:r>
      <w:r w:rsidRPr="000C534D">
        <w:t xml:space="preserve">he Panel pointed out that </w:t>
      </w:r>
      <w:r>
        <w:t>"</w:t>
      </w:r>
      <w:r w:rsidRPr="000C534D">
        <w:t xml:space="preserve">Professor Whitelaw's averaging approach would also incorporate data from </w:t>
      </w:r>
      <w:r w:rsidRPr="00760C05">
        <w:rPr>
          <w:i/>
        </w:rPr>
        <w:t>after</w:t>
      </w:r>
      <w:r w:rsidRPr="000C534D">
        <w:t xml:space="preserve"> the conclusion of three of the four contracts.</w:t>
      </w:r>
      <w:r>
        <w:t>"</w:t>
      </w:r>
      <w:r>
        <w:rPr>
          <w:rStyle w:val="FootnoteReference"/>
        </w:rPr>
        <w:footnoteReference w:id="312"/>
      </w:r>
      <w:r w:rsidRPr="000C534D">
        <w:t xml:space="preserve"> In the Panel's view, "</w:t>
      </w:r>
      <w:r w:rsidRPr="00B51F4A">
        <w:t>{</w:t>
      </w:r>
      <w:r w:rsidRPr="007F423B">
        <w:t>m</w:t>
      </w:r>
      <w:r w:rsidRPr="00EC7285">
        <w:t>}</w:t>
      </w:r>
      <w:r w:rsidRPr="006973F0">
        <w:t xml:space="preserve">arket rates for debt </w:t>
      </w:r>
      <w:r w:rsidRPr="00A50B21">
        <w:rPr>
          <w:i/>
        </w:rPr>
        <w:t>after</w:t>
      </w:r>
      <w:r w:rsidRPr="00262BD6">
        <w:t xml:space="preserve"> the conclusion of a contract do not seem … to be a good measure of what the market would have offered </w:t>
      </w:r>
      <w:r w:rsidRPr="00245B1A">
        <w:rPr>
          <w:i/>
        </w:rPr>
        <w:t>at the time</w:t>
      </w:r>
      <w:r w:rsidRPr="00245B1A">
        <w:t xml:space="preserve"> it was concluded."</w:t>
      </w:r>
      <w:r w:rsidRPr="005C21C0">
        <w:rPr>
          <w:rStyle w:val="FootnoteReference"/>
        </w:rPr>
        <w:footnoteReference w:id="313"/>
      </w:r>
      <w:r w:rsidRPr="002A5780">
        <w:t xml:space="preserve"> The Panel found it "difficult to see how what … happens after the conclu</w:t>
      </w:r>
      <w:r w:rsidRPr="00B459CF">
        <w:t>sion of an agreement is relevant for the purposes of establishing a market benchmark".</w:t>
      </w:r>
      <w:r w:rsidRPr="00B459CF">
        <w:rPr>
          <w:rStyle w:val="FootnoteReference"/>
        </w:rPr>
        <w:footnoteReference w:id="314"/>
      </w:r>
    </w:p>
    <w:p w:rsidR="0007161B" w:rsidRPr="00F242A3" w:rsidRDefault="0007161B" w:rsidP="00DC4FDF">
      <w:pPr>
        <w:pStyle w:val="BodyText"/>
      </w:pPr>
      <w:r w:rsidRPr="00516579">
        <w:t xml:space="preserve">In light of these considerations, the Panel </w:t>
      </w:r>
      <w:r>
        <w:t>concluded</w:t>
      </w:r>
      <w:r w:rsidRPr="00516579">
        <w:t xml:space="preserve"> that</w:t>
      </w:r>
      <w:r>
        <w:t xml:space="preserve">, contrary to the </w:t>
      </w:r>
      <w:r w:rsidR="000A10EA">
        <w:t>Appellate Body</w:t>
      </w:r>
      <w:r w:rsidRPr="00A03548">
        <w:t>'s guidance</w:t>
      </w:r>
      <w:r>
        <w:t>,</w:t>
      </w:r>
      <w:r w:rsidRPr="00516579">
        <w:t xml:space="preserve"> "Professor Whitelaw's approach of observing the average daily yield to maturity over a </w:t>
      </w:r>
      <w:r w:rsidRPr="003F1088">
        <w:rPr>
          <w:b/>
        </w:rPr>
        <w:t>[</w:t>
      </w:r>
      <w:r w:rsidR="00C8434D" w:rsidRPr="00C8434D">
        <w:rPr>
          <w:b/>
          <w:szCs w:val="16"/>
        </w:rPr>
        <w:t>BCI</w:t>
      </w:r>
      <w:r w:rsidRPr="00196BC3">
        <w:rPr>
          <w:b/>
        </w:rPr>
        <w:t>]</w:t>
      </w:r>
      <w:r w:rsidRPr="00196BC3">
        <w:noBreakHyphen/>
        <w:t>month p</w:t>
      </w:r>
      <w:r w:rsidRPr="00EA32DC">
        <w:t>eriod during which the four contracts were signed, d{id}</w:t>
      </w:r>
      <w:r w:rsidRPr="009F4952">
        <w:t xml:space="preserve"> not provide the yields 'at the time' that the terms, and thus rates, of the individual contracts were negotiated and agreed</w:t>
      </w:r>
      <w:r>
        <w:t>.</w:t>
      </w:r>
      <w:r w:rsidRPr="009F4952">
        <w:t>"</w:t>
      </w:r>
      <w:r w:rsidRPr="009F4952">
        <w:rPr>
          <w:rStyle w:val="FootnoteReference"/>
        </w:rPr>
        <w:footnoteReference w:id="315"/>
      </w:r>
      <w:r w:rsidRPr="009F4952">
        <w:t xml:space="preserve"> Therefore, the P</w:t>
      </w:r>
      <w:r w:rsidRPr="00834530">
        <w:t>anel "reject</w:t>
      </w:r>
      <w:r w:rsidRPr="00047771">
        <w:t>{</w:t>
      </w:r>
      <w:r w:rsidRPr="007D4E98">
        <w:t>ed</w:t>
      </w:r>
      <w:r w:rsidRPr="006E63EA">
        <w:t>} the averaging approach in favour of the yields from a consistent time</w:t>
      </w:r>
      <w:r w:rsidRPr="00395121">
        <w:noBreakHyphen/>
        <w:t xml:space="preserve">period up to the date of the conclusion of the individual contract, as calculated by </w:t>
      </w:r>
      <w:r>
        <w:t>Dr </w:t>
      </w:r>
      <w:r w:rsidRPr="00D32743">
        <w:t>Jordan".</w:t>
      </w:r>
      <w:r w:rsidRPr="00D32743">
        <w:rPr>
          <w:rStyle w:val="FootnoteReference"/>
        </w:rPr>
        <w:footnoteReference w:id="316"/>
      </w:r>
    </w:p>
    <w:p w:rsidR="0007161B" w:rsidRPr="003F6E30" w:rsidRDefault="0007161B" w:rsidP="00DC4FDF">
      <w:pPr>
        <w:pStyle w:val="BodyText"/>
      </w:pPr>
      <w:r>
        <w:t>The</w:t>
      </w:r>
      <w:r w:rsidRPr="00D32743">
        <w:t xml:space="preserve"> Panel</w:t>
      </w:r>
      <w:r>
        <w:t xml:space="preserve"> then</w:t>
      </w:r>
      <w:r w:rsidRPr="00D32743">
        <w:t xml:space="preserve"> turned to determine which of the periods provided by </w:t>
      </w:r>
      <w:r w:rsidRPr="00834530">
        <w:t>Dr Jordan should be utilized for constructing the market benchmark</w:t>
      </w:r>
      <w:r>
        <w:t>:</w:t>
      </w:r>
      <w:r w:rsidRPr="006477CA">
        <w:t xml:space="preserve"> (i) the average yield over the </w:t>
      </w:r>
      <w:r w:rsidR="000A10EA">
        <w:t>six month</w:t>
      </w:r>
      <w:r w:rsidRPr="006477CA">
        <w:t xml:space="preserve">s prior to the </w:t>
      </w:r>
      <w:r>
        <w:t xml:space="preserve">conclusion of </w:t>
      </w:r>
      <w:r w:rsidRPr="006477CA">
        <w:t xml:space="preserve">the contract; (ii) the average yield over the month prior to the </w:t>
      </w:r>
      <w:r>
        <w:t xml:space="preserve">conclusion of the </w:t>
      </w:r>
      <w:r w:rsidRPr="006477CA">
        <w:t xml:space="preserve">contract; </w:t>
      </w:r>
      <w:r>
        <w:t>or</w:t>
      </w:r>
      <w:r w:rsidRPr="006477CA">
        <w:t xml:space="preserve"> (iii) the yie</w:t>
      </w:r>
      <w:r w:rsidRPr="00845341">
        <w:t xml:space="preserve">ld on the day of </w:t>
      </w:r>
      <w:r>
        <w:t xml:space="preserve">conclusion of </w:t>
      </w:r>
      <w:r w:rsidRPr="00845341">
        <w:t>the contract</w:t>
      </w:r>
      <w:r w:rsidRPr="00834530">
        <w:t xml:space="preserve">. </w:t>
      </w:r>
      <w:r>
        <w:t>In this regard, t</w:t>
      </w:r>
      <w:r w:rsidRPr="00834530">
        <w:t>he Panel considered that "the yield on the day of the signature of contract may</w:t>
      </w:r>
      <w:r w:rsidRPr="00047771">
        <w:t xml:space="preserve"> reflect atypical fluctuations."</w:t>
      </w:r>
      <w:r w:rsidRPr="007D4E98">
        <w:rPr>
          <w:rStyle w:val="FootnoteReference"/>
        </w:rPr>
        <w:footnoteReference w:id="317"/>
      </w:r>
      <w:r w:rsidRPr="006E63EA">
        <w:t xml:space="preserve"> </w:t>
      </w:r>
      <w:r>
        <w:t>First, t</w:t>
      </w:r>
      <w:r w:rsidRPr="006E63EA">
        <w:t xml:space="preserve">he Panel considered that parties agreeing to a complex loan contract may </w:t>
      </w:r>
      <w:r>
        <w:t xml:space="preserve">rather </w:t>
      </w:r>
      <w:r w:rsidRPr="006E63EA">
        <w:t>set the rates in the lead-up to the conclusion of the contract</w:t>
      </w:r>
      <w:r>
        <w:t>. Therefore, in the Panel's view</w:t>
      </w:r>
      <w:r w:rsidRPr="006E63EA">
        <w:t>, "the one-month average would appear to be a reasonable proxy for the parties' expectations</w:t>
      </w:r>
      <w:r>
        <w:t>.</w:t>
      </w:r>
      <w:r w:rsidRPr="006E63EA">
        <w:t>"</w:t>
      </w:r>
      <w:r w:rsidRPr="00A22B4D">
        <w:rPr>
          <w:rStyle w:val="FootnoteReference"/>
        </w:rPr>
        <w:footnoteReference w:id="318"/>
      </w:r>
      <w:r w:rsidRPr="00D32743">
        <w:t xml:space="preserve"> The Panel added that "{t}</w:t>
      </w:r>
      <w:r w:rsidRPr="004F5E01">
        <w:t xml:space="preserve">he </w:t>
      </w:r>
      <w:r w:rsidR="000A10EA">
        <w:t>six</w:t>
      </w:r>
      <w:r w:rsidR="000A10EA">
        <w:noBreakHyphen/>
        <w:t>month</w:t>
      </w:r>
      <w:r w:rsidRPr="004F5E01">
        <w:t xml:space="preserve"> average may be less likely to reflect expectations during the finalisation period, but may also be a helpful indication of market exp</w:t>
      </w:r>
      <w:r w:rsidRPr="00C64BE0">
        <w:t>ectations."</w:t>
      </w:r>
      <w:r w:rsidRPr="00D039E3">
        <w:rPr>
          <w:rStyle w:val="FootnoteReference"/>
        </w:rPr>
        <w:footnoteReference w:id="319"/>
      </w:r>
      <w:r>
        <w:t xml:space="preserve"> On </w:t>
      </w:r>
      <w:r w:rsidRPr="005F3B7A">
        <w:t>this basis, the Panel decided to carry out the "benchmarking assessment using the average yields one</w:t>
      </w:r>
      <w:r>
        <w:noBreakHyphen/>
      </w:r>
      <w:r w:rsidRPr="005F3B7A">
        <w:t xml:space="preserve">month prior and </w:t>
      </w:r>
      <w:r w:rsidR="000A10EA">
        <w:t>six</w:t>
      </w:r>
      <w:r w:rsidR="000A10EA">
        <w:noBreakHyphen/>
        <w:t>month</w:t>
      </w:r>
      <w:r w:rsidRPr="00834530">
        <w:t>s prior to the conclusion of the contract, in the form of a range".</w:t>
      </w:r>
      <w:r w:rsidRPr="00047771">
        <w:rPr>
          <w:rStyle w:val="FootnoteReference"/>
        </w:rPr>
        <w:footnoteReference w:id="320"/>
      </w:r>
    </w:p>
    <w:p w:rsidR="0007161B" w:rsidRPr="003F6E30" w:rsidRDefault="0007161B" w:rsidP="00DC4FDF">
      <w:pPr>
        <w:pStyle w:val="BodyText"/>
      </w:pPr>
      <w:r>
        <w:t>Second, w</w:t>
      </w:r>
      <w:r w:rsidRPr="006E63EA">
        <w:t xml:space="preserve">ith respect to the relevant date of the French A350XWB LA/MSF contract, </w:t>
      </w:r>
      <w:r>
        <w:t>t</w:t>
      </w:r>
      <w:r w:rsidRPr="004F5E01">
        <w:t>he Panel considered that th</w:t>
      </w:r>
      <w:r>
        <w:t>is</w:t>
      </w:r>
      <w:r w:rsidRPr="004F5E01">
        <w:t xml:space="preserve"> question </w:t>
      </w:r>
      <w:r w:rsidRPr="00D039E3">
        <w:t>would be a material issue only if Professor Whitelaw's averaging approac</w:t>
      </w:r>
      <w:r w:rsidRPr="005F3B7A">
        <w:t>h</w:t>
      </w:r>
      <w:r w:rsidRPr="00181457">
        <w:t xml:space="preserve"> were used. The Panel pointed out that, having rejected that approach, there </w:t>
      </w:r>
      <w:r w:rsidRPr="00CE3CE8">
        <w:t>wa</w:t>
      </w:r>
      <w:r w:rsidRPr="00834530">
        <w:t>s no material difference in the yields regardless of the chosen dates.</w:t>
      </w:r>
      <w:r w:rsidRPr="00834530">
        <w:rPr>
          <w:rStyle w:val="FootnoteReference"/>
        </w:rPr>
        <w:footnoteReference w:id="321"/>
      </w:r>
      <w:r w:rsidRPr="00834530">
        <w:t xml:space="preserve"> However, for the sake of completeness, the Panel examined the issue and concluded that the date of </w:t>
      </w:r>
      <w:r w:rsidRPr="007F2F08">
        <w:t>conclusion of</w:t>
      </w:r>
      <w:r>
        <w:t xml:space="preserve"> </w:t>
      </w:r>
      <w:r w:rsidRPr="00834530">
        <w:t>the French A350XWB</w:t>
      </w:r>
      <w:r w:rsidRPr="00047771">
        <w:rPr>
          <w:i/>
        </w:rPr>
        <w:t xml:space="preserve"> Protocole</w:t>
      </w:r>
      <w:r w:rsidRPr="007D4E98">
        <w:t xml:space="preserve">, signed on </w:t>
      </w:r>
      <w:r w:rsidRPr="006E63EA">
        <w:rPr>
          <w:b/>
        </w:rPr>
        <w:t>[</w:t>
      </w:r>
      <w:r w:rsidR="00C8434D" w:rsidRPr="00C8434D">
        <w:rPr>
          <w:b/>
          <w:szCs w:val="16"/>
        </w:rPr>
        <w:t>BCI</w:t>
      </w:r>
      <w:r w:rsidRPr="006E63EA">
        <w:rPr>
          <w:b/>
        </w:rPr>
        <w:t>]</w:t>
      </w:r>
      <w:r w:rsidRPr="006E63EA">
        <w:t xml:space="preserve">, should be used </w:t>
      </w:r>
      <w:r>
        <w:t xml:space="preserve">given that it reflected </w:t>
      </w:r>
      <w:r w:rsidRPr="006E63EA">
        <w:t xml:space="preserve">the relevant time when the French Government committed to the terms and conditions of LA/MSF, </w:t>
      </w:r>
      <w:r>
        <w:t xml:space="preserve">while </w:t>
      </w:r>
      <w:r w:rsidRPr="006E63EA">
        <w:t xml:space="preserve">the </w:t>
      </w:r>
      <w:r w:rsidRPr="006E63EA">
        <w:lastRenderedPageBreak/>
        <w:t xml:space="preserve">date </w:t>
      </w:r>
      <w:r w:rsidRPr="007F2F08">
        <w:t>of conclusion</w:t>
      </w:r>
      <w:r>
        <w:t xml:space="preserve"> of </w:t>
      </w:r>
      <w:r w:rsidRPr="006E63EA">
        <w:t>the French A350XWB</w:t>
      </w:r>
      <w:r w:rsidRPr="00A22B4D">
        <w:rPr>
          <w:i/>
        </w:rPr>
        <w:t xml:space="preserve"> Convention</w:t>
      </w:r>
      <w:r>
        <w:t xml:space="preserve"> (i.e. </w:t>
      </w:r>
      <w:r w:rsidRPr="00D32743">
        <w:rPr>
          <w:b/>
        </w:rPr>
        <w:t>[</w:t>
      </w:r>
      <w:r w:rsidR="00C8434D" w:rsidRPr="00C8434D">
        <w:rPr>
          <w:b/>
          <w:szCs w:val="16"/>
        </w:rPr>
        <w:t>BCI</w:t>
      </w:r>
      <w:r w:rsidRPr="00D32743">
        <w:rPr>
          <w:b/>
        </w:rPr>
        <w:t>]</w:t>
      </w:r>
      <w:r w:rsidRPr="002C175D">
        <w:t>)</w:t>
      </w:r>
      <w:r w:rsidRPr="00D32743">
        <w:t xml:space="preserve"> </w:t>
      </w:r>
      <w:r>
        <w:t xml:space="preserve">related to when the relevant funds were </w:t>
      </w:r>
      <w:r w:rsidRPr="00D32743">
        <w:t>att</w:t>
      </w:r>
      <w:r w:rsidRPr="004F5E01">
        <w:t>ributed</w:t>
      </w:r>
      <w:r w:rsidRPr="00C64BE0">
        <w:t>.</w:t>
      </w:r>
      <w:r w:rsidRPr="00D039E3">
        <w:rPr>
          <w:rStyle w:val="FootnoteReference"/>
        </w:rPr>
        <w:footnoteReference w:id="322"/>
      </w:r>
    </w:p>
    <w:p w:rsidR="0007161B" w:rsidRPr="003F6E30" w:rsidRDefault="0007161B" w:rsidP="00DC4FDF">
      <w:pPr>
        <w:pStyle w:val="BodyText"/>
      </w:pPr>
      <w:r>
        <w:t>Third</w:t>
      </w:r>
      <w:r w:rsidRPr="00181457">
        <w:t xml:space="preserve">, the Panel turned to </w:t>
      </w:r>
      <w:r>
        <w:t>assess</w:t>
      </w:r>
      <w:r w:rsidRPr="00FE454E">
        <w:t xml:space="preserve"> whether it was necessary to adjust the EADS bond yield in terms of maturity and duration. </w:t>
      </w:r>
      <w:r>
        <w:t>T</w:t>
      </w:r>
      <w:r w:rsidRPr="00FE454E">
        <w:t xml:space="preserve">he </w:t>
      </w:r>
      <w:r w:rsidR="000A10EA">
        <w:t>United States</w:t>
      </w:r>
      <w:r w:rsidRPr="00E37191">
        <w:t xml:space="preserve"> sought to adjust the EADS bond</w:t>
      </w:r>
      <w:r w:rsidRPr="00844F04">
        <w:t xml:space="preserve"> yield based on similarly</w:t>
      </w:r>
      <w:r w:rsidRPr="00834530">
        <w:t xml:space="preserve"> rated bonds with a term of</w:t>
      </w:r>
      <w:r w:rsidR="000A10EA">
        <w:t> 20</w:t>
      </w:r>
      <w:r w:rsidRPr="00834530">
        <w:t xml:space="preserve"> years, on the ground that the LA/MSF </w:t>
      </w:r>
      <w:r>
        <w:t>measures at issue</w:t>
      </w:r>
      <w:r w:rsidRPr="00834530">
        <w:t xml:space="preserve"> have a much longer term to maturity than the EADS bond.</w:t>
      </w:r>
      <w:r w:rsidRPr="00047771">
        <w:rPr>
          <w:rStyle w:val="FootnoteReference"/>
        </w:rPr>
        <w:footnoteReference w:id="323"/>
      </w:r>
      <w:r w:rsidRPr="007D4E98">
        <w:t xml:space="preserve"> </w:t>
      </w:r>
      <w:r>
        <w:t>T</w:t>
      </w:r>
      <w:r w:rsidRPr="007D4E98">
        <w:t>he Pa</w:t>
      </w:r>
      <w:r w:rsidRPr="00834530">
        <w:t xml:space="preserve">nel noted that, if an adjustment is made to take into account differences in maturity, </w:t>
      </w:r>
      <w:r w:rsidRPr="00047771">
        <w:t>t</w:t>
      </w:r>
      <w:r w:rsidRPr="00834530">
        <w:t>hen account must also be taken of differences that may exist in term</w:t>
      </w:r>
      <w:r>
        <w:t>s of</w:t>
      </w:r>
      <w:r w:rsidRPr="00834530">
        <w:t xml:space="preserve"> structure. </w:t>
      </w:r>
      <w:r>
        <w:t>T</w:t>
      </w:r>
      <w:r w:rsidRPr="00834530">
        <w:t xml:space="preserve">he Panel </w:t>
      </w:r>
      <w:r>
        <w:t xml:space="preserve">therefore </w:t>
      </w:r>
      <w:r w:rsidRPr="00834530">
        <w:t>considered that it would be an "oversimplification to adjust the EADS bond yield solely by adding the term spread, or term premium, of simil</w:t>
      </w:r>
      <w:r w:rsidRPr="00047771">
        <w:t>arly-ranked</w:t>
      </w:r>
      <w:r w:rsidR="000A10EA">
        <w:t> 20</w:t>
      </w:r>
      <w:r w:rsidRPr="00047771">
        <w:t>-year corporate bonds, given that the structure of the A350XWB LA/MSF contracts means the loan principal will not be exposed for the full length of that term".</w:t>
      </w:r>
      <w:r w:rsidRPr="007D4E98">
        <w:rPr>
          <w:rStyle w:val="FootnoteReference"/>
        </w:rPr>
        <w:footnoteReference w:id="324"/>
      </w:r>
      <w:r w:rsidRPr="006E63EA">
        <w:t xml:space="preserve"> Consequently, the Panel concluded that the </w:t>
      </w:r>
      <w:r w:rsidR="000A10EA">
        <w:t>United States</w:t>
      </w:r>
      <w:r w:rsidRPr="006E63EA">
        <w:t>' proposal to adjust the EADS bond was not appropriate, and proceeded on the basis of the unadjusted EADS bond yield.</w:t>
      </w:r>
      <w:r w:rsidRPr="00A22B4D">
        <w:rPr>
          <w:rStyle w:val="FootnoteReference"/>
        </w:rPr>
        <w:footnoteReference w:id="325"/>
      </w:r>
    </w:p>
    <w:p w:rsidR="0007161B" w:rsidRPr="00951450" w:rsidRDefault="0007161B" w:rsidP="00DC4FDF">
      <w:pPr>
        <w:pStyle w:val="BodyText"/>
      </w:pPr>
      <w:r w:rsidRPr="00D32743">
        <w:t xml:space="preserve">Finally, the Panel examined the </w:t>
      </w:r>
      <w:r w:rsidR="000A10EA">
        <w:t>United States</w:t>
      </w:r>
      <w:r w:rsidRPr="00D32743">
        <w:t>' propo</w:t>
      </w:r>
      <w:r w:rsidRPr="004F5E01">
        <w:t xml:space="preserve">sal of adding to the corporate </w:t>
      </w:r>
      <w:r>
        <w:t xml:space="preserve">borrowing </w:t>
      </w:r>
      <w:r w:rsidRPr="004F5E01">
        <w:t xml:space="preserve">rate an amount for normal fees and charges associated with general corporate borrowing on the market. </w:t>
      </w:r>
      <w:r w:rsidRPr="00A22B4D">
        <w:t xml:space="preserve">The Panel </w:t>
      </w:r>
      <w:r>
        <w:t>agreed</w:t>
      </w:r>
      <w:r w:rsidRPr="00A22B4D">
        <w:t xml:space="preserve"> that fee amounts normally charged as part of the </w:t>
      </w:r>
      <w:r w:rsidRPr="004F5E01">
        <w:t xml:space="preserve">corporate </w:t>
      </w:r>
      <w:r w:rsidRPr="00A22B4D">
        <w:t xml:space="preserve">borrowing rate should be </w:t>
      </w:r>
      <w:r>
        <w:t>considered in the benefit analysis</w:t>
      </w:r>
      <w:r w:rsidRPr="00A22B4D">
        <w:t xml:space="preserve">. However, the Panel expressed concerns about </w:t>
      </w:r>
      <w:r w:rsidRPr="00D32743">
        <w:t xml:space="preserve">some of the estimates provided by the </w:t>
      </w:r>
      <w:r w:rsidR="000A10EA">
        <w:t>United States</w:t>
      </w:r>
      <w:r w:rsidRPr="00D32743">
        <w:t>.</w:t>
      </w:r>
      <w:r w:rsidRPr="00D32743">
        <w:rPr>
          <w:rStyle w:val="FootnoteReference"/>
        </w:rPr>
        <w:footnoteReference w:id="326"/>
      </w:r>
      <w:r w:rsidRPr="004F5E01">
        <w:t xml:space="preserve"> </w:t>
      </w:r>
      <w:r>
        <w:t>T</w:t>
      </w:r>
      <w:r w:rsidRPr="004F5E01">
        <w:t xml:space="preserve">he Panel </w:t>
      </w:r>
      <w:r>
        <w:t xml:space="preserve">thus </w:t>
      </w:r>
      <w:r w:rsidRPr="004F5E01">
        <w:t xml:space="preserve">decided to accept the </w:t>
      </w:r>
      <w:r w:rsidR="000A10EA">
        <w:t>European Union</w:t>
      </w:r>
      <w:r w:rsidRPr="00D039E3">
        <w:t xml:space="preserve">'s estimate of the underwriting fee for the EADS bond itself, </w:t>
      </w:r>
      <w:r>
        <w:t>leading</w:t>
      </w:r>
      <w:r w:rsidRPr="00D039E3">
        <w:t xml:space="preserve"> to an adjustment to the </w:t>
      </w:r>
      <w:r>
        <w:t xml:space="preserve">EADS </w:t>
      </w:r>
      <w:r w:rsidRPr="00D039E3">
        <w:t>bond yield of approximatel</w:t>
      </w:r>
      <w:r w:rsidRPr="005F3B7A">
        <w:t xml:space="preserve">y </w:t>
      </w:r>
      <w:r w:rsidRPr="005F3B7A">
        <w:rPr>
          <w:b/>
        </w:rPr>
        <w:t>[</w:t>
      </w:r>
      <w:r w:rsidR="00C8434D" w:rsidRPr="00C8434D">
        <w:rPr>
          <w:b/>
          <w:szCs w:val="16"/>
        </w:rPr>
        <w:t>BCI</w:t>
      </w:r>
      <w:r w:rsidRPr="007F2F08">
        <w:rPr>
          <w:b/>
        </w:rPr>
        <w:t>]</w:t>
      </w:r>
      <w:r w:rsidRPr="00CA2B76">
        <w:t xml:space="preserve"> basis points.</w:t>
      </w:r>
      <w:r w:rsidRPr="00FE454E">
        <w:rPr>
          <w:rStyle w:val="FootnoteReference"/>
        </w:rPr>
        <w:footnoteReference w:id="327"/>
      </w:r>
    </w:p>
    <w:p w:rsidR="0007161B" w:rsidRPr="00834530" w:rsidRDefault="0007161B" w:rsidP="00DC4FDF">
      <w:pPr>
        <w:pStyle w:val="BodyText"/>
      </w:pPr>
      <w:r>
        <w:t>In sum</w:t>
      </w:r>
      <w:r w:rsidRPr="002F6182">
        <w:t xml:space="preserve">, the Panel decided to use the yield </w:t>
      </w:r>
      <w:r>
        <w:t>of</w:t>
      </w:r>
      <w:r w:rsidRPr="002F6182">
        <w:t xml:space="preserve"> the EADS bond identified by the </w:t>
      </w:r>
      <w:r w:rsidR="000A10EA">
        <w:t>European Union</w:t>
      </w:r>
      <w:r w:rsidRPr="00F861D7">
        <w:t xml:space="preserve"> as the basis for the corporate borrowing rate</w:t>
      </w:r>
      <w:r>
        <w:t xml:space="preserve">. As regards the dates for observing the yield, the Panel determined that "the EADS bond's yields should be observed over consistent time periods in the lead up to each of the four individual contracts, in the form of a range of the one-month and </w:t>
      </w:r>
      <w:r w:rsidR="000A10EA">
        <w:t>six</w:t>
      </w:r>
      <w:r w:rsidR="000A10EA">
        <w:noBreakHyphen/>
        <w:t>month</w:t>
      </w:r>
      <w:r>
        <w:t xml:space="preserve"> average yields prior to the date of the individual contracts".</w:t>
      </w:r>
      <w:r w:rsidRPr="007D4E98">
        <w:rPr>
          <w:rStyle w:val="FootnoteReference"/>
        </w:rPr>
        <w:footnoteReference w:id="328"/>
      </w:r>
      <w:r>
        <w:t xml:space="preserve"> However, t</w:t>
      </w:r>
      <w:r w:rsidRPr="006E63EA">
        <w:t xml:space="preserve">he Panel </w:t>
      </w:r>
      <w:r>
        <w:t xml:space="preserve">observed that </w:t>
      </w:r>
      <w:r w:rsidRPr="006E63EA">
        <w:t xml:space="preserve">"the EADS bond yield may be lower than rates that would be required for borrowing by its Airbus subsidiaries alone (that is, the EADS bond </w:t>
      </w:r>
      <w:r w:rsidRPr="00A22B4D">
        <w:t>yield may understate the corporate borrowing rate for the French and Spanish contracts)."</w:t>
      </w:r>
      <w:r w:rsidRPr="00D32743">
        <w:rPr>
          <w:rStyle w:val="FootnoteReference"/>
        </w:rPr>
        <w:footnoteReference w:id="329"/>
      </w:r>
      <w:r>
        <w:t xml:space="preserve"> Similarly, the Panel observed that it would use "the unadjusted yields of the EADS bond on the understanding that it is likely to be a conservative reflection of the corporate borrowing rate that should be used to construct the relevant market benchmark for the LA/MSF contracts".</w:t>
      </w:r>
      <w:r>
        <w:rPr>
          <w:rStyle w:val="FootnoteReference"/>
        </w:rPr>
        <w:footnoteReference w:id="330"/>
      </w:r>
      <w:r w:rsidRPr="00D32743">
        <w:t xml:space="preserve"> </w:t>
      </w:r>
      <w:r>
        <w:t xml:space="preserve">On this basis, in </w:t>
      </w:r>
      <w:r w:rsidRPr="00D32743">
        <w:t>Table 7</w:t>
      </w:r>
      <w:r>
        <w:t xml:space="preserve"> </w:t>
      </w:r>
      <w:r w:rsidRPr="00867FE3">
        <w:t>at paragraph</w:t>
      </w:r>
      <w:r>
        <w:t> </w:t>
      </w:r>
      <w:r w:rsidRPr="00867FE3">
        <w:t>6.430</w:t>
      </w:r>
      <w:r>
        <w:t xml:space="preserve"> of its Report, t</w:t>
      </w:r>
      <w:r w:rsidRPr="00D32743">
        <w:t>he Panel</w:t>
      </w:r>
      <w:r>
        <w:t xml:space="preserve"> concluded that the quantitative implications of its findings on the corporate borrowing rate are</w:t>
      </w:r>
      <w:r w:rsidRPr="00D32743">
        <w:t xml:space="preserve"> </w:t>
      </w:r>
      <w:r>
        <w:t>the following</w:t>
      </w:r>
      <w:r w:rsidRPr="00834530">
        <w:t>:</w:t>
      </w:r>
    </w:p>
    <w:p w:rsidR="0007161B" w:rsidRPr="006E63EA" w:rsidRDefault="0007161B" w:rsidP="00206326">
      <w:pPr>
        <w:pStyle w:val="Caption"/>
      </w:pPr>
      <w:r>
        <w:lastRenderedPageBreak/>
        <w:t xml:space="preserve">Table </w:t>
      </w:r>
      <w:r w:rsidR="009A724D">
        <w:fldChar w:fldCharType="begin"/>
      </w:r>
      <w:r w:rsidR="009A724D">
        <w:instrText xml:space="preserve"> SEQ Table \* ARABIC </w:instrText>
      </w:r>
      <w:r w:rsidR="009A724D">
        <w:fldChar w:fldCharType="separate"/>
      </w:r>
      <w:r w:rsidR="00FD2727">
        <w:rPr>
          <w:noProof/>
        </w:rPr>
        <w:t>2</w:t>
      </w:r>
      <w:r w:rsidR="009A724D">
        <w:rPr>
          <w:noProof/>
        </w:rPr>
        <w:fldChar w:fldCharType="end"/>
      </w:r>
      <w:r>
        <w:t>:</w:t>
      </w:r>
      <w:r w:rsidRPr="007D4E98">
        <w:t xml:space="preserve"> </w:t>
      </w:r>
      <w:r w:rsidRPr="00777DA2">
        <w:t>Corporate</w:t>
      </w:r>
      <w:r w:rsidRPr="006E63EA">
        <w:t xml:space="preserve"> borrowing rate estimates</w:t>
      </w: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951"/>
        <w:gridCol w:w="2835"/>
        <w:gridCol w:w="1985"/>
        <w:gridCol w:w="2471"/>
      </w:tblGrid>
      <w:tr w:rsidR="0007161B" w:rsidRPr="00B84A0D" w:rsidTr="00206326">
        <w:tc>
          <w:tcPr>
            <w:tcW w:w="1951" w:type="dxa"/>
            <w:shd w:val="clear" w:color="auto" w:fill="006283"/>
            <w:vAlign w:val="center"/>
          </w:tcPr>
          <w:p w:rsidR="0007161B" w:rsidRPr="007B2F7C" w:rsidRDefault="0007161B" w:rsidP="00206326">
            <w:pPr>
              <w:keepNext/>
              <w:jc w:val="center"/>
              <w:rPr>
                <w:b/>
                <w:color w:val="FFFFFF"/>
                <w:sz w:val="16"/>
                <w:szCs w:val="16"/>
              </w:rPr>
            </w:pPr>
            <w:r w:rsidRPr="007B2F7C">
              <w:rPr>
                <w:b/>
                <w:color w:val="FFFFFF"/>
                <w:sz w:val="16"/>
                <w:szCs w:val="16"/>
              </w:rPr>
              <w:t>EU member State</w:t>
            </w:r>
          </w:p>
        </w:tc>
        <w:tc>
          <w:tcPr>
            <w:tcW w:w="2835" w:type="dxa"/>
            <w:shd w:val="clear" w:color="auto" w:fill="006283"/>
            <w:vAlign w:val="center"/>
          </w:tcPr>
          <w:p w:rsidR="0007161B" w:rsidRPr="007B2F7C" w:rsidRDefault="0007161B" w:rsidP="00206326">
            <w:pPr>
              <w:keepNext/>
              <w:jc w:val="center"/>
              <w:rPr>
                <w:b/>
                <w:color w:val="FFFFFF"/>
                <w:sz w:val="16"/>
                <w:szCs w:val="16"/>
              </w:rPr>
            </w:pPr>
            <w:r w:rsidRPr="007B2F7C">
              <w:rPr>
                <w:b/>
                <w:color w:val="FFFFFF"/>
                <w:sz w:val="16"/>
                <w:szCs w:val="16"/>
              </w:rPr>
              <w:t>Corporate borrowing rate as reflected by yield on EADS bond (range: between average yield 1</w:t>
            </w:r>
            <w:r w:rsidRPr="007B2F7C">
              <w:rPr>
                <w:b/>
                <w:color w:val="FFFFFF"/>
                <w:sz w:val="16"/>
                <w:szCs w:val="16"/>
              </w:rPr>
              <w:noBreakHyphen/>
              <w:t>month prior, and 6</w:t>
            </w:r>
            <w:r w:rsidRPr="007B2F7C">
              <w:rPr>
                <w:b/>
                <w:color w:val="FFFFFF"/>
                <w:sz w:val="16"/>
                <w:szCs w:val="16"/>
              </w:rPr>
              <w:noBreakHyphen/>
              <w:t>months prior, to date of individual contract)</w:t>
            </w:r>
          </w:p>
        </w:tc>
        <w:tc>
          <w:tcPr>
            <w:tcW w:w="1985" w:type="dxa"/>
            <w:shd w:val="clear" w:color="auto" w:fill="006283"/>
            <w:vAlign w:val="center"/>
          </w:tcPr>
          <w:p w:rsidR="0007161B" w:rsidRPr="007B2F7C" w:rsidRDefault="0007161B" w:rsidP="00206326">
            <w:pPr>
              <w:keepNext/>
              <w:jc w:val="center"/>
              <w:rPr>
                <w:b/>
                <w:color w:val="FFFFFF"/>
                <w:sz w:val="16"/>
                <w:szCs w:val="16"/>
              </w:rPr>
            </w:pPr>
            <w:r w:rsidRPr="007B2F7C">
              <w:rPr>
                <w:b/>
                <w:color w:val="FFFFFF"/>
                <w:sz w:val="16"/>
                <w:szCs w:val="16"/>
              </w:rPr>
              <w:t>Representative sum for normal market fees</w:t>
            </w:r>
          </w:p>
        </w:tc>
        <w:tc>
          <w:tcPr>
            <w:tcW w:w="2471" w:type="dxa"/>
            <w:shd w:val="clear" w:color="auto" w:fill="006283"/>
            <w:vAlign w:val="center"/>
          </w:tcPr>
          <w:p w:rsidR="0007161B" w:rsidRPr="007B2F7C" w:rsidRDefault="0007161B" w:rsidP="00206326">
            <w:pPr>
              <w:keepNext/>
              <w:jc w:val="center"/>
              <w:rPr>
                <w:b/>
                <w:color w:val="FFFFFF"/>
                <w:sz w:val="16"/>
                <w:szCs w:val="16"/>
              </w:rPr>
            </w:pPr>
            <w:r w:rsidRPr="007B2F7C">
              <w:rPr>
                <w:b/>
                <w:color w:val="FFFFFF"/>
                <w:sz w:val="16"/>
                <w:szCs w:val="16"/>
              </w:rPr>
              <w:t>Total corporate borrowing rate component of market benchmark rate</w:t>
            </w:r>
          </w:p>
        </w:tc>
      </w:tr>
      <w:tr w:rsidR="0007161B" w:rsidRPr="007F2F08" w:rsidTr="00206326">
        <w:tc>
          <w:tcPr>
            <w:tcW w:w="1951" w:type="dxa"/>
            <w:shd w:val="clear" w:color="auto" w:fill="auto"/>
          </w:tcPr>
          <w:p w:rsidR="0007161B" w:rsidRPr="007B2F7C" w:rsidRDefault="0007161B" w:rsidP="00206326">
            <w:pPr>
              <w:keepNext/>
              <w:rPr>
                <w:sz w:val="16"/>
                <w:szCs w:val="16"/>
              </w:rPr>
            </w:pPr>
            <w:r w:rsidRPr="007B2F7C">
              <w:rPr>
                <w:sz w:val="16"/>
                <w:szCs w:val="16"/>
              </w:rPr>
              <w:t>France</w:t>
            </w:r>
          </w:p>
        </w:tc>
        <w:tc>
          <w:tcPr>
            <w:tcW w:w="2835" w:type="dxa"/>
            <w:shd w:val="clear" w:color="auto" w:fill="auto"/>
          </w:tcPr>
          <w:p w:rsidR="0007161B" w:rsidRPr="007B2F7C" w:rsidRDefault="0007161B" w:rsidP="00206326">
            <w:pPr>
              <w:keepNext/>
              <w:jc w:val="center"/>
              <w:rPr>
                <w:sz w:val="16"/>
                <w:szCs w:val="16"/>
              </w:rPr>
            </w:pPr>
            <w:r w:rsidRPr="007B2F7C">
              <w:rPr>
                <w:b/>
                <w:sz w:val="16"/>
                <w:szCs w:val="16"/>
              </w:rPr>
              <w:t>[</w:t>
            </w:r>
            <w:r w:rsidR="00C8434D" w:rsidRPr="007B2F7C">
              <w:rPr>
                <w:b/>
                <w:sz w:val="16"/>
                <w:szCs w:val="16"/>
              </w:rPr>
              <w:t>BCI</w:t>
            </w:r>
            <w:r w:rsidRPr="007B2F7C">
              <w:rPr>
                <w:b/>
                <w:sz w:val="16"/>
                <w:szCs w:val="16"/>
              </w:rPr>
              <w:t>]</w:t>
            </w:r>
            <w:r w:rsidRPr="007B2F7C">
              <w:rPr>
                <w:sz w:val="16"/>
                <w:szCs w:val="16"/>
              </w:rPr>
              <w:t xml:space="preserve"> to </w:t>
            </w:r>
            <w:r w:rsidRPr="007B2F7C">
              <w:rPr>
                <w:b/>
                <w:sz w:val="16"/>
                <w:szCs w:val="16"/>
              </w:rPr>
              <w:t>[</w:t>
            </w:r>
            <w:r w:rsidR="00C8434D" w:rsidRPr="007B2F7C">
              <w:rPr>
                <w:b/>
                <w:sz w:val="16"/>
                <w:szCs w:val="16"/>
              </w:rPr>
              <w:t>BCI</w:t>
            </w:r>
            <w:r w:rsidRPr="007B2F7C">
              <w:rPr>
                <w:b/>
                <w:sz w:val="16"/>
                <w:szCs w:val="16"/>
              </w:rPr>
              <w:t>]</w:t>
            </w:r>
          </w:p>
        </w:tc>
        <w:tc>
          <w:tcPr>
            <w:tcW w:w="1985" w:type="dxa"/>
          </w:tcPr>
          <w:p w:rsidR="0007161B" w:rsidRPr="007B2F7C" w:rsidRDefault="0007161B" w:rsidP="00206326">
            <w:pPr>
              <w:keepNext/>
              <w:jc w:val="center"/>
              <w:rPr>
                <w:sz w:val="16"/>
                <w:szCs w:val="16"/>
              </w:rPr>
            </w:pPr>
            <w:r w:rsidRPr="007B2F7C">
              <w:rPr>
                <w:b/>
                <w:sz w:val="16"/>
                <w:szCs w:val="16"/>
              </w:rPr>
              <w:t>[</w:t>
            </w:r>
            <w:r w:rsidR="00C8434D" w:rsidRPr="007B2F7C">
              <w:rPr>
                <w:b/>
                <w:sz w:val="16"/>
                <w:szCs w:val="16"/>
              </w:rPr>
              <w:t>BCI</w:t>
            </w:r>
            <w:r w:rsidRPr="007B2F7C">
              <w:rPr>
                <w:b/>
                <w:sz w:val="16"/>
                <w:szCs w:val="16"/>
              </w:rPr>
              <w:t>]</w:t>
            </w:r>
          </w:p>
        </w:tc>
        <w:tc>
          <w:tcPr>
            <w:tcW w:w="2471" w:type="dxa"/>
          </w:tcPr>
          <w:p w:rsidR="0007161B" w:rsidRPr="007B2F7C" w:rsidRDefault="0007161B" w:rsidP="00206326">
            <w:pPr>
              <w:keepNext/>
              <w:jc w:val="center"/>
              <w:rPr>
                <w:sz w:val="16"/>
                <w:szCs w:val="16"/>
              </w:rPr>
            </w:pPr>
            <w:r w:rsidRPr="007B2F7C">
              <w:rPr>
                <w:b/>
                <w:sz w:val="16"/>
                <w:szCs w:val="16"/>
              </w:rPr>
              <w:t>[</w:t>
            </w:r>
            <w:r w:rsidR="00C8434D" w:rsidRPr="007B2F7C">
              <w:rPr>
                <w:b/>
                <w:sz w:val="16"/>
                <w:szCs w:val="16"/>
              </w:rPr>
              <w:t>BCI</w:t>
            </w:r>
            <w:r w:rsidRPr="007B2F7C">
              <w:rPr>
                <w:b/>
                <w:sz w:val="16"/>
                <w:szCs w:val="16"/>
              </w:rPr>
              <w:t>]</w:t>
            </w:r>
            <w:r w:rsidRPr="007B2F7C">
              <w:rPr>
                <w:sz w:val="16"/>
                <w:szCs w:val="16"/>
              </w:rPr>
              <w:t xml:space="preserve"> to </w:t>
            </w:r>
            <w:r w:rsidRPr="007B2F7C">
              <w:rPr>
                <w:b/>
                <w:sz w:val="16"/>
                <w:szCs w:val="16"/>
              </w:rPr>
              <w:t>[</w:t>
            </w:r>
            <w:r w:rsidR="00C8434D" w:rsidRPr="007B2F7C">
              <w:rPr>
                <w:b/>
                <w:sz w:val="16"/>
                <w:szCs w:val="16"/>
              </w:rPr>
              <w:t>BCI</w:t>
            </w:r>
            <w:r w:rsidRPr="007B2F7C">
              <w:rPr>
                <w:b/>
                <w:sz w:val="16"/>
                <w:szCs w:val="16"/>
              </w:rPr>
              <w:t>]</w:t>
            </w:r>
          </w:p>
        </w:tc>
      </w:tr>
      <w:tr w:rsidR="0007161B" w:rsidRPr="007F2F08" w:rsidTr="00206326">
        <w:tc>
          <w:tcPr>
            <w:tcW w:w="1951" w:type="dxa"/>
            <w:shd w:val="clear" w:color="auto" w:fill="C9DED4"/>
          </w:tcPr>
          <w:p w:rsidR="0007161B" w:rsidRPr="007B2F7C" w:rsidRDefault="0007161B" w:rsidP="00206326">
            <w:pPr>
              <w:keepNext/>
              <w:rPr>
                <w:sz w:val="16"/>
                <w:szCs w:val="16"/>
              </w:rPr>
            </w:pPr>
            <w:r w:rsidRPr="007B2F7C">
              <w:rPr>
                <w:sz w:val="16"/>
                <w:szCs w:val="16"/>
              </w:rPr>
              <w:t>Germany</w:t>
            </w:r>
          </w:p>
        </w:tc>
        <w:tc>
          <w:tcPr>
            <w:tcW w:w="2835" w:type="dxa"/>
            <w:shd w:val="clear" w:color="auto" w:fill="C9DED4"/>
          </w:tcPr>
          <w:p w:rsidR="0007161B" w:rsidRPr="007B2F7C" w:rsidRDefault="0007161B" w:rsidP="00206326">
            <w:pPr>
              <w:keepNext/>
              <w:jc w:val="center"/>
              <w:rPr>
                <w:sz w:val="16"/>
                <w:szCs w:val="16"/>
              </w:rPr>
            </w:pPr>
            <w:r w:rsidRPr="007B2F7C">
              <w:rPr>
                <w:b/>
                <w:sz w:val="16"/>
                <w:szCs w:val="16"/>
              </w:rPr>
              <w:t>[</w:t>
            </w:r>
            <w:r w:rsidR="00C8434D" w:rsidRPr="007B2F7C">
              <w:rPr>
                <w:b/>
                <w:sz w:val="16"/>
                <w:szCs w:val="16"/>
              </w:rPr>
              <w:t>BCI</w:t>
            </w:r>
            <w:r w:rsidRPr="007B2F7C">
              <w:rPr>
                <w:b/>
                <w:sz w:val="16"/>
                <w:szCs w:val="16"/>
              </w:rPr>
              <w:t>]</w:t>
            </w:r>
            <w:r w:rsidRPr="007B2F7C">
              <w:rPr>
                <w:sz w:val="16"/>
                <w:szCs w:val="16"/>
              </w:rPr>
              <w:t xml:space="preserve"> to </w:t>
            </w:r>
            <w:r w:rsidRPr="007B2F7C">
              <w:rPr>
                <w:b/>
                <w:sz w:val="16"/>
                <w:szCs w:val="16"/>
              </w:rPr>
              <w:t>[</w:t>
            </w:r>
            <w:r w:rsidR="00C8434D" w:rsidRPr="007B2F7C">
              <w:rPr>
                <w:b/>
                <w:sz w:val="16"/>
                <w:szCs w:val="16"/>
              </w:rPr>
              <w:t>BCI</w:t>
            </w:r>
            <w:r w:rsidRPr="007B2F7C">
              <w:rPr>
                <w:b/>
                <w:sz w:val="16"/>
                <w:szCs w:val="16"/>
              </w:rPr>
              <w:t>]</w:t>
            </w:r>
          </w:p>
        </w:tc>
        <w:tc>
          <w:tcPr>
            <w:tcW w:w="1985" w:type="dxa"/>
            <w:shd w:val="clear" w:color="auto" w:fill="C9DED4"/>
          </w:tcPr>
          <w:p w:rsidR="0007161B" w:rsidRPr="007B2F7C" w:rsidRDefault="0007161B" w:rsidP="00206326">
            <w:pPr>
              <w:keepNext/>
              <w:jc w:val="center"/>
              <w:rPr>
                <w:sz w:val="16"/>
                <w:szCs w:val="16"/>
              </w:rPr>
            </w:pPr>
            <w:r w:rsidRPr="007B2F7C">
              <w:rPr>
                <w:b/>
                <w:sz w:val="16"/>
                <w:szCs w:val="16"/>
              </w:rPr>
              <w:t>[</w:t>
            </w:r>
            <w:r w:rsidR="00C8434D" w:rsidRPr="007B2F7C">
              <w:rPr>
                <w:b/>
                <w:sz w:val="16"/>
                <w:szCs w:val="16"/>
              </w:rPr>
              <w:t>BCI</w:t>
            </w:r>
            <w:r w:rsidRPr="007B2F7C">
              <w:rPr>
                <w:b/>
                <w:sz w:val="16"/>
                <w:szCs w:val="16"/>
              </w:rPr>
              <w:t>]</w:t>
            </w:r>
          </w:p>
        </w:tc>
        <w:tc>
          <w:tcPr>
            <w:tcW w:w="2471" w:type="dxa"/>
            <w:shd w:val="clear" w:color="auto" w:fill="C9DED4"/>
          </w:tcPr>
          <w:p w:rsidR="0007161B" w:rsidRPr="007B2F7C" w:rsidRDefault="0007161B" w:rsidP="00206326">
            <w:pPr>
              <w:keepNext/>
              <w:jc w:val="center"/>
              <w:rPr>
                <w:sz w:val="16"/>
                <w:szCs w:val="16"/>
              </w:rPr>
            </w:pPr>
            <w:r w:rsidRPr="007B2F7C">
              <w:rPr>
                <w:b/>
                <w:sz w:val="16"/>
                <w:szCs w:val="16"/>
              </w:rPr>
              <w:t>[</w:t>
            </w:r>
            <w:r w:rsidR="00C8434D" w:rsidRPr="007B2F7C">
              <w:rPr>
                <w:b/>
                <w:sz w:val="16"/>
                <w:szCs w:val="16"/>
              </w:rPr>
              <w:t>BCI</w:t>
            </w:r>
            <w:r w:rsidRPr="007B2F7C">
              <w:rPr>
                <w:b/>
                <w:sz w:val="16"/>
                <w:szCs w:val="16"/>
              </w:rPr>
              <w:t>]</w:t>
            </w:r>
            <w:r w:rsidRPr="007B2F7C">
              <w:rPr>
                <w:sz w:val="16"/>
                <w:szCs w:val="16"/>
              </w:rPr>
              <w:t xml:space="preserve"> to </w:t>
            </w:r>
            <w:r w:rsidRPr="007B2F7C">
              <w:rPr>
                <w:b/>
                <w:sz w:val="16"/>
                <w:szCs w:val="16"/>
              </w:rPr>
              <w:t>[</w:t>
            </w:r>
            <w:r w:rsidR="00C8434D" w:rsidRPr="007B2F7C">
              <w:rPr>
                <w:b/>
                <w:sz w:val="16"/>
                <w:szCs w:val="16"/>
              </w:rPr>
              <w:t>BCI</w:t>
            </w:r>
            <w:r w:rsidRPr="007B2F7C">
              <w:rPr>
                <w:b/>
                <w:sz w:val="16"/>
                <w:szCs w:val="16"/>
              </w:rPr>
              <w:t>]</w:t>
            </w:r>
          </w:p>
        </w:tc>
      </w:tr>
      <w:tr w:rsidR="0007161B" w:rsidRPr="007F2F08" w:rsidTr="00206326">
        <w:tc>
          <w:tcPr>
            <w:tcW w:w="1951" w:type="dxa"/>
            <w:shd w:val="clear" w:color="auto" w:fill="auto"/>
          </w:tcPr>
          <w:p w:rsidR="0007161B" w:rsidRPr="007B2F7C" w:rsidRDefault="0007161B" w:rsidP="00206326">
            <w:pPr>
              <w:keepNext/>
              <w:rPr>
                <w:sz w:val="16"/>
                <w:szCs w:val="16"/>
              </w:rPr>
            </w:pPr>
            <w:r w:rsidRPr="007B2F7C">
              <w:rPr>
                <w:sz w:val="16"/>
                <w:szCs w:val="16"/>
              </w:rPr>
              <w:t xml:space="preserve">Spain </w:t>
            </w:r>
          </w:p>
        </w:tc>
        <w:tc>
          <w:tcPr>
            <w:tcW w:w="2835" w:type="dxa"/>
            <w:shd w:val="clear" w:color="auto" w:fill="auto"/>
          </w:tcPr>
          <w:p w:rsidR="0007161B" w:rsidRPr="007B2F7C" w:rsidRDefault="0007161B" w:rsidP="00206326">
            <w:pPr>
              <w:keepNext/>
              <w:jc w:val="center"/>
              <w:rPr>
                <w:sz w:val="16"/>
                <w:szCs w:val="16"/>
              </w:rPr>
            </w:pPr>
            <w:r w:rsidRPr="007B2F7C">
              <w:rPr>
                <w:b/>
                <w:sz w:val="16"/>
                <w:szCs w:val="16"/>
              </w:rPr>
              <w:t>[</w:t>
            </w:r>
            <w:r w:rsidR="00C8434D" w:rsidRPr="007B2F7C">
              <w:rPr>
                <w:b/>
                <w:sz w:val="16"/>
                <w:szCs w:val="16"/>
              </w:rPr>
              <w:t>BCI</w:t>
            </w:r>
            <w:r w:rsidRPr="007B2F7C">
              <w:rPr>
                <w:b/>
                <w:sz w:val="16"/>
                <w:szCs w:val="16"/>
              </w:rPr>
              <w:t>]</w:t>
            </w:r>
            <w:r w:rsidRPr="007B2F7C">
              <w:rPr>
                <w:sz w:val="16"/>
                <w:szCs w:val="16"/>
              </w:rPr>
              <w:t xml:space="preserve"> to </w:t>
            </w:r>
            <w:r w:rsidRPr="007B2F7C">
              <w:rPr>
                <w:b/>
                <w:sz w:val="16"/>
                <w:szCs w:val="16"/>
              </w:rPr>
              <w:t>[</w:t>
            </w:r>
            <w:r w:rsidR="00C8434D" w:rsidRPr="007B2F7C">
              <w:rPr>
                <w:b/>
                <w:sz w:val="16"/>
                <w:szCs w:val="16"/>
              </w:rPr>
              <w:t>BCI</w:t>
            </w:r>
            <w:r w:rsidRPr="007B2F7C">
              <w:rPr>
                <w:b/>
                <w:sz w:val="16"/>
                <w:szCs w:val="16"/>
              </w:rPr>
              <w:t>]</w:t>
            </w:r>
          </w:p>
        </w:tc>
        <w:tc>
          <w:tcPr>
            <w:tcW w:w="1985" w:type="dxa"/>
          </w:tcPr>
          <w:p w:rsidR="0007161B" w:rsidRPr="007B2F7C" w:rsidRDefault="0007161B" w:rsidP="00206326">
            <w:pPr>
              <w:keepNext/>
              <w:jc w:val="center"/>
              <w:rPr>
                <w:sz w:val="16"/>
                <w:szCs w:val="16"/>
              </w:rPr>
            </w:pPr>
            <w:r w:rsidRPr="007B2F7C">
              <w:rPr>
                <w:b/>
                <w:sz w:val="16"/>
                <w:szCs w:val="16"/>
              </w:rPr>
              <w:t>[</w:t>
            </w:r>
            <w:r w:rsidR="00C8434D" w:rsidRPr="007B2F7C">
              <w:rPr>
                <w:b/>
                <w:sz w:val="16"/>
                <w:szCs w:val="16"/>
              </w:rPr>
              <w:t>BCI</w:t>
            </w:r>
            <w:r w:rsidRPr="007B2F7C">
              <w:rPr>
                <w:b/>
                <w:sz w:val="16"/>
                <w:szCs w:val="16"/>
              </w:rPr>
              <w:t>]</w:t>
            </w:r>
          </w:p>
        </w:tc>
        <w:tc>
          <w:tcPr>
            <w:tcW w:w="2471" w:type="dxa"/>
          </w:tcPr>
          <w:p w:rsidR="0007161B" w:rsidRPr="007B2F7C" w:rsidRDefault="0007161B" w:rsidP="00206326">
            <w:pPr>
              <w:keepNext/>
              <w:jc w:val="center"/>
              <w:rPr>
                <w:sz w:val="16"/>
                <w:szCs w:val="16"/>
              </w:rPr>
            </w:pPr>
            <w:r w:rsidRPr="007B2F7C">
              <w:rPr>
                <w:b/>
                <w:sz w:val="16"/>
                <w:szCs w:val="16"/>
              </w:rPr>
              <w:t>[</w:t>
            </w:r>
            <w:r w:rsidR="00C8434D" w:rsidRPr="007B2F7C">
              <w:rPr>
                <w:b/>
                <w:sz w:val="16"/>
                <w:szCs w:val="16"/>
              </w:rPr>
              <w:t>BCI</w:t>
            </w:r>
            <w:r w:rsidRPr="007B2F7C">
              <w:rPr>
                <w:b/>
                <w:sz w:val="16"/>
                <w:szCs w:val="16"/>
              </w:rPr>
              <w:t>]</w:t>
            </w:r>
            <w:r w:rsidRPr="007B2F7C">
              <w:rPr>
                <w:sz w:val="16"/>
                <w:szCs w:val="16"/>
              </w:rPr>
              <w:t xml:space="preserve"> to </w:t>
            </w:r>
            <w:r w:rsidRPr="007B2F7C">
              <w:rPr>
                <w:b/>
                <w:sz w:val="16"/>
                <w:szCs w:val="16"/>
              </w:rPr>
              <w:t>[</w:t>
            </w:r>
            <w:r w:rsidR="00C8434D" w:rsidRPr="007B2F7C">
              <w:rPr>
                <w:b/>
                <w:sz w:val="16"/>
                <w:szCs w:val="16"/>
              </w:rPr>
              <w:t>BCI</w:t>
            </w:r>
            <w:r w:rsidRPr="007B2F7C">
              <w:rPr>
                <w:b/>
                <w:sz w:val="16"/>
                <w:szCs w:val="16"/>
              </w:rPr>
              <w:t>]</w:t>
            </w:r>
          </w:p>
        </w:tc>
      </w:tr>
      <w:tr w:rsidR="0007161B" w:rsidRPr="00B84A0D" w:rsidTr="00206326">
        <w:tc>
          <w:tcPr>
            <w:tcW w:w="1951" w:type="dxa"/>
            <w:shd w:val="clear" w:color="auto" w:fill="C9DED4"/>
          </w:tcPr>
          <w:p w:rsidR="0007161B" w:rsidRPr="007B2F7C" w:rsidRDefault="0007161B" w:rsidP="00206326">
            <w:pPr>
              <w:keepNext/>
              <w:rPr>
                <w:sz w:val="16"/>
                <w:szCs w:val="16"/>
              </w:rPr>
            </w:pPr>
            <w:r w:rsidRPr="007B2F7C">
              <w:rPr>
                <w:sz w:val="16"/>
                <w:szCs w:val="16"/>
              </w:rPr>
              <w:t>United Kingdom</w:t>
            </w:r>
          </w:p>
        </w:tc>
        <w:tc>
          <w:tcPr>
            <w:tcW w:w="2835" w:type="dxa"/>
            <w:shd w:val="clear" w:color="auto" w:fill="C9DED4"/>
          </w:tcPr>
          <w:p w:rsidR="0007161B" w:rsidRPr="007B2F7C" w:rsidRDefault="0007161B" w:rsidP="00206326">
            <w:pPr>
              <w:keepNext/>
              <w:jc w:val="center"/>
              <w:rPr>
                <w:sz w:val="16"/>
                <w:szCs w:val="16"/>
              </w:rPr>
            </w:pPr>
            <w:r w:rsidRPr="007B2F7C">
              <w:rPr>
                <w:b/>
                <w:sz w:val="16"/>
                <w:szCs w:val="16"/>
              </w:rPr>
              <w:t>[</w:t>
            </w:r>
            <w:r w:rsidR="00C8434D" w:rsidRPr="007B2F7C">
              <w:rPr>
                <w:b/>
                <w:sz w:val="16"/>
                <w:szCs w:val="16"/>
              </w:rPr>
              <w:t>BCI</w:t>
            </w:r>
            <w:r w:rsidRPr="007B2F7C">
              <w:rPr>
                <w:b/>
                <w:sz w:val="16"/>
                <w:szCs w:val="16"/>
              </w:rPr>
              <w:t>]</w:t>
            </w:r>
            <w:r w:rsidRPr="007B2F7C">
              <w:rPr>
                <w:sz w:val="16"/>
                <w:szCs w:val="16"/>
              </w:rPr>
              <w:t xml:space="preserve"> to </w:t>
            </w:r>
            <w:r w:rsidRPr="007B2F7C">
              <w:rPr>
                <w:b/>
                <w:sz w:val="16"/>
                <w:szCs w:val="16"/>
              </w:rPr>
              <w:t>[</w:t>
            </w:r>
            <w:r w:rsidR="00C8434D" w:rsidRPr="007B2F7C">
              <w:rPr>
                <w:b/>
                <w:sz w:val="16"/>
                <w:szCs w:val="16"/>
              </w:rPr>
              <w:t>BCI</w:t>
            </w:r>
            <w:r w:rsidRPr="007B2F7C">
              <w:rPr>
                <w:b/>
                <w:sz w:val="16"/>
                <w:szCs w:val="16"/>
              </w:rPr>
              <w:t>]</w:t>
            </w:r>
          </w:p>
        </w:tc>
        <w:tc>
          <w:tcPr>
            <w:tcW w:w="1985" w:type="dxa"/>
            <w:shd w:val="clear" w:color="auto" w:fill="C9DED4"/>
          </w:tcPr>
          <w:p w:rsidR="0007161B" w:rsidRPr="007B2F7C" w:rsidRDefault="0007161B" w:rsidP="00206326">
            <w:pPr>
              <w:keepNext/>
              <w:jc w:val="center"/>
              <w:rPr>
                <w:sz w:val="16"/>
                <w:szCs w:val="16"/>
              </w:rPr>
            </w:pPr>
            <w:r w:rsidRPr="007B2F7C">
              <w:rPr>
                <w:b/>
                <w:sz w:val="16"/>
                <w:szCs w:val="16"/>
              </w:rPr>
              <w:t>[</w:t>
            </w:r>
            <w:r w:rsidR="00C8434D" w:rsidRPr="007B2F7C">
              <w:rPr>
                <w:b/>
                <w:sz w:val="16"/>
                <w:szCs w:val="16"/>
              </w:rPr>
              <w:t>BCI</w:t>
            </w:r>
            <w:r w:rsidRPr="007B2F7C">
              <w:rPr>
                <w:b/>
                <w:sz w:val="16"/>
                <w:szCs w:val="16"/>
              </w:rPr>
              <w:t>]</w:t>
            </w:r>
          </w:p>
        </w:tc>
        <w:tc>
          <w:tcPr>
            <w:tcW w:w="2471" w:type="dxa"/>
            <w:shd w:val="clear" w:color="auto" w:fill="C9DED4"/>
          </w:tcPr>
          <w:p w:rsidR="0007161B" w:rsidRPr="007B2F7C" w:rsidRDefault="0007161B" w:rsidP="00206326">
            <w:pPr>
              <w:keepNext/>
              <w:jc w:val="center"/>
              <w:rPr>
                <w:sz w:val="16"/>
                <w:szCs w:val="16"/>
              </w:rPr>
            </w:pPr>
            <w:r w:rsidRPr="007B2F7C">
              <w:rPr>
                <w:b/>
                <w:sz w:val="16"/>
                <w:szCs w:val="16"/>
              </w:rPr>
              <w:t>[</w:t>
            </w:r>
            <w:r w:rsidR="00C8434D" w:rsidRPr="007B2F7C">
              <w:rPr>
                <w:b/>
                <w:sz w:val="16"/>
                <w:szCs w:val="16"/>
              </w:rPr>
              <w:t>BCI</w:t>
            </w:r>
            <w:r w:rsidRPr="007B2F7C">
              <w:rPr>
                <w:b/>
                <w:sz w:val="16"/>
                <w:szCs w:val="16"/>
              </w:rPr>
              <w:t>]</w:t>
            </w:r>
            <w:bookmarkStart w:id="58" w:name="_Ref493596033"/>
            <w:r w:rsidRPr="007B2F7C">
              <w:rPr>
                <w:rStyle w:val="FootnoteReference"/>
                <w:sz w:val="16"/>
                <w:szCs w:val="16"/>
              </w:rPr>
              <w:footnoteReference w:id="331"/>
            </w:r>
            <w:bookmarkEnd w:id="58"/>
            <w:r w:rsidRPr="007B2F7C">
              <w:rPr>
                <w:sz w:val="16"/>
                <w:szCs w:val="16"/>
              </w:rPr>
              <w:t xml:space="preserve"> to </w:t>
            </w:r>
            <w:r w:rsidRPr="007B2F7C">
              <w:rPr>
                <w:b/>
                <w:sz w:val="16"/>
                <w:szCs w:val="16"/>
              </w:rPr>
              <w:t>[</w:t>
            </w:r>
            <w:r w:rsidR="00C8434D" w:rsidRPr="007B2F7C">
              <w:rPr>
                <w:b/>
                <w:sz w:val="16"/>
                <w:szCs w:val="16"/>
              </w:rPr>
              <w:t>BCI</w:t>
            </w:r>
            <w:r w:rsidRPr="007B2F7C">
              <w:rPr>
                <w:b/>
                <w:sz w:val="16"/>
                <w:szCs w:val="16"/>
              </w:rPr>
              <w:t>]</w:t>
            </w:r>
          </w:p>
        </w:tc>
      </w:tr>
    </w:tbl>
    <w:p w:rsidR="0007161B" w:rsidRDefault="0007161B" w:rsidP="002E0F1D">
      <w:pPr>
        <w:pStyle w:val="NoteText"/>
        <w:spacing w:before="120" w:after="240"/>
      </w:pPr>
      <w:bookmarkStart w:id="59" w:name="_Toc478564640"/>
      <w:r>
        <w:t>Source: Panel Report, Table 7 at paragraph 6.430.</w:t>
      </w:r>
    </w:p>
    <w:p w:rsidR="0007161B" w:rsidRPr="00FF3FE9" w:rsidRDefault="0007161B" w:rsidP="00DC4FDF">
      <w:pPr>
        <w:pStyle w:val="Heading4"/>
      </w:pPr>
      <w:bookmarkStart w:id="60" w:name="_Toc514059218"/>
      <w:r w:rsidRPr="00FF3FE9">
        <w:t>Overview of the relevant jurisprudence regarding the benefit analysis</w:t>
      </w:r>
      <w:bookmarkEnd w:id="60"/>
    </w:p>
    <w:p w:rsidR="0007161B" w:rsidRPr="006477CA" w:rsidRDefault="0007161B" w:rsidP="00DC4FDF">
      <w:pPr>
        <w:pStyle w:val="BodyText"/>
      </w:pPr>
      <w:r w:rsidRPr="006819EA">
        <w:t xml:space="preserve">A financial contribution </w:t>
      </w:r>
      <w:r w:rsidRPr="0097319F">
        <w:t>constitutes a subsidy within the me</w:t>
      </w:r>
      <w:r>
        <w:t xml:space="preserve">aning of </w:t>
      </w:r>
      <w:r w:rsidR="000A10EA">
        <w:t>Article </w:t>
      </w:r>
      <w:r>
        <w:t xml:space="preserve">1.1 of the </w:t>
      </w:r>
      <w:r w:rsidR="000A10EA">
        <w:t>SCM Agreement</w:t>
      </w:r>
      <w:r w:rsidRPr="0097319F">
        <w:t xml:space="preserve"> if </w:t>
      </w:r>
      <w:r>
        <w:t xml:space="preserve">it </w:t>
      </w:r>
      <w:r w:rsidRPr="0097319F">
        <w:t xml:space="preserve">confers a benefit. </w:t>
      </w:r>
      <w:r w:rsidRPr="006477CA">
        <w:t xml:space="preserve">With respect to the nature of the benefit </w:t>
      </w:r>
      <w:r>
        <w:t>analysis</w:t>
      </w:r>
      <w:r w:rsidRPr="006477CA">
        <w:t xml:space="preserve">, the </w:t>
      </w:r>
      <w:r w:rsidR="000A10EA">
        <w:t>Appellate Body</w:t>
      </w:r>
      <w:r w:rsidRPr="006477CA">
        <w:t xml:space="preserve"> has explained that the concept of "benefit" under </w:t>
      </w:r>
      <w:r w:rsidR="000A10EA">
        <w:t>Article </w:t>
      </w:r>
      <w:r w:rsidRPr="006477CA">
        <w:t xml:space="preserve">1.1(b) </w:t>
      </w:r>
      <w:r w:rsidRPr="00845341">
        <w:t xml:space="preserve">of the </w:t>
      </w:r>
      <w:r w:rsidR="000A10EA">
        <w:t>SCM Agreement</w:t>
      </w:r>
      <w:r w:rsidRPr="00845341">
        <w:t xml:space="preserve"> </w:t>
      </w:r>
      <w:r w:rsidRPr="00264244">
        <w:t>implies conducting a comparison. Th</w:t>
      </w:r>
      <w:r>
        <w:t xml:space="preserve">is is because </w:t>
      </w:r>
      <w:r w:rsidRPr="0097319F">
        <w:t>"there can be no 'benefit' to the recipient unless the 'financial contribution' makes the recipient 'better off' than it would otherwise have been, absent that contribution."</w:t>
      </w:r>
      <w:r w:rsidRPr="006477CA">
        <w:rPr>
          <w:rStyle w:val="FootnoteReference"/>
        </w:rPr>
        <w:footnoteReference w:id="332"/>
      </w:r>
      <w:r w:rsidRPr="006477CA">
        <w:t xml:space="preserve"> </w:t>
      </w:r>
      <w:r>
        <w:t>T</w:t>
      </w:r>
      <w:r w:rsidRPr="006477CA">
        <w:t xml:space="preserve">he </w:t>
      </w:r>
      <w:r w:rsidR="000A10EA">
        <w:t>Appellate Body</w:t>
      </w:r>
      <w:r w:rsidRPr="006477CA">
        <w:t xml:space="preserve"> has pointed out that the "marketplace" provides an appropriate basis for comparison in determining whether a benefit has been conferred, because the trade-distorting potential of a financial contribution can be identified by determining whether the recipient has received such financial contribution on terms more favourable than those available to the recipient </w:t>
      </w:r>
      <w:r w:rsidRPr="00264244">
        <w:t>on</w:t>
      </w:r>
      <w:r w:rsidRPr="006477CA">
        <w:t xml:space="preserve"> the market.</w:t>
      </w:r>
      <w:r w:rsidRPr="006477CA">
        <w:rPr>
          <w:rStyle w:val="FootnoteReference"/>
        </w:rPr>
        <w:footnoteReference w:id="333"/>
      </w:r>
    </w:p>
    <w:p w:rsidR="0007161B" w:rsidRDefault="0007161B" w:rsidP="00DC4FDF">
      <w:pPr>
        <w:pStyle w:val="BodyText"/>
      </w:pPr>
      <w:r w:rsidRPr="005B6AF9">
        <w:t xml:space="preserve">The </w:t>
      </w:r>
      <w:r w:rsidR="000A10EA">
        <w:t>Appellate Body</w:t>
      </w:r>
      <w:r w:rsidRPr="005B6AF9">
        <w:t xml:space="preserve"> has stated that </w:t>
      </w:r>
      <w:r w:rsidR="000A10EA">
        <w:t>Article </w:t>
      </w:r>
      <w:r w:rsidRPr="005B6AF9">
        <w:t xml:space="preserve">14 of the </w:t>
      </w:r>
      <w:r w:rsidR="000A10EA">
        <w:t>SCM Agreement</w:t>
      </w:r>
      <w:r w:rsidRPr="005B6AF9">
        <w:t xml:space="preserve"> provides relevant context to </w:t>
      </w:r>
      <w:r w:rsidR="000A10EA">
        <w:t>Article </w:t>
      </w:r>
      <w:r w:rsidRPr="005B6AF9">
        <w:t>1.1(b).</w:t>
      </w:r>
      <w:r w:rsidRPr="005B6AF9">
        <w:rPr>
          <w:rStyle w:val="FootnoteReference"/>
        </w:rPr>
        <w:footnoteReference w:id="334"/>
      </w:r>
      <w:r w:rsidRPr="005B6AF9">
        <w:t xml:space="preserve"> </w:t>
      </w:r>
      <w:r w:rsidR="000A10EA">
        <w:t>Article </w:t>
      </w:r>
      <w:r>
        <w:t>14 sets forth guidelines relating</w:t>
      </w:r>
      <w:r w:rsidRPr="005B6AF9">
        <w:t xml:space="preserve"> to equity investments, loans, loan guarantees, and the provision of goods or services by a government and the purchase of goods by a government.</w:t>
      </w:r>
      <w:r w:rsidRPr="00DD769D">
        <w:t xml:space="preserve"> </w:t>
      </w:r>
      <w:r>
        <w:t>U</w:t>
      </w:r>
      <w:r w:rsidRPr="00DD769D">
        <w:t>nder each of the guidelines</w:t>
      </w:r>
      <w:r>
        <w:t>,</w:t>
      </w:r>
      <w:r w:rsidRPr="00DD769D">
        <w:t xml:space="preserve"> </w:t>
      </w:r>
      <w:r>
        <w:t>a</w:t>
      </w:r>
      <w:r w:rsidRPr="00DD769D">
        <w:t xml:space="preserve"> benefit arises if the recipient has received a financial contribution on terms more favourable than those available to </w:t>
      </w:r>
      <w:r>
        <w:t>it</w:t>
      </w:r>
      <w:r w:rsidRPr="00DD769D">
        <w:t xml:space="preserve"> </w:t>
      </w:r>
      <w:r>
        <w:t>on</w:t>
      </w:r>
      <w:r w:rsidRPr="00DD769D">
        <w:t xml:space="preserve"> the market.</w:t>
      </w:r>
      <w:r>
        <w:rPr>
          <w:rStyle w:val="FootnoteReference"/>
        </w:rPr>
        <w:footnoteReference w:id="335"/>
      </w:r>
      <w:r>
        <w:t xml:space="preserve"> Thus, </w:t>
      </w:r>
      <w:r w:rsidR="000A10EA">
        <w:t>Article </w:t>
      </w:r>
      <w:r>
        <w:t xml:space="preserve">14 </w:t>
      </w:r>
      <w:r w:rsidRPr="005435FA">
        <w:t>confirm</w:t>
      </w:r>
      <w:r>
        <w:t>s</w:t>
      </w:r>
      <w:r w:rsidRPr="005435FA">
        <w:t xml:space="preserve"> the view</w:t>
      </w:r>
      <w:r w:rsidRPr="00845341">
        <w:t xml:space="preserve"> </w:t>
      </w:r>
      <w:r w:rsidRPr="005435FA">
        <w:t>that the "marketplace" should be used as the benchmark for the comparison in determining whether a benefit exists.</w:t>
      </w:r>
      <w:r w:rsidRPr="006477CA">
        <w:rPr>
          <w:rStyle w:val="FootnoteReference"/>
        </w:rPr>
        <w:footnoteReference w:id="336"/>
      </w:r>
      <w:r w:rsidRPr="006477CA">
        <w:t xml:space="preserve"> </w:t>
      </w:r>
    </w:p>
    <w:p w:rsidR="0007161B" w:rsidRDefault="0007161B" w:rsidP="00DC4FDF">
      <w:pPr>
        <w:pStyle w:val="BodyText"/>
      </w:pPr>
      <w:r>
        <w:t xml:space="preserve">With regard to financial contributions provided in the form of a loan, </w:t>
      </w:r>
      <w:r w:rsidR="000A10EA">
        <w:t>Article </w:t>
      </w:r>
      <w:r w:rsidRPr="006477CA">
        <w:t xml:space="preserve">14(b) </w:t>
      </w:r>
      <w:r>
        <w:t xml:space="preserve">of the </w:t>
      </w:r>
      <w:r w:rsidR="000A10EA">
        <w:t>SCM Agreement</w:t>
      </w:r>
      <w:r>
        <w:t xml:space="preserve"> </w:t>
      </w:r>
      <w:r w:rsidRPr="006477CA">
        <w:t xml:space="preserve">sets out </w:t>
      </w:r>
      <w:r>
        <w:t>that</w:t>
      </w:r>
      <w:r w:rsidRPr="006477CA">
        <w:t xml:space="preserve"> government loans shall not be considered as conferring a benefit, unless there is a difference between the amount that the firm receiving the loan pays on the government loan and the amount the firm would pay on a comparable commercial loan </w:t>
      </w:r>
      <w:r>
        <w:t>that</w:t>
      </w:r>
      <w:r w:rsidRPr="006477CA">
        <w:t xml:space="preserve"> </w:t>
      </w:r>
      <w:r>
        <w:t>it</w:t>
      </w:r>
      <w:r w:rsidRPr="006477CA">
        <w:t xml:space="preserve"> could actually obtain on the market. </w:t>
      </w:r>
      <w:r w:rsidR="000A10EA">
        <w:t>Article </w:t>
      </w:r>
      <w:r w:rsidRPr="006477CA">
        <w:t>14(b)</w:t>
      </w:r>
      <w:r w:rsidRPr="00845341">
        <w:t xml:space="preserve"> also specifies that the benefit "shall be the difference between these two amounts".</w:t>
      </w:r>
      <w:r>
        <w:t xml:space="preserve"> Thus, t</w:t>
      </w:r>
      <w:r w:rsidRPr="00B534E9">
        <w:t>here is a benefit</w:t>
      </w:r>
      <w:r>
        <w:t xml:space="preserve"> </w:t>
      </w:r>
      <w:r w:rsidRPr="00B534E9">
        <w:t>where the amount that the recipient pays on the government loan is less than what the recipient would have paid on a comparable commercial loan that the recipient could have obtained on the market</w:t>
      </w:r>
      <w:r>
        <w:t>.</w:t>
      </w:r>
    </w:p>
    <w:p w:rsidR="0007161B" w:rsidRDefault="0007161B" w:rsidP="00DC4FDF">
      <w:pPr>
        <w:pStyle w:val="BodyText"/>
      </w:pPr>
      <w:r>
        <w:t>T</w:t>
      </w:r>
      <w:r w:rsidRPr="0097319F">
        <w:t xml:space="preserve">he </w:t>
      </w:r>
      <w:r w:rsidR="000A10EA">
        <w:t>Appellate Body</w:t>
      </w:r>
      <w:r w:rsidRPr="0097319F">
        <w:t xml:space="preserve"> </w:t>
      </w:r>
      <w:r>
        <w:t xml:space="preserve">has </w:t>
      </w:r>
      <w:r w:rsidRPr="0097319F">
        <w:t xml:space="preserve">specified that a benchmark loan under </w:t>
      </w:r>
      <w:r w:rsidR="000A10EA">
        <w:t>Article </w:t>
      </w:r>
      <w:r w:rsidRPr="0097319F">
        <w:t xml:space="preserve">14(b) must be a loan that is "comparable" to the investigated government loan. </w:t>
      </w:r>
      <w:r>
        <w:t>I</w:t>
      </w:r>
      <w:r w:rsidRPr="0097319F">
        <w:t xml:space="preserve">n the </w:t>
      </w:r>
      <w:r w:rsidR="000A10EA">
        <w:t>Appellate Body</w:t>
      </w:r>
      <w:r w:rsidR="000A18DA">
        <w:t>'s view, "a </w:t>
      </w:r>
      <w:r w:rsidRPr="0097319F">
        <w:t xml:space="preserve">benchmark loan under </w:t>
      </w:r>
      <w:r w:rsidR="000A10EA">
        <w:t>Article </w:t>
      </w:r>
      <w:r w:rsidRPr="0097319F">
        <w:t xml:space="preserve">14(b) should have as many elements as possible in common with </w:t>
      </w:r>
      <w:r w:rsidRPr="0097319F">
        <w:lastRenderedPageBreak/>
        <w:t>the investigated loan to be comparable."</w:t>
      </w:r>
      <w:r w:rsidRPr="0097319F">
        <w:rPr>
          <w:rStyle w:val="FootnoteReference"/>
        </w:rPr>
        <w:footnoteReference w:id="337"/>
      </w:r>
      <w:r w:rsidRPr="0097319F">
        <w:t xml:space="preserve"> In the context of that provision, the </w:t>
      </w:r>
      <w:r w:rsidR="000A10EA">
        <w:t>Appellate Body</w:t>
      </w:r>
      <w:r w:rsidRPr="0097319F">
        <w:t xml:space="preserve"> </w:t>
      </w:r>
      <w:r>
        <w:t>has</w:t>
      </w:r>
      <w:r w:rsidRPr="0097319F">
        <w:t xml:space="preserve"> observed that, "ideally, an investigating authority should use as a benchmark a loan to the same borrower that has been established around the same time, has the same structure as, and similar maturity to, the government loan, is about the same size, and is denominated in the same currency."</w:t>
      </w:r>
      <w:r w:rsidRPr="0097319F">
        <w:rPr>
          <w:rStyle w:val="FootnoteReference"/>
        </w:rPr>
        <w:footnoteReference w:id="338"/>
      </w:r>
      <w:r w:rsidRPr="0097319F">
        <w:t xml:space="preserve"> </w:t>
      </w:r>
    </w:p>
    <w:p w:rsidR="0007161B" w:rsidRDefault="0007161B" w:rsidP="00DC4FDF">
      <w:pPr>
        <w:pStyle w:val="BodyText"/>
      </w:pPr>
      <w:r>
        <w:t>T</w:t>
      </w:r>
      <w:r w:rsidRPr="0097319F">
        <w:t xml:space="preserve">he </w:t>
      </w:r>
      <w:r w:rsidR="000A10EA">
        <w:t>Appellate Body</w:t>
      </w:r>
      <w:r w:rsidRPr="0097319F">
        <w:t xml:space="preserve"> </w:t>
      </w:r>
      <w:r>
        <w:t xml:space="preserve">has, however, </w:t>
      </w:r>
      <w:r w:rsidRPr="0097319F">
        <w:t>acknowledged</w:t>
      </w:r>
      <w:r>
        <w:t xml:space="preserve"> </w:t>
      </w:r>
      <w:r w:rsidRPr="0097319F">
        <w:t>that, "in practice, the existence of such an ideal benchmark loan would be extremely rare, and that a comparison should also be possible with other loans that present a lesser degree of similarity."</w:t>
      </w:r>
      <w:r w:rsidRPr="0097319F">
        <w:rPr>
          <w:rStyle w:val="FootnoteReference"/>
        </w:rPr>
        <w:footnoteReference w:id="339"/>
      </w:r>
      <w:r w:rsidRPr="0097319F">
        <w:t xml:space="preserve"> </w:t>
      </w:r>
      <w:r>
        <w:t xml:space="preserve">This means </w:t>
      </w:r>
      <w:r w:rsidRPr="0097319F">
        <w:t xml:space="preserve">that a certain degree of </w:t>
      </w:r>
      <w:r w:rsidRPr="00763AC1">
        <w:rPr>
          <w:i/>
        </w:rPr>
        <w:t>flexibility</w:t>
      </w:r>
      <w:r w:rsidRPr="0097319F">
        <w:t xml:space="preserve"> applies under </w:t>
      </w:r>
      <w:r w:rsidR="000A10EA">
        <w:t>Article </w:t>
      </w:r>
      <w:r w:rsidRPr="0097319F">
        <w:t>14(b) in the selection of benchmarks, so that such selection can ensure a meaningful comparison for the determination of benefit.</w:t>
      </w:r>
      <w:r w:rsidRPr="0097319F">
        <w:rPr>
          <w:rStyle w:val="FootnoteReference"/>
        </w:rPr>
        <w:footnoteReference w:id="340"/>
      </w:r>
      <w:r>
        <w:t xml:space="preserve"> </w:t>
      </w:r>
      <w:r w:rsidRPr="00EA32DC">
        <w:t xml:space="preserve">In line with this flexibility, the </w:t>
      </w:r>
      <w:r w:rsidR="000A10EA">
        <w:t>Appellate Body</w:t>
      </w:r>
      <w:r w:rsidRPr="00EA32DC">
        <w:t xml:space="preserve"> has indicated that, "</w:t>
      </w:r>
      <w:r w:rsidR="0004735D">
        <w:t>{</w:t>
      </w:r>
      <w:r w:rsidRPr="00EA32DC">
        <w:t>i</w:t>
      </w:r>
      <w:r w:rsidR="0004735D">
        <w:t>}</w:t>
      </w:r>
      <w:r w:rsidRPr="00EA32DC">
        <w:t>n the absence of an actual comparable commercial loan that is available on the market, an investigating authority should be allowed to use a proxy for what 'would' have been paid on a comparable commercial loan that 'could' have been obtained on the market</w:t>
      </w:r>
      <w:r>
        <w:t>.</w:t>
      </w:r>
      <w:r w:rsidRPr="00EA32DC">
        <w:t>"</w:t>
      </w:r>
      <w:r>
        <w:rPr>
          <w:rStyle w:val="FootnoteReference"/>
        </w:rPr>
        <w:footnoteReference w:id="341"/>
      </w:r>
      <w:r>
        <w:t xml:space="preserve"> In this regard, the </w:t>
      </w:r>
      <w:r w:rsidR="000A10EA">
        <w:t>Appellate Body</w:t>
      </w:r>
      <w:r>
        <w:t xml:space="preserve"> has specified that "</w:t>
      </w:r>
      <w:r w:rsidRPr="007B5557">
        <w:t xml:space="preserve">selecting a benchmark under </w:t>
      </w:r>
      <w:r w:rsidR="000A10EA">
        <w:t>Article </w:t>
      </w:r>
      <w:r w:rsidRPr="007B5557">
        <w:t>14(b) involves a progressive search for a comparable commercial loan</w:t>
      </w:r>
      <w:r>
        <w:t>".</w:t>
      </w:r>
      <w:r>
        <w:rPr>
          <w:rStyle w:val="FootnoteReference"/>
        </w:rPr>
        <w:footnoteReference w:id="342"/>
      </w:r>
      <w:r>
        <w:t xml:space="preserve"> The aim is to find "</w:t>
      </w:r>
      <w:r w:rsidRPr="007B5557">
        <w:t>the commercial loan that is closest to the investigated loan (a loan to the same borrower that is nearly identical to the investigated loan in terms of timing, structure, maturity, size and currency)</w:t>
      </w:r>
      <w:r>
        <w:t>".</w:t>
      </w:r>
      <w:r>
        <w:rPr>
          <w:rStyle w:val="FootnoteReference"/>
        </w:rPr>
        <w:footnoteReference w:id="343"/>
      </w:r>
      <w:r>
        <w:t xml:space="preserve"> T</w:t>
      </w:r>
      <w:r w:rsidRPr="00EA32DC">
        <w:t xml:space="preserve">he </w:t>
      </w:r>
      <w:r>
        <w:t>"</w:t>
      </w:r>
      <w:r w:rsidRPr="00EA32DC">
        <w:t xml:space="preserve">further away an investigating authority moves from the ideal benchmark of the identical or nearly identical loan, the more adjustments will be necessary to ensure that the benchmark loan approximates the </w:t>
      </w:r>
      <w:r>
        <w:t>'</w:t>
      </w:r>
      <w:r w:rsidRPr="00EA32DC">
        <w:t>comparable commercial loan which the firm could actually obtain on the market</w:t>
      </w:r>
      <w:r>
        <w:t>'</w:t>
      </w:r>
      <w:r w:rsidRPr="00EA32DC">
        <w:t xml:space="preserve"> specified in </w:t>
      </w:r>
      <w:r w:rsidR="000A10EA">
        <w:t>Article </w:t>
      </w:r>
      <w:r w:rsidRPr="00EA32DC">
        <w:t>14(b)</w:t>
      </w:r>
      <w:r>
        <w:t>"</w:t>
      </w:r>
      <w:r w:rsidRPr="00EA32DC">
        <w:t>.</w:t>
      </w:r>
      <w:r>
        <w:rPr>
          <w:rStyle w:val="FootnoteReference"/>
        </w:rPr>
        <w:footnoteReference w:id="344"/>
      </w:r>
    </w:p>
    <w:p w:rsidR="0007161B" w:rsidRDefault="0007161B" w:rsidP="00DC4FDF">
      <w:pPr>
        <w:pStyle w:val="BodyText"/>
      </w:pPr>
      <w:r>
        <w:t>T</w:t>
      </w:r>
      <w:r w:rsidRPr="0097319F">
        <w:t xml:space="preserve">he </w:t>
      </w:r>
      <w:r w:rsidR="000A10EA">
        <w:t>Appellate Body</w:t>
      </w:r>
      <w:r w:rsidRPr="0097319F">
        <w:t xml:space="preserve"> </w:t>
      </w:r>
      <w:r>
        <w:t xml:space="preserve">has mentioned a series of factors that inform whether the </w:t>
      </w:r>
      <w:r w:rsidRPr="0097319F">
        <w:t>benchmark loan is "comparable" to the investigated government loan</w:t>
      </w:r>
      <w:r>
        <w:t>, such as the timing, structure, size, and currency of the relevant loans.</w:t>
      </w:r>
      <w:r w:rsidRPr="0097319F">
        <w:rPr>
          <w:rStyle w:val="FootnoteReference"/>
        </w:rPr>
        <w:footnoteReference w:id="345"/>
      </w:r>
      <w:r>
        <w:t xml:space="preserve"> Regarding </w:t>
      </w:r>
      <w:r w:rsidRPr="0097319F">
        <w:t xml:space="preserve">the </w:t>
      </w:r>
      <w:r w:rsidRPr="00875D30">
        <w:rPr>
          <w:i/>
        </w:rPr>
        <w:t>timing</w:t>
      </w:r>
      <w:r w:rsidRPr="0097319F">
        <w:t xml:space="preserve"> of the relevant transactions</w:t>
      </w:r>
      <w:r>
        <w:t xml:space="preserve">, </w:t>
      </w:r>
      <w:r w:rsidRPr="0097319F">
        <w:t xml:space="preserve">the </w:t>
      </w:r>
      <w:r w:rsidR="000A10EA">
        <w:t>Appellate Body</w:t>
      </w:r>
      <w:r>
        <w:t xml:space="preserve"> in the original proceedings in this dispute stated that, pursuant to </w:t>
      </w:r>
      <w:r w:rsidR="000A10EA">
        <w:t>Article </w:t>
      </w:r>
      <w:r>
        <w:t xml:space="preserve">14(b), </w:t>
      </w:r>
      <w:r w:rsidRPr="0097319F">
        <w:t>the comparison of the "amount the firm receiving the loan pays on the government loan" with "the amount the firm would pay on a comparable commercial loan</w:t>
      </w:r>
      <w:r>
        <w:t>"</w:t>
      </w:r>
      <w:r w:rsidRPr="0097319F">
        <w:t xml:space="preserve"> </w:t>
      </w:r>
      <w:r w:rsidRPr="009432CA">
        <w:t>is "to be performed as though the loans were obtained at the same time."</w:t>
      </w:r>
      <w:r>
        <w:rPr>
          <w:rStyle w:val="FootnoteReference"/>
        </w:rPr>
        <w:footnoteReference w:id="346"/>
      </w:r>
      <w:r w:rsidRPr="009432CA">
        <w:t xml:space="preserve"> </w:t>
      </w:r>
      <w:r>
        <w:t>Thus,</w:t>
      </w:r>
      <w:r w:rsidRPr="009432CA">
        <w:t xml:space="preserve"> "the comparable commercial loan is one that would have been available to the recipient firm at the time it received the government loan."</w:t>
      </w:r>
      <w:r w:rsidRPr="009432CA">
        <w:rPr>
          <w:rStyle w:val="FootnoteReference"/>
        </w:rPr>
        <w:footnoteReference w:id="347"/>
      </w:r>
      <w:r>
        <w:t xml:space="preserve"> </w:t>
      </w:r>
      <w:r w:rsidRPr="009432CA">
        <w:t xml:space="preserve">The </w:t>
      </w:r>
      <w:r w:rsidR="000A10EA">
        <w:t>Appellate Body</w:t>
      </w:r>
      <w:r>
        <w:t xml:space="preserve"> </w:t>
      </w:r>
      <w:r w:rsidRPr="009432CA">
        <w:t xml:space="preserve">reasoned that the assessment focuses "on the moment in time when the lender and borrower commit to the transaction", </w:t>
      </w:r>
      <w:r>
        <w:t xml:space="preserve">and that </w:t>
      </w:r>
      <w:r w:rsidRPr="009432CA">
        <w:t xml:space="preserve">a panel conducting this assessment must </w:t>
      </w:r>
      <w:r>
        <w:t>therefore consider "</w:t>
      </w:r>
      <w:r w:rsidRPr="009432CA">
        <w:t xml:space="preserve">how the loan is structured and how risk is factored in, </w:t>
      </w:r>
      <w:r w:rsidRPr="00875D30">
        <w:rPr>
          <w:i/>
        </w:rPr>
        <w:t>rather than looking at how the loan actually performs over time</w:t>
      </w:r>
      <w:r w:rsidRPr="009432CA">
        <w:t>".</w:t>
      </w:r>
      <w:r w:rsidRPr="009432CA">
        <w:rPr>
          <w:rStyle w:val="FootnoteReference"/>
        </w:rPr>
        <w:footnoteReference w:id="348"/>
      </w:r>
    </w:p>
    <w:p w:rsidR="0007161B" w:rsidRPr="00991277" w:rsidRDefault="0007161B" w:rsidP="00DC4FDF">
      <w:pPr>
        <w:pStyle w:val="BodyText"/>
      </w:pPr>
      <w:r w:rsidRPr="009432CA">
        <w:t xml:space="preserve">In this regard, the </w:t>
      </w:r>
      <w:r w:rsidR="000A10EA">
        <w:t>Appellate Body</w:t>
      </w:r>
      <w:r w:rsidRPr="009432CA">
        <w:t xml:space="preserve"> </w:t>
      </w:r>
      <w:r>
        <w:t xml:space="preserve">further </w:t>
      </w:r>
      <w:r w:rsidRPr="009432CA">
        <w:t>explained</w:t>
      </w:r>
      <w:r>
        <w:t xml:space="preserve"> in the original proceedings </w:t>
      </w:r>
      <w:r w:rsidRPr="009432CA">
        <w:t xml:space="preserve">that financial transactions </w:t>
      </w:r>
      <w:r>
        <w:t>should be</w:t>
      </w:r>
      <w:r w:rsidRPr="009432CA">
        <w:t xml:space="preserve"> analysed on an </w:t>
      </w:r>
      <w:r w:rsidRPr="009432CA">
        <w:rPr>
          <w:i/>
        </w:rPr>
        <w:t>ex ante</w:t>
      </w:r>
      <w:r w:rsidRPr="009432CA">
        <w:t xml:space="preserve"> basis. This is</w:t>
      </w:r>
      <w:r>
        <w:t xml:space="preserve"> because</w:t>
      </w:r>
      <w:r w:rsidRPr="009432CA">
        <w:t xml:space="preserve">, in deciding whether to commit resources to a particular investment, an investor will consider alternative investment opportunities and will make a decision on the basis of information available at that time about market conditions and projections. </w:t>
      </w:r>
      <w:r>
        <w:t xml:space="preserve">It is on the basis of this information that a panel should determine </w:t>
      </w:r>
      <w:r w:rsidRPr="009432CA">
        <w:t xml:space="preserve">whether </w:t>
      </w:r>
      <w:r>
        <w:t>a</w:t>
      </w:r>
      <w:r w:rsidRPr="009432CA">
        <w:t xml:space="preserve"> </w:t>
      </w:r>
      <w:r>
        <w:t xml:space="preserve">particular </w:t>
      </w:r>
      <w:r w:rsidRPr="009432CA">
        <w:t>investment was "commercially rational</w:t>
      </w:r>
      <w:r>
        <w:t>"</w:t>
      </w:r>
      <w:r w:rsidRPr="009432CA">
        <w:t>.</w:t>
      </w:r>
      <w:r w:rsidRPr="009432CA">
        <w:rPr>
          <w:rStyle w:val="FootnoteReference"/>
        </w:rPr>
        <w:footnoteReference w:id="349"/>
      </w:r>
      <w:r w:rsidRPr="009432CA">
        <w:t xml:space="preserve"> For this reason, the </w:t>
      </w:r>
      <w:r w:rsidR="000A10EA">
        <w:t>Appellate Body</w:t>
      </w:r>
      <w:r w:rsidRPr="009432CA">
        <w:t xml:space="preserve"> </w:t>
      </w:r>
      <w:r w:rsidRPr="00E34F21">
        <w:rPr>
          <w:i/>
        </w:rPr>
        <w:t>rejected</w:t>
      </w:r>
      <w:r w:rsidRPr="009432CA">
        <w:t xml:space="preserve"> the notion that it is </w:t>
      </w:r>
      <w:r>
        <w:t>relevant to examine</w:t>
      </w:r>
      <w:r w:rsidRPr="009432CA">
        <w:t xml:space="preserve"> </w:t>
      </w:r>
      <w:r w:rsidRPr="00A91D1F">
        <w:t xml:space="preserve">how the </w:t>
      </w:r>
      <w:r w:rsidRPr="005C562B">
        <w:t xml:space="preserve">investment at issue </w:t>
      </w:r>
      <w:r w:rsidRPr="005C562B">
        <w:lastRenderedPageBreak/>
        <w:t>actually performed.</w:t>
      </w:r>
      <w:r>
        <w:rPr>
          <w:rStyle w:val="FootnoteReference"/>
        </w:rPr>
        <w:footnoteReference w:id="350"/>
      </w:r>
      <w:r w:rsidRPr="005C562B">
        <w:t xml:space="preserve"> Such an </w:t>
      </w:r>
      <w:r w:rsidRPr="005C562B">
        <w:rPr>
          <w:i/>
        </w:rPr>
        <w:t>ex post</w:t>
      </w:r>
      <w:r w:rsidRPr="005C562B">
        <w:t xml:space="preserve"> analysis "has nothing useful to say about the basis upon which the investment was made".</w:t>
      </w:r>
      <w:r w:rsidRPr="005C562B">
        <w:rPr>
          <w:rStyle w:val="FootnoteReference"/>
        </w:rPr>
        <w:footnoteReference w:id="351"/>
      </w:r>
      <w:r w:rsidRPr="005C562B">
        <w:t xml:space="preserve"> In light of these considerations, the </w:t>
      </w:r>
      <w:r w:rsidR="000A10EA">
        <w:t>Appellate Body</w:t>
      </w:r>
      <w:r w:rsidRPr="005C562B">
        <w:t xml:space="preserve"> emphasized that a benefit analysis "must examine the terms and conditions of a loan at the time it is made and compare them to the terms and conditions that would have been offered by the market at that time."</w:t>
      </w:r>
      <w:r w:rsidRPr="005C562B">
        <w:rPr>
          <w:rStyle w:val="FootnoteReference"/>
        </w:rPr>
        <w:footnoteReference w:id="352"/>
      </w:r>
    </w:p>
    <w:p w:rsidR="0007161B" w:rsidRDefault="0007161B" w:rsidP="00DC4FDF">
      <w:pPr>
        <w:pStyle w:val="Heading4"/>
      </w:pPr>
      <w:bookmarkStart w:id="61" w:name="_Toc514059219"/>
      <w:r w:rsidRPr="00316CF9">
        <w:t xml:space="preserve">Whether the Panel erred in </w:t>
      </w:r>
      <w:r>
        <w:t>its</w:t>
      </w:r>
      <w:r w:rsidRPr="00316CF9">
        <w:t xml:space="preserve"> application of </w:t>
      </w:r>
      <w:r w:rsidR="000A10EA">
        <w:t>Article </w:t>
      </w:r>
      <w:r w:rsidRPr="00047771">
        <w:t xml:space="preserve">1.1(b) </w:t>
      </w:r>
      <w:r w:rsidRPr="007D4E98">
        <w:t>of t</w:t>
      </w:r>
      <w:r w:rsidRPr="00050E57">
        <w:t xml:space="preserve">he </w:t>
      </w:r>
      <w:r w:rsidR="000A10EA">
        <w:t>SCM Agreement</w:t>
      </w:r>
      <w:r w:rsidRPr="00050E57">
        <w:t xml:space="preserve"> by failing to</w:t>
      </w:r>
      <w:r>
        <w:t xml:space="preserve"> </w:t>
      </w:r>
      <w:r w:rsidRPr="00050E57">
        <w:t xml:space="preserve">identify </w:t>
      </w:r>
      <w:r>
        <w:t>properly</w:t>
      </w:r>
      <w:r w:rsidRPr="00050E57">
        <w:t xml:space="preserve"> the "corporate borrowing rate"</w:t>
      </w:r>
      <w:bookmarkEnd w:id="59"/>
      <w:bookmarkEnd w:id="61"/>
    </w:p>
    <w:p w:rsidR="0007161B" w:rsidRDefault="0007161B" w:rsidP="00DC4FDF">
      <w:pPr>
        <w:pStyle w:val="BodyText"/>
      </w:pPr>
      <w:r w:rsidRPr="000951A8">
        <w:t xml:space="preserve">The </w:t>
      </w:r>
      <w:r w:rsidR="000A10EA">
        <w:t>European Union</w:t>
      </w:r>
      <w:r w:rsidRPr="000951A8">
        <w:t xml:space="preserve"> submits that the Panel erred in </w:t>
      </w:r>
      <w:r>
        <w:t>its</w:t>
      </w:r>
      <w:r w:rsidRPr="000951A8">
        <w:t xml:space="preserve"> application of </w:t>
      </w:r>
      <w:r w:rsidR="000A10EA">
        <w:t>Article </w:t>
      </w:r>
      <w:r w:rsidRPr="000951A8">
        <w:t xml:space="preserve">1.1(b) of the </w:t>
      </w:r>
      <w:r w:rsidR="000A10EA">
        <w:t>SCM Agreement</w:t>
      </w:r>
      <w:r w:rsidRPr="000951A8">
        <w:t xml:space="preserve"> by identifying the corporate borrowing rate component of the market benchmark rate of return as "the average yields {on an EADS bond} one-month prior and </w:t>
      </w:r>
      <w:r w:rsidR="000A10EA">
        <w:t>six</w:t>
      </w:r>
      <w:r w:rsidR="000A10EA">
        <w:noBreakHyphen/>
        <w:t>month</w:t>
      </w:r>
      <w:r w:rsidRPr="000951A8">
        <w:t>s prior to the conclusion of the {</w:t>
      </w:r>
      <w:r>
        <w:t xml:space="preserve">relevant </w:t>
      </w:r>
      <w:r w:rsidRPr="000951A8">
        <w:t>LA/MSF} contract, in the form of a range".</w:t>
      </w:r>
      <w:r w:rsidRPr="000951A8">
        <w:rPr>
          <w:rStyle w:val="FootnoteReference"/>
        </w:rPr>
        <w:footnoteReference w:id="353"/>
      </w:r>
      <w:r w:rsidRPr="000951A8">
        <w:t xml:space="preserve"> </w:t>
      </w:r>
      <w:r w:rsidRPr="00D32743">
        <w:t xml:space="preserve">The </w:t>
      </w:r>
      <w:r w:rsidR="000A10EA">
        <w:t>European Union</w:t>
      </w:r>
      <w:r w:rsidRPr="004F5E01">
        <w:t xml:space="preserve"> </w:t>
      </w:r>
      <w:r>
        <w:t>submits</w:t>
      </w:r>
      <w:r w:rsidRPr="004F5E01">
        <w:t xml:space="preserve"> that the Panel correctly identified the legal stan</w:t>
      </w:r>
      <w:r w:rsidRPr="00C64BE0">
        <w:t xml:space="preserve">dard </w:t>
      </w:r>
      <w:r>
        <w:t xml:space="preserve">applicable under </w:t>
      </w:r>
      <w:r w:rsidR="000A10EA">
        <w:t>Article </w:t>
      </w:r>
      <w:r>
        <w:t>1.1(b) when it</w:t>
      </w:r>
      <w:r w:rsidRPr="00C64BE0">
        <w:t xml:space="preserve"> explain</w:t>
      </w:r>
      <w:r>
        <w:t>ed</w:t>
      </w:r>
      <w:r w:rsidRPr="00CE3CE8">
        <w:t xml:space="preserve"> that </w:t>
      </w:r>
      <w:r>
        <w:t>"</w:t>
      </w:r>
      <w:r w:rsidRPr="00CE3CE8">
        <w:t xml:space="preserve">borrowing costs 'should be observed </w:t>
      </w:r>
      <w:r w:rsidRPr="007F0FAB">
        <w:rPr>
          <w:i/>
        </w:rPr>
        <w:t>at the time</w:t>
      </w:r>
      <w:r w:rsidRPr="00CE3CE8">
        <w:t xml:space="preserve"> that each particular contract was </w:t>
      </w:r>
      <w:r w:rsidRPr="007F0FAB">
        <w:rPr>
          <w:i/>
        </w:rPr>
        <w:t>concluded</w:t>
      </w:r>
      <w:r w:rsidRPr="00CE3CE8">
        <w:t>'</w:t>
      </w:r>
      <w:r w:rsidRPr="006477CA">
        <w:t>".</w:t>
      </w:r>
      <w:r w:rsidRPr="006477CA">
        <w:rPr>
          <w:rStyle w:val="FootnoteReference"/>
        </w:rPr>
        <w:footnoteReference w:id="354"/>
      </w:r>
      <w:r w:rsidRPr="00845341">
        <w:t xml:space="preserve"> However, the </w:t>
      </w:r>
      <w:r w:rsidR="000A10EA">
        <w:t>European Union</w:t>
      </w:r>
      <w:r w:rsidRPr="005435FA">
        <w:t xml:space="preserve"> </w:t>
      </w:r>
      <w:r>
        <w:t>maintains</w:t>
      </w:r>
      <w:r w:rsidRPr="005435FA">
        <w:t xml:space="preserve"> that, in applying this standard, the Panel should have used the actual data on the bond yield at the time </w:t>
      </w:r>
      <w:r w:rsidRPr="0097319F">
        <w:t xml:space="preserve">each </w:t>
      </w:r>
      <w:r>
        <w:t xml:space="preserve">of the four </w:t>
      </w:r>
      <w:r w:rsidRPr="0097319F">
        <w:t>A350XWB LA/MSF contract</w:t>
      </w:r>
      <w:r>
        <w:t>s</w:t>
      </w:r>
      <w:r w:rsidRPr="0097319F">
        <w:t xml:space="preserve"> was concluded (i.e. the yield on the day of conclusion of each A350XWB LA/MSF contract).</w:t>
      </w:r>
      <w:r w:rsidRPr="0097319F">
        <w:rPr>
          <w:rStyle w:val="FootnoteReference"/>
        </w:rPr>
        <w:footnoteReference w:id="355"/>
      </w:r>
      <w:r w:rsidRPr="0097319F">
        <w:t xml:space="preserve"> Instead,</w:t>
      </w:r>
      <w:r>
        <w:t xml:space="preserve"> </w:t>
      </w:r>
      <w:r w:rsidRPr="0097319F">
        <w:t>the Panel "replac</w:t>
      </w:r>
      <w:r>
        <w:t xml:space="preserve">{ed} </w:t>
      </w:r>
      <w:r w:rsidRPr="0097319F">
        <w:t xml:space="preserve">this single yield for each contract with a range based on the </w:t>
      </w:r>
      <w:r w:rsidRPr="00872097">
        <w:t xml:space="preserve">average yields one month and </w:t>
      </w:r>
      <w:r w:rsidR="000A10EA">
        <w:t>six month</w:t>
      </w:r>
      <w:r w:rsidRPr="00872097">
        <w:t>s prior to the date on which each contract was concluded</w:t>
      </w:r>
      <w:r w:rsidRPr="009432CA">
        <w:t>".</w:t>
      </w:r>
      <w:r w:rsidRPr="009432CA">
        <w:rPr>
          <w:rStyle w:val="FootnoteReference"/>
        </w:rPr>
        <w:footnoteReference w:id="356"/>
      </w:r>
    </w:p>
    <w:p w:rsidR="0007161B" w:rsidRPr="00176D91" w:rsidRDefault="0007161B" w:rsidP="00DC4FDF">
      <w:pPr>
        <w:pStyle w:val="BodyText"/>
      </w:pPr>
      <w:r>
        <w:t>According to t</w:t>
      </w:r>
      <w:r w:rsidRPr="00867FE3">
        <w:t xml:space="preserve">he </w:t>
      </w:r>
      <w:r w:rsidR="000A10EA">
        <w:t>European Union</w:t>
      </w:r>
      <w:r>
        <w:t>,</w:t>
      </w:r>
      <w:r w:rsidRPr="00FE41F2">
        <w:t xml:space="preserve"> the Panel justified its rejection of the data pertaining to the yield on the day of conclusion of the A350XWB LA/MSF contracts by "speculating" that </w:t>
      </w:r>
      <w:r>
        <w:t>it</w:t>
      </w:r>
      <w:r w:rsidRPr="00EC4C12">
        <w:t xml:space="preserve"> "</w:t>
      </w:r>
      <w:r w:rsidRPr="00C27702">
        <w:rPr>
          <w:i/>
        </w:rPr>
        <w:t>may</w:t>
      </w:r>
      <w:r w:rsidR="000A18DA">
        <w:t> </w:t>
      </w:r>
      <w:r w:rsidRPr="00EC4C12">
        <w:t>reflect atypical fluctuations".</w:t>
      </w:r>
      <w:r w:rsidRPr="00C3713E">
        <w:rPr>
          <w:rStyle w:val="FootnoteReference"/>
        </w:rPr>
        <w:footnoteReference w:id="357"/>
      </w:r>
      <w:r w:rsidRPr="00E55FB8">
        <w:t xml:space="preserve"> However, </w:t>
      </w:r>
      <w:r w:rsidRPr="00050E57">
        <w:t xml:space="preserve">"the Panel did </w:t>
      </w:r>
      <w:r w:rsidRPr="00C27702">
        <w:rPr>
          <w:i/>
        </w:rPr>
        <w:t>not</w:t>
      </w:r>
      <w:r w:rsidRPr="000951A8">
        <w:t xml:space="preserve"> find that there were 'atypical fluctuations' in the yields of the relevant EADS bond on the day of conclusion of the LA/MSF contracts."</w:t>
      </w:r>
      <w:r w:rsidRPr="00316CF9">
        <w:rPr>
          <w:rStyle w:val="FootnoteReference"/>
        </w:rPr>
        <w:footnoteReference w:id="358"/>
      </w:r>
      <w:r w:rsidRPr="00197394">
        <w:t xml:space="preserve"> Rather,</w:t>
      </w:r>
      <w:r>
        <w:t xml:space="preserve"> </w:t>
      </w:r>
      <w:r w:rsidRPr="007D4E98">
        <w:t>the Panel's own factual findings reveal that "the yield on the day of the conclusion of the co</w:t>
      </w:r>
      <w:r w:rsidRPr="006E63EA">
        <w:t>ntract was very similar – and sometimes even identical – to the average yield over the month prior to the conclusion of the contract."</w:t>
      </w:r>
      <w:r w:rsidRPr="00A22B4D">
        <w:rPr>
          <w:rStyle w:val="FootnoteReference"/>
        </w:rPr>
        <w:footnoteReference w:id="359"/>
      </w:r>
      <w:r>
        <w:t xml:space="preserve"> In addition, </w:t>
      </w:r>
      <w:r w:rsidRPr="00F53A4D">
        <w:t xml:space="preserve">the </w:t>
      </w:r>
      <w:r w:rsidR="000A10EA">
        <w:t>European Union</w:t>
      </w:r>
      <w:r w:rsidRPr="00F53A4D">
        <w:t xml:space="preserve"> noted that</w:t>
      </w:r>
      <w:r>
        <w:t xml:space="preserve"> t</w:t>
      </w:r>
      <w:r w:rsidRPr="000951A8">
        <w:t xml:space="preserve">he Panel </w:t>
      </w:r>
      <w:r w:rsidRPr="007D4E98">
        <w:t>critici</w:t>
      </w:r>
      <w:r>
        <w:t>z</w:t>
      </w:r>
      <w:r w:rsidRPr="007D4E98">
        <w:t>ed Professor Whitelaw's</w:t>
      </w:r>
      <w:r>
        <w:t xml:space="preserve"> </w:t>
      </w:r>
      <w:r w:rsidRPr="007D4E98">
        <w:t>averaging approach</w:t>
      </w:r>
      <w:r>
        <w:t>, arguing that it could</w:t>
      </w:r>
      <w:r w:rsidRPr="000951A8">
        <w:t xml:space="preserve"> lead to distortions.</w:t>
      </w:r>
      <w:r w:rsidRPr="00316CF9">
        <w:rPr>
          <w:rStyle w:val="FootnoteReference"/>
        </w:rPr>
        <w:footnoteReference w:id="360"/>
      </w:r>
      <w:r w:rsidRPr="00197394">
        <w:t xml:space="preserve"> </w:t>
      </w:r>
      <w:r w:rsidRPr="00395121">
        <w:t xml:space="preserve">For the </w:t>
      </w:r>
      <w:r w:rsidR="000A10EA">
        <w:t>European Union</w:t>
      </w:r>
      <w:r w:rsidRPr="00D32743">
        <w:t>, a similar concern applies to the range of average yields used by the Panel because they "could artificially increase or lower a market borrowing rate, leading to a false positive or a false negative subsidy finding".</w:t>
      </w:r>
      <w:r w:rsidRPr="00D32743">
        <w:rPr>
          <w:rStyle w:val="FootnoteReference"/>
        </w:rPr>
        <w:footnoteReference w:id="361"/>
      </w:r>
    </w:p>
    <w:p w:rsidR="0007161B" w:rsidRDefault="0007161B" w:rsidP="00DC4FDF">
      <w:pPr>
        <w:pStyle w:val="BodyText"/>
      </w:pPr>
      <w:r w:rsidRPr="00D32743">
        <w:t>For the foregoin</w:t>
      </w:r>
      <w:r w:rsidRPr="004F5E01">
        <w:t xml:space="preserve">g reasons, the </w:t>
      </w:r>
      <w:r w:rsidR="000A10EA">
        <w:t>European Union</w:t>
      </w:r>
      <w:r w:rsidRPr="00D039E3">
        <w:t xml:space="preserve"> </w:t>
      </w:r>
      <w:r>
        <w:t xml:space="preserve">requests us to </w:t>
      </w:r>
      <w:r w:rsidRPr="000951A8">
        <w:t>reverse the Panel's conclusion</w:t>
      </w:r>
      <w:r w:rsidRPr="00197394">
        <w:t xml:space="preserve"> that the corporate borrowing rate component of the market benchmark </w:t>
      </w:r>
      <w:r>
        <w:t xml:space="preserve">can </w:t>
      </w:r>
      <w:r w:rsidRPr="00197394">
        <w:t xml:space="preserve">be based on "the average yields one-month prior and </w:t>
      </w:r>
      <w:r w:rsidR="000A10EA">
        <w:t>six</w:t>
      </w:r>
      <w:r w:rsidR="000A10EA">
        <w:noBreakHyphen/>
        <w:t>month</w:t>
      </w:r>
      <w:r w:rsidRPr="00197394">
        <w:t xml:space="preserve">s prior to the conclusion of the contract, in </w:t>
      </w:r>
      <w:r w:rsidRPr="00197394">
        <w:lastRenderedPageBreak/>
        <w:t>the</w:t>
      </w:r>
      <w:r w:rsidRPr="00047771">
        <w:t xml:space="preserve"> form of a range"</w:t>
      </w:r>
      <w:r>
        <w:t>,</w:t>
      </w:r>
      <w:r w:rsidRPr="007D4E98">
        <w:t xml:space="preserve"> </w:t>
      </w:r>
      <w:r w:rsidRPr="006E63EA">
        <w:t>and the Panel's findings related to the corporate borrowing rate</w:t>
      </w:r>
      <w:r>
        <w:t xml:space="preserve"> set out in Tables 7 and 10 of the Panel Report</w:t>
      </w:r>
      <w:r w:rsidRPr="00D32743">
        <w:t>.</w:t>
      </w:r>
      <w:r w:rsidRPr="00D32743">
        <w:rPr>
          <w:rStyle w:val="FootnoteReference"/>
        </w:rPr>
        <w:footnoteReference w:id="362"/>
      </w:r>
    </w:p>
    <w:p w:rsidR="0007161B" w:rsidRPr="00176D91" w:rsidRDefault="0007161B" w:rsidP="00DC4FDF">
      <w:pPr>
        <w:pStyle w:val="BodyText"/>
      </w:pPr>
      <w:r>
        <w:t>T</w:t>
      </w:r>
      <w:r w:rsidRPr="00D32743">
        <w:t xml:space="preserve">he </w:t>
      </w:r>
      <w:r w:rsidR="000A10EA">
        <w:t>United States</w:t>
      </w:r>
      <w:r w:rsidRPr="00C64BE0">
        <w:t xml:space="preserve"> disagrees with the </w:t>
      </w:r>
      <w:r w:rsidR="000A10EA">
        <w:t>European Union</w:t>
      </w:r>
      <w:r w:rsidRPr="005F3B7A">
        <w:t xml:space="preserve"> that </w:t>
      </w:r>
      <w:r w:rsidR="000A10EA">
        <w:t>Article </w:t>
      </w:r>
      <w:r w:rsidRPr="00CE3CE8">
        <w:t>1.1(b) o</w:t>
      </w:r>
      <w:r>
        <w:t xml:space="preserve">f the </w:t>
      </w:r>
      <w:r w:rsidR="000A10EA">
        <w:t>SCM Agreement</w:t>
      </w:r>
      <w:r w:rsidRPr="00CE3CE8">
        <w:t xml:space="preserve"> requires the use of a corporate borrowing rate based exclusi</w:t>
      </w:r>
      <w:r w:rsidRPr="00FE454E">
        <w:t>vely on data from the 24-hour period coinciding with</w:t>
      </w:r>
      <w:r>
        <w:t xml:space="preserve"> the</w:t>
      </w:r>
      <w:r w:rsidRPr="00FE454E">
        <w:t xml:space="preserve"> finalization of the terms and conditions of each </w:t>
      </w:r>
      <w:r w:rsidRPr="00E72660">
        <w:t xml:space="preserve">A350XWB </w:t>
      </w:r>
      <w:r w:rsidRPr="00E37191">
        <w:t xml:space="preserve">LA/MSF contract. According to the </w:t>
      </w:r>
      <w:r w:rsidR="000A10EA">
        <w:t>United States</w:t>
      </w:r>
      <w:r w:rsidRPr="002F6182">
        <w:t xml:space="preserve">, </w:t>
      </w:r>
      <w:r w:rsidR="000A10EA">
        <w:t>Article </w:t>
      </w:r>
      <w:r w:rsidRPr="002F6182">
        <w:t>1.1(</w:t>
      </w:r>
      <w:r w:rsidRPr="000951A8">
        <w:t>b) affords panels "a degree of discretion in selecting the appropriate methodology to determine 'benefit'"</w:t>
      </w:r>
      <w:r w:rsidRPr="00316CF9">
        <w:rPr>
          <w:rStyle w:val="FootnoteReference"/>
        </w:rPr>
        <w:footnoteReference w:id="363"/>
      </w:r>
      <w:r w:rsidRPr="00197394">
        <w:t>, which encompasses the choice of whether to consult data pre-dating the date of conferral of an alleged subsidy.</w:t>
      </w:r>
      <w:r>
        <w:t xml:space="preserve"> T</w:t>
      </w:r>
      <w:r w:rsidRPr="006E63EA">
        <w:t xml:space="preserve">he </w:t>
      </w:r>
      <w:r w:rsidR="000A10EA">
        <w:t>United States</w:t>
      </w:r>
      <w:r w:rsidRPr="00395121">
        <w:t xml:space="preserve"> argues that</w:t>
      </w:r>
      <w:r w:rsidRPr="00A22B4D">
        <w:t>,</w:t>
      </w:r>
      <w:r w:rsidRPr="00D32743">
        <w:t xml:space="preserve"> in evaluating whether a financial contribution confers a benefit within the meaning of </w:t>
      </w:r>
      <w:r w:rsidR="000A10EA">
        <w:t>Article </w:t>
      </w:r>
      <w:r w:rsidRPr="00D32743">
        <w:t xml:space="preserve">1.1(b), panels should conduct an </w:t>
      </w:r>
      <w:r w:rsidRPr="00D851AE">
        <w:rPr>
          <w:i/>
        </w:rPr>
        <w:t>ex ante</w:t>
      </w:r>
      <w:r w:rsidRPr="004F5E01">
        <w:t xml:space="preserve"> analysis, and that "determining whether the investment was commercially rational is to be ascertained based on the information that was available to the investor </w:t>
      </w:r>
      <w:r w:rsidRPr="00C64BE0">
        <w:t>at the time the decision to invest was made".</w:t>
      </w:r>
      <w:r w:rsidRPr="00D039E3">
        <w:rPr>
          <w:rStyle w:val="FootnoteReference"/>
        </w:rPr>
        <w:footnoteReference w:id="364"/>
      </w:r>
      <w:r w:rsidR="000A18DA">
        <w:t xml:space="preserve"> Therefore, "the </w:t>
      </w:r>
      <w:r w:rsidRPr="005F3B7A">
        <w:t>body of 'information available at the time the decision is made' will necessarily include information that pre-dates the decision itself".</w:t>
      </w:r>
      <w:r w:rsidRPr="00181457">
        <w:rPr>
          <w:rStyle w:val="FootnoteReference"/>
        </w:rPr>
        <w:footnoteReference w:id="365"/>
      </w:r>
    </w:p>
    <w:p w:rsidR="0007161B" w:rsidRDefault="0007161B" w:rsidP="00DC4FDF">
      <w:pPr>
        <w:pStyle w:val="BodyText"/>
      </w:pPr>
      <w:r w:rsidRPr="00947665">
        <w:t xml:space="preserve">Additionally, the </w:t>
      </w:r>
      <w:r w:rsidR="000A10EA">
        <w:t>United States</w:t>
      </w:r>
      <w:r w:rsidRPr="00947665">
        <w:t xml:space="preserve"> argues that, "in situations where the relevant 'decision' to</w:t>
      </w:r>
      <w:r w:rsidRPr="000951A8">
        <w:t xml:space="preserve"> confer a subsidy is 'made' over an extended period of time, the </w:t>
      </w:r>
      <w:r w:rsidR="000A10EA">
        <w:t>Appellate Body</w:t>
      </w:r>
      <w:r w:rsidRPr="00C015DB">
        <w:t>'s guidance implies that the correspond</w:t>
      </w:r>
      <w:r w:rsidRPr="00197394">
        <w:t>ing commercial benchmark should include information from the same period of time (as well as additional information preceding it)".</w:t>
      </w:r>
      <w:r w:rsidRPr="00047771">
        <w:rPr>
          <w:rStyle w:val="FootnoteReference"/>
        </w:rPr>
        <w:footnoteReference w:id="366"/>
      </w:r>
      <w:r w:rsidRPr="007D4E98">
        <w:t xml:space="preserve"> In this case, the Panel found that the terms and conditions for all four </w:t>
      </w:r>
      <w:r w:rsidRPr="006E63EA">
        <w:t xml:space="preserve">A350XWB LA/MSF contracts were the product of </w:t>
      </w:r>
      <w:r w:rsidRPr="006E63EA">
        <w:rPr>
          <w:b/>
        </w:rPr>
        <w:t>[</w:t>
      </w:r>
      <w:r w:rsidR="00C8434D" w:rsidRPr="00C8434D">
        <w:rPr>
          <w:b/>
          <w:szCs w:val="16"/>
        </w:rPr>
        <w:t>BCI</w:t>
      </w:r>
      <w:r w:rsidRPr="006477CA">
        <w:rPr>
          <w:b/>
        </w:rPr>
        <w:t>]</w:t>
      </w:r>
      <w:r w:rsidRPr="006477CA">
        <w:t>.</w:t>
      </w:r>
      <w:r w:rsidRPr="006477CA">
        <w:rPr>
          <w:rStyle w:val="FootnoteReference"/>
        </w:rPr>
        <w:footnoteReference w:id="367"/>
      </w:r>
      <w:r w:rsidRPr="006477CA">
        <w:t xml:space="preserve"> </w:t>
      </w:r>
      <w:r>
        <w:t>T</w:t>
      </w:r>
      <w:r w:rsidRPr="005435FA">
        <w:t xml:space="preserve">his process had begun by </w:t>
      </w:r>
      <w:r w:rsidRPr="0097319F">
        <w:rPr>
          <w:b/>
        </w:rPr>
        <w:t>[</w:t>
      </w:r>
      <w:r w:rsidR="00C8434D" w:rsidRPr="00C8434D">
        <w:rPr>
          <w:b/>
          <w:szCs w:val="16"/>
        </w:rPr>
        <w:t>BCI</w:t>
      </w:r>
      <w:r w:rsidRPr="0097319F">
        <w:rPr>
          <w:b/>
        </w:rPr>
        <w:t>]</w:t>
      </w:r>
      <w:r w:rsidRPr="0097319F">
        <w:t xml:space="preserve">, and </w:t>
      </w:r>
      <w:r>
        <w:t>various stages</w:t>
      </w:r>
      <w:r w:rsidRPr="0097319F" w:rsidDel="00947665">
        <w:t xml:space="preserve"> </w:t>
      </w:r>
      <w:r>
        <w:t xml:space="preserve">were </w:t>
      </w:r>
      <w:r w:rsidRPr="0097319F">
        <w:t xml:space="preserve">completed </w:t>
      </w:r>
      <w:r w:rsidRPr="0097319F">
        <w:rPr>
          <w:b/>
        </w:rPr>
        <w:t>[</w:t>
      </w:r>
      <w:r w:rsidR="00C8434D" w:rsidRPr="00C8434D">
        <w:rPr>
          <w:b/>
          <w:szCs w:val="16"/>
        </w:rPr>
        <w:t>BCI</w:t>
      </w:r>
      <w:r w:rsidRPr="009432CA">
        <w:rPr>
          <w:b/>
        </w:rPr>
        <w:t>]</w:t>
      </w:r>
      <w:r w:rsidRPr="009432CA">
        <w:t>.</w:t>
      </w:r>
      <w:r w:rsidRPr="00867FE3">
        <w:rPr>
          <w:rStyle w:val="FootnoteReference"/>
        </w:rPr>
        <w:footnoteReference w:id="368"/>
      </w:r>
      <w:r w:rsidRPr="00867FE3">
        <w:t xml:space="preserve"> In the </w:t>
      </w:r>
      <w:r w:rsidR="000A10EA">
        <w:t>United States</w:t>
      </w:r>
      <w:r w:rsidRPr="00FE41F2">
        <w:t>' view,</w:t>
      </w:r>
      <w:r w:rsidRPr="00EC4C12">
        <w:t xml:space="preserve"> these facts further support the Panel's finding that the average corporate borrowing rate in the one­month period preceding finalization is a "reasonable proxy" for investor</w:t>
      </w:r>
      <w:r w:rsidRPr="00C3713E">
        <w:t xml:space="preserve"> expectat</w:t>
      </w:r>
      <w:r w:rsidRPr="00E55FB8">
        <w:t xml:space="preserve">ions, and that the </w:t>
      </w:r>
      <w:r w:rsidR="000A10EA">
        <w:t>six</w:t>
      </w:r>
      <w:r w:rsidR="000A10EA">
        <w:noBreakHyphen/>
        <w:t>month</w:t>
      </w:r>
      <w:r w:rsidRPr="00E55FB8">
        <w:t xml:space="preserve"> average is also a "helpful indication" of such e</w:t>
      </w:r>
      <w:r w:rsidRPr="00050E57">
        <w:t>xpectations, though to a lesser </w:t>
      </w:r>
      <w:r w:rsidRPr="000951A8">
        <w:t>extent.</w:t>
      </w:r>
      <w:r>
        <w:rPr>
          <w:rStyle w:val="FootnoteReference"/>
        </w:rPr>
        <w:footnoteReference w:id="369"/>
      </w:r>
      <w:r>
        <w:t xml:space="preserve"> Consequently, </w:t>
      </w:r>
      <w:r w:rsidRPr="006E63EA">
        <w:t xml:space="preserve">the </w:t>
      </w:r>
      <w:r w:rsidR="000A10EA">
        <w:t>United States</w:t>
      </w:r>
      <w:r w:rsidRPr="006E63EA">
        <w:t xml:space="preserve"> argues that the Panel's decisi</w:t>
      </w:r>
      <w:r>
        <w:t xml:space="preserve">on to use the one-month and </w:t>
      </w:r>
      <w:r w:rsidR="000A10EA">
        <w:t>six</w:t>
      </w:r>
      <w:r w:rsidR="000A10EA">
        <w:noBreakHyphen/>
        <w:t>month</w:t>
      </w:r>
      <w:r w:rsidRPr="006E63EA">
        <w:t xml:space="preserve"> average yields as the basis for the corporate borrowing rate is consistent with </w:t>
      </w:r>
      <w:r w:rsidR="000A10EA">
        <w:t>Article </w:t>
      </w:r>
      <w:r w:rsidRPr="00D32743">
        <w:t>1.1(b)</w:t>
      </w:r>
      <w:r>
        <w:t xml:space="preserve"> of the </w:t>
      </w:r>
      <w:r w:rsidR="000A10EA">
        <w:t>SCM Agreement</w:t>
      </w:r>
      <w:r w:rsidRPr="00D32743">
        <w:t>.</w:t>
      </w:r>
    </w:p>
    <w:p w:rsidR="0007161B" w:rsidRPr="005C562B" w:rsidRDefault="0007161B" w:rsidP="00DC4FDF">
      <w:pPr>
        <w:pStyle w:val="BodyText"/>
      </w:pPr>
      <w:r w:rsidRPr="005C562B">
        <w:t xml:space="preserve">A meaningful benefit analysis pursuant to </w:t>
      </w:r>
      <w:r w:rsidR="000A10EA">
        <w:t>Article </w:t>
      </w:r>
      <w:r w:rsidRPr="005C562B">
        <w:t xml:space="preserve">1.1(b) requires panels to carry out a careful and thorough comparison between the financial contribution provided by a government and a market benchmark. </w:t>
      </w:r>
      <w:r>
        <w:t>Regarding</w:t>
      </w:r>
      <w:r w:rsidRPr="005C562B">
        <w:t xml:space="preserve"> the manner in which the timing of the relevant transactions should be factored into the benefit analysis, we reiterate that the benefit comparison</w:t>
      </w:r>
      <w:r>
        <w:t xml:space="preserve"> must be undertaken on an </w:t>
      </w:r>
      <w:r>
        <w:rPr>
          <w:i/>
        </w:rPr>
        <w:t>ex ante</w:t>
      </w:r>
      <w:r>
        <w:t xml:space="preserve"> basis, and thus</w:t>
      </w:r>
      <w:r w:rsidRPr="005C562B">
        <w:t xml:space="preserve"> focuses "on the moment in time when the lender and borrower commit to the transaction".</w:t>
      </w:r>
      <w:r w:rsidRPr="005C562B">
        <w:rPr>
          <w:rStyle w:val="FootnoteReference"/>
        </w:rPr>
        <w:footnoteReference w:id="370"/>
      </w:r>
      <w:r w:rsidRPr="005C562B">
        <w:t xml:space="preserve"> </w:t>
      </w:r>
      <w:r>
        <w:t>I</w:t>
      </w:r>
      <w:r w:rsidRPr="005C562B">
        <w:t xml:space="preserve">nformation that is closer in time to the conclusion of the terms and conditions of a loan </w:t>
      </w:r>
      <w:r>
        <w:t>will usually</w:t>
      </w:r>
      <w:r w:rsidRPr="005C562B">
        <w:t xml:space="preserve"> be more probative than information that derives from time periods preceding </w:t>
      </w:r>
      <w:r w:rsidRPr="001C3C1F">
        <w:t>the</w:t>
      </w:r>
      <w:r>
        <w:t xml:space="preserve"> final</w:t>
      </w:r>
      <w:r w:rsidRPr="005C562B">
        <w:t xml:space="preserve"> stages of negotiation and conclusion of a transaction. </w:t>
      </w:r>
      <w:r>
        <w:t>Nevertheless</w:t>
      </w:r>
      <w:r w:rsidRPr="005C562B">
        <w:t>, a panel's determination regarding the appropriate timing of</w:t>
      </w:r>
      <w:r>
        <w:t xml:space="preserve"> when the lender and borrower committed to the relevant terms and conditions of</w:t>
      </w:r>
      <w:r w:rsidRPr="005C562B">
        <w:t xml:space="preserve"> the transaction at issue should be made on a case-by-case basis, taking into account the specific nature and features of the financing at issue and in light of the arguments and evidence presented by the parties. </w:t>
      </w:r>
    </w:p>
    <w:p w:rsidR="0007161B" w:rsidRPr="005C562B" w:rsidRDefault="0007161B" w:rsidP="00DC4FDF">
      <w:pPr>
        <w:pStyle w:val="BodyText"/>
      </w:pPr>
      <w:r w:rsidRPr="005C562B">
        <w:t xml:space="preserve">Therefore, a panel conducting this assessment must look at how the relevant government financial contribution is structured, focusing on the nature and type of financing that is being provided and whether aspects thereof were agreed </w:t>
      </w:r>
      <w:r>
        <w:t xml:space="preserve">upon </w:t>
      </w:r>
      <w:r w:rsidRPr="005C562B">
        <w:t>in the</w:t>
      </w:r>
      <w:r>
        <w:t xml:space="preserve"> period </w:t>
      </w:r>
      <w:r w:rsidRPr="005C562B">
        <w:t>lead</w:t>
      </w:r>
      <w:r>
        <w:t>ing</w:t>
      </w:r>
      <w:r w:rsidRPr="005C562B">
        <w:t xml:space="preserve"> up to the formal signing of the legal instrument providing the financial contribution.</w:t>
      </w:r>
      <w:r>
        <w:t xml:space="preserve"> While in some </w:t>
      </w:r>
      <w:r w:rsidRPr="005B2E44">
        <w:t xml:space="preserve">cases parties </w:t>
      </w:r>
      <w:r w:rsidRPr="005B2E44">
        <w:lastRenderedPageBreak/>
        <w:t>may commit to a complex financing instrument only after all the relevant terms and conditions in their overall configuration are known</w:t>
      </w:r>
      <w:r>
        <w:t xml:space="preserve">, </w:t>
      </w:r>
      <w:r w:rsidRPr="005C562B">
        <w:t>it is</w:t>
      </w:r>
      <w:r>
        <w:t xml:space="preserve"> also</w:t>
      </w:r>
      <w:r w:rsidRPr="005C562B">
        <w:t xml:space="preserve"> possible to envisage cases where parties may have committed to a transaction – or to key aspects thereof – during </w:t>
      </w:r>
      <w:r>
        <w:t>a</w:t>
      </w:r>
      <w:r w:rsidRPr="005C562B">
        <w:t xml:space="preserve"> finalization period </w:t>
      </w:r>
      <w:r w:rsidRPr="00F0431C">
        <w:t xml:space="preserve">of the </w:t>
      </w:r>
      <w:r w:rsidRPr="001C3C1F">
        <w:t>negotiations preceding the moment of formal conclusion</w:t>
      </w:r>
      <w:r>
        <w:t xml:space="preserve"> of </w:t>
      </w:r>
      <w:r w:rsidRPr="00806D92">
        <w:rPr>
          <w:i/>
        </w:rPr>
        <w:t>all</w:t>
      </w:r>
      <w:r>
        <w:t xml:space="preserve"> aspects of that transaction</w:t>
      </w:r>
      <w:r w:rsidRPr="005C562B">
        <w:t xml:space="preserve">. </w:t>
      </w:r>
      <w:r w:rsidR="005B7BEB">
        <w:t>This </w:t>
      </w:r>
      <w:r w:rsidRPr="00821557">
        <w:t>may be the case, in particular, where the financial contribution at issue consists of complex financing instruments</w:t>
      </w:r>
      <w:r>
        <w:t>,</w:t>
      </w:r>
      <w:r w:rsidRPr="00821557">
        <w:t xml:space="preserve"> the terms</w:t>
      </w:r>
      <w:r>
        <w:t xml:space="preserve"> and conditions</w:t>
      </w:r>
      <w:r w:rsidRPr="00821557">
        <w:t xml:space="preserve"> of which have been negotiated and agreed over a certain contracting period</w:t>
      </w:r>
      <w:r w:rsidRPr="00FD2300">
        <w:t xml:space="preserve">. In </w:t>
      </w:r>
      <w:r>
        <w:t>such circumstances</w:t>
      </w:r>
      <w:r w:rsidRPr="00FD2300">
        <w:t xml:space="preserve">, it would </w:t>
      </w:r>
      <w:r>
        <w:t>be</w:t>
      </w:r>
      <w:r w:rsidRPr="00FD2300">
        <w:t xml:space="preserve"> appropriate for a panel to </w:t>
      </w:r>
      <w:r>
        <w:t>take into account in its analysis</w:t>
      </w:r>
      <w:r w:rsidRPr="00FD2300">
        <w:t xml:space="preserve"> information that pre</w:t>
      </w:r>
      <w:r w:rsidRPr="00FD2300">
        <w:noBreakHyphen/>
      </w:r>
      <w:r w:rsidRPr="001C3C1F">
        <w:t>dates the moment or actual</w:t>
      </w:r>
      <w:r w:rsidRPr="00FD2300">
        <w:t xml:space="preserve"> day </w:t>
      </w:r>
      <w:r>
        <w:t>o</w:t>
      </w:r>
      <w:r w:rsidRPr="00FD2300">
        <w:t xml:space="preserve">n which the legal instruments underlying </w:t>
      </w:r>
      <w:r>
        <w:t>the relevant</w:t>
      </w:r>
      <w:r w:rsidRPr="00FD2300">
        <w:t xml:space="preserve"> transaction </w:t>
      </w:r>
      <w:r>
        <w:t>were</w:t>
      </w:r>
      <w:r w:rsidRPr="00FD2300">
        <w:t xml:space="preserve"> formally signed</w:t>
      </w:r>
      <w:r>
        <w:t xml:space="preserve">, </w:t>
      </w:r>
      <w:r w:rsidRPr="001C3C1F">
        <w:t>bearing in mind that information closer in time to the formal conclusion of the financing instrument will be more probative than information from earlier stages of the negotiations.</w:t>
      </w:r>
    </w:p>
    <w:p w:rsidR="0007161B" w:rsidRDefault="0007161B" w:rsidP="00DC4FDF">
      <w:pPr>
        <w:pStyle w:val="BodyText"/>
      </w:pPr>
      <w:r w:rsidRPr="005C562B">
        <w:t xml:space="preserve">While the </w:t>
      </w:r>
      <w:r w:rsidR="000A10EA">
        <w:t>European Union</w:t>
      </w:r>
      <w:r w:rsidRPr="005C562B">
        <w:t xml:space="preserve"> correctly notes that, in condu</w:t>
      </w:r>
      <w:r w:rsidR="005B7BEB">
        <w:t>cting the benefit analysis, the </w:t>
      </w:r>
      <w:r w:rsidRPr="005C562B">
        <w:t>comparison focuses "on the moment in time when the lender and borrower commit to the transaction"</w:t>
      </w:r>
      <w:r w:rsidRPr="005C562B">
        <w:rPr>
          <w:rStyle w:val="FootnoteReference"/>
        </w:rPr>
        <w:footnoteReference w:id="371"/>
      </w:r>
      <w:r w:rsidRPr="005C562B">
        <w:t xml:space="preserve">, we disagree with the </w:t>
      </w:r>
      <w:r w:rsidR="000A10EA">
        <w:t>European Union</w:t>
      </w:r>
      <w:r w:rsidRPr="005C562B">
        <w:t xml:space="preserve"> to the extent </w:t>
      </w:r>
      <w:r>
        <w:t xml:space="preserve">that </w:t>
      </w:r>
      <w:r w:rsidRPr="005C562B">
        <w:t xml:space="preserve">it suggests that the Panel </w:t>
      </w:r>
      <w:r>
        <w:t>was required to limit its analysis to</w:t>
      </w:r>
      <w:r w:rsidRPr="005C562B">
        <w:t xml:space="preserve"> data </w:t>
      </w:r>
      <w:r>
        <w:t>from</w:t>
      </w:r>
      <w:r w:rsidRPr="005C562B">
        <w:t xml:space="preserve"> "the day of conclusion" of each A350XWB LA/MSF contract </w:t>
      </w:r>
      <w:r w:rsidRPr="006D3396">
        <w:rPr>
          <w:i/>
        </w:rPr>
        <w:t xml:space="preserve">regardless </w:t>
      </w:r>
      <w:r w:rsidRPr="006D3396">
        <w:t>of</w:t>
      </w:r>
      <w:r w:rsidRPr="005C562B">
        <w:t xml:space="preserve"> </w:t>
      </w:r>
      <w:r w:rsidRPr="000C2AE0">
        <w:t>the time period</w:t>
      </w:r>
      <w:r w:rsidRPr="005C562B">
        <w:t xml:space="preserve"> over which the parties may have committed to </w:t>
      </w:r>
      <w:r>
        <w:t xml:space="preserve">the terms and conditions of </w:t>
      </w:r>
      <w:r w:rsidRPr="005C562B">
        <w:t>that financing</w:t>
      </w:r>
      <w:r>
        <w:t xml:space="preserve"> instrument</w:t>
      </w:r>
      <w:r w:rsidRPr="005C562B">
        <w:t xml:space="preserve">. Rather, </w:t>
      </w:r>
      <w:r>
        <w:t xml:space="preserve">for purposes of conducting its benefit analysis, the Panel was required to take into </w:t>
      </w:r>
      <w:r w:rsidRPr="000F024A">
        <w:t>account the specific</w:t>
      </w:r>
      <w:r>
        <w:t xml:space="preserve"> financing instrument at issue, including the relevant circumstances surrounding the conclusion of that instrument, to determine the period over which the terms and conditions of the relevant contract were agreed.</w:t>
      </w:r>
    </w:p>
    <w:p w:rsidR="0007161B" w:rsidRDefault="0007161B" w:rsidP="00DC4FDF">
      <w:pPr>
        <w:pStyle w:val="BodyText"/>
      </w:pPr>
      <w:r>
        <w:t xml:space="preserve">With these considerations in mind, in order to determine whether the Panel erred under </w:t>
      </w:r>
      <w:r w:rsidR="000A10EA">
        <w:t>Article </w:t>
      </w:r>
      <w:r>
        <w:t>1.1(b), we turn to review its analysis regarding the</w:t>
      </w:r>
      <w:r w:rsidRPr="000F024A">
        <w:t xml:space="preserve"> specific nature and features of </w:t>
      </w:r>
      <w:r>
        <w:t>A350XWB LA/MSF</w:t>
      </w:r>
      <w:r w:rsidRPr="000F024A">
        <w:t xml:space="preserve"> financing</w:t>
      </w:r>
      <w:r>
        <w:t>, including</w:t>
      </w:r>
      <w:r w:rsidRPr="00B07FC9">
        <w:t xml:space="preserve"> the time</w:t>
      </w:r>
      <w:r>
        <w:t xml:space="preserve"> </w:t>
      </w:r>
      <w:r w:rsidRPr="00B07FC9">
        <w:t>period over which the parties</w:t>
      </w:r>
      <w:r>
        <w:t xml:space="preserve"> negotiated and</w:t>
      </w:r>
      <w:r w:rsidRPr="00B07FC9">
        <w:t xml:space="preserve"> committed to that financing.</w:t>
      </w:r>
      <w:r>
        <w:t xml:space="preserve"> </w:t>
      </w:r>
    </w:p>
    <w:p w:rsidR="0007161B" w:rsidRDefault="0007161B" w:rsidP="00DC4FDF">
      <w:pPr>
        <w:pStyle w:val="BodyText"/>
      </w:pPr>
      <w:r>
        <w:t xml:space="preserve">Before doing so, however, we note that the Panel relied on the yield of the EADS bond as an analytical tool to determine </w:t>
      </w:r>
      <w:r w:rsidRPr="00820972">
        <w:rPr>
          <w:szCs w:val="18"/>
        </w:rPr>
        <w:t>the first component of the market benchmark proposed by</w:t>
      </w:r>
      <w:r>
        <w:rPr>
          <w:szCs w:val="18"/>
        </w:rPr>
        <w:t xml:space="preserve"> </w:t>
      </w:r>
      <w:r w:rsidRPr="00820972">
        <w:rPr>
          <w:szCs w:val="18"/>
        </w:rPr>
        <w:t xml:space="preserve">the </w:t>
      </w:r>
      <w:r w:rsidR="000A10EA">
        <w:rPr>
          <w:szCs w:val="18"/>
        </w:rPr>
        <w:t>United States</w:t>
      </w:r>
      <w:r w:rsidRPr="00820972">
        <w:rPr>
          <w:szCs w:val="18"/>
        </w:rPr>
        <w:t xml:space="preserve"> </w:t>
      </w:r>
      <w:r>
        <w:rPr>
          <w:szCs w:val="18"/>
        </w:rPr>
        <w:t xml:space="preserve">– namely, </w:t>
      </w:r>
      <w:r w:rsidRPr="00820972">
        <w:rPr>
          <w:szCs w:val="18"/>
        </w:rPr>
        <w:t xml:space="preserve">a </w:t>
      </w:r>
      <w:r>
        <w:rPr>
          <w:szCs w:val="18"/>
        </w:rPr>
        <w:t>corporate</w:t>
      </w:r>
      <w:r w:rsidRPr="00820972">
        <w:rPr>
          <w:szCs w:val="18"/>
        </w:rPr>
        <w:t xml:space="preserve"> borrowing rate that Airbus would have </w:t>
      </w:r>
      <w:r w:rsidR="00657B57">
        <w:rPr>
          <w:szCs w:val="18"/>
        </w:rPr>
        <w:t xml:space="preserve">had </w:t>
      </w:r>
      <w:r w:rsidRPr="00820972">
        <w:rPr>
          <w:szCs w:val="18"/>
        </w:rPr>
        <w:t>to pay to a market lender</w:t>
      </w:r>
      <w:r>
        <w:rPr>
          <w:szCs w:val="18"/>
        </w:rPr>
        <w:t xml:space="preserve">. In conducting this examination, the Panel </w:t>
      </w:r>
      <w:r w:rsidRPr="00D32743">
        <w:t xml:space="preserve">addressed a series of criticisms by the </w:t>
      </w:r>
      <w:r w:rsidR="000A10EA">
        <w:t>United States</w:t>
      </w:r>
      <w:r w:rsidRPr="00D32743">
        <w:t xml:space="preserve"> </w:t>
      </w:r>
      <w:r>
        <w:t>regarding</w:t>
      </w:r>
      <w:r w:rsidRPr="00D32743">
        <w:t xml:space="preserve"> the extent to which the EADS bond data </w:t>
      </w:r>
      <w:r>
        <w:t>could</w:t>
      </w:r>
      <w:r w:rsidRPr="00D32743">
        <w:t xml:space="preserve"> be used to construct the relevant corporate borrowing rate. </w:t>
      </w:r>
      <w:r>
        <w:t xml:space="preserve">In assessing the </w:t>
      </w:r>
      <w:r w:rsidRPr="00D039E3">
        <w:t>relevant dates for observing the EADS bond yield</w:t>
      </w:r>
      <w:r>
        <w:t xml:space="preserve">, we do not understand the Panel to have sought to determine the "price of the EADS bond" </w:t>
      </w:r>
      <w:r w:rsidRPr="00471D0B">
        <w:rPr>
          <w:i/>
        </w:rPr>
        <w:t>per se</w:t>
      </w:r>
      <w:r>
        <w:t xml:space="preserve">. Rather, the Panel examined the time period over which the </w:t>
      </w:r>
      <w:r w:rsidRPr="006F5611">
        <w:t>relevant A350XWB LA/MSF contracts</w:t>
      </w:r>
      <w:r>
        <w:t xml:space="preserve"> were concluded to draw a conclusion as to the corporate borrowing rate that would have been applicable to Airbus during that period using the yield of t</w:t>
      </w:r>
      <w:r w:rsidR="00584272">
        <w:t>he EADS bond as a proxy in this </w:t>
      </w:r>
      <w:r>
        <w:t>regard.</w:t>
      </w:r>
    </w:p>
    <w:p w:rsidR="0007161B" w:rsidRPr="004328ED" w:rsidRDefault="0007161B" w:rsidP="00DC4FDF">
      <w:pPr>
        <w:pStyle w:val="BodyText"/>
        <w:widowControl w:val="0"/>
      </w:pPr>
      <w:r>
        <w:t xml:space="preserve">With </w:t>
      </w:r>
      <w:r w:rsidRPr="004328ED">
        <w:t xml:space="preserve">respect to the specific nature and features of LA/MSF financing, </w:t>
      </w:r>
      <w:r w:rsidRPr="004328ED">
        <w:rPr>
          <w:szCs w:val="18"/>
        </w:rPr>
        <w:t>the original panel</w:t>
      </w:r>
      <w:r>
        <w:rPr>
          <w:szCs w:val="18"/>
        </w:rPr>
        <w:t xml:space="preserve"> held </w:t>
      </w:r>
      <w:r w:rsidRPr="004328ED">
        <w:rPr>
          <w:szCs w:val="18"/>
        </w:rPr>
        <w:t>that, despite a number of variations in the terms and conditions</w:t>
      </w:r>
      <w:r w:rsidRPr="00205685">
        <w:rPr>
          <w:szCs w:val="18"/>
        </w:rPr>
        <w:t xml:space="preserve"> of the legal instruments making up the contractual framework of the challenged LA/MSF measures, numerous similarities in the type and form of financing exist</w:t>
      </w:r>
      <w:r>
        <w:rPr>
          <w:szCs w:val="18"/>
        </w:rPr>
        <w:t>ed</w:t>
      </w:r>
      <w:r w:rsidRPr="00205685">
        <w:rPr>
          <w:szCs w:val="18"/>
        </w:rPr>
        <w:t>.</w:t>
      </w:r>
      <w:r>
        <w:rPr>
          <w:rStyle w:val="FootnoteReference"/>
          <w:szCs w:val="18"/>
        </w:rPr>
        <w:footnoteReference w:id="372"/>
      </w:r>
      <w:r w:rsidRPr="00205685">
        <w:rPr>
          <w:szCs w:val="18"/>
        </w:rPr>
        <w:t xml:space="preserve"> </w:t>
      </w:r>
      <w:r w:rsidRPr="00D67B35">
        <w:rPr>
          <w:szCs w:val="18"/>
        </w:rPr>
        <w:t xml:space="preserve">In these compliance proceedings, the </w:t>
      </w:r>
      <w:r w:rsidR="000A10EA">
        <w:rPr>
          <w:szCs w:val="18"/>
        </w:rPr>
        <w:t>United States</w:t>
      </w:r>
      <w:r w:rsidRPr="00D67B35">
        <w:rPr>
          <w:szCs w:val="18"/>
        </w:rPr>
        <w:t xml:space="preserve"> argued </w:t>
      </w:r>
      <w:r>
        <w:rPr>
          <w:szCs w:val="18"/>
        </w:rPr>
        <w:t xml:space="preserve">before the Panel </w:t>
      </w:r>
      <w:r w:rsidRPr="00D67B35">
        <w:rPr>
          <w:szCs w:val="18"/>
        </w:rPr>
        <w:t xml:space="preserve">that the </w:t>
      </w:r>
      <w:r>
        <w:rPr>
          <w:szCs w:val="18"/>
        </w:rPr>
        <w:t xml:space="preserve">four </w:t>
      </w:r>
      <w:r w:rsidRPr="00D67B35">
        <w:rPr>
          <w:szCs w:val="18"/>
        </w:rPr>
        <w:t xml:space="preserve">A350XWB LA/MSF contracts contain the same "core" terms </w:t>
      </w:r>
      <w:r>
        <w:rPr>
          <w:szCs w:val="18"/>
        </w:rPr>
        <w:t>as</w:t>
      </w:r>
      <w:r w:rsidRPr="00D67B35">
        <w:rPr>
          <w:szCs w:val="18"/>
        </w:rPr>
        <w:t xml:space="preserve"> the pre-</w:t>
      </w:r>
      <w:r w:rsidRPr="006F5611">
        <w:rPr>
          <w:szCs w:val="18"/>
        </w:rPr>
        <w:t>A350XWB LA/MSF measures.</w:t>
      </w:r>
      <w:r>
        <w:rPr>
          <w:rStyle w:val="FootnoteReference"/>
          <w:szCs w:val="18"/>
        </w:rPr>
        <w:footnoteReference w:id="373"/>
      </w:r>
      <w:r>
        <w:t xml:space="preserve"> After examining </w:t>
      </w:r>
      <w:bookmarkStart w:id="62" w:name="_Toc436396590"/>
      <w:bookmarkStart w:id="63" w:name="_Toc444080356"/>
      <w:bookmarkStart w:id="64" w:name="_Toc444080778"/>
      <w:bookmarkStart w:id="65" w:name="_Toc446337108"/>
      <w:bookmarkStart w:id="66" w:name="_Toc460927499"/>
      <w:r>
        <w:t>the similarities and differences between the A350XWB LA/MSF contracts and the LA/MSF measures examined in the original proceeding</w:t>
      </w:r>
      <w:bookmarkEnd w:id="62"/>
      <w:bookmarkEnd w:id="63"/>
      <w:bookmarkEnd w:id="64"/>
      <w:bookmarkEnd w:id="65"/>
      <w:bookmarkEnd w:id="66"/>
      <w:r>
        <w:t xml:space="preserve">s, </w:t>
      </w:r>
      <w:r w:rsidRPr="00205685">
        <w:rPr>
          <w:szCs w:val="18"/>
        </w:rPr>
        <w:t>the Panel indicated that "the LA/MSF contracts for the A350XWB resemble the contracts at issue in the original proceeding</w:t>
      </w:r>
      <w:r>
        <w:rPr>
          <w:szCs w:val="18"/>
        </w:rPr>
        <w:t>{s}</w:t>
      </w:r>
      <w:r w:rsidRPr="00205685">
        <w:rPr>
          <w:szCs w:val="18"/>
        </w:rPr>
        <w:t>, based on the type of terms, including the similarity of disbursement mechanisms, the levy-based repayments of the principal along an anticipated schedule of deliveries and the imposition of royalties, the fact that no security is provided for the debt amount, and the existence of conditional guarantees that are limited only to the performance of obligations."</w:t>
      </w:r>
      <w:r>
        <w:rPr>
          <w:rStyle w:val="FootnoteReference"/>
          <w:szCs w:val="18"/>
        </w:rPr>
        <w:footnoteReference w:id="374"/>
      </w:r>
      <w:r>
        <w:rPr>
          <w:szCs w:val="18"/>
        </w:rPr>
        <w:t xml:space="preserve"> Thus, the Panel considered that, overall, the repayment of the </w:t>
      </w:r>
      <w:r>
        <w:rPr>
          <w:szCs w:val="18"/>
        </w:rPr>
        <w:lastRenderedPageBreak/>
        <w:t>A350XWB LA/MSF is back-loaded</w:t>
      </w:r>
      <w:r>
        <w:rPr>
          <w:rStyle w:val="FootnoteReference"/>
          <w:szCs w:val="18"/>
        </w:rPr>
        <w:footnoteReference w:id="375"/>
      </w:r>
      <w:r>
        <w:rPr>
          <w:szCs w:val="18"/>
        </w:rPr>
        <w:t>, primarily levy-based</w:t>
      </w:r>
      <w:r>
        <w:rPr>
          <w:rStyle w:val="FootnoteReference"/>
          <w:szCs w:val="18"/>
        </w:rPr>
        <w:footnoteReference w:id="376"/>
      </w:r>
      <w:r>
        <w:rPr>
          <w:szCs w:val="18"/>
        </w:rPr>
        <w:t>, dependent on the sales of aircraft, and unsecured.</w:t>
      </w:r>
      <w:r>
        <w:rPr>
          <w:rStyle w:val="FootnoteReference"/>
          <w:szCs w:val="18"/>
        </w:rPr>
        <w:footnoteReference w:id="377"/>
      </w:r>
      <w:r>
        <w:rPr>
          <w:szCs w:val="18"/>
        </w:rPr>
        <w:t xml:space="preserve"> </w:t>
      </w:r>
      <w:r w:rsidRPr="004328ED">
        <w:rPr>
          <w:szCs w:val="18"/>
        </w:rPr>
        <w:t>To this extent, the Panel concluded that the A350XWB LA/MSF contracts share the same core features as the LA/MSF measures considered in the original proceeding</w:t>
      </w:r>
      <w:r>
        <w:rPr>
          <w:szCs w:val="18"/>
        </w:rPr>
        <w:t>s</w:t>
      </w:r>
      <w:r w:rsidRPr="004328ED">
        <w:rPr>
          <w:szCs w:val="18"/>
        </w:rPr>
        <w:t>.</w:t>
      </w:r>
      <w:r w:rsidRPr="004328ED">
        <w:rPr>
          <w:rStyle w:val="FootnoteReference"/>
          <w:szCs w:val="18"/>
        </w:rPr>
        <w:footnoteReference w:id="378"/>
      </w:r>
    </w:p>
    <w:p w:rsidR="0007161B" w:rsidRPr="004328ED" w:rsidRDefault="0007161B" w:rsidP="00DC4FDF">
      <w:pPr>
        <w:pStyle w:val="BodyText"/>
      </w:pPr>
      <w:r w:rsidRPr="004328ED">
        <w:t>Moreover, the Panel made relevant findings regarding the time</w:t>
      </w:r>
      <w:r>
        <w:t xml:space="preserve"> </w:t>
      </w:r>
      <w:r w:rsidRPr="004328ED">
        <w:t xml:space="preserve">period over which the parties negotiated and committed to the A350XWB LA/MSF contracts. </w:t>
      </w:r>
      <w:r>
        <w:t xml:space="preserve">In particular, </w:t>
      </w:r>
      <w:r w:rsidRPr="004328ED">
        <w:t xml:space="preserve">the Panel </w:t>
      </w:r>
      <w:r>
        <w:t>found</w:t>
      </w:r>
      <w:r w:rsidRPr="004328ED">
        <w:t xml:space="preserve"> that, "the Airbus governments {i.e. France, Germany, Spain, and the United Kingdom} formally entered into negotiations with Airbus for LA/MSF {to support the A350XWB programme} in late</w:t>
      </w:r>
      <w:r w:rsidR="000A10EA">
        <w:t> 20</w:t>
      </w:r>
      <w:r w:rsidRPr="004328ED">
        <w:t xml:space="preserve">08, individually agreeing on its terms on different dates between </w:t>
      </w:r>
      <w:r w:rsidRPr="00C61C55">
        <w:rPr>
          <w:b/>
        </w:rPr>
        <w:t>[</w:t>
      </w:r>
      <w:r w:rsidR="00C8434D" w:rsidRPr="00C8434D">
        <w:rPr>
          <w:b/>
          <w:szCs w:val="16"/>
        </w:rPr>
        <w:t>BCI</w:t>
      </w:r>
      <w:r w:rsidRPr="00C61C55">
        <w:rPr>
          <w:b/>
        </w:rPr>
        <w:t>]</w:t>
      </w:r>
      <w:r w:rsidRPr="004328ED">
        <w:t>."</w:t>
      </w:r>
      <w:r w:rsidRPr="004328ED">
        <w:rPr>
          <w:rStyle w:val="FootnoteReference"/>
        </w:rPr>
        <w:footnoteReference w:id="379"/>
      </w:r>
      <w:r>
        <w:t xml:space="preserve"> </w:t>
      </w:r>
      <w:r w:rsidR="009343AF" w:rsidRPr="009343AF">
        <w:rPr>
          <w:b/>
        </w:rPr>
        <w:t>[</w:t>
      </w:r>
      <w:r w:rsidR="00C8434D" w:rsidRPr="00C8434D">
        <w:rPr>
          <w:b/>
          <w:szCs w:val="16"/>
        </w:rPr>
        <w:t>BCI</w:t>
      </w:r>
      <w:r w:rsidR="009343AF" w:rsidRPr="009343AF">
        <w:rPr>
          <w:b/>
        </w:rPr>
        <w:t>]</w:t>
      </w:r>
      <w:r>
        <w:rPr>
          <w:rStyle w:val="FootnoteReference"/>
        </w:rPr>
        <w:footnoteReference w:id="380"/>
      </w:r>
      <w:r>
        <w:t xml:space="preserve"> </w:t>
      </w:r>
      <w:r w:rsidRPr="004328ED">
        <w:t xml:space="preserve">As will be </w:t>
      </w:r>
      <w:r>
        <w:t>elaborated</w:t>
      </w:r>
      <w:r w:rsidRPr="004328ED">
        <w:t xml:space="preserve"> below,</w:t>
      </w:r>
      <w:r>
        <w:t xml:space="preserve"> </w:t>
      </w:r>
      <w:r w:rsidRPr="004328ED">
        <w:t>the Panel's reasoning reveals that the terms</w:t>
      </w:r>
      <w:r>
        <w:t xml:space="preserve"> and conditions</w:t>
      </w:r>
      <w:r w:rsidRPr="004328ED">
        <w:t xml:space="preserve"> of the relevant instruments were negotiated and agreed over a contracting period spanning across </w:t>
      </w:r>
      <w:r>
        <w:rPr>
          <w:b/>
        </w:rPr>
        <w:t>[</w:t>
      </w:r>
      <w:r w:rsidR="00C8434D" w:rsidRPr="00C8434D">
        <w:rPr>
          <w:b/>
          <w:szCs w:val="16"/>
        </w:rPr>
        <w:t>BCI</w:t>
      </w:r>
      <w:r>
        <w:rPr>
          <w:b/>
        </w:rPr>
        <w:t>]</w:t>
      </w:r>
      <w:r w:rsidRPr="004328ED">
        <w:t xml:space="preserve">. </w:t>
      </w:r>
    </w:p>
    <w:p w:rsidR="0007161B" w:rsidRPr="004328ED" w:rsidRDefault="0007161B" w:rsidP="00DC4FDF">
      <w:pPr>
        <w:pStyle w:val="BodyText"/>
      </w:pPr>
      <w:r>
        <w:t>In terms of the reasoning provided by the Panel in support of its conclusion regarding the relevant dates for observing the EADS bond yield, w</w:t>
      </w:r>
      <w:r w:rsidRPr="004328ED">
        <w:t>e recall that</w:t>
      </w:r>
      <w:r>
        <w:t>, in conducting this analysis,</w:t>
      </w:r>
      <w:r w:rsidRPr="004328ED">
        <w:t xml:space="preserve"> the Panel began by rejecting </w:t>
      </w:r>
      <w:r>
        <w:t xml:space="preserve">Professor </w:t>
      </w:r>
      <w:r w:rsidRPr="004328ED">
        <w:t xml:space="preserve">Whitelaw's averaging approach because such approach "would result in the application of corporate borrowing rates derived over time periods that are </w:t>
      </w:r>
      <w:r w:rsidRPr="004328ED">
        <w:rPr>
          <w:i/>
        </w:rPr>
        <w:t>different</w:t>
      </w:r>
      <w:r w:rsidRPr="004328ED">
        <w:t xml:space="preserve"> for the four LA/MSF contracts."</w:t>
      </w:r>
      <w:r w:rsidRPr="004328ED">
        <w:rPr>
          <w:rStyle w:val="FootnoteReference"/>
        </w:rPr>
        <w:footnoteReference w:id="381"/>
      </w:r>
      <w:r w:rsidRPr="004328ED">
        <w:t xml:space="preserve"> In addition, the Panel indicated that "Professor Whitelaw's averaging approach would also incorporate data from after the </w:t>
      </w:r>
      <w:r w:rsidR="00AE4A50">
        <w:t>conclusion of three of the four </w:t>
      </w:r>
      <w:r w:rsidRPr="004328ED">
        <w:t>contracts."</w:t>
      </w:r>
      <w:r w:rsidRPr="004328ED">
        <w:rPr>
          <w:rStyle w:val="FootnoteReference"/>
        </w:rPr>
        <w:footnoteReference w:id="382"/>
      </w:r>
      <w:r w:rsidRPr="004328ED">
        <w:t xml:space="preserve"> On this basis, the Panel was unable to accept Professor Whitelaw's approach. </w:t>
      </w:r>
    </w:p>
    <w:p w:rsidR="0007161B" w:rsidRPr="004328ED" w:rsidRDefault="0007161B" w:rsidP="00DC4FDF">
      <w:pPr>
        <w:pStyle w:val="BodyText"/>
      </w:pPr>
      <w:r w:rsidRPr="006A220C">
        <w:t>Then, the Panel</w:t>
      </w:r>
      <w:r w:rsidRPr="004328ED">
        <w:t xml:space="preserve"> decided to determine the corporate borrowing ra</w:t>
      </w:r>
      <w:r>
        <w:t xml:space="preserve">te using the average yields one month prior and </w:t>
      </w:r>
      <w:r w:rsidR="000A10EA">
        <w:t>six month</w:t>
      </w:r>
      <w:r w:rsidRPr="004328ED">
        <w:t xml:space="preserve">s prior to the conclusion of the </w:t>
      </w:r>
      <w:r>
        <w:t xml:space="preserve">four A350XWB LA/MSF </w:t>
      </w:r>
      <w:r w:rsidRPr="004328ED">
        <w:t>contract</w:t>
      </w:r>
      <w:r>
        <w:t>s</w:t>
      </w:r>
      <w:r w:rsidRPr="004328ED">
        <w:t>, in the form of a range. The Panel provided two reasons in support of its decision. First, the Panel considered that "the yield on the day of the signature of contract may reflect atypical fluctuations."</w:t>
      </w:r>
      <w:r w:rsidRPr="004328ED">
        <w:rPr>
          <w:rStyle w:val="FootnoteReference"/>
        </w:rPr>
        <w:footnoteReference w:id="383"/>
      </w:r>
      <w:r w:rsidRPr="004328ED">
        <w:t xml:space="preserve"> </w:t>
      </w:r>
      <w:r>
        <w:t>In this regard, we note t</w:t>
      </w:r>
      <w:r w:rsidRPr="004328ED">
        <w:t xml:space="preserve">he </w:t>
      </w:r>
      <w:r w:rsidR="000A10EA">
        <w:t>European Union</w:t>
      </w:r>
      <w:r>
        <w:t>'s</w:t>
      </w:r>
      <w:r w:rsidRPr="004328ED">
        <w:t xml:space="preserve"> </w:t>
      </w:r>
      <w:r>
        <w:t xml:space="preserve">contention </w:t>
      </w:r>
      <w:r w:rsidRPr="004328ED">
        <w:t xml:space="preserve">that "the Panel did </w:t>
      </w:r>
      <w:r w:rsidRPr="004328ED">
        <w:rPr>
          <w:i/>
        </w:rPr>
        <w:t>not</w:t>
      </w:r>
      <w:r w:rsidRPr="004328ED">
        <w:t xml:space="preserve"> find that</w:t>
      </w:r>
      <w:r w:rsidRPr="00D54C1A">
        <w:t xml:space="preserve"> there were 'atypical fluctuations' in the yields of the relevant EADS bond on the day of conclusion of the LA/MSF contracts."</w:t>
      </w:r>
      <w:r w:rsidRPr="00D54C1A">
        <w:rPr>
          <w:rStyle w:val="FootnoteReference"/>
        </w:rPr>
        <w:footnoteReference w:id="384"/>
      </w:r>
      <w:r w:rsidRPr="00D54C1A">
        <w:t xml:space="preserve"> The </w:t>
      </w:r>
      <w:r w:rsidR="000A10EA">
        <w:t>European Union</w:t>
      </w:r>
      <w:r w:rsidRPr="00D54C1A">
        <w:t xml:space="preserve"> also makes this argument </w:t>
      </w:r>
      <w:r>
        <w:t xml:space="preserve">in </w:t>
      </w:r>
      <w:r w:rsidRPr="00D54C1A">
        <w:t xml:space="preserve">its challenge under </w:t>
      </w:r>
      <w:r w:rsidR="000A10EA">
        <w:t>Article </w:t>
      </w:r>
      <w:r w:rsidRPr="00D54C1A">
        <w:t>11 of the DSU, where it is further elaborated.</w:t>
      </w:r>
      <w:r>
        <w:rPr>
          <w:rStyle w:val="FootnoteReference"/>
        </w:rPr>
        <w:footnoteReference w:id="385"/>
      </w:r>
      <w:r w:rsidRPr="00D54C1A">
        <w:t xml:space="preserve"> We will therefore address it in more detail in our analysis of </w:t>
      </w:r>
      <w:r>
        <w:t>that</w:t>
      </w:r>
      <w:r w:rsidRPr="00D54C1A">
        <w:t xml:space="preserve"> claim. At this juncture, however, we observe that we do not understand the Panel to have based its finding on speculation that there might have been</w:t>
      </w:r>
      <w:r w:rsidRPr="00D54C1A">
        <w:rPr>
          <w:i/>
        </w:rPr>
        <w:t xml:space="preserve"> atypical fluctuations</w:t>
      </w:r>
      <w:r w:rsidRPr="00D54C1A">
        <w:t xml:space="preserve"> in the yield of the EADS bond on the day of signature of the A350XWB LA/MSF contracts. Rather, we understand the Panel to have merely observed, as a general </w:t>
      </w:r>
      <w:r w:rsidR="005B7BEB">
        <w:t>matter, that </w:t>
      </w:r>
      <w:r w:rsidRPr="004328ED">
        <w:t xml:space="preserve">choosing the yield on the day of conclusion of the A350XWB LA/MSF contract at issue might </w:t>
      </w:r>
      <w:r w:rsidRPr="004328ED">
        <w:lastRenderedPageBreak/>
        <w:t>raise some methodological concerns for purposes of constructing the market benchmark because, on the day of conclusion of a contract, the yield "</w:t>
      </w:r>
      <w:r w:rsidRPr="004328ED">
        <w:rPr>
          <w:i/>
        </w:rPr>
        <w:t>may</w:t>
      </w:r>
      <w:r w:rsidRPr="004328ED">
        <w:t xml:space="preserve"> reflect atypical fluctuations".</w:t>
      </w:r>
      <w:r w:rsidRPr="004328ED">
        <w:rPr>
          <w:rStyle w:val="FootnoteReference"/>
        </w:rPr>
        <w:footnoteReference w:id="386"/>
      </w:r>
      <w:r w:rsidRPr="004328ED">
        <w:t xml:space="preserve"> </w:t>
      </w:r>
    </w:p>
    <w:p w:rsidR="0007161B" w:rsidRDefault="0007161B" w:rsidP="00DC4FDF">
      <w:pPr>
        <w:pStyle w:val="BodyText"/>
      </w:pPr>
      <w:r w:rsidRPr="004328ED">
        <w:t>The Panel's second reason in support of its conclusion regarding the relevant dates for observing the EADS bond yield was that "</w:t>
      </w:r>
      <w:r>
        <w:t>{</w:t>
      </w:r>
      <w:r w:rsidRPr="004328ED">
        <w:t>p</w:t>
      </w:r>
      <w:r>
        <w:t>}</w:t>
      </w:r>
      <w:r w:rsidRPr="004328ED">
        <w:t>arties agreeing to a complex loan contract may rather set the rates in the lead-up to the conclusion of the contract, and prior to the actual day on which the contract is signed</w:t>
      </w:r>
      <w:r>
        <w:t>.</w:t>
      </w:r>
      <w:r w:rsidRPr="004328ED">
        <w:t>"</w:t>
      </w:r>
      <w:r w:rsidRPr="004328ED">
        <w:rPr>
          <w:rStyle w:val="FootnoteReference"/>
        </w:rPr>
        <w:footnoteReference w:id="387"/>
      </w:r>
      <w:r w:rsidRPr="004328ED">
        <w:t xml:space="preserve"> Earlier in its analysis</w:t>
      </w:r>
      <w:r>
        <w:t>,</w:t>
      </w:r>
      <w:r w:rsidRPr="004328ED">
        <w:t xml:space="preserve"> the Panel </w:t>
      </w:r>
      <w:r>
        <w:t xml:space="preserve">had </w:t>
      </w:r>
      <w:r w:rsidRPr="004328ED">
        <w:t>also stated that "market rates for debt in the lead-up to the conclusion of a contract could provide empirical evidence of the 'going market rates' and may be indicative of what the market might have been willing to offer and accept, and may thus inform what is known and predicted ab</w:t>
      </w:r>
      <w:r w:rsidR="005B7BEB">
        <w:t>out market rates at the time of </w:t>
      </w:r>
      <w:r w:rsidRPr="004328ED">
        <w:t>conclusion".</w:t>
      </w:r>
      <w:r w:rsidRPr="004328ED">
        <w:rPr>
          <w:rStyle w:val="FootnoteReference"/>
        </w:rPr>
        <w:footnoteReference w:id="388"/>
      </w:r>
      <w:r w:rsidRPr="004328ED">
        <w:t xml:space="preserve"> </w:t>
      </w:r>
    </w:p>
    <w:p w:rsidR="0007161B" w:rsidRPr="004328ED" w:rsidRDefault="0007161B" w:rsidP="00DC4FDF">
      <w:pPr>
        <w:pStyle w:val="BodyText"/>
      </w:pPr>
      <w:r>
        <w:t>The Panel applied these general considerations to the facts of the present dispute by making</w:t>
      </w:r>
      <w:r w:rsidRPr="004328ED">
        <w:t xml:space="preserve"> relevant findings with respect to the length of the negotiations between Airbus and the four member States</w:t>
      </w:r>
      <w:r>
        <w:t>, thereby</w:t>
      </w:r>
      <w:r w:rsidRPr="004328ED">
        <w:t xml:space="preserve"> shed</w:t>
      </w:r>
      <w:r>
        <w:t>ding</w:t>
      </w:r>
      <w:r w:rsidRPr="004328ED">
        <w:t xml:space="preserve"> light on the period of time during which the investment decision</w:t>
      </w:r>
      <w:r>
        <w:t>s</w:t>
      </w:r>
      <w:r w:rsidRPr="004328ED">
        <w:t xml:space="preserve"> w</w:t>
      </w:r>
      <w:r>
        <w:t>ere</w:t>
      </w:r>
      <w:r w:rsidRPr="004328ED">
        <w:t xml:space="preserve"> made in the present case. For instance, the Panel observed that, "{a}fter publicly signalling their support for the new programme in</w:t>
      </w:r>
      <w:r w:rsidR="000A18DA">
        <w:t> July</w:t>
      </w:r>
      <w:r w:rsidR="000A10EA">
        <w:t> 20</w:t>
      </w:r>
      <w:r w:rsidRPr="004328ED">
        <w:t>06, the Airbus governments {i.e. France, Germany, Spain, and the United Kingdom} formally entered into negotiat</w:t>
      </w:r>
      <w:r w:rsidR="005B7BEB">
        <w:t>ions with Airbus for </w:t>
      </w:r>
      <w:r>
        <w:t>LA/MSF {to </w:t>
      </w:r>
      <w:r w:rsidRPr="004328ED">
        <w:t>support the A350XWB programme} in late</w:t>
      </w:r>
      <w:r w:rsidR="000A10EA">
        <w:t> 20</w:t>
      </w:r>
      <w:r w:rsidRPr="004328ED">
        <w:t xml:space="preserve">08, individually agreeing on its terms on different dates between </w:t>
      </w:r>
      <w:r w:rsidRPr="004328ED">
        <w:rPr>
          <w:b/>
        </w:rPr>
        <w:t>[</w:t>
      </w:r>
      <w:r w:rsidR="00C8434D" w:rsidRPr="00C8434D">
        <w:rPr>
          <w:b/>
          <w:szCs w:val="16"/>
        </w:rPr>
        <w:t>BCI</w:t>
      </w:r>
      <w:r w:rsidRPr="004328ED">
        <w:rPr>
          <w:b/>
        </w:rPr>
        <w:t>]</w:t>
      </w:r>
      <w:r w:rsidRPr="004328ED">
        <w:t>."</w:t>
      </w:r>
      <w:r w:rsidRPr="004328ED">
        <w:rPr>
          <w:rStyle w:val="FootnoteReference"/>
        </w:rPr>
        <w:footnoteReference w:id="389"/>
      </w:r>
      <w:r w:rsidRPr="004328ED">
        <w:t xml:space="preserve"> </w:t>
      </w:r>
      <w:r>
        <w:t xml:space="preserve">As noted, </w:t>
      </w:r>
      <w:r w:rsidR="004F63D0">
        <w:rPr>
          <w:b/>
        </w:rPr>
        <w:t>[</w:t>
      </w:r>
      <w:r w:rsidR="00C8434D" w:rsidRPr="00C8434D">
        <w:rPr>
          <w:b/>
          <w:szCs w:val="16"/>
        </w:rPr>
        <w:t>BCI</w:t>
      </w:r>
      <w:r w:rsidRPr="00455332">
        <w:rPr>
          <w:b/>
        </w:rPr>
        <w:t>]</w:t>
      </w:r>
      <w:r>
        <w:t>.</w:t>
      </w:r>
      <w:r>
        <w:rPr>
          <w:rStyle w:val="FootnoteReference"/>
        </w:rPr>
        <w:footnoteReference w:id="390"/>
      </w:r>
    </w:p>
    <w:p w:rsidR="0007161B" w:rsidRDefault="0007161B" w:rsidP="00DC4FDF">
      <w:pPr>
        <w:pStyle w:val="BodyText"/>
      </w:pPr>
      <w:r w:rsidRPr="004328ED">
        <w:t>The above considerations served as the basis for the Panel's decision to determine the corporate borrowing rate using the average yields one</w:t>
      </w:r>
      <w:r>
        <w:t xml:space="preserve"> </w:t>
      </w:r>
      <w:r w:rsidRPr="004328ED">
        <w:t xml:space="preserve">month prior and </w:t>
      </w:r>
      <w:r w:rsidR="000A10EA">
        <w:t>six month</w:t>
      </w:r>
      <w:r w:rsidRPr="004328ED">
        <w:t xml:space="preserve">s prior to the conclusion of the </w:t>
      </w:r>
      <w:r>
        <w:t xml:space="preserve">four A350XWB LA/MSF </w:t>
      </w:r>
      <w:r w:rsidRPr="004328ED">
        <w:t>contract</w:t>
      </w:r>
      <w:r>
        <w:t>s</w:t>
      </w:r>
      <w:r w:rsidRPr="004328ED">
        <w:t>, in the form of a range. In this regard, we</w:t>
      </w:r>
      <w:r>
        <w:t xml:space="preserve"> observe that, although the Panel determined the corporate borrowing rate </w:t>
      </w:r>
      <w:r w:rsidRPr="00DD21F7">
        <w:t>in the form of a</w:t>
      </w:r>
      <w:r>
        <w:rPr>
          <w:i/>
        </w:rPr>
        <w:t xml:space="preserve"> range</w:t>
      </w:r>
      <w:r>
        <w:t xml:space="preserve"> of average yields, the</w:t>
      </w:r>
      <w:r w:rsidRPr="004328ED">
        <w:t xml:space="preserve"> Panel </w:t>
      </w:r>
      <w:r>
        <w:t>rightly gave more</w:t>
      </w:r>
      <w:r w:rsidRPr="004328ED">
        <w:t xml:space="preserve"> prominence to the one-month average yield on the EADS bond</w:t>
      </w:r>
      <w:r>
        <w:t xml:space="preserve"> than to the </w:t>
      </w:r>
      <w:r w:rsidR="000A10EA">
        <w:t>six</w:t>
      </w:r>
      <w:r w:rsidR="000A10EA">
        <w:noBreakHyphen/>
        <w:t>month</w:t>
      </w:r>
      <w:r>
        <w:t xml:space="preserve"> average yield</w:t>
      </w:r>
      <w:r w:rsidRPr="004328ED">
        <w:t>. Indeed, the Panel found that "the one-month average</w:t>
      </w:r>
      <w:r>
        <w:t xml:space="preserve"> would appear to be a reasonable proxy for the parties' expectations."</w:t>
      </w:r>
      <w:r>
        <w:rPr>
          <w:rStyle w:val="FootnoteReference"/>
        </w:rPr>
        <w:footnoteReference w:id="391"/>
      </w:r>
      <w:r>
        <w:t xml:space="preserve"> By contrast, the Panel considered that "{t}he </w:t>
      </w:r>
      <w:r w:rsidR="000A10EA">
        <w:t>six</w:t>
      </w:r>
      <w:r w:rsidR="000A10EA">
        <w:noBreakHyphen/>
        <w:t>month</w:t>
      </w:r>
      <w:r>
        <w:t xml:space="preserve"> average may be less likely to reflect expectations during the finalisation period, but may also be a helpful indication of market expectations."</w:t>
      </w:r>
      <w:r>
        <w:rPr>
          <w:rStyle w:val="FootnoteReference"/>
        </w:rPr>
        <w:footnoteReference w:id="392"/>
      </w:r>
    </w:p>
    <w:p w:rsidR="0007161B" w:rsidRDefault="0007161B" w:rsidP="00DC4FDF">
      <w:pPr>
        <w:pStyle w:val="BodyText"/>
      </w:pPr>
      <w:r>
        <w:t xml:space="preserve">As noted, in the present case, the Panel found that </w:t>
      </w:r>
      <w:r w:rsidRPr="00D54C1A">
        <w:t>"</w:t>
      </w:r>
      <w:r>
        <w:t>{</w:t>
      </w:r>
      <w:r w:rsidRPr="00D54C1A">
        <w:t>p</w:t>
      </w:r>
      <w:r>
        <w:t>}</w:t>
      </w:r>
      <w:r w:rsidRPr="00D54C1A">
        <w:t xml:space="preserve">arties agreeing to a complex loan contract may rather set the rates in </w:t>
      </w:r>
      <w:r w:rsidRPr="0050662F">
        <w:t>the lead-up to the conclusion of the contract, and prior to the actual day on which the contract is signed</w:t>
      </w:r>
      <w:r>
        <w:t>.</w:t>
      </w:r>
      <w:r w:rsidRPr="0050662F">
        <w:t>"</w:t>
      </w:r>
      <w:r w:rsidRPr="0050662F">
        <w:rPr>
          <w:rStyle w:val="FootnoteReference"/>
        </w:rPr>
        <w:footnoteReference w:id="393"/>
      </w:r>
      <w:r w:rsidRPr="0050662F">
        <w:t xml:space="preserve"> </w:t>
      </w:r>
      <w:r>
        <w:t>In our view, t</w:t>
      </w:r>
      <w:r w:rsidRPr="004E5695">
        <w:t xml:space="preserve">his understanding is in line with our </w:t>
      </w:r>
      <w:r>
        <w:t xml:space="preserve">observation </w:t>
      </w:r>
      <w:r w:rsidRPr="004E5695">
        <w:t xml:space="preserve">that, in some cases, parties may have committed to a transaction – or to key aspects thereof – during </w:t>
      </w:r>
      <w:r>
        <w:t>a</w:t>
      </w:r>
      <w:r w:rsidRPr="005C562B">
        <w:t xml:space="preserve"> finalization period</w:t>
      </w:r>
      <w:r>
        <w:t xml:space="preserve"> of the negotiations</w:t>
      </w:r>
      <w:r w:rsidRPr="005C562B">
        <w:t xml:space="preserve"> </w:t>
      </w:r>
      <w:r>
        <w:t xml:space="preserve">preceding the moment of formal conclusion of </w:t>
      </w:r>
      <w:r w:rsidRPr="00806D92">
        <w:rPr>
          <w:i/>
        </w:rPr>
        <w:t>all</w:t>
      </w:r>
      <w:r>
        <w:t xml:space="preserve"> aspects of that transaction</w:t>
      </w:r>
      <w:r w:rsidRPr="005C562B">
        <w:t>. This may be the case, in particular, where</w:t>
      </w:r>
      <w:r>
        <w:t>, as here,</w:t>
      </w:r>
      <w:r w:rsidRPr="005C562B">
        <w:t xml:space="preserve"> the financial contribution at issue consists of complex financing </w:t>
      </w:r>
      <w:r>
        <w:t xml:space="preserve">instruments, the </w:t>
      </w:r>
      <w:r w:rsidRPr="005C562B">
        <w:t xml:space="preserve">terms </w:t>
      </w:r>
      <w:r>
        <w:t xml:space="preserve">and conditions of which </w:t>
      </w:r>
      <w:r w:rsidRPr="00821557">
        <w:t xml:space="preserve">have been negotiated and agreed over a certain contracting period. We </w:t>
      </w:r>
      <w:r>
        <w:t xml:space="preserve">have </w:t>
      </w:r>
      <w:r w:rsidRPr="00821557">
        <w:t xml:space="preserve">indicated that, in such circumstances, it would </w:t>
      </w:r>
      <w:r>
        <w:t>be</w:t>
      </w:r>
      <w:r w:rsidRPr="00FD2300">
        <w:t xml:space="preserve"> appropriate for a panel to </w:t>
      </w:r>
      <w:r>
        <w:t>take into account in its analysis</w:t>
      </w:r>
      <w:r w:rsidRPr="00FD2300">
        <w:t xml:space="preserve"> information that pre</w:t>
      </w:r>
      <w:r w:rsidRPr="00FD2300">
        <w:noBreakHyphen/>
        <w:t xml:space="preserve">dates the </w:t>
      </w:r>
      <w:r>
        <w:t>moment or actual</w:t>
      </w:r>
      <w:r w:rsidRPr="00FD2300">
        <w:t xml:space="preserve"> day </w:t>
      </w:r>
      <w:r>
        <w:t>o</w:t>
      </w:r>
      <w:r w:rsidRPr="00FD2300">
        <w:t xml:space="preserve">n which the legal instruments underlying </w:t>
      </w:r>
      <w:r>
        <w:t>the relevant</w:t>
      </w:r>
      <w:r w:rsidRPr="00FD2300">
        <w:t xml:space="preserve"> transaction </w:t>
      </w:r>
      <w:r>
        <w:t>were</w:t>
      </w:r>
      <w:r w:rsidRPr="00FD2300">
        <w:t xml:space="preserve"> </w:t>
      </w:r>
      <w:r w:rsidRPr="0050662F">
        <w:t>formally signed.</w:t>
      </w:r>
    </w:p>
    <w:p w:rsidR="0007161B" w:rsidRDefault="0007161B" w:rsidP="00DC4FDF">
      <w:pPr>
        <w:pStyle w:val="BodyText"/>
      </w:pPr>
      <w:r>
        <w:t>Specifically, w</w:t>
      </w:r>
      <w:r w:rsidRPr="0050662F">
        <w:t>ith regard to the A350XWB LA/MSF contracts,</w:t>
      </w:r>
      <w:r>
        <w:t xml:space="preserve"> the Panel's findings support the view that the four A350XWB LA/M</w:t>
      </w:r>
      <w:r w:rsidRPr="00272CB1">
        <w:t>SF contracts fall within this category of complex financing</w:t>
      </w:r>
      <w:r>
        <w:t>,</w:t>
      </w:r>
      <w:r w:rsidRPr="00272CB1">
        <w:t xml:space="preserve"> </w:t>
      </w:r>
      <w:r>
        <w:t>the</w:t>
      </w:r>
      <w:r w:rsidRPr="00272CB1">
        <w:t xml:space="preserve"> terms</w:t>
      </w:r>
      <w:r>
        <w:t xml:space="preserve"> and conditions of which have been</w:t>
      </w:r>
      <w:r w:rsidRPr="00272CB1">
        <w:t xml:space="preserve"> negotiated and agreed over a certain period of time. Indeed, we recall that the Panel indicated that these contracts </w:t>
      </w:r>
      <w:r w:rsidRPr="00272CB1">
        <w:rPr>
          <w:szCs w:val="18"/>
        </w:rPr>
        <w:t>share the same core features as the LA/MSF measures considered in the original proceeding</w:t>
      </w:r>
      <w:r>
        <w:rPr>
          <w:szCs w:val="18"/>
        </w:rPr>
        <w:t>s</w:t>
      </w:r>
      <w:r w:rsidRPr="00272CB1">
        <w:rPr>
          <w:szCs w:val="18"/>
        </w:rPr>
        <w:t xml:space="preserve"> in that their repayment is back-loaded, </w:t>
      </w:r>
      <w:r w:rsidRPr="00272CB1">
        <w:rPr>
          <w:szCs w:val="18"/>
        </w:rPr>
        <w:lastRenderedPageBreak/>
        <w:t>primarily levy-based, dependent on the sales of aircraft, and unsecured.</w:t>
      </w:r>
      <w:r w:rsidRPr="00272CB1">
        <w:rPr>
          <w:rStyle w:val="FootnoteReference"/>
          <w:szCs w:val="18"/>
        </w:rPr>
        <w:footnoteReference w:id="394"/>
      </w:r>
      <w:r w:rsidRPr="00272CB1">
        <w:rPr>
          <w:szCs w:val="18"/>
        </w:rPr>
        <w:t xml:space="preserve"> As to the manner in which the terms and conditions of the </w:t>
      </w:r>
      <w:r w:rsidRPr="00272CB1">
        <w:t xml:space="preserve">A350XWB LA/MSF contracts were negotiated and agreed, the Panel </w:t>
      </w:r>
      <w:r w:rsidR="005A1966">
        <w:t>found</w:t>
      </w:r>
      <w:r w:rsidRPr="00272CB1">
        <w:t xml:space="preserve"> that "the Airbus governments {i.e. France, Germany, Spain, and the United</w:t>
      </w:r>
      <w:r w:rsidR="005A1966">
        <w:t> </w:t>
      </w:r>
      <w:r w:rsidRPr="00272CB1">
        <w:t>Kingdom} formally entered into negotiations with Airbus for LA/MSF {to support the A350XWB programme} in late</w:t>
      </w:r>
      <w:r w:rsidR="000A10EA">
        <w:t> 20</w:t>
      </w:r>
      <w:r w:rsidRPr="00272CB1">
        <w:t xml:space="preserve">08, individually agreeing on its terms on different dates between </w:t>
      </w:r>
      <w:r w:rsidRPr="00272CB1">
        <w:rPr>
          <w:b/>
        </w:rPr>
        <w:t>[</w:t>
      </w:r>
      <w:r w:rsidR="00C8434D" w:rsidRPr="00C8434D">
        <w:rPr>
          <w:b/>
          <w:szCs w:val="16"/>
        </w:rPr>
        <w:t>BCI</w:t>
      </w:r>
      <w:r w:rsidRPr="00272CB1">
        <w:rPr>
          <w:b/>
        </w:rPr>
        <w:t>]</w:t>
      </w:r>
      <w:r w:rsidRPr="00272CB1">
        <w:t>."</w:t>
      </w:r>
      <w:r w:rsidRPr="00272CB1">
        <w:rPr>
          <w:rStyle w:val="FootnoteReference"/>
        </w:rPr>
        <w:footnoteReference w:id="395"/>
      </w:r>
      <w:r>
        <w:t xml:space="preserve"> Indeed, </w:t>
      </w:r>
      <w:r w:rsidR="004F63D0">
        <w:rPr>
          <w:b/>
        </w:rPr>
        <w:t>[</w:t>
      </w:r>
      <w:r w:rsidR="00C8434D" w:rsidRPr="00C8434D">
        <w:rPr>
          <w:b/>
          <w:szCs w:val="16"/>
        </w:rPr>
        <w:t>BCI</w:t>
      </w:r>
      <w:r w:rsidRPr="00455332">
        <w:rPr>
          <w:b/>
        </w:rPr>
        <w:t>]</w:t>
      </w:r>
      <w:r>
        <w:t>.</w:t>
      </w:r>
      <w:r>
        <w:rPr>
          <w:rStyle w:val="FootnoteReference"/>
        </w:rPr>
        <w:footnoteReference w:id="396"/>
      </w:r>
      <w:r>
        <w:t xml:space="preserve"> </w:t>
      </w:r>
      <w:r w:rsidRPr="00272CB1">
        <w:t>Th</w:t>
      </w:r>
      <w:r>
        <w:t>e</w:t>
      </w:r>
      <w:r w:rsidRPr="00272CB1">
        <w:t>s</w:t>
      </w:r>
      <w:r>
        <w:t>e</w:t>
      </w:r>
      <w:r w:rsidRPr="00272CB1">
        <w:t xml:space="preserve"> finding</w:t>
      </w:r>
      <w:r>
        <w:t>s</w:t>
      </w:r>
      <w:r w:rsidRPr="00272CB1">
        <w:t xml:space="preserve"> by the Panel show that Airbus and the four member States negotiated and agreed the terms </w:t>
      </w:r>
      <w:r>
        <w:t xml:space="preserve">and conditions </w:t>
      </w:r>
      <w:r w:rsidRPr="00272CB1">
        <w:t>of the different A350XWB LA/MSF contracts over a certain period of time</w:t>
      </w:r>
      <w:r w:rsidRPr="0050662F">
        <w:t>.</w:t>
      </w:r>
    </w:p>
    <w:p w:rsidR="0007161B" w:rsidRDefault="0007161B" w:rsidP="00DC4FDF">
      <w:pPr>
        <w:pStyle w:val="BodyText"/>
      </w:pPr>
      <w:r>
        <w:t>Moreover, o</w:t>
      </w:r>
      <w:r w:rsidRPr="00C37FBF">
        <w:t>ur review of the</w:t>
      </w:r>
      <w:r>
        <w:t xml:space="preserve"> manner in which the parties presented their arguments and evidence regarding the relevant dates for observing the yield of the EADS bond reveals that the parties did </w:t>
      </w:r>
      <w:r w:rsidRPr="001C5223">
        <w:rPr>
          <w:i/>
        </w:rPr>
        <w:t>not</w:t>
      </w:r>
      <w:r>
        <w:t xml:space="preserve"> focus their discussion before the Panel on determining </w:t>
      </w:r>
      <w:r w:rsidRPr="001C5223">
        <w:rPr>
          <w:i/>
        </w:rPr>
        <w:t>which</w:t>
      </w:r>
      <w:r>
        <w:t xml:space="preserve"> of the three </w:t>
      </w:r>
      <w:r w:rsidRPr="00FD2300">
        <w:t>time periods</w:t>
      </w:r>
      <w:r>
        <w:t xml:space="preserve"> proposed by Dr Jordan would be the correct one for determining such yield. Indeed, t</w:t>
      </w:r>
      <w:r w:rsidRPr="00D32743">
        <w:t xml:space="preserve">he market benchmark that the </w:t>
      </w:r>
      <w:r w:rsidR="000A10EA">
        <w:t>United States</w:t>
      </w:r>
      <w:r w:rsidRPr="00C64BE0">
        <w:t xml:space="preserve"> originally proposed to the Panel did not </w:t>
      </w:r>
      <w:r>
        <w:t xml:space="preserve">include a reference to </w:t>
      </w:r>
      <w:r w:rsidRPr="00C64BE0">
        <w:t>the EADS bond.</w:t>
      </w:r>
      <w:r>
        <w:rPr>
          <w:rStyle w:val="FootnoteReference"/>
          <w:szCs w:val="18"/>
        </w:rPr>
        <w:footnoteReference w:id="397"/>
      </w:r>
      <w:r w:rsidRPr="00185E86">
        <w:t xml:space="preserve"> </w:t>
      </w:r>
      <w:r>
        <w:t xml:space="preserve">In turn, most of the </w:t>
      </w:r>
      <w:r w:rsidR="000A10EA">
        <w:t>European Union</w:t>
      </w:r>
      <w:r>
        <w:t>'s argumentation sought to support Professor Whitelaw's averaging approach as a basis for determining the relevant dates of the EADS bond yield.</w:t>
      </w:r>
      <w:r>
        <w:rPr>
          <w:rStyle w:val="FootnoteReference"/>
        </w:rPr>
        <w:footnoteReference w:id="398"/>
      </w:r>
      <w:r>
        <w:t xml:space="preserve"> </w:t>
      </w:r>
      <w:r w:rsidRPr="00D32743">
        <w:t>In response</w:t>
      </w:r>
      <w:r>
        <w:t xml:space="preserve">, the </w:t>
      </w:r>
      <w:r w:rsidR="000A10EA">
        <w:t>United States</w:t>
      </w:r>
      <w:r>
        <w:t xml:space="preserve"> </w:t>
      </w:r>
      <w:r w:rsidRPr="00E97614">
        <w:t>criticized Professor Whitelaw</w:t>
      </w:r>
      <w:r>
        <w:t>'s averaging approach</w:t>
      </w:r>
      <w:r>
        <w:rPr>
          <w:rStyle w:val="FootnoteReference"/>
        </w:rPr>
        <w:footnoteReference w:id="399"/>
      </w:r>
      <w:r w:rsidRPr="00A22B4D">
        <w:t xml:space="preserve"> </w:t>
      </w:r>
      <w:r>
        <w:t xml:space="preserve">and </w:t>
      </w:r>
      <w:r w:rsidRPr="00A22B4D">
        <w:t>presented as Exhibit USA-505 an additional report prepared by Dr Jordan.</w:t>
      </w:r>
      <w:r w:rsidRPr="00A22B4D">
        <w:rPr>
          <w:rStyle w:val="FootnoteReference"/>
        </w:rPr>
        <w:footnoteReference w:id="400"/>
      </w:r>
      <w:r>
        <w:t xml:space="preserve"> In </w:t>
      </w:r>
      <w:r w:rsidRPr="00A22B4D">
        <w:t xml:space="preserve">that report, Dr Jordan provided </w:t>
      </w:r>
      <w:r>
        <w:t xml:space="preserve">a table </w:t>
      </w:r>
      <w:r w:rsidRPr="00A22B4D">
        <w:t>compari</w:t>
      </w:r>
      <w:r>
        <w:t>ng</w:t>
      </w:r>
      <w:r w:rsidRPr="00A22B4D">
        <w:t xml:space="preserve"> the averag</w:t>
      </w:r>
      <w:r>
        <w:t>e yield calculated by Professor </w:t>
      </w:r>
      <w:r w:rsidRPr="00A22B4D">
        <w:t>Whitelaw with yields for "more relevant dates and periods for each of the agreements".</w:t>
      </w:r>
      <w:r w:rsidR="005A1966">
        <w:rPr>
          <w:rStyle w:val="FootnoteReference"/>
        </w:rPr>
        <w:footnoteReference w:id="401"/>
      </w:r>
      <w:r w:rsidRPr="00A22B4D">
        <w:t xml:space="preserve"> Through this table, the </w:t>
      </w:r>
      <w:r w:rsidR="000A10EA">
        <w:t>United States</w:t>
      </w:r>
      <w:r w:rsidRPr="00D32743">
        <w:t xml:space="preserve"> submitted to the Panel information regarding: (i) the average yield over the </w:t>
      </w:r>
      <w:r w:rsidR="000A10EA">
        <w:t>six month</w:t>
      </w:r>
      <w:r w:rsidRPr="00D32743">
        <w:t xml:space="preserve">s prior to the conclusion of the </w:t>
      </w:r>
      <w:r>
        <w:t>A350XWB LA/MSF</w:t>
      </w:r>
      <w:r w:rsidRPr="00D32743">
        <w:t xml:space="preserve"> contract</w:t>
      </w:r>
      <w:r>
        <w:t>s</w:t>
      </w:r>
      <w:r w:rsidRPr="00D32743">
        <w:t>; (ii)</w:t>
      </w:r>
      <w:r>
        <w:t> </w:t>
      </w:r>
      <w:r w:rsidRPr="00D32743">
        <w:t xml:space="preserve">the average yield over the month prior to the conclusion of the </w:t>
      </w:r>
      <w:r>
        <w:t>A350XWB LA/MSF</w:t>
      </w:r>
      <w:r w:rsidRPr="00D32743">
        <w:t xml:space="preserve"> contract</w:t>
      </w:r>
      <w:r>
        <w:t>s</w:t>
      </w:r>
      <w:r w:rsidRPr="00D32743">
        <w:t>; and (iii) the yield on the day of conclusion of the</w:t>
      </w:r>
      <w:r>
        <w:t xml:space="preserve"> A350XWB LA/MSF</w:t>
      </w:r>
      <w:r w:rsidRPr="00D32743">
        <w:t xml:space="preserve"> contract</w:t>
      </w:r>
      <w:r>
        <w:t>s</w:t>
      </w:r>
      <w:r w:rsidRPr="00D32743">
        <w:t>.</w:t>
      </w:r>
      <w:r w:rsidRPr="00D32743">
        <w:rPr>
          <w:rStyle w:val="FootnoteReference"/>
        </w:rPr>
        <w:footnoteReference w:id="402"/>
      </w:r>
    </w:p>
    <w:p w:rsidR="0007161B" w:rsidRDefault="0007161B" w:rsidP="00DC4FDF">
      <w:pPr>
        <w:pStyle w:val="BodyText"/>
      </w:pPr>
      <w:r>
        <w:t>F</w:t>
      </w:r>
      <w:r w:rsidRPr="009432CA">
        <w:t>ollowing the report presented by Dr </w:t>
      </w:r>
      <w:r w:rsidRPr="00867FE3">
        <w:t xml:space="preserve">Jordan as Exhibit USA-505, the discussion between the </w:t>
      </w:r>
      <w:r w:rsidR="000A10EA">
        <w:t>United States</w:t>
      </w:r>
      <w:r w:rsidRPr="00FE41F2">
        <w:t xml:space="preserve"> and the </w:t>
      </w:r>
      <w:r w:rsidR="000A10EA">
        <w:t>European Union</w:t>
      </w:r>
      <w:r w:rsidRPr="00C3713E">
        <w:t xml:space="preserve"> focused mostly on the question of whether the EADS bond yield to maturity should be adjust</w:t>
      </w:r>
      <w:r w:rsidRPr="00E55FB8">
        <w:t xml:space="preserve">ed </w:t>
      </w:r>
      <w:r>
        <w:t>based on similarly rated bonds with a term of</w:t>
      </w:r>
      <w:r w:rsidR="000A10EA">
        <w:t> 20</w:t>
      </w:r>
      <w:r>
        <w:t xml:space="preserve"> years</w:t>
      </w:r>
      <w:r w:rsidRPr="00E55FB8">
        <w:t xml:space="preserve">, as proposed by the </w:t>
      </w:r>
      <w:r w:rsidR="000A10EA">
        <w:t>United States</w:t>
      </w:r>
      <w:r w:rsidRPr="00050E57">
        <w:t xml:space="preserve">. </w:t>
      </w:r>
      <w:r>
        <w:t>I</w:t>
      </w:r>
      <w:r w:rsidRPr="00C414C9">
        <w:t>n its subsequent communications to the Panel</w:t>
      </w:r>
      <w:r>
        <w:t>,</w:t>
      </w:r>
      <w:r w:rsidRPr="00C414C9">
        <w:t xml:space="preserve"> the </w:t>
      </w:r>
      <w:r w:rsidR="000A10EA">
        <w:t>European Union</w:t>
      </w:r>
      <w:r w:rsidRPr="00197394">
        <w:t xml:space="preserve"> </w:t>
      </w:r>
      <w:r>
        <w:t xml:space="preserve">did not appear to </w:t>
      </w:r>
      <w:r w:rsidRPr="00197394">
        <w:t xml:space="preserve">criticize </w:t>
      </w:r>
      <w:r>
        <w:t xml:space="preserve">expressly </w:t>
      </w:r>
      <w:r w:rsidRPr="00197394">
        <w:t>the relevant da</w:t>
      </w:r>
      <w:r w:rsidRPr="00E97614">
        <w:t xml:space="preserve">tes for observing the EADS bond yield proposed by the </w:t>
      </w:r>
      <w:r w:rsidR="000A10EA">
        <w:t>United States</w:t>
      </w:r>
      <w:r w:rsidRPr="006E63EA">
        <w:t xml:space="preserve">. </w:t>
      </w:r>
      <w:r>
        <w:t xml:space="preserve">Nor did the </w:t>
      </w:r>
      <w:r w:rsidR="000A10EA">
        <w:t>European Union</w:t>
      </w:r>
      <w:r>
        <w:t xml:space="preserve">, for instance, in its comments to the </w:t>
      </w:r>
      <w:r w:rsidR="000A10EA">
        <w:t>United States</w:t>
      </w:r>
      <w:r>
        <w:t>' responses to Panel questions,</w:t>
      </w:r>
      <w:r w:rsidRPr="00CC1F1F">
        <w:t xml:space="preserve"> </w:t>
      </w:r>
      <w:r>
        <w:t xml:space="preserve">seem to express a preference for </w:t>
      </w:r>
      <w:r>
        <w:lastRenderedPageBreak/>
        <w:t>observing the EADS bond yield on the day of conclusion of the contracts</w:t>
      </w:r>
      <w:r w:rsidRPr="00D32743">
        <w:t>.</w:t>
      </w:r>
      <w:r>
        <w:rPr>
          <w:rStyle w:val="FootnoteReference"/>
        </w:rPr>
        <w:footnoteReference w:id="403"/>
      </w:r>
      <w:r w:rsidRPr="008C50FA">
        <w:t xml:space="preserve"> </w:t>
      </w:r>
      <w:r>
        <w:t xml:space="preserve">Thus, there was not much debate between the parties regarding which of the three yields of the EADS bond </w:t>
      </w:r>
      <w:r w:rsidRPr="00000DF3">
        <w:t xml:space="preserve">presented by the </w:t>
      </w:r>
      <w:r w:rsidR="000A10EA">
        <w:t>United States</w:t>
      </w:r>
      <w:r>
        <w:t xml:space="preserve"> should be chosen for purposes of determining the corporate borrowing rate.</w:t>
      </w:r>
    </w:p>
    <w:p w:rsidR="0007161B" w:rsidRDefault="0007161B" w:rsidP="00DC4FDF">
      <w:pPr>
        <w:pStyle w:val="BodyText"/>
      </w:pPr>
      <w:r>
        <w:t xml:space="preserve">In light of these considerations, we see no error in the Panel's observation that </w:t>
      </w:r>
      <w:r w:rsidRPr="00D54C1A">
        <w:t>"</w:t>
      </w:r>
      <w:r>
        <w:t>{</w:t>
      </w:r>
      <w:r w:rsidRPr="00D54C1A">
        <w:t>p</w:t>
      </w:r>
      <w:r>
        <w:t>}</w:t>
      </w:r>
      <w:r w:rsidRPr="00D54C1A">
        <w:t>arties agreeing to a complex loan contract may rather set the rates in the lead-</w:t>
      </w:r>
      <w:r w:rsidRPr="0050662F">
        <w:t>up to the conclusion of the contract, and prior to the actual day on which the contract is signed"</w:t>
      </w:r>
      <w:r w:rsidRPr="0050662F">
        <w:rPr>
          <w:rStyle w:val="FootnoteReference"/>
        </w:rPr>
        <w:footnoteReference w:id="404"/>
      </w:r>
      <w:r w:rsidRPr="0050662F">
        <w:t xml:space="preserve">, and its conclusion that the </w:t>
      </w:r>
      <w:r>
        <w:t xml:space="preserve">four </w:t>
      </w:r>
      <w:r w:rsidRPr="0050662F">
        <w:t xml:space="preserve">A350XWB LA/MSF contracts are complex financing instruments that were negotiated and agreed by Airbus and the four member States </w:t>
      </w:r>
      <w:r w:rsidRPr="004328ED">
        <w:t xml:space="preserve">over a contracting period spanning across </w:t>
      </w:r>
      <w:r>
        <w:rPr>
          <w:b/>
        </w:rPr>
        <w:t>[</w:t>
      </w:r>
      <w:r w:rsidR="00C8434D" w:rsidRPr="00C8434D">
        <w:rPr>
          <w:b/>
          <w:szCs w:val="16"/>
        </w:rPr>
        <w:t>BCI</w:t>
      </w:r>
      <w:r>
        <w:rPr>
          <w:b/>
        </w:rPr>
        <w:t>]</w:t>
      </w:r>
      <w:r w:rsidRPr="0050662F">
        <w:t>.</w:t>
      </w:r>
    </w:p>
    <w:p w:rsidR="0007161B" w:rsidRDefault="0007161B" w:rsidP="00DC4FDF">
      <w:pPr>
        <w:pStyle w:val="BodyText"/>
      </w:pPr>
      <w:r w:rsidRPr="001637C9">
        <w:t xml:space="preserve">We note that the </w:t>
      </w:r>
      <w:r w:rsidR="000A10EA">
        <w:t>European Union</w:t>
      </w:r>
      <w:r w:rsidRPr="001637C9">
        <w:t xml:space="preserve"> additionally argues that the range of average yields used</w:t>
      </w:r>
      <w:r w:rsidRPr="00C37FBF">
        <w:t xml:space="preserve"> by the Panel raises concerns similar to those expressed by the P</w:t>
      </w:r>
      <w:r>
        <w:t>anel itself regarding Professor </w:t>
      </w:r>
      <w:r w:rsidRPr="00C37FBF">
        <w:t>Whitelaw's averaging</w:t>
      </w:r>
      <w:r>
        <w:t xml:space="preserve"> approach. According to the </w:t>
      </w:r>
      <w:r w:rsidR="000A10EA">
        <w:t>European Union</w:t>
      </w:r>
      <w:r>
        <w:t>, "</w:t>
      </w:r>
      <w:r w:rsidR="0004735D">
        <w:t>{</w:t>
      </w:r>
      <w:r>
        <w:t>b</w:t>
      </w:r>
      <w:r w:rsidR="0004735D">
        <w:t>}</w:t>
      </w:r>
      <w:r w:rsidRPr="00BA3CC1">
        <w:t xml:space="preserve">y using average yields – instead of the yield at the time each </w:t>
      </w:r>
      <w:r>
        <w:t>contract was signed – the Panel'</w:t>
      </w:r>
      <w:r w:rsidRPr="00BA3CC1">
        <w:t>s approach could artificially increase or lower a market borrowing rate, leading to a false positive or a false negative subsidy finding</w:t>
      </w:r>
      <w:r>
        <w:t>."</w:t>
      </w:r>
      <w:r>
        <w:rPr>
          <w:rStyle w:val="FootnoteReference"/>
        </w:rPr>
        <w:footnoteReference w:id="405"/>
      </w:r>
      <w:r>
        <w:t xml:space="preserve"> We find the </w:t>
      </w:r>
      <w:r w:rsidR="000A10EA">
        <w:t>European Union</w:t>
      </w:r>
      <w:r>
        <w:t xml:space="preserve">'s position difficult to reconcile with the fact that, before the Panel, the </w:t>
      </w:r>
      <w:r w:rsidR="000A10EA">
        <w:t>European Union</w:t>
      </w:r>
      <w:r>
        <w:t xml:space="preserve"> itself proposed determining the corporate borrowing rate on the basis of average yields.</w:t>
      </w:r>
      <w:r>
        <w:rPr>
          <w:rStyle w:val="FootnoteReference"/>
        </w:rPr>
        <w:footnoteReference w:id="406"/>
      </w:r>
      <w:r>
        <w:t xml:space="preserve"> Moreover, the </w:t>
      </w:r>
      <w:r w:rsidR="000A10EA">
        <w:t>European Union</w:t>
      </w:r>
      <w:r>
        <w:t xml:space="preserve"> appears to assume that the reason why the Panel rejected Professor Whitelaw's approach was the fact that it used average yields. W</w:t>
      </w:r>
      <w:r w:rsidR="005B7BEB">
        <w:t>e </w:t>
      </w:r>
      <w:r>
        <w:t xml:space="preserve">disagree. As we see it, the Panel's conclusion was based on other reasons. For example, </w:t>
      </w:r>
      <w:r w:rsidRPr="00A55DF7">
        <w:t>the Panel observed that "Professor Whitelaw's averaging approach would result in the application of corporate borrowing rates derived over time periods</w:t>
      </w:r>
      <w:r w:rsidRPr="00B84A0D">
        <w:t xml:space="preserve"> that </w:t>
      </w:r>
      <w:r w:rsidRPr="0050662F">
        <w:t xml:space="preserve">are </w:t>
      </w:r>
      <w:r w:rsidRPr="0050662F">
        <w:rPr>
          <w:i/>
        </w:rPr>
        <w:t>different</w:t>
      </w:r>
      <w:r w:rsidRPr="00B84A0D">
        <w:t xml:space="preserve"> for the four LA/MSF contracts."</w:t>
      </w:r>
      <w:r w:rsidRPr="000C534D">
        <w:rPr>
          <w:rStyle w:val="FootnoteReference"/>
        </w:rPr>
        <w:footnoteReference w:id="407"/>
      </w:r>
      <w:r>
        <w:t xml:space="preserve"> Also, the Panel indicated</w:t>
      </w:r>
      <w:r w:rsidRPr="000C534D">
        <w:t xml:space="preserve"> that </w:t>
      </w:r>
      <w:r>
        <w:t>"</w:t>
      </w:r>
      <w:r w:rsidRPr="000C534D">
        <w:t>Professor Whitelaw's averaging approach would also incorporate data from after the conclusion of three of the four contracts.</w:t>
      </w:r>
      <w:r>
        <w:t>"</w:t>
      </w:r>
      <w:r>
        <w:rPr>
          <w:rStyle w:val="FootnoteReference"/>
        </w:rPr>
        <w:footnoteReference w:id="408"/>
      </w:r>
      <w:r>
        <w:t xml:space="preserve"> </w:t>
      </w:r>
    </w:p>
    <w:p w:rsidR="0007161B" w:rsidRDefault="0007161B" w:rsidP="00DC4FDF">
      <w:pPr>
        <w:pStyle w:val="BodyText"/>
      </w:pPr>
      <w:r w:rsidRPr="00607E48">
        <w:t xml:space="preserve">Other aspects of the Panel's analysis are also relevant in addressing the </w:t>
      </w:r>
      <w:r w:rsidR="000A10EA">
        <w:t>European Union</w:t>
      </w:r>
      <w:r w:rsidRPr="00607E48">
        <w:t>'s</w:t>
      </w:r>
      <w:r>
        <w:t xml:space="preserve"> argument that the use of</w:t>
      </w:r>
      <w:r w:rsidRPr="00BA3CC1">
        <w:t xml:space="preserve"> average yields</w:t>
      </w:r>
      <w:r>
        <w:t xml:space="preserve"> </w:t>
      </w:r>
      <w:r w:rsidRPr="00BA3CC1">
        <w:t xml:space="preserve">could </w:t>
      </w:r>
      <w:r>
        <w:t>lead</w:t>
      </w:r>
      <w:r w:rsidRPr="00BA3CC1">
        <w:t xml:space="preserve"> to a </w:t>
      </w:r>
      <w:r>
        <w:t>"</w:t>
      </w:r>
      <w:r w:rsidRPr="00BA3CC1">
        <w:t>false</w:t>
      </w:r>
      <w:r>
        <w:t>"</w:t>
      </w:r>
      <w:r w:rsidRPr="00BA3CC1">
        <w:t xml:space="preserve"> </w:t>
      </w:r>
      <w:r>
        <w:t>finding of benefit. In particular, we recall that, in addition to the question of the relevant dates for observing the EADS bond yield, the Panel examined other issues in determining the applicable corporate borrowing rate.</w:t>
      </w:r>
      <w:r>
        <w:rPr>
          <w:rStyle w:val="FootnoteReference"/>
        </w:rPr>
        <w:footnoteReference w:id="409"/>
      </w:r>
      <w:r>
        <w:t xml:space="preserve"> </w:t>
      </w:r>
      <w:r w:rsidR="005B7BEB">
        <w:t>In </w:t>
      </w:r>
      <w:r w:rsidRPr="00E72660">
        <w:t xml:space="preserve">assessing these issues, it seems that the Panel preferred to follow an approach whereby the calculations would most likely be a </w:t>
      </w:r>
      <w:r w:rsidRPr="00EF4219">
        <w:rPr>
          <w:i/>
        </w:rPr>
        <w:t>conservative</w:t>
      </w:r>
      <w:r w:rsidRPr="00844F04">
        <w:t xml:space="preserve"> reflection of the corporate borrowing rate</w:t>
      </w:r>
      <w:r>
        <w:t>.</w:t>
      </w:r>
      <w:r>
        <w:rPr>
          <w:rStyle w:val="FootnoteReference"/>
        </w:rPr>
        <w:footnoteReference w:id="410"/>
      </w:r>
      <w:r>
        <w:t xml:space="preserve"> </w:t>
      </w:r>
      <w:r w:rsidR="005B7BEB">
        <w:t>For </w:t>
      </w:r>
      <w:r w:rsidRPr="00395121">
        <w:t>instance, the Panel po</w:t>
      </w:r>
      <w:r w:rsidRPr="00A22B4D">
        <w:t>inted out that "the EADS bond yield may be lower than rates that would be required for borrowing by its Airbus subsidiaries alone (that is, the EADS bond yield may understate the corporate borrowing rate for the French and Spanish contracts)."</w:t>
      </w:r>
      <w:r w:rsidRPr="00D32743">
        <w:rPr>
          <w:rStyle w:val="FootnoteReference"/>
        </w:rPr>
        <w:footnoteReference w:id="411"/>
      </w:r>
      <w:r w:rsidRPr="00D32743">
        <w:t xml:space="preserve"> In addition, the Panel stated that, contrary to the </w:t>
      </w:r>
      <w:r w:rsidR="000A10EA">
        <w:t>United States</w:t>
      </w:r>
      <w:r w:rsidRPr="00151FC5">
        <w:t xml:space="preserve">' position, it decided </w:t>
      </w:r>
      <w:r w:rsidRPr="00C64BE0">
        <w:rPr>
          <w:i/>
        </w:rPr>
        <w:t>not</w:t>
      </w:r>
      <w:r w:rsidRPr="00C64BE0">
        <w:t xml:space="preserve"> to adjust the EADS bond yield for a</w:t>
      </w:r>
      <w:r w:rsidR="000A10EA">
        <w:t> 20</w:t>
      </w:r>
      <w:r w:rsidRPr="00C64BE0">
        <w:t xml:space="preserve">-year maturity. The Panel considered it preferable to "use the unadjusted yields of the EADS bond on the understanding that </w:t>
      </w:r>
      <w:r w:rsidRPr="00C64BE0">
        <w:rPr>
          <w:i/>
        </w:rPr>
        <w:t xml:space="preserve">it is likely </w:t>
      </w:r>
      <w:r w:rsidRPr="00D039E3">
        <w:rPr>
          <w:i/>
        </w:rPr>
        <w:t xml:space="preserve">to be a conservative reflection of the </w:t>
      </w:r>
      <w:r w:rsidRPr="00D039E3">
        <w:rPr>
          <w:i/>
        </w:rPr>
        <w:lastRenderedPageBreak/>
        <w:t>corporate borrowing rate</w:t>
      </w:r>
      <w:r w:rsidRPr="005F3B7A">
        <w:t xml:space="preserve"> that should be used to construct the relevant market benchmark for the LA/MSF contracts".</w:t>
      </w:r>
      <w:r w:rsidRPr="00181457">
        <w:rPr>
          <w:rStyle w:val="FootnoteReference"/>
        </w:rPr>
        <w:footnoteReference w:id="412"/>
      </w:r>
      <w:r w:rsidRPr="00CE3CE8">
        <w:t xml:space="preserve"> </w:t>
      </w:r>
      <w:r w:rsidRPr="00780561">
        <w:t>In light of these</w:t>
      </w:r>
      <w:r>
        <w:t xml:space="preserve"> considerations</w:t>
      </w:r>
      <w:r w:rsidRPr="00B613CF">
        <w:t>,</w:t>
      </w:r>
      <w:r>
        <w:t xml:space="preserve"> we doubt that </w:t>
      </w:r>
      <w:r w:rsidRPr="008805DE">
        <w:t>the use of average yields could</w:t>
      </w:r>
      <w:r>
        <w:t>, in and of itself,</w:t>
      </w:r>
      <w:r w:rsidRPr="008805DE">
        <w:t xml:space="preserve"> </w:t>
      </w:r>
      <w:r>
        <w:t xml:space="preserve">have </w:t>
      </w:r>
      <w:r w:rsidRPr="008805DE">
        <w:t>led to "a false positive or a false negative subsidy finding"</w:t>
      </w:r>
      <w:r>
        <w:t xml:space="preserve"> in the present case, as the </w:t>
      </w:r>
      <w:r w:rsidR="000A10EA">
        <w:t>European Union</w:t>
      </w:r>
      <w:r>
        <w:t xml:space="preserve"> suggests</w:t>
      </w:r>
      <w:r w:rsidRPr="008805DE">
        <w:t>.</w:t>
      </w:r>
      <w:r w:rsidRPr="002207B9">
        <w:rPr>
          <w:rStyle w:val="FootnoteReference"/>
        </w:rPr>
        <w:footnoteReference w:id="413"/>
      </w:r>
    </w:p>
    <w:p w:rsidR="0007161B" w:rsidRPr="00B4588C" w:rsidRDefault="0007161B" w:rsidP="00DC4FDF">
      <w:pPr>
        <w:pStyle w:val="BodyText"/>
      </w:pPr>
      <w:r>
        <w:t>As indicated above, t</w:t>
      </w:r>
      <w:r w:rsidRPr="002207B9">
        <w:t xml:space="preserve">he </w:t>
      </w:r>
      <w:r w:rsidR="000A10EA">
        <w:t>European Union</w:t>
      </w:r>
      <w:r w:rsidRPr="00C62CBB">
        <w:t xml:space="preserve"> correctly </w:t>
      </w:r>
      <w:r>
        <w:t>argues</w:t>
      </w:r>
      <w:r w:rsidRPr="00C62CBB">
        <w:t xml:space="preserve"> that, in conducting the benefit analysis, the comparison focuses "on the moment in time when the lender and borrower commit to the transaction".</w:t>
      </w:r>
      <w:r w:rsidRPr="00C62CBB">
        <w:rPr>
          <w:rStyle w:val="FootnoteReference"/>
        </w:rPr>
        <w:footnoteReference w:id="414"/>
      </w:r>
      <w:r w:rsidRPr="00C62CBB">
        <w:t xml:space="preserve"> However, we disagree with the </w:t>
      </w:r>
      <w:r w:rsidR="000A10EA">
        <w:t>European Union</w:t>
      </w:r>
      <w:r w:rsidRPr="00C62CBB">
        <w:t xml:space="preserve"> to the extent </w:t>
      </w:r>
      <w:r>
        <w:t xml:space="preserve">that </w:t>
      </w:r>
      <w:r w:rsidRPr="00C62CBB">
        <w:t xml:space="preserve">it suggests that the </w:t>
      </w:r>
      <w:r>
        <w:t xml:space="preserve">Panel was required, pursuant to </w:t>
      </w:r>
      <w:r w:rsidR="000A10EA">
        <w:t>Article </w:t>
      </w:r>
      <w:r w:rsidRPr="00C62CBB">
        <w:t xml:space="preserve">1.1(b) of the </w:t>
      </w:r>
      <w:r w:rsidR="000A10EA">
        <w:t>SCM Agreement</w:t>
      </w:r>
      <w:r>
        <w:t>,</w:t>
      </w:r>
      <w:r w:rsidRPr="00C62CBB">
        <w:t xml:space="preserve"> to </w:t>
      </w:r>
      <w:r>
        <w:t>limit its analysis to</w:t>
      </w:r>
      <w:r w:rsidRPr="00C62CBB">
        <w:t xml:space="preserve"> data </w:t>
      </w:r>
      <w:r>
        <w:t>regarding</w:t>
      </w:r>
      <w:r w:rsidRPr="00C62CBB">
        <w:t xml:space="preserve"> the yield "on the day of conclusion" of each A350XWB LA/MSF contract </w:t>
      </w:r>
      <w:r w:rsidRPr="00365633">
        <w:rPr>
          <w:i/>
        </w:rPr>
        <w:t>regardless</w:t>
      </w:r>
      <w:r w:rsidRPr="00C62CBB">
        <w:t xml:space="preserve"> of the time</w:t>
      </w:r>
      <w:r>
        <w:t xml:space="preserve"> </w:t>
      </w:r>
      <w:r w:rsidRPr="00C62CBB">
        <w:t>period over which the parties may have committed to</w:t>
      </w:r>
      <w:r>
        <w:t xml:space="preserve"> the terms and conditions of</w:t>
      </w:r>
      <w:r w:rsidRPr="00C62CBB">
        <w:t xml:space="preserve"> that financing</w:t>
      </w:r>
      <w:r>
        <w:t xml:space="preserve"> instrument</w:t>
      </w:r>
      <w:r w:rsidRPr="00C62CBB">
        <w:t>. Rather, a panel conducting this assessment must look at how the relevant government financial contribution is structured</w:t>
      </w:r>
      <w:r w:rsidRPr="00B4588C">
        <w:t>, focusing on the nature and type of financing that is being provided and whether aspects thereof were agreed in the lead</w:t>
      </w:r>
      <w:r w:rsidR="00075669">
        <w:t>-</w:t>
      </w:r>
      <w:r w:rsidRPr="00B4588C">
        <w:t xml:space="preserve">up to the formal signing of the legal instrument providing the financial contribution. </w:t>
      </w:r>
    </w:p>
    <w:p w:rsidR="0007161B" w:rsidRDefault="0007161B" w:rsidP="00DC4FDF">
      <w:pPr>
        <w:pStyle w:val="BodyText"/>
      </w:pPr>
      <w:r>
        <w:t xml:space="preserve">We recall that </w:t>
      </w:r>
      <w:r w:rsidRPr="00B4588C">
        <w:t>the Panel provided two reasons in support of its decision to determine the corporate borrowing rate using the average yields one</w:t>
      </w:r>
      <w:r>
        <w:t xml:space="preserve"> </w:t>
      </w:r>
      <w:r w:rsidRPr="00B4588C">
        <w:t xml:space="preserve">month prior and </w:t>
      </w:r>
      <w:r w:rsidR="000A10EA">
        <w:t>six month</w:t>
      </w:r>
      <w:r w:rsidRPr="00B4588C">
        <w:t xml:space="preserve">s prior to the conclusion of the </w:t>
      </w:r>
      <w:r>
        <w:t xml:space="preserve">A350XWB LA/MSF </w:t>
      </w:r>
      <w:r w:rsidRPr="00B4588C">
        <w:t>contract</w:t>
      </w:r>
      <w:r>
        <w:t>s</w:t>
      </w:r>
      <w:r w:rsidRPr="00B4588C">
        <w:t xml:space="preserve">, in the form of a </w:t>
      </w:r>
      <w:r w:rsidRPr="0089125B">
        <w:rPr>
          <w:i/>
        </w:rPr>
        <w:t>range</w:t>
      </w:r>
      <w:r w:rsidRPr="00B4588C">
        <w:t>. First, the Panel considered that "the yield on the day of the signature of contract may reflect atypical fluctuations."</w:t>
      </w:r>
      <w:r w:rsidRPr="00B4588C">
        <w:rPr>
          <w:rStyle w:val="FootnoteReference"/>
        </w:rPr>
        <w:footnoteReference w:id="415"/>
      </w:r>
      <w:r w:rsidRPr="00B4588C">
        <w:t xml:space="preserve"> </w:t>
      </w:r>
      <w:r w:rsidR="00584272">
        <w:t>As </w:t>
      </w:r>
      <w:r>
        <w:t>noted above, w</w:t>
      </w:r>
      <w:r w:rsidRPr="00B4588C">
        <w:t xml:space="preserve">e </w:t>
      </w:r>
      <w:r>
        <w:t>see</w:t>
      </w:r>
      <w:r w:rsidRPr="00B4588C">
        <w:t xml:space="preserve"> no error in th</w:t>
      </w:r>
      <w:r>
        <w:t>is</w:t>
      </w:r>
      <w:r w:rsidRPr="00B4588C">
        <w:t xml:space="preserve"> observation</w:t>
      </w:r>
      <w:r>
        <w:t xml:space="preserve"> by the</w:t>
      </w:r>
      <w:r w:rsidRPr="00B4588C">
        <w:t xml:space="preserve"> Panel</w:t>
      </w:r>
      <w:r>
        <w:t>.</w:t>
      </w:r>
      <w:r w:rsidRPr="00B4588C">
        <w:t xml:space="preserve"> </w:t>
      </w:r>
      <w:r w:rsidRPr="00D54C1A">
        <w:t>The Panel's second reason was that "</w:t>
      </w:r>
      <w:r>
        <w:t>{</w:t>
      </w:r>
      <w:r w:rsidRPr="00D54C1A">
        <w:t>p</w:t>
      </w:r>
      <w:r>
        <w:t>}</w:t>
      </w:r>
      <w:r w:rsidRPr="00D54C1A">
        <w:t xml:space="preserve">arties agreeing to a complex loan contract may rather set the rates in the lead-up to the conclusion of the </w:t>
      </w:r>
      <w:r w:rsidRPr="004E5695">
        <w:t>contract, and prior to the actual day on which the contract is signed</w:t>
      </w:r>
      <w:r>
        <w:t>.</w:t>
      </w:r>
      <w:r w:rsidRPr="004E5695">
        <w:t>"</w:t>
      </w:r>
      <w:r w:rsidRPr="00485DB3">
        <w:rPr>
          <w:rStyle w:val="FootnoteReference"/>
        </w:rPr>
        <w:footnoteReference w:id="416"/>
      </w:r>
      <w:r w:rsidRPr="004E5695">
        <w:t xml:space="preserve"> </w:t>
      </w:r>
      <w:r>
        <w:t>We have found t</w:t>
      </w:r>
      <w:r w:rsidRPr="004E5695">
        <w:t xml:space="preserve">his </w:t>
      </w:r>
      <w:r>
        <w:t xml:space="preserve">understanding to be </w:t>
      </w:r>
      <w:r w:rsidRPr="004E5695">
        <w:t xml:space="preserve">in line with our </w:t>
      </w:r>
      <w:r>
        <w:t xml:space="preserve">observation </w:t>
      </w:r>
      <w:r w:rsidRPr="004E5695">
        <w:t xml:space="preserve">that, in some cases, parties may have committed to a transaction – or to key aspects thereof – during </w:t>
      </w:r>
      <w:r>
        <w:t>a</w:t>
      </w:r>
      <w:r w:rsidRPr="004E5695">
        <w:t xml:space="preserve"> finalization period </w:t>
      </w:r>
      <w:r>
        <w:t xml:space="preserve">of the negotiations preceding the moment of formal conclusion of </w:t>
      </w:r>
      <w:r w:rsidRPr="0070783D">
        <w:rPr>
          <w:i/>
        </w:rPr>
        <w:t>all</w:t>
      </w:r>
      <w:r>
        <w:t xml:space="preserve"> aspects of that transaction</w:t>
      </w:r>
      <w:r w:rsidRPr="005C562B">
        <w:t xml:space="preserve">. </w:t>
      </w:r>
      <w:r w:rsidR="005B7BEB">
        <w:t>This </w:t>
      </w:r>
      <w:r>
        <w:t>may be the case, for example, where, as here,</w:t>
      </w:r>
      <w:r w:rsidRPr="004E5695">
        <w:t xml:space="preserve"> the financial contribution at issue consists of complex financing </w:t>
      </w:r>
      <w:r>
        <w:t>the</w:t>
      </w:r>
      <w:r w:rsidRPr="004E5695">
        <w:t xml:space="preserve"> terms</w:t>
      </w:r>
      <w:r>
        <w:t xml:space="preserve"> and conditions</w:t>
      </w:r>
      <w:r w:rsidRPr="004E5695">
        <w:t xml:space="preserve"> </w:t>
      </w:r>
      <w:r>
        <w:t xml:space="preserve">of which </w:t>
      </w:r>
      <w:r w:rsidRPr="004E5695">
        <w:t>have</w:t>
      </w:r>
      <w:r>
        <w:t xml:space="preserve"> been negotiated and agreed over a certain contracting </w:t>
      </w:r>
      <w:r w:rsidRPr="00712FC5">
        <w:t>period. The Panel's findings, in our view, support the view that the A350XWB LA/MSF contracts fall</w:t>
      </w:r>
      <w:r>
        <w:t xml:space="preserve"> within this category of complex financing. This is particularly the case, given the Panel's findings that: (i) </w:t>
      </w:r>
      <w:r w:rsidRPr="00D87CC3">
        <w:rPr>
          <w:szCs w:val="18"/>
        </w:rPr>
        <w:t xml:space="preserve">the A350XWB LA/MSF contracts share certain unique features compared to other forms of financing, </w:t>
      </w:r>
      <w:r>
        <w:t>namely, that their</w:t>
      </w:r>
      <w:r w:rsidRPr="00D87CC3">
        <w:rPr>
          <w:szCs w:val="18"/>
        </w:rPr>
        <w:t xml:space="preserve"> repayment terms </w:t>
      </w:r>
      <w:r>
        <w:rPr>
          <w:szCs w:val="18"/>
        </w:rPr>
        <w:t>are</w:t>
      </w:r>
      <w:r w:rsidRPr="00D87CC3">
        <w:rPr>
          <w:szCs w:val="18"/>
        </w:rPr>
        <w:t xml:space="preserve"> back-loaded, primarily levy-based, dependent on the sales of aircraft</w:t>
      </w:r>
      <w:r>
        <w:rPr>
          <w:szCs w:val="18"/>
        </w:rPr>
        <w:t>,</w:t>
      </w:r>
      <w:r w:rsidRPr="00D87CC3">
        <w:rPr>
          <w:szCs w:val="18"/>
        </w:rPr>
        <w:t xml:space="preserve"> and unsecured; and (ii) </w:t>
      </w:r>
      <w:r w:rsidRPr="00D111C6">
        <w:t>"the Airbus governments {i.e. France, Germany, Spain, and the United Kingdom} formally entered into negotiations with Airbus for LA/MSF {to support the A350XWB programme} in late</w:t>
      </w:r>
      <w:r w:rsidR="000A10EA">
        <w:t> 20</w:t>
      </w:r>
      <w:r w:rsidRPr="00D111C6">
        <w:t>08, individually agreeing on its ter</w:t>
      </w:r>
      <w:r w:rsidRPr="00AA5A87">
        <w:t xml:space="preserve">ms on different dates between </w:t>
      </w:r>
      <w:r w:rsidRPr="00D87CC3">
        <w:rPr>
          <w:b/>
        </w:rPr>
        <w:t>[</w:t>
      </w:r>
      <w:r w:rsidR="00C8434D" w:rsidRPr="00C8434D">
        <w:rPr>
          <w:b/>
          <w:szCs w:val="16"/>
        </w:rPr>
        <w:t>BCI</w:t>
      </w:r>
      <w:r w:rsidRPr="00D87CC3">
        <w:rPr>
          <w:b/>
        </w:rPr>
        <w:t>]</w:t>
      </w:r>
      <w:r w:rsidRPr="00AA5A87">
        <w:t>."</w:t>
      </w:r>
      <w:r w:rsidRPr="00AA5A87">
        <w:rPr>
          <w:rStyle w:val="FootnoteReference"/>
        </w:rPr>
        <w:footnoteReference w:id="417"/>
      </w:r>
      <w:r>
        <w:t xml:space="preserve"> </w:t>
      </w:r>
    </w:p>
    <w:p w:rsidR="0007161B" w:rsidRDefault="0007161B" w:rsidP="00DC4FDF">
      <w:pPr>
        <w:pStyle w:val="BodyText"/>
      </w:pPr>
      <w:r w:rsidRPr="00B4588C">
        <w:t>The above considerations served as the basis for the Panel's determin</w:t>
      </w:r>
      <w:r>
        <w:t>ation of</w:t>
      </w:r>
      <w:r w:rsidRPr="00B4588C">
        <w:t xml:space="preserve"> the corporate borrowing rate. </w:t>
      </w:r>
      <w:r>
        <w:t>As noted, while the Panel determined the corporate borrowing rate in the form of a range of average yields, it</w:t>
      </w:r>
      <w:r w:rsidRPr="004328ED">
        <w:t xml:space="preserve"> </w:t>
      </w:r>
      <w:r>
        <w:t>rightly</w:t>
      </w:r>
      <w:r w:rsidRPr="004328ED">
        <w:t xml:space="preserve"> g</w:t>
      </w:r>
      <w:r>
        <w:t>a</w:t>
      </w:r>
      <w:r w:rsidRPr="004328ED">
        <w:t>ve</w:t>
      </w:r>
      <w:r>
        <w:t xml:space="preserve"> more prominence to the one</w:t>
      </w:r>
      <w:r>
        <w:noBreakHyphen/>
      </w:r>
      <w:r w:rsidRPr="004328ED">
        <w:t xml:space="preserve">month average yield </w:t>
      </w:r>
      <w:r>
        <w:t>of</w:t>
      </w:r>
      <w:r w:rsidRPr="004328ED">
        <w:t xml:space="preserve"> the EADS bond</w:t>
      </w:r>
      <w:r>
        <w:t xml:space="preserve"> than to the </w:t>
      </w:r>
      <w:r w:rsidR="000A10EA">
        <w:t>six</w:t>
      </w:r>
      <w:r w:rsidR="000A10EA">
        <w:noBreakHyphen/>
        <w:t>month</w:t>
      </w:r>
      <w:r>
        <w:t xml:space="preserve"> average yield</w:t>
      </w:r>
      <w:r w:rsidRPr="004328ED">
        <w:t>. Indeed, the Panel found th</w:t>
      </w:r>
      <w:r w:rsidR="00584272">
        <w:t>at "the </w:t>
      </w:r>
      <w:r w:rsidRPr="004328ED">
        <w:t>one-month average</w:t>
      </w:r>
      <w:r>
        <w:t xml:space="preserve"> would appear to be a reasonable proxy for the parties' expectations."</w:t>
      </w:r>
      <w:r>
        <w:rPr>
          <w:rStyle w:val="FootnoteReference"/>
        </w:rPr>
        <w:footnoteReference w:id="418"/>
      </w:r>
      <w:r>
        <w:t xml:space="preserve"> By contrast, the Panel considered that "{t}he </w:t>
      </w:r>
      <w:r w:rsidR="000A10EA">
        <w:t>six</w:t>
      </w:r>
      <w:r w:rsidR="000A10EA">
        <w:noBreakHyphen/>
        <w:t>month</w:t>
      </w:r>
      <w:r>
        <w:t xml:space="preserve"> average may be less likely to reflect expectations during the finalisation period, but may also be a helpful indication of market expectations."</w:t>
      </w:r>
      <w:r>
        <w:rPr>
          <w:rStyle w:val="FootnoteReference"/>
        </w:rPr>
        <w:footnoteReference w:id="419"/>
      </w:r>
      <w:r>
        <w:t xml:space="preserve"> </w:t>
      </w:r>
      <w:bookmarkStart w:id="67" w:name="_Ref494872211"/>
      <w:r>
        <w:t xml:space="preserve">In these circumstances, we </w:t>
      </w:r>
      <w:r w:rsidR="003726F0">
        <w:rPr>
          <w:u w:val="single"/>
        </w:rPr>
        <w:t>find</w:t>
      </w:r>
      <w:r>
        <w:t xml:space="preserve"> that the Panel </w:t>
      </w:r>
      <w:r w:rsidR="003726F0">
        <w:t>did not err</w:t>
      </w:r>
      <w:r>
        <w:t xml:space="preserve"> in its application of </w:t>
      </w:r>
      <w:r w:rsidR="000A10EA">
        <w:t>Article </w:t>
      </w:r>
      <w:r>
        <w:t xml:space="preserve">1.1(b) of the </w:t>
      </w:r>
      <w:r w:rsidR="000A10EA">
        <w:t>SCM Agreement</w:t>
      </w:r>
      <w:r>
        <w:t xml:space="preserve"> in finding that</w:t>
      </w:r>
      <w:r w:rsidRPr="000951A8">
        <w:t xml:space="preserve"> the corporate borrowing rate component of the market </w:t>
      </w:r>
      <w:r>
        <w:t>benchmark could be based on</w:t>
      </w:r>
      <w:r w:rsidRPr="000951A8">
        <w:t xml:space="preserve"> the average yields o</w:t>
      </w:r>
      <w:r w:rsidR="00EE4F39">
        <w:t>f</w:t>
      </w:r>
      <w:r w:rsidRPr="000951A8">
        <w:t xml:space="preserve"> </w:t>
      </w:r>
      <w:r w:rsidR="00EE4F39">
        <w:t>the</w:t>
      </w:r>
      <w:r w:rsidRPr="000951A8">
        <w:t xml:space="preserve"> EADS bond </w:t>
      </w:r>
      <w:r w:rsidR="00EE4F39">
        <w:t>"</w:t>
      </w:r>
      <w:r w:rsidRPr="000951A8">
        <w:t xml:space="preserve">one-month prior and </w:t>
      </w:r>
      <w:r w:rsidR="000A10EA">
        <w:lastRenderedPageBreak/>
        <w:t>six</w:t>
      </w:r>
      <w:r w:rsidR="000A10EA">
        <w:noBreakHyphen/>
        <w:t>month</w:t>
      </w:r>
      <w:r w:rsidRPr="000951A8">
        <w:t>s prior to the conclusion</w:t>
      </w:r>
      <w:r w:rsidR="00EE4F39">
        <w:t>"</w:t>
      </w:r>
      <w:r w:rsidRPr="000951A8">
        <w:t xml:space="preserve"> of the</w:t>
      </w:r>
      <w:r w:rsidR="00EE4F39">
        <w:t xml:space="preserve"> French, German, Spanish, and UK</w:t>
      </w:r>
      <w:r w:rsidRPr="000951A8">
        <w:t xml:space="preserve"> </w:t>
      </w:r>
      <w:r>
        <w:t xml:space="preserve">A350XWB </w:t>
      </w:r>
      <w:r w:rsidRPr="000951A8">
        <w:t>LA/MSF contract</w:t>
      </w:r>
      <w:r>
        <w:t>s</w:t>
      </w:r>
      <w:r w:rsidRPr="000951A8">
        <w:t xml:space="preserve">, </w:t>
      </w:r>
      <w:r w:rsidR="00EE4F39">
        <w:t>"</w:t>
      </w:r>
      <w:r w:rsidRPr="000951A8">
        <w:t>in the form of a range"</w:t>
      </w:r>
      <w:r>
        <w:t xml:space="preserve">, </w:t>
      </w:r>
      <w:r w:rsidRPr="00C7364A">
        <w:t>attributing more weight to the former average yield</w:t>
      </w:r>
      <w:r w:rsidR="00EE4F39">
        <w:t>s</w:t>
      </w:r>
      <w:r w:rsidRPr="00C7364A">
        <w:t xml:space="preserve"> than it did to the latter</w:t>
      </w:r>
      <w:r w:rsidRPr="007C1287">
        <w:t>.</w:t>
      </w:r>
      <w:bookmarkEnd w:id="67"/>
      <w:r w:rsidR="00EE4F39">
        <w:rPr>
          <w:rStyle w:val="FootnoteReference"/>
        </w:rPr>
        <w:footnoteReference w:id="420"/>
      </w:r>
    </w:p>
    <w:p w:rsidR="0007161B" w:rsidRDefault="0007161B" w:rsidP="00DC4FDF">
      <w:pPr>
        <w:pStyle w:val="Heading4"/>
      </w:pPr>
      <w:bookmarkStart w:id="68" w:name="_Toc478564644"/>
      <w:bookmarkStart w:id="69" w:name="_Ref496098435"/>
      <w:bookmarkStart w:id="70" w:name="_Ref496098450"/>
      <w:bookmarkStart w:id="71" w:name="_Toc514059220"/>
      <w:r w:rsidRPr="00E72660">
        <w:t xml:space="preserve">Whether the Panel acted inconsistently with </w:t>
      </w:r>
      <w:r w:rsidR="000A10EA">
        <w:t>Article </w:t>
      </w:r>
      <w:r w:rsidRPr="00844F04">
        <w:t>11 of the DSU by rejecting the yield of the relev</w:t>
      </w:r>
      <w:r w:rsidRPr="002F6182">
        <w:t xml:space="preserve">ant EADS bond on the day of </w:t>
      </w:r>
      <w:r w:rsidRPr="004A0B60">
        <w:t>co</w:t>
      </w:r>
      <w:r w:rsidR="005B7BEB">
        <w:t>nclusion of each A350XWB LA/MSF </w:t>
      </w:r>
      <w:r w:rsidRPr="004A0B60">
        <w:t>contract</w:t>
      </w:r>
      <w:bookmarkEnd w:id="68"/>
      <w:bookmarkEnd w:id="69"/>
      <w:bookmarkEnd w:id="70"/>
      <w:bookmarkEnd w:id="71"/>
    </w:p>
    <w:p w:rsidR="0007161B" w:rsidRDefault="0007161B" w:rsidP="00DC4FDF">
      <w:pPr>
        <w:pStyle w:val="BodyText"/>
      </w:pPr>
      <w:r>
        <w:t>T</w:t>
      </w:r>
      <w:r w:rsidRPr="005F3B7A">
        <w:t xml:space="preserve">he </w:t>
      </w:r>
      <w:r w:rsidR="000A10EA">
        <w:t>European Union</w:t>
      </w:r>
      <w:r>
        <w:t xml:space="preserve"> presents two main lines of argumentation in support of its claim that the Panel acted inconsistently with its obligations under </w:t>
      </w:r>
      <w:r w:rsidR="000A10EA">
        <w:t>Article </w:t>
      </w:r>
      <w:r w:rsidRPr="002F6182">
        <w:t xml:space="preserve">11 of the DSU. </w:t>
      </w:r>
      <w:r>
        <w:t>First</w:t>
      </w:r>
      <w:r w:rsidRPr="002F6182">
        <w:t xml:space="preserve">, the </w:t>
      </w:r>
      <w:r w:rsidR="000A10EA">
        <w:t>European Union</w:t>
      </w:r>
      <w:r w:rsidRPr="00B613CF">
        <w:t xml:space="preserve"> argues that the Panel acted inconsistently with </w:t>
      </w:r>
      <w:r w:rsidR="000A10EA">
        <w:t>Article </w:t>
      </w:r>
      <w:r w:rsidRPr="008331B2">
        <w:t xml:space="preserve">11 because it </w:t>
      </w:r>
      <w:r>
        <w:t>"</w:t>
      </w:r>
      <w:r w:rsidRPr="00851B6C">
        <w:t>lacked a sufficient evidentiary basis"</w:t>
      </w:r>
      <w:r w:rsidRPr="002207B9">
        <w:t xml:space="preserve"> for rejecting the EADS bond yield on the day of conclusion of </w:t>
      </w:r>
      <w:r>
        <w:t>each of the</w:t>
      </w:r>
      <w:r w:rsidRPr="002207B9">
        <w:t xml:space="preserve"> </w:t>
      </w:r>
      <w:r>
        <w:t xml:space="preserve">four </w:t>
      </w:r>
      <w:r w:rsidRPr="002207B9">
        <w:t>A350XWB LA/MSF contract</w:t>
      </w:r>
      <w:r>
        <w:t>s</w:t>
      </w:r>
      <w:r w:rsidRPr="002207B9">
        <w:t>.</w:t>
      </w:r>
      <w:r>
        <w:rPr>
          <w:rStyle w:val="FootnoteReference"/>
        </w:rPr>
        <w:footnoteReference w:id="421"/>
      </w:r>
      <w:r w:rsidRPr="002207B9">
        <w:t xml:space="preserve"> </w:t>
      </w:r>
      <w:r w:rsidRPr="009432CA">
        <w:t xml:space="preserve">According to the </w:t>
      </w:r>
      <w:r w:rsidR="000A10EA">
        <w:t>European Union</w:t>
      </w:r>
      <w:r w:rsidRPr="00867FE3">
        <w:t xml:space="preserve">, the Panel justified the rejection of the EADS </w:t>
      </w:r>
      <w:r w:rsidR="00477264">
        <w:t xml:space="preserve">bond </w:t>
      </w:r>
      <w:r w:rsidRPr="00867FE3">
        <w:t>yield on the day of conclusion of the contract</w:t>
      </w:r>
      <w:r>
        <w:t>s</w:t>
      </w:r>
      <w:r w:rsidRPr="00867FE3">
        <w:t xml:space="preserve"> due to "the possibility that that yield </w:t>
      </w:r>
      <w:r w:rsidRPr="00867FE3">
        <w:rPr>
          <w:i/>
        </w:rPr>
        <w:t>'may</w:t>
      </w:r>
      <w:r w:rsidRPr="00867FE3">
        <w:t xml:space="preserve"> reflect atypical fluctuations'".</w:t>
      </w:r>
      <w:r w:rsidRPr="00FE41F2">
        <w:rPr>
          <w:rStyle w:val="FootnoteReference"/>
        </w:rPr>
        <w:footnoteReference w:id="422"/>
      </w:r>
      <w:r>
        <w:t xml:space="preserve"> </w:t>
      </w:r>
      <w:r w:rsidRPr="008805DE">
        <w:t xml:space="preserve">The </w:t>
      </w:r>
      <w:r w:rsidR="000A10EA">
        <w:t>European Union</w:t>
      </w:r>
      <w:r w:rsidRPr="008805DE">
        <w:t xml:space="preserve"> </w:t>
      </w:r>
      <w:r>
        <w:t>asserts</w:t>
      </w:r>
      <w:r w:rsidRPr="008805DE">
        <w:t xml:space="preserve"> that the Panel did not test whether such atypical fluctuations in fact existed</w:t>
      </w:r>
      <w:r>
        <w:t xml:space="preserve">, and argues </w:t>
      </w:r>
      <w:r w:rsidRPr="008805DE">
        <w:t xml:space="preserve">that the </w:t>
      </w:r>
      <w:r>
        <w:t xml:space="preserve">Panel </w:t>
      </w:r>
      <w:r w:rsidRPr="008805DE">
        <w:t xml:space="preserve">therefore </w:t>
      </w:r>
      <w:r>
        <w:t xml:space="preserve">had </w:t>
      </w:r>
      <w:r w:rsidRPr="008805DE">
        <w:t xml:space="preserve">no evidentiary basis </w:t>
      </w:r>
      <w:r>
        <w:t>to</w:t>
      </w:r>
      <w:r w:rsidRPr="008805DE">
        <w:t xml:space="preserve"> reject the yield on the day of conclusion of </w:t>
      </w:r>
      <w:r>
        <w:t>the four</w:t>
      </w:r>
      <w:r w:rsidRPr="008805DE">
        <w:t xml:space="preserve"> contract</w:t>
      </w:r>
      <w:r>
        <w:t>s</w:t>
      </w:r>
      <w:r w:rsidRPr="008805DE">
        <w:t>.</w:t>
      </w:r>
    </w:p>
    <w:p w:rsidR="0007161B" w:rsidRDefault="0007161B" w:rsidP="00DC4FDF">
      <w:pPr>
        <w:pStyle w:val="BodyText"/>
      </w:pPr>
      <w:r>
        <w:t>Second</w:t>
      </w:r>
      <w:r w:rsidRPr="002207B9">
        <w:t xml:space="preserve">, the </w:t>
      </w:r>
      <w:r w:rsidR="000A10EA">
        <w:t>European Union</w:t>
      </w:r>
      <w:r w:rsidRPr="002207B9">
        <w:t xml:space="preserve"> </w:t>
      </w:r>
      <w:r>
        <w:t>asserts</w:t>
      </w:r>
      <w:r w:rsidRPr="002207B9">
        <w:t xml:space="preserve"> that </w:t>
      </w:r>
      <w:r>
        <w:t>two aspects of the Panel's analysis reflect</w:t>
      </w:r>
      <w:r w:rsidRPr="002207B9">
        <w:t xml:space="preserve"> a </w:t>
      </w:r>
      <w:r>
        <w:t>"</w:t>
      </w:r>
      <w:r w:rsidR="00BB61C1">
        <w:t>lack </w:t>
      </w:r>
      <w:r w:rsidRPr="00851B6C">
        <w:t>of objectivity and even</w:t>
      </w:r>
      <w:r w:rsidRPr="00851B6C">
        <w:noBreakHyphen/>
        <w:t>handedness"</w:t>
      </w:r>
      <w:r w:rsidRPr="00017E4F">
        <w:t>.</w:t>
      </w:r>
      <w:r w:rsidRPr="005F3B7A">
        <w:rPr>
          <w:rStyle w:val="FootnoteReference"/>
        </w:rPr>
        <w:footnoteReference w:id="423"/>
      </w:r>
      <w:r>
        <w:t xml:space="preserve"> T</w:t>
      </w:r>
      <w:r w:rsidRPr="00181457">
        <w:t xml:space="preserve">he </w:t>
      </w:r>
      <w:r w:rsidR="000A10EA">
        <w:t>European Union</w:t>
      </w:r>
      <w:r w:rsidRPr="00FE454E">
        <w:t xml:space="preserve"> argues that</w:t>
      </w:r>
      <w:r>
        <w:t>,</w:t>
      </w:r>
      <w:r w:rsidRPr="00FE454E">
        <w:t xml:space="preserve"> </w:t>
      </w:r>
      <w:r>
        <w:t>on the one hand,</w:t>
      </w:r>
      <w:r w:rsidRPr="00151FC5">
        <w:t xml:space="preserve"> the Panel's rejection of the data pertaining to the EADS bond yield on the day of conclusion of each contract occurred against the background of a downward trend in </w:t>
      </w:r>
      <w:r>
        <w:t>such</w:t>
      </w:r>
      <w:r w:rsidRPr="00151FC5">
        <w:t xml:space="preserve"> </w:t>
      </w:r>
      <w:r w:rsidRPr="004A0B60">
        <w:t>yield</w:t>
      </w:r>
      <w:r>
        <w:t>,</w:t>
      </w:r>
      <w:r w:rsidRPr="004A0B60">
        <w:t xml:space="preserve"> </w:t>
      </w:r>
      <w:r>
        <w:t xml:space="preserve">which </w:t>
      </w:r>
      <w:r w:rsidRPr="004A0B60">
        <w:t>resulted in an "artificial</w:t>
      </w:r>
      <w:r w:rsidRPr="00CA2165">
        <w:t xml:space="preserve"> in</w:t>
      </w:r>
      <w:r>
        <w:t>crease in the market benchmark" used by the Panel</w:t>
      </w:r>
      <w:r w:rsidRPr="00CA2165">
        <w:t>.</w:t>
      </w:r>
      <w:r w:rsidRPr="005F3B7A">
        <w:rPr>
          <w:rStyle w:val="FootnoteReference"/>
        </w:rPr>
        <w:footnoteReference w:id="424"/>
      </w:r>
      <w:r>
        <w:t xml:space="preserve"> On the other hand</w:t>
      </w:r>
      <w:r w:rsidRPr="00181457">
        <w:t xml:space="preserve">, </w:t>
      </w:r>
      <w:r w:rsidRPr="00FE454E">
        <w:t>the Panel</w:t>
      </w:r>
      <w:r>
        <w:t xml:space="preserve"> provided no plausible explanation for its</w:t>
      </w:r>
      <w:r w:rsidRPr="00FE454E">
        <w:t xml:space="preserve"> "unsupported" decision to set</w:t>
      </w:r>
      <w:r w:rsidRPr="00E72660">
        <w:t xml:space="preserve"> the corporate borrowing rate component of its market benchmark in the form of a </w:t>
      </w:r>
      <w:r w:rsidRPr="002563CB">
        <w:rPr>
          <w:i/>
        </w:rPr>
        <w:t>range</w:t>
      </w:r>
      <w:r>
        <w:t xml:space="preserve"> of average yields</w:t>
      </w:r>
      <w:r w:rsidRPr="00E72660">
        <w:t>.</w:t>
      </w:r>
      <w:r w:rsidRPr="00E37191">
        <w:rPr>
          <w:rStyle w:val="FootnoteReference"/>
        </w:rPr>
        <w:footnoteReference w:id="425"/>
      </w:r>
    </w:p>
    <w:p w:rsidR="0007161B" w:rsidRDefault="0007161B" w:rsidP="00DC4FDF">
      <w:pPr>
        <w:pStyle w:val="BodyText"/>
      </w:pPr>
      <w:r w:rsidRPr="002F6182">
        <w:t xml:space="preserve">The </w:t>
      </w:r>
      <w:r w:rsidR="000A10EA">
        <w:t>United States</w:t>
      </w:r>
      <w:r w:rsidRPr="00B613CF">
        <w:t xml:space="preserve"> </w:t>
      </w:r>
      <w:r>
        <w:t xml:space="preserve">requests that we </w:t>
      </w:r>
      <w:r w:rsidRPr="00B613CF">
        <w:t xml:space="preserve">reject the </w:t>
      </w:r>
      <w:r w:rsidR="000A10EA">
        <w:t>European Union</w:t>
      </w:r>
      <w:r w:rsidRPr="008331B2">
        <w:t>'s claim</w:t>
      </w:r>
      <w:r w:rsidRPr="00C9511E">
        <w:t xml:space="preserve"> that the Panel</w:t>
      </w:r>
      <w:r>
        <w:t xml:space="preserve"> acted inconsistently with </w:t>
      </w:r>
      <w:r w:rsidR="000A10EA">
        <w:t>Article </w:t>
      </w:r>
      <w:r w:rsidRPr="002207B9">
        <w:t>11 of the DSU</w:t>
      </w:r>
      <w:r>
        <w:t xml:space="preserve"> in this regard. According to the </w:t>
      </w:r>
      <w:r w:rsidR="000A10EA">
        <w:t>United States</w:t>
      </w:r>
      <w:r>
        <w:t xml:space="preserve">, </w:t>
      </w:r>
      <w:r w:rsidRPr="00CA2165">
        <w:t>the Panel in this case provided a thoroughly reasoned explanation, supported by evidence, for each of its findings.</w:t>
      </w:r>
      <w:r>
        <w:t xml:space="preserve"> In particular, t</w:t>
      </w:r>
      <w:r w:rsidRPr="00181457">
        <w:t xml:space="preserve">he </w:t>
      </w:r>
      <w:r w:rsidR="000A10EA">
        <w:t>United States</w:t>
      </w:r>
      <w:r w:rsidRPr="00FE454E">
        <w:t xml:space="preserve"> disagrees </w:t>
      </w:r>
      <w:r>
        <w:t>that the Panel acted</w:t>
      </w:r>
      <w:r w:rsidRPr="00844F04">
        <w:t xml:space="preserve"> inconsistent</w:t>
      </w:r>
      <w:r>
        <w:t>ly</w:t>
      </w:r>
      <w:r w:rsidRPr="00844F04">
        <w:t xml:space="preserve"> with </w:t>
      </w:r>
      <w:r w:rsidR="000A10EA">
        <w:t>Article </w:t>
      </w:r>
      <w:r w:rsidRPr="002F6182">
        <w:t xml:space="preserve">11 </w:t>
      </w:r>
      <w:r>
        <w:t xml:space="preserve">by stating </w:t>
      </w:r>
      <w:r w:rsidRPr="002F6182">
        <w:t>that the EADS bond yield "</w:t>
      </w:r>
      <w:r w:rsidRPr="00B613CF">
        <w:t>may reflect atypical fluctuations</w:t>
      </w:r>
      <w:r w:rsidRPr="008331B2">
        <w:t xml:space="preserve">" </w:t>
      </w:r>
      <w:r>
        <w:t xml:space="preserve">without </w:t>
      </w:r>
      <w:r w:rsidRPr="008331B2">
        <w:t>"test</w:t>
      </w:r>
      <w:r>
        <w:t>{ing}</w:t>
      </w:r>
      <w:r w:rsidRPr="008331B2">
        <w:t xml:space="preserve"> whether such atypical fluctuations in fact existed".</w:t>
      </w:r>
      <w:r w:rsidRPr="00C9511E">
        <w:rPr>
          <w:rStyle w:val="FootnoteReference"/>
        </w:rPr>
        <w:footnoteReference w:id="426"/>
      </w:r>
      <w:r>
        <w:t xml:space="preserve"> The </w:t>
      </w:r>
      <w:r w:rsidR="000A10EA">
        <w:t>United States</w:t>
      </w:r>
      <w:r>
        <w:t xml:space="preserve"> points out that</w:t>
      </w:r>
      <w:r w:rsidRPr="002207B9">
        <w:t xml:space="preserve"> </w:t>
      </w:r>
      <w:r w:rsidRPr="00A5149B">
        <w:t xml:space="preserve">the Panel </w:t>
      </w:r>
      <w:r w:rsidRPr="005F3B7A">
        <w:t xml:space="preserve">Report contains a graph that displays daily fluctuations in the EADS bond yield, which confirms that the Panel's concern about potentially atypical fluctuations in the bond yield was </w:t>
      </w:r>
      <w:r>
        <w:t>"</w:t>
      </w:r>
      <w:r w:rsidRPr="005F3B7A">
        <w:t xml:space="preserve">reasonable </w:t>
      </w:r>
      <w:r>
        <w:t>–</w:t>
      </w:r>
      <w:r w:rsidRPr="005F3B7A">
        <w:t xml:space="preserve"> not egregiously erroneous</w:t>
      </w:r>
      <w:r>
        <w:t>"</w:t>
      </w:r>
      <w:r w:rsidRPr="005F3B7A">
        <w:t>.</w:t>
      </w:r>
      <w:r w:rsidRPr="00181457">
        <w:rPr>
          <w:rStyle w:val="FootnoteReference"/>
        </w:rPr>
        <w:footnoteReference w:id="427"/>
      </w:r>
      <w:r w:rsidRPr="008331B2">
        <w:t xml:space="preserve"> </w:t>
      </w:r>
      <w:r>
        <w:t>The</w:t>
      </w:r>
      <w:r w:rsidRPr="00B51F4A">
        <w:t xml:space="preserve"> </w:t>
      </w:r>
      <w:r w:rsidR="000A10EA">
        <w:t>United States</w:t>
      </w:r>
      <w:r w:rsidRPr="007F423B">
        <w:t xml:space="preserve"> </w:t>
      </w:r>
      <w:r>
        <w:t xml:space="preserve">also </w:t>
      </w:r>
      <w:r w:rsidRPr="007F423B">
        <w:t xml:space="preserve">disagrees with </w:t>
      </w:r>
      <w:r w:rsidRPr="00EE151D">
        <w:t>t</w:t>
      </w:r>
      <w:r w:rsidRPr="00785A3F">
        <w:t>h</w:t>
      </w:r>
      <w:r w:rsidRPr="005F3B7A">
        <w:t xml:space="preserve">e </w:t>
      </w:r>
      <w:r w:rsidR="000A10EA">
        <w:t>European Union</w:t>
      </w:r>
      <w:r w:rsidRPr="005F3B7A">
        <w:t>'s assertion that</w:t>
      </w:r>
      <w:r>
        <w:t xml:space="preserve"> the Panel provided </w:t>
      </w:r>
      <w:r w:rsidRPr="00CE3CE8">
        <w:t xml:space="preserve">no </w:t>
      </w:r>
      <w:r>
        <w:t>"</w:t>
      </w:r>
      <w:r w:rsidRPr="00CE3CE8">
        <w:t>plausible explanation</w:t>
      </w:r>
      <w:r>
        <w:t>"</w:t>
      </w:r>
      <w:r w:rsidRPr="00CE3CE8">
        <w:t xml:space="preserve"> </w:t>
      </w:r>
      <w:r>
        <w:t>for its</w:t>
      </w:r>
      <w:r w:rsidRPr="005F3B7A">
        <w:t xml:space="preserve"> decision to express the corporate borrowing rate in the form of a </w:t>
      </w:r>
      <w:r w:rsidRPr="00DC7B32">
        <w:rPr>
          <w:i/>
        </w:rPr>
        <w:t>range</w:t>
      </w:r>
      <w:r>
        <w:t xml:space="preserve"> of average yields,</w:t>
      </w:r>
      <w:r w:rsidRPr="005F3B7A">
        <w:t xml:space="preserve"> </w:t>
      </w:r>
      <w:r>
        <w:t xml:space="preserve">contrary to </w:t>
      </w:r>
      <w:r w:rsidR="000A10EA">
        <w:t>Article </w:t>
      </w:r>
      <w:r w:rsidRPr="00CE3CE8">
        <w:t xml:space="preserve">11 </w:t>
      </w:r>
      <w:r>
        <w:t>of the DSU</w:t>
      </w:r>
      <w:r w:rsidRPr="00CE3CE8">
        <w:t>.</w:t>
      </w:r>
      <w:r w:rsidRPr="00FE454E">
        <w:rPr>
          <w:rStyle w:val="FootnoteReference"/>
        </w:rPr>
        <w:footnoteReference w:id="428"/>
      </w:r>
      <w:r w:rsidRPr="00E72660">
        <w:t xml:space="preserve"> The </w:t>
      </w:r>
      <w:r w:rsidR="000A10EA">
        <w:t>United States</w:t>
      </w:r>
      <w:r w:rsidRPr="002F6182">
        <w:t xml:space="preserve"> points out that such a plausible explanation </w:t>
      </w:r>
      <w:r>
        <w:t>is found in paragraph 6.389 of the Panel </w:t>
      </w:r>
      <w:r w:rsidRPr="002F6182">
        <w:t xml:space="preserve">Report. </w:t>
      </w:r>
      <w:r w:rsidRPr="008331B2">
        <w:t xml:space="preserve">Additionally, the </w:t>
      </w:r>
      <w:r w:rsidR="000A10EA">
        <w:t>United States</w:t>
      </w:r>
      <w:r w:rsidRPr="002207B9">
        <w:t xml:space="preserve"> asserts that the inclusion of such a range "enhances the robustness" of any findings based on </w:t>
      </w:r>
      <w:r>
        <w:t>a</w:t>
      </w:r>
      <w:r w:rsidRPr="002207B9">
        <w:t xml:space="preserve"> </w:t>
      </w:r>
      <w:r>
        <w:t>market</w:t>
      </w:r>
      <w:r w:rsidRPr="002207B9">
        <w:t xml:space="preserve"> benchmark because it allows for a comparison that reflects the variability of the </w:t>
      </w:r>
      <w:r>
        <w:t>bond yields</w:t>
      </w:r>
      <w:r w:rsidRPr="002207B9">
        <w:t>.</w:t>
      </w:r>
      <w:r>
        <w:rPr>
          <w:rStyle w:val="FootnoteReference"/>
        </w:rPr>
        <w:footnoteReference w:id="429"/>
      </w:r>
    </w:p>
    <w:p w:rsidR="0007161B" w:rsidRDefault="0007161B" w:rsidP="00DC4FDF">
      <w:pPr>
        <w:pStyle w:val="BodyText"/>
      </w:pPr>
      <w:r w:rsidRPr="002207B9">
        <w:lastRenderedPageBreak/>
        <w:t xml:space="preserve">Before addressing the </w:t>
      </w:r>
      <w:r w:rsidR="000A10EA">
        <w:t>European Union</w:t>
      </w:r>
      <w:r w:rsidRPr="00FE5C91">
        <w:t xml:space="preserve">'s claim that the Panel acted inconsistently with </w:t>
      </w:r>
      <w:r w:rsidR="000A10EA">
        <w:t>Article </w:t>
      </w:r>
      <w:r w:rsidRPr="00764E6F">
        <w:t xml:space="preserve">11 of the DSU, we begin by recalling key aspects of the </w:t>
      </w:r>
      <w:r w:rsidR="000A10EA">
        <w:t>Appellate Body</w:t>
      </w:r>
      <w:r w:rsidRPr="005B71B4">
        <w:t>'s jurisprudence under this provision.</w:t>
      </w:r>
    </w:p>
    <w:p w:rsidR="0007161B" w:rsidRPr="00064903" w:rsidRDefault="000A10EA" w:rsidP="00DC4FDF">
      <w:pPr>
        <w:pStyle w:val="BodyText"/>
      </w:pPr>
      <w:r>
        <w:t>Article </w:t>
      </w:r>
      <w:r w:rsidR="0007161B" w:rsidRPr="00064903">
        <w:t>11 of the DSU provides:</w:t>
      </w:r>
    </w:p>
    <w:p w:rsidR="0007161B" w:rsidRPr="001B2823" w:rsidRDefault="0007161B" w:rsidP="00206326">
      <w:pPr>
        <w:pStyle w:val="Quotation"/>
        <w:keepNext/>
        <w:keepLines/>
        <w:ind w:left="0"/>
        <w:jc w:val="center"/>
        <w:rPr>
          <w:i/>
          <w:szCs w:val="20"/>
        </w:rPr>
      </w:pPr>
      <w:r w:rsidRPr="001B2823">
        <w:rPr>
          <w:i/>
          <w:szCs w:val="20"/>
        </w:rPr>
        <w:t>Function of Panels</w:t>
      </w:r>
    </w:p>
    <w:p w:rsidR="0007161B" w:rsidRDefault="0007161B" w:rsidP="00206326">
      <w:pPr>
        <w:pStyle w:val="Quotation"/>
        <w:keepNext/>
        <w:keepLines/>
      </w:pPr>
      <w:r w:rsidRPr="000C534D">
        <w:t xml:space="preserve">The function of panels is to </w:t>
      </w:r>
      <w:r w:rsidRPr="00B51F4A">
        <w:t xml:space="preserve">assist the DSB in discharging its responsibilities under this </w:t>
      </w:r>
      <w:r w:rsidRPr="00670C1F">
        <w:t>Understanding</w:t>
      </w:r>
      <w:r w:rsidRPr="00B51F4A">
        <w:t xml:space="preserve"> and the covered agreements. Accordingly, a panel should make an objective assessment of the matter before it, including an objective assessment of the facts of the case and the app</w:t>
      </w:r>
      <w:r w:rsidRPr="007F423B">
        <w:t>licability of and conformity with the relevant covered agreements, and make such other findings as will assist the DSB in making the recommendations or in giving the rulings provided for in the covered agreements.</w:t>
      </w:r>
    </w:p>
    <w:p w:rsidR="0007161B" w:rsidRDefault="0007161B" w:rsidP="00DC4FDF">
      <w:pPr>
        <w:pStyle w:val="BodyText"/>
      </w:pPr>
      <w:r w:rsidRPr="00EE151D">
        <w:t xml:space="preserve">As the </w:t>
      </w:r>
      <w:r w:rsidR="000A10EA">
        <w:t>Appellate Body</w:t>
      </w:r>
      <w:r w:rsidRPr="00A21CA7">
        <w:t xml:space="preserve"> has observed, "</w:t>
      </w:r>
      <w:r w:rsidR="000A10EA">
        <w:t>Article </w:t>
      </w:r>
      <w:r w:rsidRPr="006973F0">
        <w:t>11 of the DSU imposes upon panels a comprehensive obligation to make an 'objective assessment of the matter', an obligation which embraces all aspects of a panel's examination of the 'matter', both factual and legal."</w:t>
      </w:r>
      <w:r w:rsidRPr="000C534D">
        <w:rPr>
          <w:rStyle w:val="FootnoteReference"/>
        </w:rPr>
        <w:footnoteReference w:id="430"/>
      </w:r>
      <w:r w:rsidRPr="000C534D">
        <w:t xml:space="preserve"> </w:t>
      </w:r>
      <w:r>
        <w:t>In </w:t>
      </w:r>
      <w:r w:rsidRPr="00B51F4A">
        <w:t xml:space="preserve">disputes concerning actionable </w:t>
      </w:r>
      <w:r w:rsidRPr="007F423B">
        <w:t xml:space="preserve">subsidies under the </w:t>
      </w:r>
      <w:r w:rsidR="000A10EA">
        <w:t>SCM Agreement</w:t>
      </w:r>
      <w:r w:rsidRPr="007F423B">
        <w:t>, a</w:t>
      </w:r>
      <w:r w:rsidRPr="00EE151D">
        <w:t xml:space="preserve"> panel serves as </w:t>
      </w:r>
      <w:r>
        <w:t>the</w:t>
      </w:r>
      <w:r w:rsidRPr="00EE151D">
        <w:t xml:space="preserve"> initial trier of facts. In such cases, panels have the responsibility to gather and analyse relevant factual data and information.</w:t>
      </w:r>
      <w:r w:rsidRPr="000C534D">
        <w:rPr>
          <w:vertAlign w:val="superscript"/>
        </w:rPr>
        <w:footnoteReference w:id="431"/>
      </w:r>
      <w:r w:rsidRPr="000C534D">
        <w:t xml:space="preserve"> </w:t>
      </w:r>
      <w:r w:rsidRPr="00B51F4A">
        <w:t>Th</w:t>
      </w:r>
      <w:r w:rsidRPr="005F3B7A">
        <w:t xml:space="preserve">e </w:t>
      </w:r>
      <w:r w:rsidR="000A10EA">
        <w:t>Appellate Body</w:t>
      </w:r>
      <w:r w:rsidRPr="005F3B7A">
        <w:t xml:space="preserve"> has</w:t>
      </w:r>
      <w:r>
        <w:t xml:space="preserve"> explained</w:t>
      </w:r>
      <w:r w:rsidRPr="005F3B7A">
        <w:t xml:space="preserve"> that a panel's duty as the trier of facts, in such cases, requires it to "consider all the evidence presented to it, assess its credibility, determine its weight, and ensure that its factual findings have a proper basis in that evidence".</w:t>
      </w:r>
      <w:r w:rsidRPr="005F3B7A">
        <w:rPr>
          <w:vertAlign w:val="superscript"/>
        </w:rPr>
        <w:footnoteReference w:id="432"/>
      </w:r>
      <w:r w:rsidRPr="005F3B7A">
        <w:t xml:space="preserve"> In the context of addressing claims under Part III of the </w:t>
      </w:r>
      <w:r w:rsidR="000A10EA">
        <w:t>SCM Agreement</w:t>
      </w:r>
      <w:r w:rsidRPr="005F3B7A">
        <w:t xml:space="preserve">, the </w:t>
      </w:r>
      <w:r w:rsidR="000A10EA">
        <w:t>Appellate Body</w:t>
      </w:r>
      <w:r w:rsidRPr="005F3B7A">
        <w:t xml:space="preserve"> has further specified the conditions that a panel must comply with to remain </w:t>
      </w:r>
      <w:r w:rsidRPr="00181457">
        <w:t>within the bounds of its authority as the initial trier of facts.</w:t>
      </w:r>
      <w:r w:rsidRPr="00CE3CE8">
        <w:rPr>
          <w:rStyle w:val="FootnoteReference"/>
        </w:rPr>
        <w:footnoteReference w:id="433"/>
      </w:r>
      <w:r w:rsidRPr="00FE454E">
        <w:t xml:space="preserve"> In particular, a panel may not "make affirmative findings that lack a basis in the evidence contained in the panel record".</w:t>
      </w:r>
      <w:r w:rsidRPr="00E72660">
        <w:rPr>
          <w:rStyle w:val="FootnoteReference"/>
        </w:rPr>
        <w:footnoteReference w:id="434"/>
      </w:r>
      <w:r w:rsidRPr="00E37191">
        <w:t xml:space="preserve"> As </w:t>
      </w:r>
      <w:r>
        <w:t>the</w:t>
      </w:r>
      <w:r w:rsidR="005B7BEB">
        <w:t xml:space="preserve"> initial trier of facts, a </w:t>
      </w:r>
      <w:r w:rsidRPr="00E37191">
        <w:t>panel must also provide "reasone</w:t>
      </w:r>
      <w:r w:rsidRPr="00844F04">
        <w:t>d and adequate explanations and coherent reasoning"</w:t>
      </w:r>
      <w:r w:rsidRPr="002F6182">
        <w:rPr>
          <w:vertAlign w:val="superscript"/>
        </w:rPr>
        <w:footnoteReference w:id="435"/>
      </w:r>
      <w:r>
        <w:t xml:space="preserve"> and not reveal a lack of "even</w:t>
      </w:r>
      <w:r>
        <w:noBreakHyphen/>
      </w:r>
      <w:r w:rsidRPr="002F6182">
        <w:t xml:space="preserve">handedness" in the </w:t>
      </w:r>
      <w:r>
        <w:t>"</w:t>
      </w:r>
      <w:r w:rsidRPr="002F6182">
        <w:t xml:space="preserve">treatment of </w:t>
      </w:r>
      <w:r>
        <w:t xml:space="preserve">the </w:t>
      </w:r>
      <w:r w:rsidRPr="002F6182">
        <w:t>evidence"</w:t>
      </w:r>
      <w:r>
        <w:t>.</w:t>
      </w:r>
      <w:r w:rsidRPr="00B613CF">
        <w:rPr>
          <w:vertAlign w:val="superscript"/>
        </w:rPr>
        <w:footnoteReference w:id="436"/>
      </w:r>
    </w:p>
    <w:p w:rsidR="0007161B" w:rsidRDefault="0007161B" w:rsidP="00DC4FDF">
      <w:pPr>
        <w:pStyle w:val="BodyText"/>
      </w:pPr>
      <w:r w:rsidRPr="008331B2">
        <w:t>Within these parameters, how</w:t>
      </w:r>
      <w:r w:rsidRPr="005F3B7A">
        <w:t>ever, it is generally within the discretion of a panel to decide which evidence it chooses to utilize in making its findings</w:t>
      </w:r>
      <w:r w:rsidRPr="005F3B7A">
        <w:rPr>
          <w:rStyle w:val="FootnoteReference"/>
        </w:rPr>
        <w:footnoteReference w:id="437"/>
      </w:r>
      <w:r w:rsidRPr="005F3B7A">
        <w:t>, and to determine how much weight to attach to the various items of evidence placed before it by the parties.</w:t>
      </w:r>
      <w:r w:rsidRPr="00181457">
        <w:rPr>
          <w:rStyle w:val="FootnoteReference"/>
        </w:rPr>
        <w:footnoteReference w:id="438"/>
      </w:r>
      <w:r w:rsidRPr="00CE3CE8">
        <w:t xml:space="preserve"> A panel does not err simply because it declines to accord to the evidence the weight that one of the parties</w:t>
      </w:r>
      <w:r w:rsidRPr="00FE454E">
        <w:t xml:space="preserve"> believes should be accorded to it.</w:t>
      </w:r>
      <w:r w:rsidRPr="00E72660">
        <w:rPr>
          <w:rStyle w:val="FootnoteReference"/>
        </w:rPr>
        <w:footnoteReference w:id="439"/>
      </w:r>
      <w:r w:rsidRPr="00E37191">
        <w:t xml:space="preserve"> Moreover, the mere fact that a panel </w:t>
      </w:r>
      <w:r w:rsidRPr="00844F04">
        <w:t xml:space="preserve">has </w:t>
      </w:r>
      <w:r w:rsidRPr="002F6182">
        <w:t>not explicitly referred</w:t>
      </w:r>
      <w:r w:rsidRPr="00B613CF">
        <w:t xml:space="preserve"> to each and every piece of evidence in its reasoning is insufficient to establish a claim</w:t>
      </w:r>
      <w:r w:rsidRPr="008331B2">
        <w:t xml:space="preserve"> of violation under </w:t>
      </w:r>
      <w:r w:rsidR="000A10EA">
        <w:t>Article </w:t>
      </w:r>
      <w:r w:rsidRPr="00C9511E">
        <w:t>11.</w:t>
      </w:r>
      <w:r w:rsidRPr="002207B9">
        <w:rPr>
          <w:rStyle w:val="FootnoteReference"/>
        </w:rPr>
        <w:footnoteReference w:id="440"/>
      </w:r>
      <w:r w:rsidRPr="002207B9">
        <w:t xml:space="preserve"> Rather, an appellant must explain why such evidence is so material to its case that the panel's failure to address </w:t>
      </w:r>
      <w:r>
        <w:t xml:space="preserve">it </w:t>
      </w:r>
      <w:r w:rsidRPr="002207B9">
        <w:t xml:space="preserve">explicitly </w:t>
      </w:r>
      <w:r w:rsidRPr="005F3B7A">
        <w:t xml:space="preserve">has a bearing on the objectivity of </w:t>
      </w:r>
      <w:r>
        <w:t xml:space="preserve">its </w:t>
      </w:r>
      <w:r w:rsidRPr="005F3B7A">
        <w:t>factual assessment.</w:t>
      </w:r>
      <w:r w:rsidRPr="00181457">
        <w:rPr>
          <w:rStyle w:val="FootnoteReference"/>
        </w:rPr>
        <w:footnoteReference w:id="441"/>
      </w:r>
    </w:p>
    <w:p w:rsidR="0007161B" w:rsidRDefault="0007161B" w:rsidP="00DC4FDF">
      <w:pPr>
        <w:pStyle w:val="BodyText"/>
      </w:pPr>
      <w:r w:rsidRPr="00FE454E">
        <w:lastRenderedPageBreak/>
        <w:t xml:space="preserve">The </w:t>
      </w:r>
      <w:r w:rsidR="000A10EA">
        <w:t>Appellate Body</w:t>
      </w:r>
      <w:r w:rsidRPr="00E37191">
        <w:t xml:space="preserve"> has also considered it unacceptable for an app</w:t>
      </w:r>
      <w:r w:rsidRPr="00844F04">
        <w:t xml:space="preserve">ellant simply to recast factual arguments that it made before the panel in the guise of an </w:t>
      </w:r>
      <w:r w:rsidR="000A10EA">
        <w:t>Article </w:t>
      </w:r>
      <w:r w:rsidRPr="002F6182">
        <w:t xml:space="preserve">11 </w:t>
      </w:r>
      <w:r w:rsidRPr="00B613CF">
        <w:t>claim.</w:t>
      </w:r>
      <w:r w:rsidRPr="008331B2">
        <w:rPr>
          <w:rStyle w:val="FootnoteReference"/>
        </w:rPr>
        <w:footnoteReference w:id="442"/>
      </w:r>
      <w:r w:rsidRPr="008331B2">
        <w:t xml:space="preserve"> Instead, an appellant must ide</w:t>
      </w:r>
      <w:r w:rsidRPr="00C9511E">
        <w:t>ntify specific errors regarding the objectivity of the panel's assessment</w:t>
      </w:r>
      <w:r w:rsidRPr="002207B9">
        <w:rPr>
          <w:rStyle w:val="FootnoteReference"/>
        </w:rPr>
        <w:footnoteReference w:id="443"/>
      </w:r>
      <w:r w:rsidRPr="002207B9">
        <w:t xml:space="preserve"> and "</w:t>
      </w:r>
      <w:r w:rsidRPr="00FE5C91">
        <w:t xml:space="preserve">explain </w:t>
      </w:r>
      <w:r w:rsidRPr="00FE5C91">
        <w:rPr>
          <w:i/>
        </w:rPr>
        <w:t>why</w:t>
      </w:r>
      <w:r w:rsidRPr="00B84BA1">
        <w:t xml:space="preserve"> the alleged error </w:t>
      </w:r>
      <w:r w:rsidRPr="00764E6F">
        <w:rPr>
          <w:i/>
        </w:rPr>
        <w:t>meets</w:t>
      </w:r>
      <w:r w:rsidRPr="005B71B4">
        <w:t xml:space="preserve"> the standard of review under that provision".</w:t>
      </w:r>
      <w:r w:rsidRPr="005B71B4">
        <w:rPr>
          <w:rStyle w:val="FootnoteReference"/>
        </w:rPr>
        <w:footnoteReference w:id="444"/>
      </w:r>
      <w:r w:rsidRPr="00E07A4B">
        <w:t xml:space="preserve"> Indeed, a </w:t>
      </w:r>
      <w:r w:rsidRPr="00064903">
        <w:t>claim</w:t>
      </w:r>
      <w:r w:rsidRPr="001B2823">
        <w:t xml:space="preserve"> that a </w:t>
      </w:r>
      <w:r w:rsidRPr="000C534D">
        <w:t>panel has f</w:t>
      </w:r>
      <w:r>
        <w:t>ailed to conduct the "objective </w:t>
      </w:r>
      <w:r w:rsidRPr="000C534D">
        <w:t xml:space="preserve">assessment of the matter before it" </w:t>
      </w:r>
      <w:r w:rsidRPr="00B51F4A">
        <w:t>a</w:t>
      </w:r>
      <w:r w:rsidRPr="005F3B7A">
        <w:t xml:space="preserve">s required by </w:t>
      </w:r>
      <w:r w:rsidR="000A10EA">
        <w:t>Article </w:t>
      </w:r>
      <w:r>
        <w:t>11 of the DSU is "a </w:t>
      </w:r>
      <w:r w:rsidRPr="005F3B7A">
        <w:t>very serious allegation"</w:t>
      </w:r>
      <w:r w:rsidRPr="00181457">
        <w:rPr>
          <w:rStyle w:val="FootnoteReference"/>
        </w:rPr>
        <w:footnoteReference w:id="445"/>
      </w:r>
      <w:r w:rsidRPr="00CE3CE8">
        <w:t xml:space="preserve">, and the </w:t>
      </w:r>
      <w:r w:rsidR="000A10EA">
        <w:t>Appellate Body</w:t>
      </w:r>
      <w:r w:rsidRPr="00E72660">
        <w:t xml:space="preserve"> will not "interfere lightly" with a panel's fact</w:t>
      </w:r>
      <w:r w:rsidRPr="00E37191">
        <w:noBreakHyphen/>
      </w:r>
      <w:r w:rsidRPr="00844F04">
        <w:t>finding authority.</w:t>
      </w:r>
      <w:r w:rsidRPr="002F6182">
        <w:rPr>
          <w:rStyle w:val="FootnoteReference"/>
        </w:rPr>
        <w:footnoteReference w:id="446"/>
      </w:r>
      <w:r w:rsidRPr="002F6182">
        <w:t xml:space="preserve"> Rathe</w:t>
      </w:r>
      <w:r w:rsidRPr="00B613CF">
        <w:t>r, for a claim</w:t>
      </w:r>
      <w:r w:rsidRPr="008331B2">
        <w:t xml:space="preserve"> under </w:t>
      </w:r>
      <w:r w:rsidR="000A10EA">
        <w:t>Article </w:t>
      </w:r>
      <w:r w:rsidRPr="00C9511E">
        <w:t xml:space="preserve">11 to succeed, the </w:t>
      </w:r>
      <w:r w:rsidR="000A10EA">
        <w:t>Appellate Body</w:t>
      </w:r>
      <w:r w:rsidRPr="002207B9">
        <w:t xml:space="preserve"> "must be satisfied that the panel has exceeded the bounds of its discretion, as the trier of facts".</w:t>
      </w:r>
      <w:r w:rsidRPr="002207B9">
        <w:rPr>
          <w:rStyle w:val="FootnoteReference"/>
        </w:rPr>
        <w:footnoteReference w:id="447"/>
      </w:r>
      <w:r w:rsidRPr="002207B9">
        <w:t xml:space="preserve"> According to the </w:t>
      </w:r>
      <w:r w:rsidR="000A10EA">
        <w:t>Appellate Body</w:t>
      </w:r>
      <w:r w:rsidRPr="00FE5C91">
        <w:t>, "not every error allegedly committed by a panel amounts to</w:t>
      </w:r>
      <w:r w:rsidRPr="00B84BA1">
        <w:t xml:space="preserve"> </w:t>
      </w:r>
      <w:r w:rsidRPr="00764E6F">
        <w:t xml:space="preserve">a violation of </w:t>
      </w:r>
      <w:r w:rsidR="000A10EA">
        <w:t>Article </w:t>
      </w:r>
      <w:r w:rsidRPr="005B71B4">
        <w:t>11 of the DSU"</w:t>
      </w:r>
      <w:r w:rsidRPr="00E07A4B">
        <w:rPr>
          <w:rStyle w:val="FootnoteReference"/>
        </w:rPr>
        <w:footnoteReference w:id="448"/>
      </w:r>
      <w:r w:rsidRPr="00064903">
        <w:t>, but only those that are so material that, "taken together or singly"</w:t>
      </w:r>
      <w:r w:rsidRPr="001B2823">
        <w:rPr>
          <w:rStyle w:val="FootnoteReference"/>
        </w:rPr>
        <w:footnoteReference w:id="449"/>
      </w:r>
      <w:r w:rsidRPr="000C534D">
        <w:t>, they undermine the objectivity of the panel's assessment of the matter before it.</w:t>
      </w:r>
      <w:r w:rsidRPr="000C534D">
        <w:rPr>
          <w:rStyle w:val="FootnoteReference"/>
        </w:rPr>
        <w:footnoteReference w:id="450"/>
      </w:r>
    </w:p>
    <w:p w:rsidR="0007161B" w:rsidRDefault="0007161B" w:rsidP="00DC4FDF">
      <w:pPr>
        <w:pStyle w:val="BodyText"/>
      </w:pPr>
      <w:r w:rsidRPr="00172112">
        <w:t xml:space="preserve">In its first line of argumentation, the </w:t>
      </w:r>
      <w:r w:rsidR="000A10EA">
        <w:t>European Union</w:t>
      </w:r>
      <w:r w:rsidRPr="00172112">
        <w:t xml:space="preserve"> challenges the </w:t>
      </w:r>
      <w:r w:rsidRPr="00017E4F">
        <w:rPr>
          <w:i/>
        </w:rPr>
        <w:t>lack of a</w:t>
      </w:r>
      <w:r w:rsidRPr="00322D1F">
        <w:t xml:space="preserve"> </w:t>
      </w:r>
      <w:r w:rsidRPr="00017E4F">
        <w:rPr>
          <w:i/>
        </w:rPr>
        <w:t>sufficient</w:t>
      </w:r>
      <w:r>
        <w:t xml:space="preserve"> </w:t>
      </w:r>
      <w:r w:rsidRPr="00017E4F">
        <w:rPr>
          <w:i/>
        </w:rPr>
        <w:t>evidentiary basis</w:t>
      </w:r>
      <w:r w:rsidRPr="00064903">
        <w:t xml:space="preserve"> </w:t>
      </w:r>
      <w:r>
        <w:t xml:space="preserve">for the Panel's </w:t>
      </w:r>
      <w:r w:rsidRPr="00064903">
        <w:t>reject</w:t>
      </w:r>
      <w:r>
        <w:t>ion of</w:t>
      </w:r>
      <w:r w:rsidRPr="00064903">
        <w:t xml:space="preserve"> the yield of the EADS bond on the day of conclusion of each </w:t>
      </w:r>
      <w:r>
        <w:t xml:space="preserve">A350XWB LA/MSF </w:t>
      </w:r>
      <w:r w:rsidRPr="00064903">
        <w:t xml:space="preserve">contract </w:t>
      </w:r>
      <w:r w:rsidRPr="00AD4286">
        <w:t>because of</w:t>
      </w:r>
      <w:r w:rsidRPr="000C534D">
        <w:t xml:space="preserve"> "the possibility that that yield </w:t>
      </w:r>
      <w:r w:rsidRPr="00112CD2">
        <w:rPr>
          <w:i/>
        </w:rPr>
        <w:t>'may</w:t>
      </w:r>
      <w:r w:rsidRPr="007F423B">
        <w:t xml:space="preserve"> reflect atypical fluctuations'".</w:t>
      </w:r>
      <w:r w:rsidRPr="000C534D">
        <w:rPr>
          <w:rStyle w:val="FootnoteReference"/>
        </w:rPr>
        <w:footnoteReference w:id="451"/>
      </w:r>
      <w:r w:rsidRPr="000C534D">
        <w:t xml:space="preserve"> According to </w:t>
      </w:r>
      <w:r w:rsidRPr="00B51F4A">
        <w:t xml:space="preserve">the </w:t>
      </w:r>
      <w:r w:rsidR="000A10EA">
        <w:t>European Union</w:t>
      </w:r>
      <w:r w:rsidRPr="007F423B">
        <w:t xml:space="preserve">, the undisputed data on the record show that the yield on the day of conclusion of each </w:t>
      </w:r>
      <w:r w:rsidRPr="00EE151D">
        <w:t xml:space="preserve">A350XWB </w:t>
      </w:r>
      <w:r w:rsidRPr="00785A3F">
        <w:t xml:space="preserve">LA/MSF contract did not reflect atypical fluctuations, but was very similar – and sometimes even identical – to the average yield over the </w:t>
      </w:r>
      <w:r w:rsidRPr="00A21CA7">
        <w:t>on</w:t>
      </w:r>
      <w:r w:rsidRPr="00EC7285">
        <w:t>e-m</w:t>
      </w:r>
      <w:r w:rsidRPr="005F3B7A">
        <w:t xml:space="preserve">onth period prior to </w:t>
      </w:r>
      <w:r>
        <w:t xml:space="preserve">the conclusion of </w:t>
      </w:r>
      <w:r w:rsidRPr="005F3B7A">
        <w:t>each contract.</w:t>
      </w:r>
    </w:p>
    <w:p w:rsidR="0007161B" w:rsidRDefault="0007161B" w:rsidP="00DC4FDF">
      <w:pPr>
        <w:pStyle w:val="BodyText"/>
      </w:pPr>
      <w:r>
        <w:t>I</w:t>
      </w:r>
      <w:r w:rsidRPr="000C534D">
        <w:t>n</w:t>
      </w:r>
      <w:r>
        <w:t xml:space="preserve"> our view, in</w:t>
      </w:r>
      <w:r w:rsidRPr="000C534D">
        <w:t xml:space="preserve"> making this argument, the </w:t>
      </w:r>
      <w:r w:rsidR="000A10EA">
        <w:t>European Union</w:t>
      </w:r>
      <w:r w:rsidRPr="007F423B">
        <w:t xml:space="preserve"> appears to be assuming that the Panel intended to base its conclusion on the fact that</w:t>
      </w:r>
      <w:r>
        <w:t>, in effect,</w:t>
      </w:r>
      <w:r w:rsidRPr="007F423B">
        <w:t xml:space="preserve"> </w:t>
      </w:r>
      <w:r w:rsidRPr="00EB600E">
        <w:rPr>
          <w:i/>
        </w:rPr>
        <w:t>there were</w:t>
      </w:r>
      <w:r w:rsidRPr="00785A3F">
        <w:t xml:space="preserve"> "atypical fluctuations" in the EADS bond yield on the day of </w:t>
      </w:r>
      <w:r w:rsidRPr="00F859D5">
        <w:t xml:space="preserve">conclusion of the </w:t>
      </w:r>
      <w:r>
        <w:t xml:space="preserve">four </w:t>
      </w:r>
      <w:r w:rsidRPr="00F859D5">
        <w:t xml:space="preserve">A350XWB </w:t>
      </w:r>
      <w:r w:rsidRPr="00181457">
        <w:t xml:space="preserve">LA/MSF </w:t>
      </w:r>
      <w:r>
        <w:t>contracts. However, as noted above, we do not understand the Panel to have based its finding</w:t>
      </w:r>
      <w:r w:rsidRPr="00C64980">
        <w:t xml:space="preserve"> </w:t>
      </w:r>
      <w:r>
        <w:t>on such an assumption</w:t>
      </w:r>
      <w:r w:rsidRPr="00C64980">
        <w:t xml:space="preserve">. Rather, the Panel </w:t>
      </w:r>
      <w:r>
        <w:t xml:space="preserve">appears to have merely observed, </w:t>
      </w:r>
      <w:r w:rsidRPr="00E06231">
        <w:rPr>
          <w:i/>
        </w:rPr>
        <w:t>as a general matter</w:t>
      </w:r>
      <w:r w:rsidRPr="00F859D5">
        <w:t xml:space="preserve">, </w:t>
      </w:r>
      <w:r>
        <w:t>that</w:t>
      </w:r>
      <w:r w:rsidRPr="00F859D5">
        <w:t xml:space="preserve"> choosing the yield on the day of conclusion of the </w:t>
      </w:r>
      <w:r w:rsidRPr="00181457">
        <w:t xml:space="preserve">contract at issue might raise some methodological concerns for purposes of constructing the market benchmark because, on the day of </w:t>
      </w:r>
      <w:r w:rsidRPr="00F859D5">
        <w:t>conclusion of a contract, the yield "</w:t>
      </w:r>
      <w:r w:rsidRPr="00EB600E">
        <w:rPr>
          <w:i/>
        </w:rPr>
        <w:t>may</w:t>
      </w:r>
      <w:r w:rsidRPr="00F859D5">
        <w:t xml:space="preserve"> reflect atypical fluctuations".</w:t>
      </w:r>
      <w:r w:rsidRPr="00F859D5">
        <w:rPr>
          <w:rStyle w:val="FootnoteReference"/>
        </w:rPr>
        <w:footnoteReference w:id="452"/>
      </w:r>
      <w:r>
        <w:t xml:space="preserve"> </w:t>
      </w:r>
      <w:r w:rsidRPr="002F6182">
        <w:t xml:space="preserve">Had the Panel </w:t>
      </w:r>
      <w:r w:rsidRPr="00B613CF">
        <w:t xml:space="preserve">intended to </w:t>
      </w:r>
      <w:r w:rsidRPr="00EB600E">
        <w:rPr>
          <w:i/>
        </w:rPr>
        <w:t>make the factual finding</w:t>
      </w:r>
      <w:r w:rsidRPr="008331B2">
        <w:t xml:space="preserve"> that the yield of the EADS bond was indeed</w:t>
      </w:r>
      <w:r w:rsidRPr="00EB600E">
        <w:rPr>
          <w:i/>
        </w:rPr>
        <w:t xml:space="preserve"> </w:t>
      </w:r>
      <w:r w:rsidRPr="002207B9">
        <w:t>affected by atypical fluctuations on the day of conclu</w:t>
      </w:r>
      <w:r w:rsidRPr="00F859D5">
        <w:t xml:space="preserve">sion of </w:t>
      </w:r>
      <w:r>
        <w:t xml:space="preserve">each of </w:t>
      </w:r>
      <w:r w:rsidRPr="00F859D5">
        <w:t xml:space="preserve">the </w:t>
      </w:r>
      <w:r>
        <w:t xml:space="preserve">four </w:t>
      </w:r>
      <w:r w:rsidRPr="00F859D5">
        <w:t xml:space="preserve">contracts, there could well be good reasons to </w:t>
      </w:r>
      <w:r>
        <w:t xml:space="preserve">criticize </w:t>
      </w:r>
      <w:r w:rsidRPr="00F859D5">
        <w:t xml:space="preserve">the Panel </w:t>
      </w:r>
      <w:r>
        <w:t>for</w:t>
      </w:r>
      <w:r w:rsidRPr="00F859D5">
        <w:t xml:space="preserve"> not </w:t>
      </w:r>
      <w:r>
        <w:t xml:space="preserve">having </w:t>
      </w:r>
      <w:r w:rsidRPr="00F859D5">
        <w:t>veri</w:t>
      </w:r>
      <w:r>
        <w:t>fied</w:t>
      </w:r>
      <w:r w:rsidRPr="00F859D5">
        <w:t xml:space="preserve"> whether the data substantiated that finding</w:t>
      </w:r>
      <w:r>
        <w:t xml:space="preserve"> and for not having reflected such review of the data in its reasoning</w:t>
      </w:r>
      <w:r w:rsidRPr="00F859D5">
        <w:t>.</w:t>
      </w:r>
      <w:r>
        <w:t xml:space="preserve"> However, this is not how we read the Panel's analysis. Moreover, t</w:t>
      </w:r>
      <w:r w:rsidRPr="00F859D5">
        <w:t xml:space="preserve">he Panel </w:t>
      </w:r>
      <w:r>
        <w:t>provided further reasoning</w:t>
      </w:r>
      <w:r w:rsidRPr="00F859D5">
        <w:t xml:space="preserve"> </w:t>
      </w:r>
      <w:r w:rsidR="00075669">
        <w:t xml:space="preserve">as to </w:t>
      </w:r>
      <w:r w:rsidRPr="00F859D5">
        <w:t xml:space="preserve">why it would be preferable </w:t>
      </w:r>
      <w:r w:rsidRPr="00EB600E">
        <w:rPr>
          <w:i/>
        </w:rPr>
        <w:t>not</w:t>
      </w:r>
      <w:r w:rsidRPr="00F859D5">
        <w:t xml:space="preserve"> to choose the yield of the bond on the day of conclusion of a contract by stating that "</w:t>
      </w:r>
      <w:r w:rsidRPr="00181457">
        <w:t>{</w:t>
      </w:r>
      <w:r w:rsidRPr="00CE3CE8">
        <w:t>p</w:t>
      </w:r>
      <w:r w:rsidRPr="00FE454E">
        <w:t>}</w:t>
      </w:r>
      <w:r w:rsidRPr="00E72660">
        <w:t xml:space="preserve">arties agreeing to a complex loan contract </w:t>
      </w:r>
      <w:r w:rsidRPr="00E37191">
        <w:t>may rather set the rates in the lead-up to the conclusion of the contract, and prior to the actual day on which the contract is signed."</w:t>
      </w:r>
      <w:r w:rsidRPr="00844F04">
        <w:rPr>
          <w:rStyle w:val="FootnoteReference"/>
        </w:rPr>
        <w:footnoteReference w:id="453"/>
      </w:r>
      <w:r>
        <w:t xml:space="preserve"> Therefore, we are not persuaded by the </w:t>
      </w:r>
      <w:r w:rsidR="000A10EA">
        <w:t>European Union</w:t>
      </w:r>
      <w:r>
        <w:t>'s argument in this regard.</w:t>
      </w:r>
    </w:p>
    <w:p w:rsidR="0007161B" w:rsidRDefault="0007161B" w:rsidP="00DC4FDF">
      <w:pPr>
        <w:pStyle w:val="BodyText"/>
      </w:pPr>
      <w:r w:rsidRPr="00844F04">
        <w:t xml:space="preserve">In </w:t>
      </w:r>
      <w:r>
        <w:t>its</w:t>
      </w:r>
      <w:r w:rsidRPr="002F6182">
        <w:t xml:space="preserve"> </w:t>
      </w:r>
      <w:r w:rsidRPr="00C20BEF">
        <w:t xml:space="preserve">second </w:t>
      </w:r>
      <w:r w:rsidRPr="00B613CF">
        <w:t>line of argumentation</w:t>
      </w:r>
      <w:r w:rsidRPr="008331B2">
        <w:t xml:space="preserve"> </w:t>
      </w:r>
      <w:r w:rsidRPr="00C9511E">
        <w:t xml:space="preserve">under </w:t>
      </w:r>
      <w:r w:rsidR="000A10EA">
        <w:t>Article </w:t>
      </w:r>
      <w:r w:rsidRPr="002207B9">
        <w:t xml:space="preserve">11 of the DSU, the </w:t>
      </w:r>
      <w:r w:rsidR="000A10EA">
        <w:t>European Union</w:t>
      </w:r>
      <w:r w:rsidRPr="00A5149B">
        <w:t xml:space="preserve"> argues that the Panel's analysis reflects a </w:t>
      </w:r>
      <w:r w:rsidRPr="00413364">
        <w:rPr>
          <w:i/>
        </w:rPr>
        <w:t>lack of objectivity and even-handedness</w:t>
      </w:r>
      <w:r w:rsidRPr="005B71B4">
        <w:t>.</w:t>
      </w:r>
      <w:r w:rsidR="000A10EA">
        <w:t xml:space="preserve"> The European Union</w:t>
      </w:r>
      <w:r>
        <w:t>'s argument is</w:t>
      </w:r>
      <w:r w:rsidRPr="000C534D">
        <w:t xml:space="preserve"> two-fold. First, the </w:t>
      </w:r>
      <w:r w:rsidR="000A10EA">
        <w:t>European Union</w:t>
      </w:r>
      <w:r w:rsidRPr="007F423B">
        <w:t xml:space="preserve"> contends that </w:t>
      </w:r>
      <w:r w:rsidRPr="00EE151D">
        <w:t>the fact that the Panel reject</w:t>
      </w:r>
      <w:r>
        <w:t>ed</w:t>
      </w:r>
      <w:r w:rsidRPr="00EE151D">
        <w:t xml:space="preserve"> the EADS bond yield on the da</w:t>
      </w:r>
      <w:r w:rsidRPr="00785A3F">
        <w:t xml:space="preserve">y of conclusion of each </w:t>
      </w:r>
      <w:r w:rsidRPr="00F859D5">
        <w:t xml:space="preserve">A350XWB </w:t>
      </w:r>
      <w:r w:rsidRPr="00181457">
        <w:t xml:space="preserve">LA/MSF </w:t>
      </w:r>
      <w:r w:rsidRPr="00785A3F">
        <w:t>contract against the background of a downward trend in such yield</w:t>
      </w:r>
      <w:r>
        <w:t xml:space="preserve"> evidences a </w:t>
      </w:r>
      <w:r w:rsidRPr="007F423B">
        <w:t xml:space="preserve">lack of objectivity </w:t>
      </w:r>
      <w:r w:rsidRPr="007F423B">
        <w:lastRenderedPageBreak/>
        <w:t>and even</w:t>
      </w:r>
      <w:r w:rsidRPr="007F423B">
        <w:noBreakHyphen/>
      </w:r>
      <w:r w:rsidRPr="00EE151D">
        <w:t>handedness</w:t>
      </w:r>
      <w:r w:rsidRPr="00785A3F">
        <w:t xml:space="preserve">. </w:t>
      </w:r>
      <w:r>
        <w:t xml:space="preserve">According to the </w:t>
      </w:r>
      <w:r w:rsidR="000A10EA">
        <w:t>European Union</w:t>
      </w:r>
      <w:r>
        <w:t>, t</w:t>
      </w:r>
      <w:r w:rsidRPr="00785A3F">
        <w:t>his resulted in an "artificial increa</w:t>
      </w:r>
      <w:r>
        <w:t>se in the market benchmark" used by the Panel.</w:t>
      </w:r>
      <w:r>
        <w:rPr>
          <w:rStyle w:val="FootnoteReference"/>
        </w:rPr>
        <w:footnoteReference w:id="454"/>
      </w:r>
      <w:r>
        <w:t xml:space="preserve"> </w:t>
      </w:r>
    </w:p>
    <w:p w:rsidR="0007161B" w:rsidRDefault="0007161B" w:rsidP="00DC4FDF">
      <w:pPr>
        <w:pStyle w:val="BodyText"/>
      </w:pPr>
      <w:r>
        <w:t xml:space="preserve">We agree with the </w:t>
      </w:r>
      <w:r w:rsidR="000A10EA">
        <w:t>European Union</w:t>
      </w:r>
      <w:r>
        <w:t xml:space="preserve"> that, given the risk of false findings of benefit being made, a panel must be particularly </w:t>
      </w:r>
      <w:r w:rsidRPr="00D072C8">
        <w:t>vigilant when it engages in a benefit analysis with respect to complex financial contributions</w:t>
      </w:r>
      <w:r>
        <w:t>,</w:t>
      </w:r>
      <w:r w:rsidRPr="00D072C8">
        <w:t xml:space="preserve"> the terms and conditions of which have been negotiated and agreed over a period of time. In particular,</w:t>
      </w:r>
      <w:r>
        <w:t xml:space="preserve"> a panel is required to take into account the time period over which the terms and conditions of the financial contribution</w:t>
      </w:r>
      <w:r w:rsidR="00E113E6">
        <w:t xml:space="preserve"> were negotiated and agreed, so </w:t>
      </w:r>
      <w:r>
        <w:t xml:space="preserve">that the benefit comparison focuses </w:t>
      </w:r>
      <w:r w:rsidRPr="005C562B">
        <w:t>"on the moment in time when the lender and borrower commit</w:t>
      </w:r>
      <w:r>
        <w:t>{ted}</w:t>
      </w:r>
      <w:r w:rsidRPr="005C562B">
        <w:t xml:space="preserve"> to the transaction".</w:t>
      </w:r>
      <w:r w:rsidRPr="005C562B">
        <w:rPr>
          <w:rStyle w:val="FootnoteReference"/>
        </w:rPr>
        <w:footnoteReference w:id="455"/>
      </w:r>
      <w:r>
        <w:t xml:space="preserve"> However, the fact that the Panel relied on averages of data is not in itself objectionable, provided that this information is close enough in time to the conclusion of the contract terms and conditions to be probative for the benefit comparison. In any event, the fact that there was a downward trend </w:t>
      </w:r>
      <w:r w:rsidRPr="00764E6F">
        <w:t>in the yield of the EADS bond</w:t>
      </w:r>
      <w:r>
        <w:t xml:space="preserve"> does not </w:t>
      </w:r>
      <w:r w:rsidRPr="00F96071">
        <w:rPr>
          <w:i/>
        </w:rPr>
        <w:t>per se</w:t>
      </w:r>
      <w:r>
        <w:t xml:space="preserve"> establish that the Panel failed to conduct a proper benefit analysis when it relied on</w:t>
      </w:r>
      <w:r w:rsidR="00E113E6">
        <w:t xml:space="preserve"> a range of average yields, let </w:t>
      </w:r>
      <w:r>
        <w:t xml:space="preserve">alone that it acted inconsistently with </w:t>
      </w:r>
      <w:r w:rsidR="000A10EA">
        <w:t>Article </w:t>
      </w:r>
      <w:r>
        <w:t xml:space="preserve">11 of the DSU. In fact, we view the </w:t>
      </w:r>
      <w:r w:rsidR="000A10EA">
        <w:t>European Union</w:t>
      </w:r>
      <w:r>
        <w:t xml:space="preserve">'s arguments under </w:t>
      </w:r>
      <w:r w:rsidR="000A10EA">
        <w:t>Article </w:t>
      </w:r>
      <w:r>
        <w:t xml:space="preserve">11 of the DSU as being largely premised on its view that the Panel misapplied </w:t>
      </w:r>
      <w:r w:rsidR="000A10EA">
        <w:t>Article </w:t>
      </w:r>
      <w:r>
        <w:t xml:space="preserve">1.1(b) of the </w:t>
      </w:r>
      <w:r w:rsidR="000A10EA">
        <w:t>SCM Agreement</w:t>
      </w:r>
      <w:r>
        <w:t>.</w:t>
      </w:r>
    </w:p>
    <w:p w:rsidR="0007161B" w:rsidRDefault="0007161B" w:rsidP="00DC4FDF">
      <w:pPr>
        <w:pStyle w:val="BodyText"/>
      </w:pPr>
      <w:r>
        <w:t xml:space="preserve">As noted above, we see </w:t>
      </w:r>
      <w:r w:rsidRPr="0049669F">
        <w:t>no</w:t>
      </w:r>
      <w:r>
        <w:t xml:space="preserve"> error in the Panel's analysis of the corporate borrowing rate component of the market benchmark under </w:t>
      </w:r>
      <w:r w:rsidR="000A10EA">
        <w:t>Article </w:t>
      </w:r>
      <w:r>
        <w:t xml:space="preserve">1.1(b) of the </w:t>
      </w:r>
      <w:r w:rsidR="000A10EA">
        <w:t>SCM Agreement</w:t>
      </w:r>
      <w:r>
        <w:t xml:space="preserve">. Indeed, we consider that the Panel based its conclusion on </w:t>
      </w:r>
      <w:r w:rsidRPr="001D58B0">
        <w:t>the specific nature and features of the</w:t>
      </w:r>
      <w:r>
        <w:t xml:space="preserve"> A350XWB LA/MSF</w:t>
      </w:r>
      <w:r w:rsidRPr="001D58B0">
        <w:t xml:space="preserve"> financing at issue in light of the arguments and evidence presented by the parties</w:t>
      </w:r>
      <w:r w:rsidR="00584272">
        <w:t>. In </w:t>
      </w:r>
      <w:r>
        <w:t>particular, one of</w:t>
      </w:r>
      <w:r w:rsidRPr="00B4588C">
        <w:t xml:space="preserve"> the</w:t>
      </w:r>
      <w:r>
        <w:t xml:space="preserve"> reasons provided by the</w:t>
      </w:r>
      <w:r w:rsidRPr="00B4588C">
        <w:t xml:space="preserve"> Panel </w:t>
      </w:r>
      <w:r w:rsidRPr="00D54C1A">
        <w:t>was that "</w:t>
      </w:r>
      <w:r>
        <w:t>{</w:t>
      </w:r>
      <w:r w:rsidRPr="00D54C1A">
        <w:t>p</w:t>
      </w:r>
      <w:r>
        <w:t>}</w:t>
      </w:r>
      <w:r w:rsidRPr="00D54C1A">
        <w:t xml:space="preserve">arties agreeing to a complex loan contract may rather set the rates in the lead-up to the conclusion of the </w:t>
      </w:r>
      <w:r w:rsidRPr="004E5695">
        <w:t>contract, and prior to the actual day on which the contract is signed</w:t>
      </w:r>
      <w:r>
        <w:t>.</w:t>
      </w:r>
      <w:r w:rsidRPr="004E5695">
        <w:t>"</w:t>
      </w:r>
      <w:r w:rsidRPr="00485DB3">
        <w:rPr>
          <w:rStyle w:val="FootnoteReference"/>
        </w:rPr>
        <w:footnoteReference w:id="456"/>
      </w:r>
      <w:r w:rsidRPr="004E5695">
        <w:t xml:space="preserve"> </w:t>
      </w:r>
      <w:r>
        <w:t xml:space="preserve">The Panel's findings support the view that the French, German, Spanish, and UK A350XWB LA/MSF contracts fall </w:t>
      </w:r>
      <w:r w:rsidR="00E113E6">
        <w:t>within this category of complex </w:t>
      </w:r>
      <w:r>
        <w:t>financing.</w:t>
      </w:r>
      <w:r w:rsidRPr="00AA5A87">
        <w:rPr>
          <w:rStyle w:val="FootnoteReference"/>
        </w:rPr>
        <w:footnoteReference w:id="457"/>
      </w:r>
      <w:r>
        <w:t xml:space="preserve"> </w:t>
      </w:r>
    </w:p>
    <w:p w:rsidR="0007161B" w:rsidRDefault="0007161B" w:rsidP="00DC4FDF">
      <w:pPr>
        <w:pStyle w:val="BodyText"/>
      </w:pPr>
      <w:r>
        <w:t>As we understand it, these</w:t>
      </w:r>
      <w:r w:rsidRPr="00B4588C">
        <w:t xml:space="preserve"> considerations served as the basis for the Panel's decision to determine the corporate borrowing rate using the average yields one</w:t>
      </w:r>
      <w:r>
        <w:t xml:space="preserve"> </w:t>
      </w:r>
      <w:r w:rsidRPr="00B4588C">
        <w:t xml:space="preserve">month prior and </w:t>
      </w:r>
      <w:r w:rsidR="000A10EA">
        <w:t>six month</w:t>
      </w:r>
      <w:r w:rsidRPr="00B4588C">
        <w:t xml:space="preserve">s prior to the conclusion of </w:t>
      </w:r>
      <w:r>
        <w:t>each</w:t>
      </w:r>
      <w:r w:rsidRPr="00B4588C">
        <w:t xml:space="preserve"> contract, in the form of a range</w:t>
      </w:r>
      <w:r>
        <w:t>, placing more reliance on the one</w:t>
      </w:r>
      <w:r>
        <w:noBreakHyphen/>
        <w:t xml:space="preserve">month average, while considering the </w:t>
      </w:r>
      <w:r w:rsidR="000A10EA">
        <w:t>six</w:t>
      </w:r>
      <w:r w:rsidR="000A10EA">
        <w:noBreakHyphen/>
        <w:t>month</w:t>
      </w:r>
      <w:r>
        <w:t xml:space="preserve"> average "helpful"</w:t>
      </w:r>
      <w:r w:rsidRPr="00B4588C">
        <w:t xml:space="preserve">. </w:t>
      </w:r>
      <w:r>
        <w:t xml:space="preserve">Since we disagree with the </w:t>
      </w:r>
      <w:r w:rsidR="000A10EA">
        <w:t>European Union</w:t>
      </w:r>
      <w:r>
        <w:t xml:space="preserve">'s arguments in the context of its claim of error under </w:t>
      </w:r>
      <w:r w:rsidR="000A10EA">
        <w:t>Article </w:t>
      </w:r>
      <w:r w:rsidR="00E113E6">
        <w:t>1.1(b) of the </w:t>
      </w:r>
      <w:r w:rsidR="000A10EA">
        <w:t>SCM Agreement</w:t>
      </w:r>
      <w:r>
        <w:t xml:space="preserve">, we consequently disagree with this line of argumentation under </w:t>
      </w:r>
      <w:r w:rsidR="00FA1C93">
        <w:t>Article 11 of </w:t>
      </w:r>
      <w:r w:rsidR="000A10EA">
        <w:t>the </w:t>
      </w:r>
      <w:r>
        <w:t>DSU.</w:t>
      </w:r>
    </w:p>
    <w:p w:rsidR="0007161B" w:rsidRDefault="0007161B" w:rsidP="00DC4FDF">
      <w:pPr>
        <w:pStyle w:val="BodyText"/>
      </w:pPr>
      <w:r>
        <w:t>Second</w:t>
      </w:r>
      <w:r w:rsidRPr="00785A3F">
        <w:t xml:space="preserve">, the </w:t>
      </w:r>
      <w:r w:rsidR="000A10EA">
        <w:t>European Union</w:t>
      </w:r>
      <w:r>
        <w:t xml:space="preserve"> asserts that </w:t>
      </w:r>
      <w:r w:rsidRPr="00EC7285">
        <w:t xml:space="preserve">the </w:t>
      </w:r>
      <w:r w:rsidRPr="006973F0">
        <w:t>Pane</w:t>
      </w:r>
      <w:r w:rsidRPr="005D1BBE">
        <w:t xml:space="preserve">l's </w:t>
      </w:r>
      <w:r>
        <w:t>lack of objectivity and even</w:t>
      </w:r>
      <w:r>
        <w:noBreakHyphen/>
      </w:r>
      <w:r w:rsidRPr="005D1BBE">
        <w:t xml:space="preserve">handedness is also revealed by its decision to set the corporate borrowing rate component of </w:t>
      </w:r>
      <w:r>
        <w:t>the</w:t>
      </w:r>
      <w:r w:rsidRPr="005D1BBE">
        <w:t xml:space="preserve"> market benchmark in the form of a range</w:t>
      </w:r>
      <w:r>
        <w:t xml:space="preserve"> of average yields</w:t>
      </w:r>
      <w:r w:rsidRPr="005D1BBE">
        <w:t>, without supporting its decision with any explanation.</w:t>
      </w:r>
      <w:r w:rsidR="00075669">
        <w:rPr>
          <w:rStyle w:val="FootnoteReference"/>
        </w:rPr>
        <w:footnoteReference w:id="458"/>
      </w:r>
    </w:p>
    <w:p w:rsidR="0007161B" w:rsidRDefault="0007161B" w:rsidP="00DC4FDF">
      <w:pPr>
        <w:pStyle w:val="BodyText"/>
      </w:pPr>
      <w:r>
        <w:t xml:space="preserve">In addressing this challenge under </w:t>
      </w:r>
      <w:r w:rsidR="000A10EA">
        <w:t>Article </w:t>
      </w:r>
      <w:r>
        <w:t>11 of the DSU, we begin by noting that t</w:t>
      </w:r>
      <w:r w:rsidRPr="00A21CA7">
        <w:t>he Panel expressed a clear pref</w:t>
      </w:r>
      <w:r w:rsidRPr="00EC7285">
        <w:t xml:space="preserve">erence for </w:t>
      </w:r>
      <w:r>
        <w:t xml:space="preserve">determining the EADS bond yield on the basis of </w:t>
      </w:r>
      <w:r w:rsidRPr="00EC7285">
        <w:t>evidence about market rates "in the lead-up to the conclusion of a contract".</w:t>
      </w:r>
      <w:r>
        <w:rPr>
          <w:rStyle w:val="FootnoteReference"/>
        </w:rPr>
        <w:footnoteReference w:id="459"/>
      </w:r>
      <w:r w:rsidRPr="00A21CA7">
        <w:t xml:space="preserve"> </w:t>
      </w:r>
      <w:r>
        <w:t>We recall that the information</w:t>
      </w:r>
      <w:r w:rsidRPr="00181457">
        <w:t xml:space="preserve"> on the record regarding the </w:t>
      </w:r>
      <w:r>
        <w:t xml:space="preserve">relevant </w:t>
      </w:r>
      <w:r w:rsidRPr="00181457">
        <w:t>yields</w:t>
      </w:r>
      <w:r>
        <w:t xml:space="preserve"> of the EADS bond</w:t>
      </w:r>
      <w:r w:rsidRPr="00181457">
        <w:t xml:space="preserve"> </w:t>
      </w:r>
      <w:r>
        <w:t>included</w:t>
      </w:r>
      <w:r w:rsidRPr="00181457">
        <w:t xml:space="preserve">: (i) the average yield over the </w:t>
      </w:r>
      <w:r w:rsidR="000A10EA">
        <w:t>six month</w:t>
      </w:r>
      <w:r w:rsidRPr="00181457">
        <w:t xml:space="preserve">s prior to the conclusion of the A350XWB LA/MSF contracts; and (ii) the average yield </w:t>
      </w:r>
      <w:r w:rsidRPr="00181457">
        <w:lastRenderedPageBreak/>
        <w:t xml:space="preserve">over the month prior to the conclusion of the A350XWB LA/MSF contracts. </w:t>
      </w:r>
      <w:r>
        <w:t>I</w:t>
      </w:r>
      <w:r w:rsidR="00DC2F8A">
        <w:t>n selecting those two </w:t>
      </w:r>
      <w:r w:rsidRPr="00844F04">
        <w:t xml:space="preserve">periods proposed by </w:t>
      </w:r>
      <w:r w:rsidRPr="002F6182">
        <w:t>D</w:t>
      </w:r>
      <w:r w:rsidRPr="00181457">
        <w:t xml:space="preserve">r Jordan, the Panel reasoned that "{p}arties agreeing to a complex loan contract may rather </w:t>
      </w:r>
      <w:r w:rsidRPr="00742A26">
        <w:rPr>
          <w:i/>
        </w:rPr>
        <w:t>set the rates in the lead</w:t>
      </w:r>
      <w:r w:rsidRPr="00742A26">
        <w:rPr>
          <w:i/>
        </w:rPr>
        <w:noBreakHyphen/>
        <w:t>up to the conclusion of the contract</w:t>
      </w:r>
      <w:r w:rsidRPr="00E72660">
        <w:t xml:space="preserve">, and prior to the </w:t>
      </w:r>
      <w:r w:rsidRPr="00E37191">
        <w:t>actual day on which the contract is signed."</w:t>
      </w:r>
      <w:r w:rsidRPr="00844F04">
        <w:rPr>
          <w:rStyle w:val="FootnoteReference"/>
        </w:rPr>
        <w:footnoteReference w:id="460"/>
      </w:r>
      <w:r>
        <w:t xml:space="preserve"> In light of these considerations, the Panel, in our view, did provide an </w:t>
      </w:r>
      <w:r w:rsidRPr="00A21CA7">
        <w:t xml:space="preserve">explanation </w:t>
      </w:r>
      <w:r>
        <w:t xml:space="preserve">for </w:t>
      </w:r>
      <w:r w:rsidRPr="007F423B">
        <w:t xml:space="preserve">its </w:t>
      </w:r>
      <w:r w:rsidRPr="00EE151D">
        <w:t>decision to set the corporate borro</w:t>
      </w:r>
      <w:r w:rsidRPr="00785A3F">
        <w:t>wing rate in the form of a range</w:t>
      </w:r>
      <w:r>
        <w:t xml:space="preserve"> of average yields. In any event, w</w:t>
      </w:r>
      <w:r w:rsidRPr="00B4588C">
        <w:t>e</w:t>
      </w:r>
      <w:r>
        <w:t xml:space="preserve"> reiterate</w:t>
      </w:r>
      <w:r w:rsidRPr="00B4588C">
        <w:t xml:space="preserve"> </w:t>
      </w:r>
      <w:r>
        <w:t>our understanding that, even though the corporate borrowing rate was determined in the form of a range</w:t>
      </w:r>
      <w:r w:rsidRPr="007471B0">
        <w:t xml:space="preserve"> </w:t>
      </w:r>
      <w:r>
        <w:t xml:space="preserve">of average yields, </w:t>
      </w:r>
      <w:r w:rsidRPr="004328ED">
        <w:t>the Panel</w:t>
      </w:r>
      <w:r>
        <w:t xml:space="preserve"> rightly gave</w:t>
      </w:r>
      <w:r w:rsidRPr="004328ED">
        <w:t xml:space="preserve"> </w:t>
      </w:r>
      <w:r>
        <w:t>more</w:t>
      </w:r>
      <w:r w:rsidRPr="004328ED">
        <w:t xml:space="preserve"> prominence to the one-month average yield </w:t>
      </w:r>
      <w:r>
        <w:t>of</w:t>
      </w:r>
      <w:r w:rsidRPr="004328ED">
        <w:t xml:space="preserve"> the EADS bond</w:t>
      </w:r>
      <w:r w:rsidR="000A10EA">
        <w:t xml:space="preserve"> than to the six</w:t>
      </w:r>
      <w:r w:rsidR="000A10EA">
        <w:noBreakHyphen/>
        <w:t>month</w:t>
      </w:r>
      <w:r>
        <w:t xml:space="preserve"> average yield. </w:t>
      </w:r>
    </w:p>
    <w:p w:rsidR="0007161B" w:rsidRDefault="0007161B" w:rsidP="00DC4FDF">
      <w:pPr>
        <w:pStyle w:val="BodyText"/>
      </w:pPr>
      <w:r>
        <w:t>In addition</w:t>
      </w:r>
      <w:r w:rsidRPr="00151FC5">
        <w:t xml:space="preserve">, we highlight that the </w:t>
      </w:r>
      <w:r w:rsidR="000A10EA">
        <w:t>European Union</w:t>
      </w:r>
      <w:r w:rsidRPr="004A0B60">
        <w:t xml:space="preserve"> itself fails to indicate why relying on a range </w:t>
      </w:r>
      <w:r w:rsidRPr="00CA2165">
        <w:t xml:space="preserve">of </w:t>
      </w:r>
      <w:r w:rsidR="00075669">
        <w:t xml:space="preserve">average </w:t>
      </w:r>
      <w:r w:rsidRPr="00CA2165">
        <w:t xml:space="preserve">yields for purposes of identifying the general corporate borrowing rate necessarily shows a lack of objectivity. </w:t>
      </w:r>
      <w:r>
        <w:t>A</w:t>
      </w:r>
      <w:r w:rsidRPr="00CA2165">
        <w:t>n appellant must identify specific errors regardi</w:t>
      </w:r>
      <w:r w:rsidRPr="005F3B7A">
        <w:t>ng the objectivity of the panel's assessment</w:t>
      </w:r>
      <w:r w:rsidRPr="005F3B7A">
        <w:rPr>
          <w:rStyle w:val="FootnoteReference"/>
        </w:rPr>
        <w:footnoteReference w:id="461"/>
      </w:r>
      <w:r w:rsidRPr="005F3B7A">
        <w:t xml:space="preserve">, and "it is incumbent on a participant raising a </w:t>
      </w:r>
      <w:r w:rsidRPr="00F859D5">
        <w:t>claim</w:t>
      </w:r>
      <w:r w:rsidRPr="00181457">
        <w:t xml:space="preserve"> under </w:t>
      </w:r>
      <w:r w:rsidR="000A10EA">
        <w:t>Article </w:t>
      </w:r>
      <w:r w:rsidRPr="00181457">
        <w:t xml:space="preserve">11 on appeal to explain </w:t>
      </w:r>
      <w:r w:rsidRPr="00742A26">
        <w:rPr>
          <w:i/>
        </w:rPr>
        <w:t>why</w:t>
      </w:r>
      <w:r w:rsidRPr="00CE3CE8">
        <w:t xml:space="preserve"> the alleged error </w:t>
      </w:r>
      <w:r w:rsidRPr="00742A26">
        <w:rPr>
          <w:i/>
        </w:rPr>
        <w:t>meets</w:t>
      </w:r>
      <w:r w:rsidRPr="00CE3CE8">
        <w:t xml:space="preserve"> the standard of review under that provision"</w:t>
      </w:r>
      <w:r w:rsidR="00075669">
        <w:t>.</w:t>
      </w:r>
      <w:r w:rsidRPr="00FE454E">
        <w:rPr>
          <w:rStyle w:val="FootnoteReference"/>
        </w:rPr>
        <w:footnoteReference w:id="462"/>
      </w:r>
      <w:r>
        <w:t xml:space="preserve"> I</w:t>
      </w:r>
      <w:r w:rsidRPr="00197394">
        <w:t xml:space="preserve">t </w:t>
      </w:r>
      <w:r>
        <w:t xml:space="preserve">certainly </w:t>
      </w:r>
      <w:r w:rsidRPr="00197394">
        <w:t xml:space="preserve">fell </w:t>
      </w:r>
      <w:r w:rsidRPr="00E97614">
        <w:t xml:space="preserve">well within the bounds of the </w:t>
      </w:r>
      <w:r w:rsidRPr="009A2130">
        <w:t xml:space="preserve">Panel's discretion under </w:t>
      </w:r>
      <w:r w:rsidR="000A10EA">
        <w:t>Article </w:t>
      </w:r>
      <w:r w:rsidRPr="009A2130">
        <w:t>11 of the DSU to refer to both averages in the form of a range.</w:t>
      </w:r>
    </w:p>
    <w:p w:rsidR="0007161B" w:rsidRDefault="0007161B" w:rsidP="00DC4FDF">
      <w:pPr>
        <w:pStyle w:val="BodyText"/>
      </w:pPr>
      <w:r>
        <w:t xml:space="preserve"> For the foregoing reasons, we disagree with the </w:t>
      </w:r>
      <w:r w:rsidR="000A10EA">
        <w:t>European Union</w:t>
      </w:r>
      <w:r>
        <w:t xml:space="preserve">'s claim that the Panel </w:t>
      </w:r>
      <w:r w:rsidRPr="00B613CF">
        <w:t xml:space="preserve">acted inconsistently with </w:t>
      </w:r>
      <w:r w:rsidR="000A10EA">
        <w:t>Article </w:t>
      </w:r>
      <w:r w:rsidRPr="008331B2">
        <w:t xml:space="preserve">11 of the DSU because it </w:t>
      </w:r>
      <w:r w:rsidRPr="00167FD1">
        <w:rPr>
          <w:i/>
        </w:rPr>
        <w:t>lacked a sufficient evidentiary basis</w:t>
      </w:r>
      <w:r w:rsidRPr="002207B9">
        <w:t xml:space="preserve"> for rejecting the EADS bond yield on the day of conclusion of each A350XWB LA/MSF contract</w:t>
      </w:r>
      <w:r>
        <w:t xml:space="preserve">. Moreover, we do not believe that the </w:t>
      </w:r>
      <w:r w:rsidR="000A10EA">
        <w:t>European Union</w:t>
      </w:r>
      <w:r>
        <w:t xml:space="preserve"> has established </w:t>
      </w:r>
      <w:r w:rsidRPr="00A5149B">
        <w:t>that the Panel's</w:t>
      </w:r>
      <w:r>
        <w:t xml:space="preserve"> decision to set the corporate borrowing rate in the form of a range</w:t>
      </w:r>
      <w:r w:rsidRPr="007471B0">
        <w:t xml:space="preserve"> </w:t>
      </w:r>
      <w:r>
        <w:t>of average yields, or the fact that such decision was done against the background of a downward trend in the yield of the EADS bond,</w:t>
      </w:r>
      <w:r w:rsidRPr="00A5149B">
        <w:t xml:space="preserve"> reflect</w:t>
      </w:r>
      <w:r>
        <w:t>s</w:t>
      </w:r>
      <w:r w:rsidRPr="00A5149B">
        <w:t xml:space="preserve"> a </w:t>
      </w:r>
      <w:r w:rsidRPr="004C6DD0">
        <w:t>lack of objectivity and even-handedness</w:t>
      </w:r>
      <w:r w:rsidRPr="00B84BA1">
        <w:t xml:space="preserve"> contrary to the requirements of </w:t>
      </w:r>
      <w:r w:rsidR="000A10EA">
        <w:t>Article </w:t>
      </w:r>
      <w:r w:rsidRPr="005B71B4">
        <w:t>11 of the DSU</w:t>
      </w:r>
      <w:r>
        <w:t xml:space="preserve">. Consequently, we </w:t>
      </w:r>
      <w:r w:rsidRPr="00851B6C">
        <w:rPr>
          <w:u w:val="single"/>
        </w:rPr>
        <w:t>find</w:t>
      </w:r>
      <w:r>
        <w:t xml:space="preserve"> that the </w:t>
      </w:r>
      <w:r w:rsidR="000A10EA">
        <w:t>European Union</w:t>
      </w:r>
      <w:r>
        <w:t xml:space="preserve"> has failed to establish that the Panel acted inconsistently with its obligations under </w:t>
      </w:r>
      <w:r w:rsidR="000A10EA">
        <w:t>Article </w:t>
      </w:r>
      <w:r>
        <w:t>11 of the DSU.</w:t>
      </w:r>
    </w:p>
    <w:p w:rsidR="0007161B" w:rsidRPr="00AD1E7B" w:rsidRDefault="0007161B" w:rsidP="00DC4FDF">
      <w:pPr>
        <w:pStyle w:val="Heading4"/>
      </w:pPr>
      <w:bookmarkStart w:id="72" w:name="_Toc514059221"/>
      <w:r w:rsidRPr="00AD1E7B">
        <w:t xml:space="preserve">The </w:t>
      </w:r>
      <w:r w:rsidR="000A10EA">
        <w:t>European Union</w:t>
      </w:r>
      <w:r w:rsidRPr="00AD1E7B">
        <w:t>'s conditional appeal</w:t>
      </w:r>
      <w:bookmarkEnd w:id="72"/>
    </w:p>
    <w:p w:rsidR="0007161B" w:rsidRDefault="0007161B" w:rsidP="00DC4FDF">
      <w:pPr>
        <w:pStyle w:val="BodyText"/>
      </w:pPr>
      <w:r>
        <w:t>T</w:t>
      </w:r>
      <w:r w:rsidRPr="00867FE3">
        <w:t xml:space="preserve">he </w:t>
      </w:r>
      <w:r w:rsidR="000A10EA">
        <w:t>European Union</w:t>
      </w:r>
      <w:r w:rsidRPr="00867FE3">
        <w:t xml:space="preserve"> </w:t>
      </w:r>
      <w:r>
        <w:t xml:space="preserve">brings two </w:t>
      </w:r>
      <w:r w:rsidRPr="00867FE3">
        <w:rPr>
          <w:i/>
        </w:rPr>
        <w:t>conditional</w:t>
      </w:r>
      <w:r w:rsidRPr="00867FE3">
        <w:t xml:space="preserve"> </w:t>
      </w:r>
      <w:r>
        <w:t>claims</w:t>
      </w:r>
      <w:r w:rsidR="00075669">
        <w:t xml:space="preserve"> – </w:t>
      </w:r>
      <w:r>
        <w:t xml:space="preserve">one claim of error in the </w:t>
      </w:r>
      <w:r w:rsidRPr="00867FE3">
        <w:t xml:space="preserve">application of </w:t>
      </w:r>
      <w:r w:rsidR="000A10EA">
        <w:t>Article </w:t>
      </w:r>
      <w:r>
        <w:t xml:space="preserve">1.1(b) of the </w:t>
      </w:r>
      <w:r w:rsidR="000A10EA">
        <w:t>SCM Agreement</w:t>
      </w:r>
      <w:r>
        <w:t xml:space="preserve"> and one claim of inconsistency with </w:t>
      </w:r>
      <w:r w:rsidR="000A10EA">
        <w:t>Article </w:t>
      </w:r>
      <w:r>
        <w:t xml:space="preserve">11 of the DSU – challenging the Panel's decision to </w:t>
      </w:r>
      <w:r w:rsidRPr="00867FE3">
        <w:t xml:space="preserve">accept the average yield of the EADS bond over the </w:t>
      </w:r>
      <w:r w:rsidR="000A10EA">
        <w:rPr>
          <w:i/>
        </w:rPr>
        <w:t>six month</w:t>
      </w:r>
      <w:r w:rsidRPr="00742A26">
        <w:rPr>
          <w:i/>
        </w:rPr>
        <w:t>s</w:t>
      </w:r>
      <w:r w:rsidRPr="00867FE3">
        <w:t xml:space="preserve"> prior to the conclusion of each of the </w:t>
      </w:r>
      <w:r>
        <w:t xml:space="preserve">four </w:t>
      </w:r>
      <w:r w:rsidRPr="00867FE3">
        <w:t>A350XWB LA/MSF contract</w:t>
      </w:r>
      <w:r>
        <w:t>s</w:t>
      </w:r>
      <w:r w:rsidRPr="00867FE3">
        <w:t xml:space="preserve"> as part of the range that </w:t>
      </w:r>
      <w:r>
        <w:t>was</w:t>
      </w:r>
      <w:r w:rsidRPr="00867FE3">
        <w:t xml:space="preserve"> used to determine the corporate borrowing rate</w:t>
      </w:r>
      <w:r>
        <w:t>.</w:t>
      </w:r>
      <w:r w:rsidR="00075669">
        <w:rPr>
          <w:rStyle w:val="FootnoteReference"/>
        </w:rPr>
        <w:footnoteReference w:id="463"/>
      </w:r>
      <w:r>
        <w:t xml:space="preserve"> These claims are conditional upon us </w:t>
      </w:r>
      <w:r w:rsidRPr="00867FE3">
        <w:t>reject</w:t>
      </w:r>
      <w:r>
        <w:t>ing</w:t>
      </w:r>
      <w:r w:rsidRPr="00867FE3">
        <w:t xml:space="preserve"> </w:t>
      </w:r>
      <w:r>
        <w:t xml:space="preserve">the </w:t>
      </w:r>
      <w:r w:rsidR="000A10EA">
        <w:t>European Union</w:t>
      </w:r>
      <w:r>
        <w:t>'s principal</w:t>
      </w:r>
      <w:r w:rsidRPr="00867FE3">
        <w:t xml:space="preserve"> claims</w:t>
      </w:r>
      <w:r>
        <w:t xml:space="preserve"> on appeal. Given that we have rejected these claims of error, we turn to address the </w:t>
      </w:r>
      <w:r w:rsidR="000A10EA">
        <w:t>European Union</w:t>
      </w:r>
      <w:r>
        <w:t>'s conditional claims.</w:t>
      </w:r>
    </w:p>
    <w:p w:rsidR="0007161B" w:rsidRDefault="0007161B" w:rsidP="00DC4FDF">
      <w:pPr>
        <w:pStyle w:val="Heading5"/>
        <w:numPr>
          <w:ilvl w:val="4"/>
          <w:numId w:val="11"/>
        </w:numPr>
      </w:pPr>
      <w:bookmarkStart w:id="73" w:name="_Toc514059222"/>
      <w:bookmarkStart w:id="74" w:name="_Toc478564647"/>
      <w:r w:rsidRPr="00E37191">
        <w:t xml:space="preserve">Whether the Panel erred in </w:t>
      </w:r>
      <w:r>
        <w:t>its</w:t>
      </w:r>
      <w:r w:rsidRPr="00E37191">
        <w:t xml:space="preserve"> application of </w:t>
      </w:r>
      <w:r w:rsidR="000A10EA">
        <w:t>Article </w:t>
      </w:r>
      <w:r>
        <w:t xml:space="preserve">1.1(b) of the </w:t>
      </w:r>
      <w:r w:rsidR="000A10EA">
        <w:t>SCM Agreement</w:t>
      </w:r>
      <w:r>
        <w:t xml:space="preserve"> </w:t>
      </w:r>
      <w:r w:rsidRPr="00CA2B76">
        <w:t>by including the</w:t>
      </w:r>
      <w:r>
        <w:t xml:space="preserve"> </w:t>
      </w:r>
      <w:r w:rsidR="000A10EA">
        <w:t>six</w:t>
      </w:r>
      <w:r w:rsidR="000A10EA">
        <w:noBreakHyphen/>
        <w:t>month</w:t>
      </w:r>
      <w:r w:rsidRPr="00CA2B76">
        <w:t xml:space="preserve"> average yield </w:t>
      </w:r>
      <w:r>
        <w:t>of</w:t>
      </w:r>
      <w:r w:rsidRPr="00CA2B76">
        <w:t xml:space="preserve"> the EADS bond</w:t>
      </w:r>
      <w:r>
        <w:t xml:space="preserve"> </w:t>
      </w:r>
      <w:r w:rsidRPr="00C7364A">
        <w:t>in its determination of the</w:t>
      </w:r>
      <w:r w:rsidRPr="00CA2B76">
        <w:t xml:space="preserve"> corporate borrowing rate</w:t>
      </w:r>
      <w:bookmarkEnd w:id="73"/>
      <w:r w:rsidRPr="00CA2B76">
        <w:t xml:space="preserve"> </w:t>
      </w:r>
      <w:bookmarkEnd w:id="74"/>
    </w:p>
    <w:p w:rsidR="0007161B" w:rsidRDefault="0007161B" w:rsidP="00DC4FDF">
      <w:pPr>
        <w:pStyle w:val="BodyText"/>
      </w:pPr>
      <w:r>
        <w:t>T</w:t>
      </w:r>
      <w:r w:rsidRPr="0097319F">
        <w:t xml:space="preserve">he </w:t>
      </w:r>
      <w:r w:rsidR="000A10EA">
        <w:t>European Union</w:t>
      </w:r>
      <w:r w:rsidRPr="0097319F">
        <w:t xml:space="preserve"> argues that the Panel erroneously used, "as part of the range of corporate borrowing rates forming part of its market benchmark, the average yield </w:t>
      </w:r>
      <w:r w:rsidRPr="009432CA">
        <w:t>{of the EADS bond</w:t>
      </w:r>
      <w:r w:rsidRPr="00867FE3">
        <w:t xml:space="preserve">} over the </w:t>
      </w:r>
      <w:r w:rsidR="000A10EA">
        <w:t>six month</w:t>
      </w:r>
      <w:r w:rsidRPr="00867FE3">
        <w:t xml:space="preserve">s prior to the conclusion of each of the </w:t>
      </w:r>
      <w:r>
        <w:t xml:space="preserve">{four A350XWB} </w:t>
      </w:r>
      <w:r w:rsidRPr="00867FE3">
        <w:t>LA/MSF contracts</w:t>
      </w:r>
      <w:r w:rsidRPr="00FE41F2">
        <w:t>"</w:t>
      </w:r>
      <w:r w:rsidRPr="00EC4C12">
        <w:t>.</w:t>
      </w:r>
      <w:r w:rsidRPr="00E55FB8">
        <w:rPr>
          <w:rStyle w:val="FootnoteReference"/>
        </w:rPr>
        <w:footnoteReference w:id="464"/>
      </w:r>
      <w:r w:rsidRPr="00E55FB8">
        <w:t xml:space="preserve"> In the </w:t>
      </w:r>
      <w:r w:rsidR="000A10EA">
        <w:t>European Union</w:t>
      </w:r>
      <w:r w:rsidRPr="000951A8">
        <w:t>'s view, "</w:t>
      </w:r>
      <w:r w:rsidRPr="00C414C9">
        <w:t>{</w:t>
      </w:r>
      <w:r w:rsidRPr="00316CF9">
        <w:t>t</w:t>
      </w:r>
      <w:r w:rsidRPr="00197394">
        <w:t>}</w:t>
      </w:r>
      <w:r w:rsidRPr="00E97614">
        <w:t xml:space="preserve">he average yield of the relevant EADS bond over those </w:t>
      </w:r>
      <w:r w:rsidR="000A10EA">
        <w:t>six</w:t>
      </w:r>
      <w:r w:rsidR="000A10EA">
        <w:noBreakHyphen/>
        <w:t>month</w:t>
      </w:r>
      <w:r w:rsidRPr="00E97614">
        <w:t xml:space="preserve"> periods does not reflect the yield </w:t>
      </w:r>
      <w:r w:rsidRPr="007F0FAB">
        <w:t>'</w:t>
      </w:r>
      <w:r w:rsidRPr="00E97614">
        <w:rPr>
          <w:i/>
        </w:rPr>
        <w:t>at the time</w:t>
      </w:r>
      <w:r w:rsidRPr="00834530">
        <w:t xml:space="preserve"> that each particular </w:t>
      </w:r>
      <w:r w:rsidRPr="007D4E98">
        <w:t xml:space="preserve">contract was </w:t>
      </w:r>
      <w:r w:rsidRPr="006E63EA">
        <w:rPr>
          <w:i/>
        </w:rPr>
        <w:t>concluded</w:t>
      </w:r>
      <w:r w:rsidRPr="006E63EA">
        <w:t xml:space="preserve">', </w:t>
      </w:r>
      <w:r w:rsidRPr="00CC1F1F">
        <w:t xml:space="preserve">and does not 'focus{} on the moment in time when the lender and borrower </w:t>
      </w:r>
      <w:r w:rsidRPr="00395121">
        <w:rPr>
          <w:i/>
        </w:rPr>
        <w:t>commit to the transaction</w:t>
      </w:r>
      <w:r w:rsidRPr="00A22B4D">
        <w:t>'."</w:t>
      </w:r>
      <w:r w:rsidRPr="00D32743">
        <w:rPr>
          <w:rStyle w:val="FootnoteReference"/>
        </w:rPr>
        <w:footnoteReference w:id="465"/>
      </w:r>
      <w:r w:rsidRPr="00D32743">
        <w:t xml:space="preserve"> The </w:t>
      </w:r>
      <w:r w:rsidR="000A10EA">
        <w:t>European Union</w:t>
      </w:r>
      <w:r w:rsidRPr="00151FC5">
        <w:t xml:space="preserve"> points out that "</w:t>
      </w:r>
      <w:r w:rsidRPr="00C64BE0">
        <w:t>{</w:t>
      </w:r>
      <w:r w:rsidRPr="004A0B60">
        <w:t>t}</w:t>
      </w:r>
      <w:r w:rsidRPr="00CA2165">
        <w:t xml:space="preserve">he Panel itself found that the </w:t>
      </w:r>
      <w:r w:rsidR="000A10EA">
        <w:t>six</w:t>
      </w:r>
      <w:r w:rsidR="000A10EA">
        <w:noBreakHyphen/>
        <w:t>month</w:t>
      </w:r>
      <w:r w:rsidRPr="00CA2165">
        <w:t xml:space="preserve"> average was '</w:t>
      </w:r>
      <w:r w:rsidRPr="00CA2165">
        <w:rPr>
          <w:i/>
        </w:rPr>
        <w:t>less likely to reflect</w:t>
      </w:r>
      <w:r w:rsidRPr="00CA2165">
        <w:t xml:space="preserve"> expecta</w:t>
      </w:r>
      <w:r w:rsidRPr="005F3B7A">
        <w:t xml:space="preserve">tions during the finalisation period' of each </w:t>
      </w:r>
      <w:r w:rsidRPr="005F3B7A">
        <w:lastRenderedPageBreak/>
        <w:t>LA/MSF contract than the one-month average."</w:t>
      </w:r>
      <w:r w:rsidRPr="005F3B7A">
        <w:rPr>
          <w:rStyle w:val="FootnoteReference"/>
        </w:rPr>
        <w:footnoteReference w:id="466"/>
      </w:r>
      <w:r w:rsidRPr="005F3B7A">
        <w:t xml:space="preserve"> Thus, in the </w:t>
      </w:r>
      <w:r w:rsidR="000A10EA">
        <w:t>European Union</w:t>
      </w:r>
      <w:r w:rsidRPr="00F859D5">
        <w:t xml:space="preserve">'s view, the Panel "adopted a market benchmark that the Panel itself recognised does not reflect the yield </w:t>
      </w:r>
      <w:r w:rsidRPr="00181457">
        <w:rPr>
          <w:i/>
        </w:rPr>
        <w:t>at the time</w:t>
      </w:r>
      <w:r w:rsidRPr="00CE3CE8">
        <w:t xml:space="preserve"> the LA/MSF contracts were concluded".</w:t>
      </w:r>
      <w:r w:rsidRPr="00CA2B76">
        <w:rPr>
          <w:rStyle w:val="FootnoteReference"/>
        </w:rPr>
        <w:footnoteReference w:id="467"/>
      </w:r>
    </w:p>
    <w:p w:rsidR="0007161B" w:rsidRDefault="0007161B" w:rsidP="00DC4FDF">
      <w:pPr>
        <w:pStyle w:val="BodyText"/>
      </w:pPr>
      <w:r w:rsidRPr="00FE454E">
        <w:t xml:space="preserve">Moreover, according to the </w:t>
      </w:r>
      <w:r w:rsidR="000A10EA">
        <w:t>European Union</w:t>
      </w:r>
      <w:r w:rsidRPr="00D60107">
        <w:t xml:space="preserve">, the </w:t>
      </w:r>
      <w:r w:rsidR="000A10EA">
        <w:t>six</w:t>
      </w:r>
      <w:r w:rsidR="000A10EA">
        <w:noBreakHyphen/>
        <w:t>month</w:t>
      </w:r>
      <w:r w:rsidRPr="00D60107">
        <w:t xml:space="preserve"> average yield used by the Panel was "particularly prone to result in misplaced findings of subsidisation", given that "there was a downward trend in yields on the relevant EADS bon</w:t>
      </w:r>
      <w:r w:rsidRPr="00E72660">
        <w:t>d in the months leading-up to the conclusion of each contract</w:t>
      </w:r>
      <w:r>
        <w:t>.</w:t>
      </w:r>
      <w:r w:rsidRPr="00E72660">
        <w:t>"</w:t>
      </w:r>
      <w:r w:rsidRPr="00E37191">
        <w:rPr>
          <w:rStyle w:val="FootnoteReference"/>
        </w:rPr>
        <w:footnoteReference w:id="468"/>
      </w:r>
      <w:r w:rsidRPr="005B6FFA">
        <w:t xml:space="preserve"> Consequently, with regard to each of the four </w:t>
      </w:r>
      <w:r w:rsidRPr="00844F04">
        <w:t xml:space="preserve">A350XWB </w:t>
      </w:r>
      <w:r w:rsidR="00584272">
        <w:t>LA/MSF contracts, "the </w:t>
      </w:r>
      <w:r w:rsidRPr="002F6182">
        <w:t xml:space="preserve">average yield over the </w:t>
      </w:r>
      <w:r w:rsidR="000A10EA">
        <w:t>six</w:t>
      </w:r>
      <w:r w:rsidR="000A10EA">
        <w:noBreakHyphen/>
        <w:t>month</w:t>
      </w:r>
      <w:r w:rsidRPr="002F6182">
        <w:t xml:space="preserve">s prior to the conclusion of each contract was substantially </w:t>
      </w:r>
      <w:r w:rsidRPr="002F6182">
        <w:rPr>
          <w:i/>
        </w:rPr>
        <w:t>higher</w:t>
      </w:r>
      <w:r w:rsidRPr="00B613CF">
        <w:t xml:space="preserve"> than the average yield over the one</w:t>
      </w:r>
      <w:r w:rsidRPr="00B613CF">
        <w:noBreakHyphen/>
      </w:r>
      <w:r w:rsidRPr="008331B2">
        <w:t>month period prior to the conclusion of each contract".</w:t>
      </w:r>
      <w:r w:rsidRPr="00C9511E">
        <w:rPr>
          <w:rStyle w:val="FootnoteReference"/>
        </w:rPr>
        <w:footnoteReference w:id="469"/>
      </w:r>
      <w:r w:rsidRPr="002207B9">
        <w:t xml:space="preserve"> Therefore, the </w:t>
      </w:r>
      <w:r w:rsidR="000A10EA">
        <w:t>European Union</w:t>
      </w:r>
      <w:r w:rsidRPr="002207B9">
        <w:t xml:space="preserve"> maintains that, "by using the </w:t>
      </w:r>
      <w:r w:rsidR="000A10EA">
        <w:t>six</w:t>
      </w:r>
      <w:r w:rsidR="000A10EA">
        <w:noBreakHyphen/>
        <w:t>month</w:t>
      </w:r>
      <w:r w:rsidRPr="002207B9">
        <w:t xml:space="preserve"> average yield, the Panel 'artificially increase{d} a lower market borrowing rate', thereby 'creat{ing} a danger that a benefit might be found in a case where LA/MSF w</w:t>
      </w:r>
      <w:r w:rsidRPr="00D60107">
        <w:t>as really obta</w:t>
      </w:r>
      <w:r w:rsidR="00584272">
        <w:t>ined at, or above, market </w:t>
      </w:r>
      <w:r w:rsidRPr="00D60107">
        <w:t>rate'."</w:t>
      </w:r>
      <w:r w:rsidRPr="00E72660">
        <w:rPr>
          <w:rStyle w:val="FootnoteReference"/>
        </w:rPr>
        <w:footnoteReference w:id="470"/>
      </w:r>
    </w:p>
    <w:p w:rsidR="0007161B" w:rsidRDefault="0007161B" w:rsidP="00DC4FDF">
      <w:pPr>
        <w:pStyle w:val="BodyText"/>
      </w:pPr>
      <w:r w:rsidRPr="00E72660">
        <w:t>In response</w:t>
      </w:r>
      <w:r w:rsidRPr="005B6FFA">
        <w:t xml:space="preserve">, the </w:t>
      </w:r>
      <w:r w:rsidR="000A10EA">
        <w:t>United States</w:t>
      </w:r>
      <w:r w:rsidRPr="00074090">
        <w:t xml:space="preserve"> a</w:t>
      </w:r>
      <w:r w:rsidRPr="00844F04">
        <w:t>sserts that</w:t>
      </w:r>
      <w:r>
        <w:t xml:space="preserve">, as in the context of its principal claim </w:t>
      </w:r>
      <w:r w:rsidRPr="008331B2">
        <w:t xml:space="preserve">of error in the application of </w:t>
      </w:r>
      <w:r w:rsidR="000A10EA">
        <w:t>Article </w:t>
      </w:r>
      <w:r w:rsidRPr="00C9511E">
        <w:t>1.1(b)</w:t>
      </w:r>
      <w:r>
        <w:t xml:space="preserve"> of the </w:t>
      </w:r>
      <w:r w:rsidR="000A10EA">
        <w:t>SCM Agreement</w:t>
      </w:r>
      <w:r w:rsidRPr="00D60107">
        <w:t xml:space="preserve">, the </w:t>
      </w:r>
      <w:r w:rsidR="000A10EA">
        <w:t>European Union</w:t>
      </w:r>
      <w:r w:rsidRPr="00D60107">
        <w:t xml:space="preserve"> adopts an "improperly narrow" </w:t>
      </w:r>
      <w:r>
        <w:t>reading</w:t>
      </w:r>
      <w:r w:rsidRPr="00D60107">
        <w:t xml:space="preserve"> of the </w:t>
      </w:r>
      <w:r w:rsidR="000A10EA">
        <w:t>Appellate Body</w:t>
      </w:r>
      <w:r w:rsidRPr="00E37191">
        <w:t xml:space="preserve">'s guidance that </w:t>
      </w:r>
      <w:r w:rsidRPr="005B6FFA">
        <w:t xml:space="preserve">the commercial benchmark should be based on </w:t>
      </w:r>
      <w:r w:rsidRPr="00844F04">
        <w:t xml:space="preserve">the time </w:t>
      </w:r>
      <w:r w:rsidR="00075669">
        <w:t>at which</w:t>
      </w:r>
      <w:r w:rsidRPr="00844F04">
        <w:t xml:space="preserve"> each particular contract was concluded</w:t>
      </w:r>
      <w:r w:rsidRPr="002F6182">
        <w:t>.</w:t>
      </w:r>
      <w:r w:rsidR="00075669">
        <w:rPr>
          <w:rStyle w:val="FootnoteReference"/>
        </w:rPr>
        <w:footnoteReference w:id="471"/>
      </w:r>
      <w:r w:rsidRPr="002F6182">
        <w:t xml:space="preserve"> Therefore, </w:t>
      </w:r>
      <w:r>
        <w:t xml:space="preserve">for </w:t>
      </w:r>
      <w:r w:rsidRPr="002F6182">
        <w:t xml:space="preserve">the same reasons </w:t>
      </w:r>
      <w:r>
        <w:t xml:space="preserve">advanced in the context of the </w:t>
      </w:r>
      <w:r w:rsidR="000A10EA">
        <w:t>European Union</w:t>
      </w:r>
      <w:r>
        <w:t>'s principal claim</w:t>
      </w:r>
      <w:r w:rsidRPr="002F6182">
        <w:t xml:space="preserve">, the </w:t>
      </w:r>
      <w:r w:rsidR="000A10EA">
        <w:t>United States</w:t>
      </w:r>
      <w:r w:rsidRPr="00B613CF">
        <w:t xml:space="preserve"> </w:t>
      </w:r>
      <w:r>
        <w:t>disagrees</w:t>
      </w:r>
      <w:r w:rsidRPr="00B613CF">
        <w:t xml:space="preserve"> </w:t>
      </w:r>
      <w:r w:rsidRPr="008331B2">
        <w:t xml:space="preserve">that the Panel erred in </w:t>
      </w:r>
      <w:r>
        <w:t>its</w:t>
      </w:r>
      <w:r w:rsidRPr="008331B2">
        <w:t xml:space="preserve"> application of </w:t>
      </w:r>
      <w:r w:rsidR="000A10EA">
        <w:t>Article </w:t>
      </w:r>
      <w:r w:rsidRPr="00C9511E">
        <w:t xml:space="preserve">1.1(b) by including in the calculation of the </w:t>
      </w:r>
      <w:r w:rsidRPr="00D60107">
        <w:t>corporate borrowing rate the average yiel</w:t>
      </w:r>
      <w:r>
        <w:t xml:space="preserve">d of the EADS bond over the </w:t>
      </w:r>
      <w:r w:rsidR="000A10EA">
        <w:t>six month</w:t>
      </w:r>
      <w:r w:rsidRPr="00D60107">
        <w:t xml:space="preserve">s prior to the conclusion of the </w:t>
      </w:r>
      <w:r>
        <w:t xml:space="preserve">four </w:t>
      </w:r>
      <w:r w:rsidRPr="00D60107">
        <w:t>A350XWB LA/MSF contracts.</w:t>
      </w:r>
      <w:r w:rsidRPr="00E72660">
        <w:rPr>
          <w:rStyle w:val="FootnoteReference"/>
        </w:rPr>
        <w:footnoteReference w:id="472"/>
      </w:r>
    </w:p>
    <w:p w:rsidR="0007161B" w:rsidRPr="00D072C8" w:rsidRDefault="0007161B" w:rsidP="00DC4FDF">
      <w:pPr>
        <w:pStyle w:val="BodyText"/>
      </w:pPr>
      <w:r>
        <w:t>In our analysis above, we indicate that, although the Panel determined the corporate borrowing rate in the form of a range</w:t>
      </w:r>
      <w:r w:rsidRPr="007471B0">
        <w:t xml:space="preserve"> </w:t>
      </w:r>
      <w:r>
        <w:t>of average yields, it rightly gave more prominence to the one</w:t>
      </w:r>
      <w:r>
        <w:noBreakHyphen/>
      </w:r>
      <w:r w:rsidRPr="004328ED">
        <w:t xml:space="preserve">month average yield </w:t>
      </w:r>
      <w:r>
        <w:t>of</w:t>
      </w:r>
      <w:r w:rsidRPr="004328ED">
        <w:t xml:space="preserve"> the EADS bond</w:t>
      </w:r>
      <w:r>
        <w:t xml:space="preserve"> than to the </w:t>
      </w:r>
      <w:r w:rsidR="000A10EA">
        <w:t>six</w:t>
      </w:r>
      <w:r w:rsidR="000A10EA">
        <w:noBreakHyphen/>
        <w:t>month</w:t>
      </w:r>
      <w:r>
        <w:t xml:space="preserve"> average yield</w:t>
      </w:r>
      <w:r w:rsidRPr="004328ED">
        <w:t>. Indeed, the Panel found that "the one-month average</w:t>
      </w:r>
      <w:r>
        <w:t xml:space="preserve"> would appear to be a reasonable proxy for the parties' expectations."</w:t>
      </w:r>
      <w:r>
        <w:rPr>
          <w:rStyle w:val="FootnoteReference"/>
        </w:rPr>
        <w:footnoteReference w:id="473"/>
      </w:r>
      <w:r>
        <w:t xml:space="preserve"> By contrast, the Panel considered that "{t}he </w:t>
      </w:r>
      <w:r w:rsidR="000A10EA">
        <w:t>six</w:t>
      </w:r>
      <w:r w:rsidR="000A10EA">
        <w:noBreakHyphen/>
        <w:t>month</w:t>
      </w:r>
      <w:r>
        <w:t xml:space="preserve"> average may be less likely to reflect expectations during the finalisation period, but may also be a helpful indication of market expectations."</w:t>
      </w:r>
      <w:r>
        <w:rPr>
          <w:rStyle w:val="FootnoteReference"/>
        </w:rPr>
        <w:footnoteReference w:id="474"/>
      </w:r>
      <w:r>
        <w:t xml:space="preserve"> Moreover, we find that </w:t>
      </w:r>
      <w:r w:rsidR="000A10EA">
        <w:t>Article </w:t>
      </w:r>
      <w:r>
        <w:t xml:space="preserve">1.1(b) of the </w:t>
      </w:r>
      <w:r w:rsidR="000A10EA">
        <w:t>SCM Agreement</w:t>
      </w:r>
      <w:r>
        <w:t xml:space="preserve"> </w:t>
      </w:r>
      <w:r w:rsidR="00075669">
        <w:t>does</w:t>
      </w:r>
      <w:r>
        <w:t xml:space="preserve"> not require the Panel </w:t>
      </w:r>
      <w:r w:rsidRPr="0009621E">
        <w:t xml:space="preserve">to </w:t>
      </w:r>
      <w:r w:rsidR="00075669">
        <w:t xml:space="preserve">have </w:t>
      </w:r>
      <w:r>
        <w:t>conduct</w:t>
      </w:r>
      <w:r w:rsidR="00075669">
        <w:t>ed</w:t>
      </w:r>
      <w:r>
        <w:t xml:space="preserve"> its benefit analysis by focusing exclusively on the </w:t>
      </w:r>
      <w:r w:rsidRPr="0009621E">
        <w:t xml:space="preserve">yield </w:t>
      </w:r>
      <w:r>
        <w:t xml:space="preserve">of the EADS bond </w:t>
      </w:r>
      <w:r w:rsidRPr="0009621E">
        <w:t>"on the day of conclusion" of each A350XWB LA/MSF contract</w:t>
      </w:r>
      <w:r>
        <w:t>.</w:t>
      </w:r>
      <w:r w:rsidRPr="00F21DA1">
        <w:t xml:space="preserve"> </w:t>
      </w:r>
      <w:r>
        <w:t>Indeed, while</w:t>
      </w:r>
      <w:r w:rsidRPr="005C562B">
        <w:t xml:space="preserve"> in conducting the benefit analysis the comparison focuses "on the moment in time when the lender and borrower commit to the transaction"</w:t>
      </w:r>
      <w:r w:rsidRPr="005C562B">
        <w:rPr>
          <w:rStyle w:val="FootnoteReference"/>
        </w:rPr>
        <w:footnoteReference w:id="475"/>
      </w:r>
      <w:r>
        <w:t xml:space="preserve">, </w:t>
      </w:r>
      <w:r w:rsidRPr="005C562B">
        <w:t xml:space="preserve">we </w:t>
      </w:r>
      <w:r>
        <w:t xml:space="preserve">disagree </w:t>
      </w:r>
      <w:r w:rsidRPr="005C562B">
        <w:t xml:space="preserve">with </w:t>
      </w:r>
      <w:r w:rsidRPr="00D072C8">
        <w:t xml:space="preserve">the </w:t>
      </w:r>
      <w:r w:rsidR="000A10EA">
        <w:t>European Union</w:t>
      </w:r>
      <w:r w:rsidRPr="00D072C8">
        <w:t xml:space="preserve"> to the extent </w:t>
      </w:r>
      <w:r>
        <w:t xml:space="preserve">that </w:t>
      </w:r>
      <w:r w:rsidRPr="00D072C8">
        <w:t xml:space="preserve">it suggests that the Panel should have conducted the benefit comparison exclusively using data concerning the yield "on the day of conclusion" of each A350XWB LA/MSF contract </w:t>
      </w:r>
      <w:r w:rsidRPr="00D072C8">
        <w:rPr>
          <w:i/>
        </w:rPr>
        <w:t xml:space="preserve">regardless </w:t>
      </w:r>
      <w:r>
        <w:t xml:space="preserve">of the time </w:t>
      </w:r>
      <w:r w:rsidRPr="00D072C8">
        <w:t xml:space="preserve">period over which the parties may have committed to the terms and conditions of that financing instrument. </w:t>
      </w:r>
    </w:p>
    <w:p w:rsidR="0007161B" w:rsidRPr="00FD2300" w:rsidRDefault="0007161B" w:rsidP="00DC4FDF">
      <w:pPr>
        <w:pStyle w:val="BodyText"/>
      </w:pPr>
      <w:r w:rsidRPr="00D072C8">
        <w:t xml:space="preserve">As we see it, in claiming that the Panel committed legal error under </w:t>
      </w:r>
      <w:r w:rsidR="000A10EA">
        <w:t>Article </w:t>
      </w:r>
      <w:r w:rsidRPr="00D072C8">
        <w:t xml:space="preserve">1.1(b) </w:t>
      </w:r>
      <w:r>
        <w:t>by including in its analysis</w:t>
      </w:r>
      <w:r w:rsidRPr="00D072C8">
        <w:t xml:space="preserve"> "the average yield {of the EADS bond} over the </w:t>
      </w:r>
      <w:r w:rsidR="000A10EA">
        <w:t>six month</w:t>
      </w:r>
      <w:r w:rsidRPr="00D072C8">
        <w:t>s prior to the conclusion of each of the LA/MSF contracts"</w:t>
      </w:r>
      <w:r w:rsidRPr="00D072C8">
        <w:rPr>
          <w:rStyle w:val="FootnoteReference"/>
        </w:rPr>
        <w:footnoteReference w:id="476"/>
      </w:r>
      <w:r w:rsidRPr="00D072C8">
        <w:t xml:space="preserve">, </w:t>
      </w:r>
      <w:r>
        <w:t xml:space="preserve">the </w:t>
      </w:r>
      <w:r w:rsidR="000A10EA">
        <w:t>European Union</w:t>
      </w:r>
      <w:r w:rsidRPr="00D072C8">
        <w:t xml:space="preserve">'s claim is similarly challenging the Panel's benefit </w:t>
      </w:r>
      <w:r>
        <w:t>analysis</w:t>
      </w:r>
      <w:r w:rsidRPr="00D072C8">
        <w:t xml:space="preserve"> </w:t>
      </w:r>
      <w:r w:rsidRPr="00D072C8">
        <w:rPr>
          <w:i/>
        </w:rPr>
        <w:t xml:space="preserve">regardless </w:t>
      </w:r>
      <w:r w:rsidRPr="00D072C8">
        <w:t xml:space="preserve">of </w:t>
      </w:r>
      <w:r>
        <w:t xml:space="preserve">the time </w:t>
      </w:r>
      <w:r w:rsidRPr="00D072C8">
        <w:t>period over which the parties may have committed to the terms and conditions of that financing instrument</w:t>
      </w:r>
      <w:r w:rsidRPr="00985A91">
        <w:t>. Therefore, the same considerations provided</w:t>
      </w:r>
      <w:r>
        <w:t xml:space="preserve"> in our</w:t>
      </w:r>
      <w:r w:rsidRPr="00985A91">
        <w:t xml:space="preserve"> </w:t>
      </w:r>
      <w:r>
        <w:t xml:space="preserve">analysis of the earlier claim of error also </w:t>
      </w:r>
      <w:r w:rsidRPr="00985A91">
        <w:t>apply in the context of the present claim. As noted, we</w:t>
      </w:r>
      <w:r>
        <w:t xml:space="preserve"> consider it relevant for</w:t>
      </w:r>
      <w:r w:rsidRPr="005C562B">
        <w:t xml:space="preserve"> a panel </w:t>
      </w:r>
      <w:r>
        <w:t xml:space="preserve">to evaluate the specific financing instrument at issue, including the relevant circumstances surrounding the conclusion of that </w:t>
      </w:r>
      <w:r>
        <w:lastRenderedPageBreak/>
        <w:t>instrument, to determine the period over which the terms and conditions of those contracts were agreed</w:t>
      </w:r>
      <w:r w:rsidRPr="005C562B">
        <w:t>.</w:t>
      </w:r>
      <w:r>
        <w:t xml:space="preserve"> This is because </w:t>
      </w:r>
      <w:r w:rsidRPr="005C562B">
        <w:t>it is possible to envisage cases where</w:t>
      </w:r>
      <w:r>
        <w:t>, as here, the</w:t>
      </w:r>
      <w:r w:rsidRPr="005C562B">
        <w:t xml:space="preserve"> parties may have committed to a transaction – or to key aspects thereof – during </w:t>
      </w:r>
      <w:r>
        <w:t>a</w:t>
      </w:r>
      <w:r w:rsidRPr="005C562B">
        <w:t xml:space="preserve"> finalization period of the negotiations </w:t>
      </w:r>
      <w:r>
        <w:t xml:space="preserve">preceding the moment of formal conclusion of </w:t>
      </w:r>
      <w:r w:rsidRPr="00985A91">
        <w:rPr>
          <w:i/>
        </w:rPr>
        <w:t>all</w:t>
      </w:r>
      <w:r>
        <w:t xml:space="preserve"> aspects of that transaction</w:t>
      </w:r>
      <w:r w:rsidRPr="005C562B">
        <w:t xml:space="preserve">. </w:t>
      </w:r>
      <w:r w:rsidRPr="00FD2300">
        <w:t xml:space="preserve">In </w:t>
      </w:r>
      <w:r>
        <w:t>such circumstances</w:t>
      </w:r>
      <w:r w:rsidRPr="00FD2300">
        <w:t xml:space="preserve">, it would </w:t>
      </w:r>
      <w:r>
        <w:t>be</w:t>
      </w:r>
      <w:r w:rsidRPr="00FD2300">
        <w:t xml:space="preserve"> appropriate for a panel to </w:t>
      </w:r>
      <w:r>
        <w:t>take into account in its analysis</w:t>
      </w:r>
      <w:r w:rsidRPr="00FD2300">
        <w:t xml:space="preserve"> information that pre</w:t>
      </w:r>
      <w:r w:rsidRPr="00FD2300">
        <w:noBreakHyphen/>
        <w:t>dates the</w:t>
      </w:r>
      <w:r>
        <w:t xml:space="preserve"> moment or</w:t>
      </w:r>
      <w:r w:rsidRPr="00FD2300">
        <w:t xml:space="preserve"> </w:t>
      </w:r>
      <w:r>
        <w:t>actual</w:t>
      </w:r>
      <w:r w:rsidRPr="00FD2300">
        <w:t xml:space="preserve"> day </w:t>
      </w:r>
      <w:r>
        <w:t>o</w:t>
      </w:r>
      <w:r w:rsidRPr="00FD2300">
        <w:t xml:space="preserve">n which the legal instruments underlying </w:t>
      </w:r>
      <w:r>
        <w:t>the relevant</w:t>
      </w:r>
      <w:r w:rsidRPr="00FD2300">
        <w:t xml:space="preserve"> transaction </w:t>
      </w:r>
      <w:r>
        <w:t>were</w:t>
      </w:r>
      <w:r w:rsidRPr="00FD2300">
        <w:t xml:space="preserve"> formally signed. </w:t>
      </w:r>
    </w:p>
    <w:p w:rsidR="0007161B" w:rsidRDefault="0007161B" w:rsidP="00DC4FDF">
      <w:pPr>
        <w:pStyle w:val="BodyText"/>
      </w:pPr>
      <w:r w:rsidRPr="002831D0">
        <w:t xml:space="preserve"> </w:t>
      </w:r>
      <w:r>
        <w:t>As indicated above, the Panel's findings in the present case</w:t>
      </w:r>
      <w:r w:rsidR="00C04E4A">
        <w:t xml:space="preserve"> support the view that the four </w:t>
      </w:r>
      <w:r>
        <w:t xml:space="preserve">A350XWB LA/MSF contracts fall within this category of complex financing. This is particularly the case, given the Panel's findings that: (i) </w:t>
      </w:r>
      <w:r w:rsidRPr="008566E1">
        <w:rPr>
          <w:szCs w:val="18"/>
        </w:rPr>
        <w:t xml:space="preserve">the A350XWB LA/MSF contracts share certain unique features compared to other forms of financing, </w:t>
      </w:r>
      <w:r>
        <w:t>namely, that their</w:t>
      </w:r>
      <w:r w:rsidRPr="008566E1">
        <w:rPr>
          <w:szCs w:val="18"/>
        </w:rPr>
        <w:t xml:space="preserve"> repayment terms </w:t>
      </w:r>
      <w:r>
        <w:rPr>
          <w:szCs w:val="18"/>
        </w:rPr>
        <w:t xml:space="preserve">are </w:t>
      </w:r>
      <w:r w:rsidR="000A10EA">
        <w:rPr>
          <w:szCs w:val="18"/>
        </w:rPr>
        <w:t>back</w:t>
      </w:r>
      <w:r w:rsidR="000A10EA">
        <w:rPr>
          <w:szCs w:val="18"/>
        </w:rPr>
        <w:noBreakHyphen/>
      </w:r>
      <w:r w:rsidRPr="008566E1">
        <w:rPr>
          <w:szCs w:val="18"/>
        </w:rPr>
        <w:t>loaded, primarily levy-based, dependent on the sales of aircraft</w:t>
      </w:r>
      <w:r>
        <w:rPr>
          <w:szCs w:val="18"/>
        </w:rPr>
        <w:t>,</w:t>
      </w:r>
      <w:r w:rsidRPr="008566E1">
        <w:rPr>
          <w:szCs w:val="18"/>
        </w:rPr>
        <w:t xml:space="preserve"> and unsecu</w:t>
      </w:r>
      <w:r w:rsidR="00E113E6">
        <w:rPr>
          <w:szCs w:val="18"/>
        </w:rPr>
        <w:t>red; and </w:t>
      </w:r>
      <w:r w:rsidR="000A10EA">
        <w:rPr>
          <w:szCs w:val="18"/>
        </w:rPr>
        <w:t>(ii) </w:t>
      </w:r>
      <w:r w:rsidR="000A10EA">
        <w:t>"the </w:t>
      </w:r>
      <w:r w:rsidRPr="00D111C6">
        <w:t>Airbus governments {i.e. France, Germany, Spain, and the United Kingdom} formally entered into negotiations with Airbus for LA/MSF {to su</w:t>
      </w:r>
      <w:r w:rsidR="00E113E6">
        <w:t>pport the A350XWB programme} in </w:t>
      </w:r>
      <w:r w:rsidRPr="00D111C6">
        <w:t>late</w:t>
      </w:r>
      <w:r w:rsidR="000A10EA">
        <w:t> 20</w:t>
      </w:r>
      <w:r w:rsidRPr="00D111C6">
        <w:t>08, individually agreeing on its ter</w:t>
      </w:r>
      <w:r w:rsidRPr="00AA5A87">
        <w:t xml:space="preserve">ms on different dates between </w:t>
      </w:r>
      <w:r w:rsidRPr="008566E1">
        <w:rPr>
          <w:b/>
        </w:rPr>
        <w:t>[</w:t>
      </w:r>
      <w:r w:rsidR="00C8434D" w:rsidRPr="00C8434D">
        <w:rPr>
          <w:b/>
          <w:szCs w:val="16"/>
        </w:rPr>
        <w:t>BCI</w:t>
      </w:r>
      <w:r w:rsidRPr="008566E1">
        <w:rPr>
          <w:b/>
        </w:rPr>
        <w:t>]</w:t>
      </w:r>
      <w:r w:rsidRPr="00AA5A87">
        <w:t>."</w:t>
      </w:r>
      <w:r w:rsidRPr="00AA5A87">
        <w:rPr>
          <w:rStyle w:val="FootnoteReference"/>
        </w:rPr>
        <w:footnoteReference w:id="477"/>
      </w:r>
      <w:r>
        <w:t xml:space="preserve"> </w:t>
      </w:r>
      <w:r w:rsidRPr="00B4588C">
        <w:t>The</w:t>
      </w:r>
      <w:r>
        <w:t>se</w:t>
      </w:r>
      <w:r w:rsidRPr="00B4588C">
        <w:t xml:space="preserve"> considerations served as the basis for the Panel's decision to determine the corporate borrowing ra</w:t>
      </w:r>
      <w:r w:rsidR="00075669">
        <w:t xml:space="preserve">te using the average yields one </w:t>
      </w:r>
      <w:r w:rsidRPr="00B4588C">
        <w:t xml:space="preserve">month prior and </w:t>
      </w:r>
      <w:r w:rsidR="000A10EA">
        <w:t>six</w:t>
      </w:r>
      <w:r w:rsidR="00075669">
        <w:t xml:space="preserve"> </w:t>
      </w:r>
      <w:r w:rsidR="000A10EA">
        <w:t>month</w:t>
      </w:r>
      <w:r w:rsidRPr="00B4588C">
        <w:t xml:space="preserve">s prior to the conclusion of </w:t>
      </w:r>
      <w:r>
        <w:t xml:space="preserve">each of </w:t>
      </w:r>
      <w:r w:rsidRPr="00B4588C">
        <w:t xml:space="preserve">the </w:t>
      </w:r>
      <w:r>
        <w:t xml:space="preserve">four </w:t>
      </w:r>
      <w:r w:rsidRPr="00B4588C">
        <w:t>contract</w:t>
      </w:r>
      <w:r>
        <w:t>s</w:t>
      </w:r>
      <w:r w:rsidRPr="00B4588C">
        <w:t>, in the form of a range.</w:t>
      </w:r>
    </w:p>
    <w:p w:rsidR="0007161B" w:rsidRDefault="0007161B" w:rsidP="00DC4FDF">
      <w:pPr>
        <w:pStyle w:val="BodyText"/>
      </w:pPr>
      <w:r>
        <w:t>Moreover, o</w:t>
      </w:r>
      <w:r w:rsidRPr="0009621E">
        <w:t xml:space="preserve">ur review of the arguments and evidence presented </w:t>
      </w:r>
      <w:r>
        <w:t xml:space="preserve">by </w:t>
      </w:r>
      <w:r w:rsidRPr="0009621E">
        <w:t>the parties regarding the relevant</w:t>
      </w:r>
      <w:r>
        <w:t xml:space="preserve"> dates for observing the yield of the </w:t>
      </w:r>
      <w:r w:rsidRPr="00FD2300">
        <w:t xml:space="preserve">EADS bond reveals that the parties did </w:t>
      </w:r>
      <w:r w:rsidRPr="00FD2300">
        <w:rPr>
          <w:i/>
        </w:rPr>
        <w:t>not</w:t>
      </w:r>
      <w:r w:rsidRPr="00FD2300">
        <w:t xml:space="preserve"> focus their discussion on determining </w:t>
      </w:r>
      <w:r w:rsidRPr="00FD2300">
        <w:rPr>
          <w:i/>
        </w:rPr>
        <w:t>which</w:t>
      </w:r>
      <w:r w:rsidRPr="00FD2300">
        <w:t xml:space="preserve"> of the three time periods proposed by Dr Jordan would be the correct one for determining such yield.</w:t>
      </w:r>
      <w:r>
        <w:t xml:space="preserve"> Rather, much of the </w:t>
      </w:r>
      <w:r w:rsidR="000A10EA">
        <w:t>European Union</w:t>
      </w:r>
      <w:r>
        <w:t xml:space="preserve">'s argumentation supported the relevant dates of the EADS bond yield on the basis of Professor Whitelaw's averaging approach. In turn, the </w:t>
      </w:r>
      <w:r w:rsidR="000A10EA">
        <w:t>United States</w:t>
      </w:r>
      <w:r>
        <w:t xml:space="preserve"> </w:t>
      </w:r>
      <w:r w:rsidRPr="00E97614">
        <w:t>criticized Professor Whitelaw</w:t>
      </w:r>
      <w:r>
        <w:t xml:space="preserve">'s averaging approach and submitted a report by </w:t>
      </w:r>
      <w:r w:rsidRPr="00E97614">
        <w:t>Dr </w:t>
      </w:r>
      <w:r>
        <w:t>Jordan that included</w:t>
      </w:r>
      <w:r w:rsidRPr="00A22B4D">
        <w:t xml:space="preserve"> </w:t>
      </w:r>
      <w:r>
        <w:t xml:space="preserve">a table </w:t>
      </w:r>
      <w:r w:rsidRPr="00A22B4D">
        <w:t>compari</w:t>
      </w:r>
      <w:r>
        <w:t>ng</w:t>
      </w:r>
      <w:r w:rsidRPr="00A22B4D">
        <w:t xml:space="preserve"> the average yield calculated by Professor Whitelaw with yields for "more relevant dates and periods for each of the agreements</w:t>
      </w:r>
      <w:r>
        <w:t>"</w:t>
      </w:r>
      <w:r>
        <w:rPr>
          <w:rStyle w:val="FootnoteReference"/>
        </w:rPr>
        <w:footnoteReference w:id="478"/>
      </w:r>
      <w:r>
        <w:t xml:space="preserve">, which contained data on the three periods from which the Panel ultimately chose the corporate borrowing rate. As noted, since </w:t>
      </w:r>
      <w:r w:rsidRPr="00844F04">
        <w:t>the six</w:t>
      </w:r>
      <w:r w:rsidRPr="00844F04">
        <w:noBreakHyphen/>
      </w:r>
      <w:r>
        <w:t xml:space="preserve"> and one-month average yields</w:t>
      </w:r>
      <w:r w:rsidRPr="00000DF3">
        <w:t xml:space="preserve"> </w:t>
      </w:r>
      <w:r>
        <w:t>were not contested by the parties before the Panel</w:t>
      </w:r>
      <w:r w:rsidRPr="002F6182">
        <w:t xml:space="preserve">, </w:t>
      </w:r>
      <w:r w:rsidRPr="00F861D7">
        <w:t xml:space="preserve">it does not seem unreasonable for the Panel to have relied on this evidence, especially </w:t>
      </w:r>
      <w:r>
        <w:t xml:space="preserve">given the Panel's observation that </w:t>
      </w:r>
      <w:r w:rsidRPr="00D54C1A">
        <w:t>"</w:t>
      </w:r>
      <w:r>
        <w:t>{</w:t>
      </w:r>
      <w:r w:rsidRPr="00D54C1A">
        <w:t>p</w:t>
      </w:r>
      <w:r>
        <w:t>}</w:t>
      </w:r>
      <w:r w:rsidRPr="00D54C1A">
        <w:t>arties agreeing to a complex loan contract may rather set the rates in the lead-</w:t>
      </w:r>
      <w:r w:rsidRPr="0050662F">
        <w:t>up to the conclusion of the contract, and prior to the actual day on which the contract is signed"</w:t>
      </w:r>
      <w:r w:rsidRPr="0050662F">
        <w:rPr>
          <w:rStyle w:val="FootnoteReference"/>
        </w:rPr>
        <w:footnoteReference w:id="479"/>
      </w:r>
      <w:r w:rsidRPr="0050662F">
        <w:t xml:space="preserve">, and its conclusion that the </w:t>
      </w:r>
      <w:r w:rsidR="00281CC1">
        <w:t>four </w:t>
      </w:r>
      <w:r w:rsidRPr="0050662F">
        <w:t>A350XWB LA/MSF contracts are complex financing instruments</w:t>
      </w:r>
      <w:r>
        <w:t>,</w:t>
      </w:r>
      <w:r w:rsidRPr="0050662F">
        <w:t xml:space="preserve"> </w:t>
      </w:r>
      <w:r>
        <w:t xml:space="preserve">the terms </w:t>
      </w:r>
      <w:r w:rsidRPr="00E400C0">
        <w:t xml:space="preserve">and conditions </w:t>
      </w:r>
      <w:r>
        <w:t xml:space="preserve">of which </w:t>
      </w:r>
      <w:r w:rsidRPr="00E400C0">
        <w:t xml:space="preserve">were negotiated and agreed by Airbus and the four </w:t>
      </w:r>
      <w:r w:rsidRPr="00821557">
        <w:t>member States over</w:t>
      </w:r>
      <w:r w:rsidRPr="004328ED">
        <w:t xml:space="preserve"> a contracting period spanning across </w:t>
      </w:r>
      <w:r>
        <w:rPr>
          <w:b/>
        </w:rPr>
        <w:t>[</w:t>
      </w:r>
      <w:r w:rsidR="00C8434D" w:rsidRPr="00C8434D">
        <w:rPr>
          <w:b/>
          <w:szCs w:val="16"/>
        </w:rPr>
        <w:t>BCI</w:t>
      </w:r>
      <w:r>
        <w:rPr>
          <w:b/>
        </w:rPr>
        <w:t>]</w:t>
      </w:r>
      <w:r w:rsidRPr="0050662F">
        <w:t>.</w:t>
      </w:r>
    </w:p>
    <w:p w:rsidR="0007161B" w:rsidRDefault="0007161B" w:rsidP="00DC4FDF">
      <w:pPr>
        <w:pStyle w:val="BodyText"/>
      </w:pPr>
      <w:r>
        <w:t xml:space="preserve">The </w:t>
      </w:r>
      <w:r w:rsidR="000A10EA">
        <w:t>European Union</w:t>
      </w:r>
      <w:r>
        <w:t xml:space="preserve"> argues that "</w:t>
      </w:r>
      <w:r w:rsidR="0004735D">
        <w:t>{</w:t>
      </w:r>
      <w:r>
        <w:t>t</w:t>
      </w:r>
      <w:r w:rsidR="0004735D">
        <w:t>}</w:t>
      </w:r>
      <w:r w:rsidRPr="007E06BF">
        <w:t xml:space="preserve">he </w:t>
      </w:r>
      <w:r w:rsidR="000A10EA">
        <w:t>six</w:t>
      </w:r>
      <w:r w:rsidR="000A10EA">
        <w:noBreakHyphen/>
        <w:t>month</w:t>
      </w:r>
      <w:r w:rsidRPr="007E06BF">
        <w:t xml:space="preserve"> average yield used by the Panel was particularly prone to result in misplaced findings of subsidisation</w:t>
      </w:r>
      <w:r>
        <w:t>" because "</w:t>
      </w:r>
      <w:r w:rsidRPr="007E06BF">
        <w:t>there was a downward trend in yields on the relevant EADS bond in the months leading</w:t>
      </w:r>
      <w:r w:rsidR="00075669">
        <w:t xml:space="preserve"> </w:t>
      </w:r>
      <w:r w:rsidRPr="007E06BF">
        <w:t>up to the conclusion of each contract</w:t>
      </w:r>
      <w:r>
        <w:t>."</w:t>
      </w:r>
      <w:r>
        <w:rPr>
          <w:rStyle w:val="FootnoteReference"/>
        </w:rPr>
        <w:footnoteReference w:id="480"/>
      </w:r>
      <w:r>
        <w:t xml:space="preserve"> We agree with the </w:t>
      </w:r>
      <w:r w:rsidR="000A10EA">
        <w:t>European Union</w:t>
      </w:r>
      <w:r>
        <w:t xml:space="preserve"> that, given the risk of false findings of the existence of benefit being made, a panel must be particularly vigilant where it engages in a benefit </w:t>
      </w:r>
      <w:r w:rsidRPr="0028166D">
        <w:t>analysis with respect to complex financial contributions</w:t>
      </w:r>
      <w:r>
        <w:t>,</w:t>
      </w:r>
      <w:r w:rsidRPr="0028166D">
        <w:t xml:space="preserve"> the terms and conditions of which are negotiated and agreed over a certain finalization period before the time of formal conclusion. In</w:t>
      </w:r>
      <w:r w:rsidR="00E113E6">
        <w:t> </w:t>
      </w:r>
      <w:r>
        <w:t xml:space="preserve">particular, a panel has to scrutinize the time period over which the terms and conditions of the financial contribution were negotiated and agreed, so as to ensure that the benefit comparison focuses </w:t>
      </w:r>
      <w:r w:rsidRPr="005C562B">
        <w:t>"on the moment in time when the lender and borrower commit</w:t>
      </w:r>
      <w:r>
        <w:t>{ted}</w:t>
      </w:r>
      <w:r w:rsidRPr="005C562B">
        <w:t xml:space="preserve"> to the transaction".</w:t>
      </w:r>
      <w:r w:rsidRPr="005C562B">
        <w:rPr>
          <w:rStyle w:val="FootnoteReference"/>
        </w:rPr>
        <w:footnoteReference w:id="481"/>
      </w:r>
      <w:r>
        <w:t xml:space="preserve"> As noted, the fact that there was a downward trend </w:t>
      </w:r>
      <w:r w:rsidRPr="00764E6F">
        <w:t>in the yield of the EADS bond</w:t>
      </w:r>
      <w:r>
        <w:t xml:space="preserve"> does not </w:t>
      </w:r>
      <w:r w:rsidRPr="00CB3E53">
        <w:rPr>
          <w:i/>
        </w:rPr>
        <w:t>per se</w:t>
      </w:r>
      <w:r>
        <w:t xml:space="preserve"> establish that the Panel failed to conduct a proper benefit analysis when it relied on the average yields of the EADS bond. In our analysis above, we </w:t>
      </w:r>
      <w:r w:rsidRPr="00075669">
        <w:rPr>
          <w:u w:val="single"/>
        </w:rPr>
        <w:t>reject</w:t>
      </w:r>
      <w:r>
        <w:t xml:space="preserve"> the </w:t>
      </w:r>
      <w:r w:rsidR="000A10EA">
        <w:t>European Union</w:t>
      </w:r>
      <w:r>
        <w:t xml:space="preserve">'s claims that the Panel committed legal error under </w:t>
      </w:r>
      <w:r w:rsidR="000A10EA">
        <w:t>Article </w:t>
      </w:r>
      <w:r>
        <w:t xml:space="preserve">1.1(b) of the </w:t>
      </w:r>
      <w:r w:rsidR="000A10EA">
        <w:t>SCM Agreement</w:t>
      </w:r>
      <w:r>
        <w:t xml:space="preserve"> in its analysis of the corporate borrowing rate component of the market benchmark. Instead, we </w:t>
      </w:r>
      <w:r w:rsidRPr="00075669">
        <w:rPr>
          <w:u w:val="single"/>
        </w:rPr>
        <w:t>find</w:t>
      </w:r>
      <w:r>
        <w:t xml:space="preserve"> that the Panel </w:t>
      </w:r>
      <w:r>
        <w:lastRenderedPageBreak/>
        <w:t xml:space="preserve">based its conclusion on </w:t>
      </w:r>
      <w:r w:rsidRPr="001D58B0">
        <w:t xml:space="preserve">the specific </w:t>
      </w:r>
      <w:r>
        <w:t>A350XWB LA/MSF</w:t>
      </w:r>
      <w:r w:rsidRPr="001D58B0">
        <w:t xml:space="preserve"> financing at issue</w:t>
      </w:r>
      <w:r>
        <w:t xml:space="preserve"> and the relevant time period over which its terms and conditions were concluded.</w:t>
      </w:r>
    </w:p>
    <w:p w:rsidR="0007161B" w:rsidRDefault="0007161B" w:rsidP="00DC4FDF">
      <w:pPr>
        <w:pStyle w:val="BodyText"/>
      </w:pPr>
      <w:r>
        <w:t xml:space="preserve">For the foregoing reasons, we do not consider that it was </w:t>
      </w:r>
      <w:r w:rsidRPr="003033C5">
        <w:t xml:space="preserve">inappropriate for </w:t>
      </w:r>
      <w:r>
        <w:t>the</w:t>
      </w:r>
      <w:r w:rsidRPr="003033C5">
        <w:t xml:space="preserve"> </w:t>
      </w:r>
      <w:r>
        <w:t>P</w:t>
      </w:r>
      <w:r w:rsidRPr="003033C5">
        <w:t>anel to</w:t>
      </w:r>
      <w:r>
        <w:t xml:space="preserve"> have</w:t>
      </w:r>
      <w:r w:rsidRPr="003033C5">
        <w:t xml:space="preserve"> include</w:t>
      </w:r>
      <w:r>
        <w:t>d</w:t>
      </w:r>
      <w:r w:rsidRPr="003033C5">
        <w:t xml:space="preserve"> in its analysis information </w:t>
      </w:r>
      <w:r>
        <w:t xml:space="preserve">regarding the average yield of the EADS bond over the </w:t>
      </w:r>
      <w:r w:rsidR="000A10EA">
        <w:t>six month</w:t>
      </w:r>
      <w:r>
        <w:t>s prior to the conclusion of each of the four A350XWB LA/MSF contracts. In any event, we recall that, although the corporate borrowing rate was determined in the form of a range</w:t>
      </w:r>
      <w:r w:rsidRPr="007471B0">
        <w:t xml:space="preserve"> </w:t>
      </w:r>
      <w:r>
        <w:t xml:space="preserve">of average yields, </w:t>
      </w:r>
      <w:r w:rsidRPr="004328ED">
        <w:t xml:space="preserve">the Panel </w:t>
      </w:r>
      <w:r>
        <w:t>rightly gave more</w:t>
      </w:r>
      <w:r w:rsidRPr="004328ED">
        <w:t xml:space="preserve"> prominence to the one-month average yield </w:t>
      </w:r>
      <w:r>
        <w:t>of</w:t>
      </w:r>
      <w:r w:rsidRPr="004328ED">
        <w:t xml:space="preserve"> the EADS bond</w:t>
      </w:r>
      <w:r>
        <w:t xml:space="preserve"> than to the </w:t>
      </w:r>
      <w:r w:rsidR="000A10EA">
        <w:t>six</w:t>
      </w:r>
      <w:r w:rsidR="000A10EA">
        <w:noBreakHyphen/>
        <w:t>month</w:t>
      </w:r>
      <w:r>
        <w:t xml:space="preserve"> average yield, which was considered to be </w:t>
      </w:r>
      <w:r w:rsidR="00075669">
        <w:t xml:space="preserve">only </w:t>
      </w:r>
      <w:r w:rsidR="00E113E6">
        <w:t>a "helpful </w:t>
      </w:r>
      <w:r>
        <w:t>indication of market expectations".</w:t>
      </w:r>
      <w:r>
        <w:rPr>
          <w:rStyle w:val="FootnoteReference"/>
        </w:rPr>
        <w:footnoteReference w:id="482"/>
      </w:r>
      <w:r>
        <w:t xml:space="preserve"> Consequently, </w:t>
      </w:r>
      <w:r w:rsidR="00EE4F39">
        <w:t xml:space="preserve">we </w:t>
      </w:r>
      <w:r w:rsidR="00EE4F39">
        <w:rPr>
          <w:u w:val="single"/>
        </w:rPr>
        <w:t>find</w:t>
      </w:r>
      <w:r w:rsidR="00EE4F39">
        <w:t xml:space="preserve"> that </w:t>
      </w:r>
      <w:r w:rsidRPr="00EE4F39">
        <w:t>the</w:t>
      </w:r>
      <w:r>
        <w:t xml:space="preserve"> </w:t>
      </w:r>
      <w:r w:rsidR="000A10EA">
        <w:t>European Union</w:t>
      </w:r>
      <w:r>
        <w:t xml:space="preserve"> has not established that</w:t>
      </w:r>
      <w:r w:rsidRPr="00AF3457">
        <w:t xml:space="preserve"> </w:t>
      </w:r>
      <w:r>
        <w:t xml:space="preserve">the Panel erred under </w:t>
      </w:r>
      <w:r w:rsidR="000A10EA">
        <w:t>Article </w:t>
      </w:r>
      <w:r>
        <w:t xml:space="preserve">1.1(b) of the </w:t>
      </w:r>
      <w:r w:rsidR="000A10EA">
        <w:t>SCM Agreement</w:t>
      </w:r>
      <w:r>
        <w:t xml:space="preserve"> "</w:t>
      </w:r>
      <w:r w:rsidR="00E113E6">
        <w:t>by accepting, as </w:t>
      </w:r>
      <w:r w:rsidRPr="00051056">
        <w:t xml:space="preserve">part of the range for the corporate borrowing rate, the average yield on the relevant EADS bond over the </w:t>
      </w:r>
      <w:r w:rsidR="000A10EA">
        <w:t>six month</w:t>
      </w:r>
      <w:r w:rsidRPr="00051056">
        <w:t>s prior to conclusion of each LA/MSF contract</w:t>
      </w:r>
      <w:r>
        <w:t>".</w:t>
      </w:r>
      <w:r w:rsidRPr="000951A8">
        <w:rPr>
          <w:rStyle w:val="FootnoteReference"/>
        </w:rPr>
        <w:footnoteReference w:id="483"/>
      </w:r>
    </w:p>
    <w:p w:rsidR="0007161B" w:rsidRPr="00EE775D" w:rsidRDefault="0007161B" w:rsidP="00DC4FDF">
      <w:pPr>
        <w:pStyle w:val="Heading5"/>
      </w:pPr>
      <w:bookmarkStart w:id="75" w:name="_Toc514059223"/>
      <w:r w:rsidRPr="00EE775D">
        <w:t xml:space="preserve">Whether the Panel acted inconsistently with </w:t>
      </w:r>
      <w:r w:rsidR="000A10EA">
        <w:t>Article </w:t>
      </w:r>
      <w:r w:rsidRPr="00EE775D">
        <w:t xml:space="preserve">11 of the DSU by including the </w:t>
      </w:r>
      <w:r w:rsidR="000A10EA">
        <w:t>six</w:t>
      </w:r>
      <w:r w:rsidR="000A10EA">
        <w:noBreakHyphen/>
        <w:t>month</w:t>
      </w:r>
      <w:r w:rsidRPr="00EE775D">
        <w:t xml:space="preserve"> average yield of the EADS bond in its determination of the corporate borrowing rate</w:t>
      </w:r>
      <w:bookmarkEnd w:id="75"/>
    </w:p>
    <w:p w:rsidR="0007161B" w:rsidRDefault="0007161B" w:rsidP="00DC4FDF">
      <w:pPr>
        <w:pStyle w:val="BodyText"/>
      </w:pPr>
      <w:r w:rsidRPr="00F861D7">
        <w:t xml:space="preserve">We now turn to the </w:t>
      </w:r>
      <w:r w:rsidR="000A10EA">
        <w:t>European Union</w:t>
      </w:r>
      <w:r w:rsidRPr="00F861D7">
        <w:t xml:space="preserve">'s conditional appeal that the Panel acted inconsistently with </w:t>
      </w:r>
      <w:r w:rsidR="000A10EA">
        <w:t>Article </w:t>
      </w:r>
      <w:r w:rsidRPr="00F861D7">
        <w:t>11 of the DSU by inclu</w:t>
      </w:r>
      <w:r>
        <w:t xml:space="preserve">ding in the calculation of the </w:t>
      </w:r>
      <w:r w:rsidRPr="00F861D7">
        <w:t xml:space="preserve">corporate borrowing rate the average yield of the EADS bond over the </w:t>
      </w:r>
      <w:r w:rsidR="000A10EA">
        <w:t>six month</w:t>
      </w:r>
      <w:r w:rsidRPr="00F861D7">
        <w:t xml:space="preserve">s prior to the conclusion </w:t>
      </w:r>
      <w:r>
        <w:t xml:space="preserve">of each of </w:t>
      </w:r>
      <w:r w:rsidRPr="00F861D7">
        <w:t xml:space="preserve">the </w:t>
      </w:r>
      <w:r w:rsidR="00F45D71">
        <w:t>four </w:t>
      </w:r>
      <w:r w:rsidRPr="00F861D7">
        <w:t>A350XWB LA/MSF contracts.</w:t>
      </w:r>
      <w:r>
        <w:t xml:space="preserve"> T</w:t>
      </w:r>
      <w:r w:rsidRPr="00B613CF">
        <w:t xml:space="preserve">he </w:t>
      </w:r>
      <w:r w:rsidR="000A10EA">
        <w:t>European Union</w:t>
      </w:r>
      <w:r w:rsidRPr="00C9511E">
        <w:t xml:space="preserve">'s challenge under </w:t>
      </w:r>
      <w:r w:rsidR="000A10EA">
        <w:t>Article </w:t>
      </w:r>
      <w:r w:rsidRPr="002207B9">
        <w:t>11 of the DSU</w:t>
      </w:r>
      <w:r>
        <w:t xml:space="preserve"> is based on two grounds.</w:t>
      </w:r>
    </w:p>
    <w:p w:rsidR="0007161B" w:rsidRDefault="0007161B" w:rsidP="00DC4FDF">
      <w:pPr>
        <w:pStyle w:val="BodyText"/>
      </w:pPr>
      <w:r>
        <w:t>First</w:t>
      </w:r>
      <w:r w:rsidRPr="00867FE3">
        <w:t xml:space="preserve">, the </w:t>
      </w:r>
      <w:r w:rsidR="000A10EA">
        <w:t>European Union</w:t>
      </w:r>
      <w:r w:rsidRPr="00867FE3">
        <w:t xml:space="preserve"> contends that the Panel failed to provide a reasoned and adequate explanation for including, as part of the range,</w:t>
      </w:r>
      <w:r w:rsidRPr="00FE41F2">
        <w:t xml:space="preserve"> the average yield over the </w:t>
      </w:r>
      <w:r w:rsidR="000A10EA">
        <w:t>six</w:t>
      </w:r>
      <w:r w:rsidR="000A10EA">
        <w:noBreakHyphen/>
        <w:t>month</w:t>
      </w:r>
      <w:r w:rsidRPr="00EC4C12">
        <w:t xml:space="preserve"> period prior </w:t>
      </w:r>
      <w:r w:rsidRPr="00E55FB8">
        <w:t xml:space="preserve">to the conclusion of each A350XWB LA/MSF </w:t>
      </w:r>
      <w:r w:rsidRPr="00050E57">
        <w:t xml:space="preserve">contract. The </w:t>
      </w:r>
      <w:r w:rsidR="000A10EA">
        <w:t>European Union</w:t>
      </w:r>
      <w:r w:rsidRPr="00C414C9">
        <w:t xml:space="preserve"> points out that, even though the Panel had noted that "the </w:t>
      </w:r>
      <w:r w:rsidR="000A10EA">
        <w:t>six</w:t>
      </w:r>
      <w:r w:rsidR="000A10EA">
        <w:noBreakHyphen/>
        <w:t>month</w:t>
      </w:r>
      <w:r w:rsidRPr="00C414C9">
        <w:t xml:space="preserve"> average was </w:t>
      </w:r>
      <w:r>
        <w:rPr>
          <w:i/>
        </w:rPr>
        <w:t>'less </w:t>
      </w:r>
      <w:r w:rsidRPr="00316CF9">
        <w:rPr>
          <w:i/>
        </w:rPr>
        <w:t>likely to reflect</w:t>
      </w:r>
      <w:r w:rsidRPr="00197394">
        <w:t xml:space="preserve"> expectations during the finalisation period</w:t>
      </w:r>
      <w:r>
        <w:t>' of each contract than the one</w:t>
      </w:r>
      <w:r>
        <w:noBreakHyphen/>
      </w:r>
      <w:r w:rsidRPr="00197394">
        <w:t xml:space="preserve">month </w:t>
      </w:r>
      <w:r w:rsidRPr="00E97614">
        <w:t>average"</w:t>
      </w:r>
      <w:r w:rsidRPr="00E97614">
        <w:rPr>
          <w:rStyle w:val="FootnoteReference"/>
        </w:rPr>
        <w:footnoteReference w:id="484"/>
      </w:r>
      <w:r w:rsidR="00E113E6">
        <w:t>, the </w:t>
      </w:r>
      <w:r w:rsidRPr="00834530">
        <w:t xml:space="preserve">Panel "chose to adopt a </w:t>
      </w:r>
      <w:r w:rsidRPr="007D4E98">
        <w:rPr>
          <w:i/>
        </w:rPr>
        <w:t>range</w:t>
      </w:r>
      <w:r w:rsidRPr="006E63EA">
        <w:t xml:space="preserve"> </w:t>
      </w:r>
      <w:r>
        <w:t xml:space="preserve">of values that included the </w:t>
      </w:r>
      <w:r w:rsidR="000A10EA">
        <w:t>six</w:t>
      </w:r>
      <w:r w:rsidR="000A10EA">
        <w:noBreakHyphen/>
        <w:t>month</w:t>
      </w:r>
      <w:r w:rsidRPr="006E63EA">
        <w:t xml:space="preserve"> average".</w:t>
      </w:r>
      <w:r w:rsidRPr="006E63EA">
        <w:rPr>
          <w:rStyle w:val="FootnoteReference"/>
        </w:rPr>
        <w:footnoteReference w:id="485"/>
      </w:r>
      <w:r w:rsidRPr="006E63EA">
        <w:t xml:space="preserve"> The other part of the range (i.e. the one</w:t>
      </w:r>
      <w:r>
        <w:t>-</w:t>
      </w:r>
      <w:r w:rsidRPr="00F63233">
        <w:t xml:space="preserve">month average yield) consisted of a more appropriate proxy. According to the </w:t>
      </w:r>
      <w:r w:rsidR="000A10EA">
        <w:t>European Union</w:t>
      </w:r>
      <w:r w:rsidRPr="00F63233">
        <w:t>, the inclusion of what the Panel itself considered to be an inferior benchmark required, at a minimum, an explanation from the Panel.</w:t>
      </w:r>
      <w:r w:rsidRPr="00A22B4D">
        <w:t xml:space="preserve"> Nonetheless,</w:t>
      </w:r>
      <w:r>
        <w:t xml:space="preserve"> according to the </w:t>
      </w:r>
      <w:r w:rsidR="000A10EA">
        <w:t>European Union</w:t>
      </w:r>
      <w:r>
        <w:t>,</w:t>
      </w:r>
      <w:r w:rsidRPr="00A22B4D">
        <w:t xml:space="preserve"> the Panel failed to provide such explanation, let alone a reasoned and adequate one, in contravention of </w:t>
      </w:r>
      <w:r w:rsidR="000A10EA">
        <w:t>Article </w:t>
      </w:r>
      <w:r w:rsidRPr="00D32743">
        <w:t>11 of the DSU.</w:t>
      </w:r>
      <w:r w:rsidR="00075669">
        <w:rPr>
          <w:rStyle w:val="FootnoteReference"/>
        </w:rPr>
        <w:footnoteReference w:id="486"/>
      </w:r>
    </w:p>
    <w:p w:rsidR="0007161B" w:rsidRDefault="0007161B" w:rsidP="00DC4FDF">
      <w:pPr>
        <w:pStyle w:val="BodyText"/>
      </w:pPr>
      <w:r>
        <w:t>In response, t</w:t>
      </w:r>
      <w:r w:rsidRPr="008331B2">
        <w:t xml:space="preserve">he </w:t>
      </w:r>
      <w:r w:rsidR="000A10EA">
        <w:t>United States</w:t>
      </w:r>
      <w:r w:rsidRPr="002207B9">
        <w:t xml:space="preserve"> rejects the </w:t>
      </w:r>
      <w:r w:rsidR="000A10EA">
        <w:t>European Union</w:t>
      </w:r>
      <w:r w:rsidRPr="00FE5C91">
        <w:t>'s conditional claim</w:t>
      </w:r>
      <w:r w:rsidRPr="00B84BA1">
        <w:t xml:space="preserve"> u</w:t>
      </w:r>
      <w:r w:rsidRPr="00764E6F">
        <w:t xml:space="preserve">nder </w:t>
      </w:r>
      <w:r w:rsidR="000A10EA">
        <w:t>Article </w:t>
      </w:r>
      <w:r w:rsidRPr="005B71B4">
        <w:t xml:space="preserve">11 of the DSU by </w:t>
      </w:r>
      <w:r>
        <w:t xml:space="preserve">reiterating that the </w:t>
      </w:r>
      <w:r w:rsidR="000A10EA">
        <w:t>European Union</w:t>
      </w:r>
      <w:r>
        <w:t xml:space="preserve"> erroneously asserts </w:t>
      </w:r>
      <w:r w:rsidRPr="00EE151D">
        <w:t xml:space="preserve">that the Panel "failed to provide any explanation for the inclusion of the </w:t>
      </w:r>
      <w:r w:rsidR="000A10EA">
        <w:t>six</w:t>
      </w:r>
      <w:r w:rsidR="000A10EA">
        <w:noBreakHyphen/>
        <w:t>month</w:t>
      </w:r>
      <w:r w:rsidRPr="00EE151D">
        <w:t xml:space="preserve"> average yield".</w:t>
      </w:r>
      <w:r w:rsidRPr="000C534D">
        <w:rPr>
          <w:rStyle w:val="FootnoteReference"/>
        </w:rPr>
        <w:footnoteReference w:id="487"/>
      </w:r>
      <w:r>
        <w:t xml:space="preserve"> </w:t>
      </w:r>
    </w:p>
    <w:p w:rsidR="0007161B" w:rsidRDefault="0007161B" w:rsidP="00DC4FDF">
      <w:pPr>
        <w:pStyle w:val="BodyText"/>
        <w:keepNext/>
        <w:keepLines/>
      </w:pPr>
      <w:r>
        <w:lastRenderedPageBreak/>
        <w:t>We begin by closely examining the Panel's analysis. I</w:t>
      </w:r>
      <w:r w:rsidRPr="00CF618F">
        <w:t xml:space="preserve">n the </w:t>
      </w:r>
      <w:r>
        <w:t xml:space="preserve">relevant </w:t>
      </w:r>
      <w:r w:rsidRPr="00CF618F">
        <w:t>pa</w:t>
      </w:r>
      <w:r w:rsidR="00075669">
        <w:t>ssage of the Panel </w:t>
      </w:r>
      <w:r w:rsidRPr="00CF618F">
        <w:t xml:space="preserve">Report referred to by the </w:t>
      </w:r>
      <w:r w:rsidR="000A10EA">
        <w:t>European Union</w:t>
      </w:r>
      <w:r>
        <w:rPr>
          <w:rStyle w:val="FootnoteReference"/>
        </w:rPr>
        <w:footnoteReference w:id="488"/>
      </w:r>
      <w:r w:rsidRPr="00B613CF">
        <w:t xml:space="preserve">, the Panel </w:t>
      </w:r>
      <w:r>
        <w:t>indicated that it would need to choose yields from among</w:t>
      </w:r>
      <w:r w:rsidRPr="002207B9">
        <w:t xml:space="preserve"> the periods of time provided by D</w:t>
      </w:r>
      <w:r w:rsidRPr="00CF618F">
        <w:t xml:space="preserve">r Jordan – </w:t>
      </w:r>
      <w:r>
        <w:t xml:space="preserve">i.e. </w:t>
      </w:r>
      <w:r w:rsidRPr="00CF618F">
        <w:t xml:space="preserve">the average yield over the </w:t>
      </w:r>
      <w:r w:rsidR="000A10EA">
        <w:t>six month</w:t>
      </w:r>
      <w:r w:rsidRPr="00CF618F">
        <w:t xml:space="preserve">s prior to the </w:t>
      </w:r>
      <w:r>
        <w:t>conclusion</w:t>
      </w:r>
      <w:r w:rsidRPr="00CF618F">
        <w:t xml:space="preserve"> of the relevant contract; the average yield over the month prior to the</w:t>
      </w:r>
      <w:r>
        <w:t xml:space="preserve"> conclusion of the relevant</w:t>
      </w:r>
      <w:r w:rsidRPr="00CF618F">
        <w:t xml:space="preserve"> contract; and the yield on the day of conclusion of the </w:t>
      </w:r>
      <w:r>
        <w:t xml:space="preserve">relevant </w:t>
      </w:r>
      <w:r w:rsidRPr="00CF618F">
        <w:t>contract.</w:t>
      </w:r>
      <w:r>
        <w:t xml:space="preserve"> The Panel pointed out that </w:t>
      </w:r>
      <w:r w:rsidRPr="00CF618F">
        <w:t xml:space="preserve">the yield on the day of conclusion of the </w:t>
      </w:r>
      <w:r>
        <w:t xml:space="preserve">relevant </w:t>
      </w:r>
      <w:r w:rsidRPr="00CF618F">
        <w:t>contract</w:t>
      </w:r>
      <w:r>
        <w:t xml:space="preserve"> "may reflect atypical fluctuations".</w:t>
      </w:r>
      <w:r>
        <w:rPr>
          <w:rStyle w:val="FootnoteReference"/>
        </w:rPr>
        <w:footnoteReference w:id="489"/>
      </w:r>
      <w:r>
        <w:t xml:space="preserve"> The Panel added that "{p}arties agreeing to a complex loan contract may rather set the rates in the lead-up to the conclusion of the contract, and prior to the actual day on which the contract is signed."</w:t>
      </w:r>
      <w:r>
        <w:rPr>
          <w:rStyle w:val="FootnoteReference"/>
        </w:rPr>
        <w:footnoteReference w:id="490"/>
      </w:r>
      <w:r w:rsidRPr="00FC2437">
        <w:t xml:space="preserve"> </w:t>
      </w:r>
      <w:r>
        <w:t xml:space="preserve">Then, the Panel made </w:t>
      </w:r>
      <w:r w:rsidRPr="00CF618F">
        <w:t xml:space="preserve">a few observations about </w:t>
      </w:r>
      <w:r>
        <w:t xml:space="preserve">yields from </w:t>
      </w:r>
      <w:r w:rsidRPr="00CF618F">
        <w:t xml:space="preserve">the </w:t>
      </w:r>
      <w:r>
        <w:t>other two</w:t>
      </w:r>
      <w:r w:rsidRPr="00CF618F">
        <w:t xml:space="preserve"> time </w:t>
      </w:r>
      <w:r>
        <w:t xml:space="preserve">periods. With regard to the one-month average yield, the Panel stated that it "would appear to be a reasonable proxy for the parties' expectations". In turn, regarding the </w:t>
      </w:r>
      <w:r w:rsidR="000A10EA">
        <w:t>six</w:t>
      </w:r>
      <w:r w:rsidR="000A10EA">
        <w:noBreakHyphen/>
        <w:t>month</w:t>
      </w:r>
      <w:r>
        <w:t xml:space="preserve"> average yield, the Panel indicated that such average "may be less likely to reflect expectations during the finalisation period, but may also be a helpful indication of market expectations".</w:t>
      </w:r>
      <w:r>
        <w:rPr>
          <w:rStyle w:val="FootnoteReference"/>
        </w:rPr>
        <w:footnoteReference w:id="491"/>
      </w:r>
      <w:r>
        <w:t xml:space="preserve"> Finally, having made all of the above remarks, </w:t>
      </w:r>
      <w:r w:rsidRPr="00CF618F">
        <w:t xml:space="preserve">the Panel reached the conclusion that it would "therefore carry out </w:t>
      </w:r>
      <w:r w:rsidRPr="00B613CF">
        <w:t>{its}</w:t>
      </w:r>
      <w:r w:rsidRPr="008331B2">
        <w:t xml:space="preserve"> benchmarking assessme</w:t>
      </w:r>
      <w:r w:rsidR="001C3E76">
        <w:t>nt using the average yields one</w:t>
      </w:r>
      <w:r w:rsidR="001C3E76">
        <w:noBreakHyphen/>
      </w:r>
      <w:r w:rsidRPr="008331B2">
        <w:t xml:space="preserve">month prior and </w:t>
      </w:r>
      <w:r w:rsidR="000A10EA">
        <w:t>six</w:t>
      </w:r>
      <w:r w:rsidR="000A10EA">
        <w:noBreakHyphen/>
        <w:t>month</w:t>
      </w:r>
      <w:r w:rsidRPr="008331B2">
        <w:t>s prior to the</w:t>
      </w:r>
      <w:r w:rsidR="00E113E6">
        <w:t xml:space="preserve"> conclusion of the contract, in </w:t>
      </w:r>
      <w:r w:rsidRPr="008331B2">
        <w:t>the form of a range".</w:t>
      </w:r>
      <w:r w:rsidRPr="008331B2">
        <w:rPr>
          <w:rStyle w:val="FootnoteReference"/>
        </w:rPr>
        <w:footnoteReference w:id="492"/>
      </w:r>
      <w:r w:rsidRPr="00C9511E">
        <w:t xml:space="preserve"> </w:t>
      </w:r>
    </w:p>
    <w:p w:rsidR="0007161B" w:rsidRDefault="0007161B" w:rsidP="00DC4FDF">
      <w:pPr>
        <w:pStyle w:val="BodyText"/>
      </w:pPr>
      <w:r>
        <w:t>Moreover, w</w:t>
      </w:r>
      <w:r w:rsidRPr="002207B9">
        <w:t xml:space="preserve">ith respect to the </w:t>
      </w:r>
      <w:r w:rsidR="000A10EA">
        <w:t>six</w:t>
      </w:r>
      <w:r w:rsidR="000A10EA">
        <w:noBreakHyphen/>
        <w:t>month</w:t>
      </w:r>
      <w:r w:rsidRPr="002207B9">
        <w:t xml:space="preserve"> average yield proposed by </w:t>
      </w:r>
      <w:r w:rsidRPr="00A5149B">
        <w:t>D</w:t>
      </w:r>
      <w:r w:rsidRPr="003638A1">
        <w:t xml:space="preserve">r Jordan, the </w:t>
      </w:r>
      <w:r w:rsidR="000A10EA">
        <w:t>European Union</w:t>
      </w:r>
      <w:r w:rsidRPr="00B613CF">
        <w:t xml:space="preserve"> correctly notes that the Panel indicated that "</w:t>
      </w:r>
      <w:r w:rsidRPr="008331B2">
        <w:t>{t</w:t>
      </w:r>
      <w:r w:rsidRPr="00C9511E">
        <w:t>}</w:t>
      </w:r>
      <w:r w:rsidRPr="002207B9">
        <w:t xml:space="preserve">he </w:t>
      </w:r>
      <w:r w:rsidR="000A10EA">
        <w:t>six</w:t>
      </w:r>
      <w:r w:rsidR="000A10EA">
        <w:noBreakHyphen/>
        <w:t>month</w:t>
      </w:r>
      <w:r w:rsidRPr="002207B9">
        <w:t xml:space="preserve"> average may be less likely to reflect expectations during the finalisation period".</w:t>
      </w:r>
      <w:r w:rsidRPr="002207B9">
        <w:rPr>
          <w:rStyle w:val="FootnoteReference"/>
        </w:rPr>
        <w:footnoteReference w:id="493"/>
      </w:r>
      <w:r w:rsidRPr="002207B9">
        <w:t xml:space="preserve"> However, the </w:t>
      </w:r>
      <w:r w:rsidR="000A10EA">
        <w:t>European Union</w:t>
      </w:r>
      <w:r w:rsidRPr="00FE5C91">
        <w:t xml:space="preserve"> omits that, in the </w:t>
      </w:r>
      <w:r w:rsidR="00075669">
        <w:t>same</w:t>
      </w:r>
      <w:r w:rsidRPr="00FE5C91">
        <w:t xml:space="preserve"> sentence</w:t>
      </w:r>
      <w:r w:rsidRPr="00B84BA1">
        <w:t xml:space="preserve">, the Panel added that such </w:t>
      </w:r>
      <w:r>
        <w:t xml:space="preserve">a </w:t>
      </w:r>
      <w:r w:rsidR="000A10EA">
        <w:t>six</w:t>
      </w:r>
      <w:r w:rsidR="000A10EA">
        <w:noBreakHyphen/>
        <w:t>month</w:t>
      </w:r>
      <w:r w:rsidRPr="00764E6F">
        <w:t xml:space="preserve"> average "may also be a helpful indication of market expectations".</w:t>
      </w:r>
      <w:r w:rsidRPr="005B71B4">
        <w:rPr>
          <w:rStyle w:val="FootnoteReference"/>
        </w:rPr>
        <w:footnoteReference w:id="494"/>
      </w:r>
      <w:r w:rsidRPr="005B71B4">
        <w:t xml:space="preserve"> To us, the</w:t>
      </w:r>
      <w:r w:rsidRPr="00E07A4B">
        <w:t>se stateme</w:t>
      </w:r>
      <w:r w:rsidRPr="00064903">
        <w:t xml:space="preserve">nts are consistent with the Panel's earlier reasoning </w:t>
      </w:r>
      <w:r>
        <w:t xml:space="preserve">that </w:t>
      </w:r>
      <w:r w:rsidRPr="00D54C1A">
        <w:t>"</w:t>
      </w:r>
      <w:r>
        <w:t>{</w:t>
      </w:r>
      <w:r w:rsidRPr="00D54C1A">
        <w:t>p</w:t>
      </w:r>
      <w:r>
        <w:t>}</w:t>
      </w:r>
      <w:r w:rsidRPr="00D54C1A">
        <w:t xml:space="preserve">arties agreeing to a complex loan contract may rather set the rates in </w:t>
      </w:r>
      <w:r w:rsidRPr="0050662F">
        <w:t>the lead-up to the conclusion of the contract, and prior to the actual day on which the contract is signed</w:t>
      </w:r>
      <w:r>
        <w:t>.</w:t>
      </w:r>
      <w:r w:rsidRPr="0050662F">
        <w:t>"</w:t>
      </w:r>
      <w:r w:rsidRPr="0050662F">
        <w:rPr>
          <w:rStyle w:val="FootnoteReference"/>
        </w:rPr>
        <w:footnoteReference w:id="495"/>
      </w:r>
      <w:r w:rsidRPr="0050662F">
        <w:t xml:space="preserve"> </w:t>
      </w:r>
      <w:r>
        <w:t>T</w:t>
      </w:r>
      <w:r w:rsidRPr="004E5695">
        <w:t xml:space="preserve">his understanding is in line with our </w:t>
      </w:r>
      <w:r>
        <w:t xml:space="preserve">observation </w:t>
      </w:r>
      <w:r w:rsidRPr="004E5695">
        <w:t xml:space="preserve">that, in some cases, parties may have committed to a transaction – or to key aspects thereof – during </w:t>
      </w:r>
      <w:r>
        <w:t>a</w:t>
      </w:r>
      <w:r w:rsidRPr="004E5695">
        <w:t xml:space="preserve"> finalization period of the negotiations </w:t>
      </w:r>
      <w:r>
        <w:t xml:space="preserve">preceding the moment of formal conclusion of </w:t>
      </w:r>
      <w:r w:rsidRPr="0070783D">
        <w:rPr>
          <w:i/>
        </w:rPr>
        <w:t>all</w:t>
      </w:r>
      <w:r>
        <w:t xml:space="preserve"> aspects of that transaction</w:t>
      </w:r>
      <w:r w:rsidRPr="004E5695">
        <w:t xml:space="preserve">. </w:t>
      </w:r>
      <w:r>
        <w:t xml:space="preserve">We are thus of the view that the Panel did not exceed its margin of appreciation of the evidence when it included the </w:t>
      </w:r>
      <w:r w:rsidR="000A10EA">
        <w:t>six</w:t>
      </w:r>
      <w:r w:rsidR="000A10EA">
        <w:noBreakHyphen/>
        <w:t>month</w:t>
      </w:r>
      <w:r>
        <w:t xml:space="preserve"> average yield in the range for determining the corporate borrowing rate component of the market benchmark. We also agree with the Panel when it found that the one-month average prior to the conclusion of the transaction "would </w:t>
      </w:r>
      <w:r w:rsidR="00075669">
        <w:t xml:space="preserve">appear to </w:t>
      </w:r>
      <w:r>
        <w:t xml:space="preserve">be a reasonable proxy for the parties' expectations" and thus gave it more prominence than the </w:t>
      </w:r>
      <w:r w:rsidR="000A10EA">
        <w:t>six</w:t>
      </w:r>
      <w:r w:rsidR="000A10EA">
        <w:noBreakHyphen/>
        <w:t>month</w:t>
      </w:r>
      <w:r>
        <w:t xml:space="preserve"> average, which was considered to be </w:t>
      </w:r>
      <w:r w:rsidR="00075669">
        <w:t xml:space="preserve">only </w:t>
      </w:r>
      <w:r>
        <w:t>a "helpful indication of market expectations".</w:t>
      </w:r>
      <w:r>
        <w:rPr>
          <w:rStyle w:val="FootnoteReference"/>
        </w:rPr>
        <w:footnoteReference w:id="496"/>
      </w:r>
    </w:p>
    <w:p w:rsidR="0007161B" w:rsidRPr="007C34CF" w:rsidRDefault="0007161B" w:rsidP="00DC4FDF">
      <w:pPr>
        <w:pStyle w:val="BodyText"/>
      </w:pPr>
      <w:r>
        <w:t xml:space="preserve">In light of these considerations, we do not </w:t>
      </w:r>
      <w:r w:rsidRPr="005C21C0">
        <w:t xml:space="preserve">see grounds for a finding of inconsistency with </w:t>
      </w:r>
      <w:r w:rsidR="000A10EA">
        <w:t>Article </w:t>
      </w:r>
      <w:r w:rsidRPr="002A5780">
        <w:t xml:space="preserve">11 </w:t>
      </w:r>
      <w:r>
        <w:t xml:space="preserve">of the DSU </w:t>
      </w:r>
      <w:r w:rsidRPr="002A5780">
        <w:t>due to the alleged failure by the Panel to provide a reasoned and adequate explanation.</w:t>
      </w:r>
      <w:r>
        <w:t xml:space="preserve"> W</w:t>
      </w:r>
      <w:r w:rsidRPr="004328ED">
        <w:t>e</w:t>
      </w:r>
      <w:r>
        <w:t xml:space="preserve"> recall that, although the Panel determined the corporate borrowing rate </w:t>
      </w:r>
      <w:r w:rsidRPr="00DD21F7">
        <w:t>in the form of a</w:t>
      </w:r>
      <w:r>
        <w:rPr>
          <w:i/>
        </w:rPr>
        <w:t xml:space="preserve"> range</w:t>
      </w:r>
      <w:r w:rsidRPr="007471B0">
        <w:t xml:space="preserve"> </w:t>
      </w:r>
      <w:r>
        <w:t>of average yields, the</w:t>
      </w:r>
      <w:r w:rsidRPr="004328ED">
        <w:t xml:space="preserve"> Panel </w:t>
      </w:r>
      <w:r>
        <w:t>rightly gave more</w:t>
      </w:r>
      <w:r w:rsidRPr="004328ED">
        <w:t xml:space="preserve"> prominence to the one-month average yield </w:t>
      </w:r>
      <w:r>
        <w:t>of</w:t>
      </w:r>
      <w:r w:rsidRPr="004328ED">
        <w:t xml:space="preserve"> the EADS bond</w:t>
      </w:r>
      <w:r>
        <w:t xml:space="preserve"> than to the </w:t>
      </w:r>
      <w:r w:rsidR="000A10EA">
        <w:t>six</w:t>
      </w:r>
      <w:r w:rsidR="000A10EA">
        <w:noBreakHyphen/>
        <w:t>month</w:t>
      </w:r>
      <w:r>
        <w:t xml:space="preserve"> average yield</w:t>
      </w:r>
      <w:r w:rsidRPr="004328ED">
        <w:t>.</w:t>
      </w:r>
      <w:r w:rsidRPr="002A5780">
        <w:t xml:space="preserve"> </w:t>
      </w:r>
      <w:r w:rsidRPr="00B459CF">
        <w:t xml:space="preserve">While further analysis </w:t>
      </w:r>
      <w:r>
        <w:t xml:space="preserve">and explanation </w:t>
      </w:r>
      <w:r w:rsidRPr="00B459CF">
        <w:t xml:space="preserve">may have </w:t>
      </w:r>
      <w:r>
        <w:t>provided a more robust basis</w:t>
      </w:r>
      <w:r w:rsidRPr="006E6C0F">
        <w:t xml:space="preserve"> </w:t>
      </w:r>
      <w:r>
        <w:t xml:space="preserve">for </w:t>
      </w:r>
      <w:r w:rsidRPr="00B459CF">
        <w:t xml:space="preserve">the Panel's </w:t>
      </w:r>
      <w:r>
        <w:t>decision</w:t>
      </w:r>
      <w:r w:rsidRPr="00B459CF">
        <w:t xml:space="preserve"> to conduct </w:t>
      </w:r>
      <w:r w:rsidRPr="007C34CF">
        <w:t>the benchmarking analysis usin</w:t>
      </w:r>
      <w:r>
        <w:t>g a range of average yields</w:t>
      </w:r>
      <w:r w:rsidRPr="007C34CF">
        <w:t xml:space="preserve">, </w:t>
      </w:r>
      <w:r w:rsidRPr="00E92DB1">
        <w:t xml:space="preserve">we disagree with </w:t>
      </w:r>
      <w:r w:rsidRPr="007C34CF">
        <w:rPr>
          <w:lang w:eastAsia="zh-CN"/>
        </w:rPr>
        <w:t xml:space="preserve">the </w:t>
      </w:r>
      <w:r w:rsidR="000A10EA">
        <w:rPr>
          <w:lang w:eastAsia="zh-CN"/>
        </w:rPr>
        <w:t>European Union</w:t>
      </w:r>
      <w:r w:rsidRPr="007C34CF">
        <w:rPr>
          <w:lang w:eastAsia="zh-CN"/>
        </w:rPr>
        <w:t>'s claim that the Panel's</w:t>
      </w:r>
      <w:r w:rsidRPr="007C34CF">
        <w:t xml:space="preserve"> analysis lacks objectivity. Consequently, we </w:t>
      </w:r>
      <w:r w:rsidRPr="00075669">
        <w:rPr>
          <w:u w:val="single"/>
        </w:rPr>
        <w:t>find</w:t>
      </w:r>
      <w:r>
        <w:t xml:space="preserve"> that</w:t>
      </w:r>
      <w:r w:rsidRPr="007C34CF">
        <w:t xml:space="preserve"> the </w:t>
      </w:r>
      <w:r w:rsidR="000A10EA">
        <w:t>European Union</w:t>
      </w:r>
      <w:r w:rsidRPr="007C34CF">
        <w:t xml:space="preserve"> </w:t>
      </w:r>
      <w:r>
        <w:t xml:space="preserve">has not established </w:t>
      </w:r>
      <w:r w:rsidRPr="007C34CF">
        <w:t>that the Panel ac</w:t>
      </w:r>
      <w:r>
        <w:t xml:space="preserve">ted inconsistently with </w:t>
      </w:r>
      <w:r w:rsidR="000A10EA">
        <w:t>Article </w:t>
      </w:r>
      <w:r w:rsidRPr="007C34CF">
        <w:t xml:space="preserve">11 of the DSU </w:t>
      </w:r>
      <w:r>
        <w:t>by</w:t>
      </w:r>
      <w:r w:rsidRPr="007C34CF">
        <w:t xml:space="preserve"> fail</w:t>
      </w:r>
      <w:r>
        <w:t>ing</w:t>
      </w:r>
      <w:r w:rsidRPr="007C34CF">
        <w:t xml:space="preserve"> to provide a reasoned and adequate explanation for including, as part of its range, the average yield over the </w:t>
      </w:r>
      <w:r w:rsidR="000A10EA">
        <w:t>six</w:t>
      </w:r>
      <w:r w:rsidR="000A10EA">
        <w:noBreakHyphen/>
        <w:t>month</w:t>
      </w:r>
      <w:r w:rsidRPr="007C34CF">
        <w:t xml:space="preserve"> period prior to the conclusion of each </w:t>
      </w:r>
      <w:r>
        <w:t xml:space="preserve">of the four A350XWB LA/MSF </w:t>
      </w:r>
      <w:r w:rsidRPr="007C34CF">
        <w:t>contract</w:t>
      </w:r>
      <w:r>
        <w:t>s</w:t>
      </w:r>
      <w:r w:rsidRPr="007C34CF">
        <w:t>.</w:t>
      </w:r>
      <w:r w:rsidRPr="007C34CF">
        <w:rPr>
          <w:rStyle w:val="FootnoteReference"/>
        </w:rPr>
        <w:footnoteReference w:id="497"/>
      </w:r>
    </w:p>
    <w:p w:rsidR="0007161B" w:rsidRPr="007C34CF" w:rsidRDefault="0007161B" w:rsidP="00DC4FDF">
      <w:pPr>
        <w:pStyle w:val="BodyText"/>
      </w:pPr>
      <w:r w:rsidRPr="007C34CF">
        <w:lastRenderedPageBreak/>
        <w:t xml:space="preserve">In its second line of argumentation, the </w:t>
      </w:r>
      <w:r w:rsidR="000A10EA">
        <w:t>European Union</w:t>
      </w:r>
      <w:r w:rsidRPr="007C34CF">
        <w:t xml:space="preserve"> considers that the Panel's acceptance of the </w:t>
      </w:r>
      <w:r w:rsidR="000A10EA">
        <w:t>six</w:t>
      </w:r>
      <w:r w:rsidR="000A10EA">
        <w:noBreakHyphen/>
        <w:t>month</w:t>
      </w:r>
      <w:r w:rsidRPr="007C34CF">
        <w:t xml:space="preserve"> average yield is based on </w:t>
      </w:r>
      <w:r w:rsidRPr="007C34CF">
        <w:rPr>
          <w:i/>
        </w:rPr>
        <w:t>inconsistent and incoherent reasoning</w:t>
      </w:r>
      <w:r w:rsidRPr="007C34CF">
        <w:t>.</w:t>
      </w:r>
      <w:r w:rsidR="00075669">
        <w:rPr>
          <w:rStyle w:val="FootnoteReference"/>
        </w:rPr>
        <w:footnoteReference w:id="498"/>
      </w:r>
      <w:r w:rsidRPr="007C34CF">
        <w:t xml:space="preserve"> The </w:t>
      </w:r>
      <w:r w:rsidR="000A10EA">
        <w:t>European Union</w:t>
      </w:r>
      <w:r w:rsidRPr="007C34CF">
        <w:t xml:space="preserve"> puts forward </w:t>
      </w:r>
      <w:r w:rsidRPr="003C60FA">
        <w:t>two</w:t>
      </w:r>
      <w:r w:rsidRPr="007C34CF">
        <w:t xml:space="preserve"> reasons to substantiate its challenge.</w:t>
      </w:r>
    </w:p>
    <w:p w:rsidR="0007161B" w:rsidRPr="007C34CF" w:rsidRDefault="0007161B" w:rsidP="00DC4FDF">
      <w:pPr>
        <w:pStyle w:val="BodyText"/>
      </w:pPr>
      <w:r w:rsidRPr="007C34CF">
        <w:t xml:space="preserve">First, the </w:t>
      </w:r>
      <w:r w:rsidR="000A10EA">
        <w:t>European Union</w:t>
      </w:r>
      <w:r w:rsidRPr="007C34CF">
        <w:t xml:space="preserve"> highlights that, while the Panel criticized Professor Whitelaw's use of an average yield over </w:t>
      </w:r>
      <w:r w:rsidRPr="007C34CF">
        <w:rPr>
          <w:b/>
        </w:rPr>
        <w:t>[</w:t>
      </w:r>
      <w:r w:rsidR="00C8434D" w:rsidRPr="00C8434D">
        <w:rPr>
          <w:b/>
          <w:szCs w:val="16"/>
        </w:rPr>
        <w:t>BCI</w:t>
      </w:r>
      <w:r w:rsidRPr="007C34CF">
        <w:rPr>
          <w:b/>
        </w:rPr>
        <w:t>]</w:t>
      </w:r>
      <w:r w:rsidRPr="007C34CF">
        <w:t xml:space="preserve">, due to the possibility that such an approach could result in an "artificially" lower (or higher) market borrowing rate, the Panel also </w:t>
      </w:r>
      <w:r>
        <w:t>included</w:t>
      </w:r>
      <w:r w:rsidRPr="007C34CF">
        <w:t xml:space="preserve"> the </w:t>
      </w:r>
      <w:r w:rsidR="000A10EA">
        <w:t>six</w:t>
      </w:r>
      <w:r w:rsidR="000A10EA">
        <w:noBreakHyphen/>
        <w:t>month</w:t>
      </w:r>
      <w:r w:rsidRPr="007C34CF">
        <w:t xml:space="preserve"> average yield </w:t>
      </w:r>
      <w:r>
        <w:t>in the market</w:t>
      </w:r>
      <w:r w:rsidRPr="007C34CF">
        <w:t xml:space="preserve"> benchmark. This is despite the fact that the </w:t>
      </w:r>
      <w:r w:rsidR="000A10EA">
        <w:t>six</w:t>
      </w:r>
      <w:r w:rsidR="000A10EA">
        <w:noBreakHyphen/>
        <w:t>month</w:t>
      </w:r>
      <w:r w:rsidRPr="007C34CF">
        <w:t xml:space="preserve"> average demonstrably resulted in an "artificial" increase of the market borrowing rate, which could result in "misplaced" findings of subsidization. Consequently, the </w:t>
      </w:r>
      <w:r w:rsidR="000A10EA">
        <w:t>European Union</w:t>
      </w:r>
      <w:r w:rsidRPr="007C34CF">
        <w:t xml:space="preserve"> considers that the Panel's reasoning is "internally inconsistent".</w:t>
      </w:r>
      <w:r w:rsidRPr="007C34CF">
        <w:rPr>
          <w:rStyle w:val="FootnoteReference"/>
        </w:rPr>
        <w:footnoteReference w:id="499"/>
      </w:r>
      <w:r w:rsidRPr="007C34CF">
        <w:t xml:space="preserve"> </w:t>
      </w:r>
    </w:p>
    <w:p w:rsidR="0007161B" w:rsidRPr="00FE5C91" w:rsidRDefault="0007161B" w:rsidP="00DC4FDF">
      <w:pPr>
        <w:pStyle w:val="BodyText"/>
      </w:pPr>
      <w:r w:rsidRPr="007C34CF">
        <w:t xml:space="preserve">The </w:t>
      </w:r>
      <w:r w:rsidR="000A10EA">
        <w:t>United States</w:t>
      </w:r>
      <w:r w:rsidRPr="007C34CF">
        <w:t xml:space="preserve"> rejects the </w:t>
      </w:r>
      <w:r w:rsidR="000A10EA">
        <w:t>European Union</w:t>
      </w:r>
      <w:r w:rsidRPr="007C34CF">
        <w:t xml:space="preserve">'s claim that the Panel acted inconsistently with </w:t>
      </w:r>
      <w:r w:rsidR="000A10EA">
        <w:t>Article </w:t>
      </w:r>
      <w:r w:rsidRPr="007C34CF">
        <w:t xml:space="preserve">11 of the DSU </w:t>
      </w:r>
      <w:r>
        <w:t xml:space="preserve">in this regard </w:t>
      </w:r>
      <w:r w:rsidRPr="007C34CF">
        <w:t xml:space="preserve">and points out that the </w:t>
      </w:r>
      <w:r w:rsidR="000A10EA">
        <w:t>European Union</w:t>
      </w:r>
      <w:r w:rsidRPr="007C34CF">
        <w:t xml:space="preserve"> does not state what is inconsistent or incoherent about the Panel's finding.</w:t>
      </w:r>
      <w:r w:rsidR="008A789C">
        <w:rPr>
          <w:rStyle w:val="FootnoteReference"/>
        </w:rPr>
        <w:footnoteReference w:id="500"/>
      </w:r>
      <w:r w:rsidRPr="007C34CF">
        <w:t xml:space="preserve"> According to the </w:t>
      </w:r>
      <w:r w:rsidR="000A10EA">
        <w:t>United States</w:t>
      </w:r>
      <w:r w:rsidRPr="007C34CF">
        <w:t xml:space="preserve">, the </w:t>
      </w:r>
      <w:r w:rsidR="000A10EA">
        <w:t>European Union</w:t>
      </w:r>
      <w:r w:rsidRPr="007C34CF">
        <w:t xml:space="preserve"> fails to appreciate the actual reason why the Panel rejected Professor Whitelaw's </w:t>
      </w:r>
      <w:r w:rsidRPr="007C34CF">
        <w:rPr>
          <w:b/>
        </w:rPr>
        <w:t>[</w:t>
      </w:r>
      <w:r w:rsidR="00C8434D" w:rsidRPr="00C8434D">
        <w:rPr>
          <w:b/>
          <w:szCs w:val="16"/>
        </w:rPr>
        <w:t>BCI</w:t>
      </w:r>
      <w:r w:rsidRPr="007C34CF">
        <w:rPr>
          <w:b/>
        </w:rPr>
        <w:t>]</w:t>
      </w:r>
      <w:r w:rsidRPr="007C34CF">
        <w:t xml:space="preserve"> average. This rejection was not based on a concern that </w:t>
      </w:r>
      <w:r w:rsidRPr="007C34CF">
        <w:rPr>
          <w:b/>
        </w:rPr>
        <w:t>[</w:t>
      </w:r>
      <w:r w:rsidR="00C8434D" w:rsidRPr="00C8434D">
        <w:rPr>
          <w:b/>
          <w:szCs w:val="16"/>
        </w:rPr>
        <w:t>BCI</w:t>
      </w:r>
      <w:r w:rsidRPr="007C34CF">
        <w:rPr>
          <w:b/>
        </w:rPr>
        <w:t>]</w:t>
      </w:r>
      <w:r w:rsidR="00E113E6">
        <w:t xml:space="preserve"> is </w:t>
      </w:r>
      <w:r w:rsidRPr="007C34CF">
        <w:t>"</w:t>
      </w:r>
      <w:r>
        <w:t>too </w:t>
      </w:r>
      <w:r w:rsidRPr="002A5780">
        <w:t>w</w:t>
      </w:r>
      <w:r w:rsidRPr="00682D8D">
        <w:t>ide a window" from which to draw the relevant data.</w:t>
      </w:r>
      <w:r w:rsidRPr="000C534D">
        <w:rPr>
          <w:rStyle w:val="FootnoteReference"/>
        </w:rPr>
        <w:footnoteReference w:id="501"/>
      </w:r>
      <w:r w:rsidRPr="000C534D">
        <w:t xml:space="preserve"> Rather,</w:t>
      </w:r>
      <w:r w:rsidR="008A789C">
        <w:t xml:space="preserve"> the Panel criticized Professor </w:t>
      </w:r>
      <w:r w:rsidRPr="000C534D">
        <w:t xml:space="preserve">Whitelaw's </w:t>
      </w:r>
      <w:r w:rsidRPr="00B51F4A">
        <w:rPr>
          <w:b/>
        </w:rPr>
        <w:t>[</w:t>
      </w:r>
      <w:r w:rsidR="00C8434D" w:rsidRPr="00C8434D">
        <w:rPr>
          <w:b/>
          <w:szCs w:val="16"/>
        </w:rPr>
        <w:t>BCI</w:t>
      </w:r>
      <w:r w:rsidRPr="007F423B">
        <w:rPr>
          <w:b/>
        </w:rPr>
        <w:t>]</w:t>
      </w:r>
      <w:r w:rsidRPr="00EE151D">
        <w:t xml:space="preserve"> average because it applied a uniform commercial bond yield fro</w:t>
      </w:r>
      <w:r w:rsidRPr="00785A3F">
        <w:t xml:space="preserve">m the time period of </w:t>
      </w:r>
      <w:r w:rsidRPr="00A21CA7">
        <w:rPr>
          <w:b/>
        </w:rPr>
        <w:t>[</w:t>
      </w:r>
      <w:r w:rsidR="00C8434D" w:rsidRPr="00C8434D">
        <w:rPr>
          <w:b/>
          <w:szCs w:val="16"/>
        </w:rPr>
        <w:t>BCI</w:t>
      </w:r>
      <w:r w:rsidRPr="006973F0">
        <w:rPr>
          <w:b/>
        </w:rPr>
        <w:t>]</w:t>
      </w:r>
      <w:r w:rsidRPr="000630DA">
        <w:t xml:space="preserve"> for each of the four A350XWB </w:t>
      </w:r>
      <w:r w:rsidRPr="00A50B21">
        <w:t xml:space="preserve">LA/MSF contracts, despite the fact that they were finalized on different dates. </w:t>
      </w:r>
      <w:r w:rsidR="008A789C">
        <w:t>Given that</w:t>
      </w:r>
      <w:r w:rsidRPr="00A50B21">
        <w:t xml:space="preserve"> the Panel did not criticize Professor Whitelaw's approach because it is based on da</w:t>
      </w:r>
      <w:r w:rsidRPr="00245B1A">
        <w:t xml:space="preserve">ta from a </w:t>
      </w:r>
      <w:r w:rsidRPr="0048602A">
        <w:rPr>
          <w:b/>
        </w:rPr>
        <w:t>[</w:t>
      </w:r>
      <w:r w:rsidR="00C8434D" w:rsidRPr="00C8434D">
        <w:rPr>
          <w:b/>
          <w:szCs w:val="16"/>
        </w:rPr>
        <w:t>BCI</w:t>
      </w:r>
      <w:r w:rsidRPr="0048602A">
        <w:rPr>
          <w:b/>
        </w:rPr>
        <w:t>]</w:t>
      </w:r>
      <w:r w:rsidRPr="005C21C0">
        <w:t xml:space="preserve"> time</w:t>
      </w:r>
      <w:r w:rsidRPr="00CF618F">
        <w:t xml:space="preserve"> period, the </w:t>
      </w:r>
      <w:r w:rsidR="000A10EA">
        <w:t>United States</w:t>
      </w:r>
      <w:r w:rsidRPr="00B613CF">
        <w:t xml:space="preserve"> maintains that there is nothing inconsistent or incoherent about rejecting Professor Whitelaw's </w:t>
      </w:r>
      <w:r w:rsidRPr="008331B2">
        <w:rPr>
          <w:b/>
        </w:rPr>
        <w:t>[</w:t>
      </w:r>
      <w:r w:rsidR="00C8434D" w:rsidRPr="00C8434D">
        <w:rPr>
          <w:b/>
          <w:szCs w:val="16"/>
        </w:rPr>
        <w:t>BCI</w:t>
      </w:r>
      <w:r w:rsidRPr="00C9511E">
        <w:rPr>
          <w:b/>
        </w:rPr>
        <w:t>]</w:t>
      </w:r>
      <w:r w:rsidRPr="002207B9">
        <w:t xml:space="preserve"> average while using the one-month and </w:t>
      </w:r>
      <w:r w:rsidR="000A10EA">
        <w:t>six</w:t>
      </w:r>
      <w:r w:rsidR="000A10EA">
        <w:noBreakHyphen/>
        <w:t>month</w:t>
      </w:r>
      <w:r w:rsidRPr="002207B9">
        <w:t xml:space="preserve"> averages specific to the date of finalization of each A350XWB LA/MSF contract.</w:t>
      </w:r>
      <w:r w:rsidRPr="00A5149B">
        <w:rPr>
          <w:rStyle w:val="FootnoteReference"/>
        </w:rPr>
        <w:footnoteReference w:id="502"/>
      </w:r>
    </w:p>
    <w:p w:rsidR="0007161B" w:rsidRDefault="0007161B" w:rsidP="00DC4FDF">
      <w:pPr>
        <w:pStyle w:val="BodyText"/>
      </w:pPr>
      <w:r>
        <w:t>T</w:t>
      </w:r>
      <w:r w:rsidRPr="00764E6F">
        <w:t xml:space="preserve">he </w:t>
      </w:r>
      <w:r w:rsidR="000A10EA">
        <w:t>European Union</w:t>
      </w:r>
      <w:r>
        <w:t>'s</w:t>
      </w:r>
      <w:r w:rsidRPr="005B71B4">
        <w:t xml:space="preserve"> </w:t>
      </w:r>
      <w:r>
        <w:t xml:space="preserve">arguments </w:t>
      </w:r>
      <w:r w:rsidRPr="005B71B4">
        <w:t xml:space="preserve">appear to </w:t>
      </w:r>
      <w:r>
        <w:t xml:space="preserve">neglect </w:t>
      </w:r>
      <w:r w:rsidRPr="005B71B4">
        <w:t xml:space="preserve">important aspects of the reasoning provided by the Panel </w:t>
      </w:r>
      <w:r>
        <w:t xml:space="preserve">for </w:t>
      </w:r>
      <w:r w:rsidRPr="005B71B4">
        <w:t>reject</w:t>
      </w:r>
      <w:r>
        <w:t>ing</w:t>
      </w:r>
      <w:r w:rsidRPr="005B71B4">
        <w:t xml:space="preserve"> the averaging approach proposed by Prof</w:t>
      </w:r>
      <w:r w:rsidRPr="00E07A4B">
        <w:t>essor Whit</w:t>
      </w:r>
      <w:r w:rsidR="00584272">
        <w:t>elaw. In </w:t>
      </w:r>
      <w:r w:rsidRPr="00064903">
        <w:t xml:space="preserve">particular, the </w:t>
      </w:r>
      <w:r w:rsidR="000A10EA">
        <w:t>European Union</w:t>
      </w:r>
      <w:r w:rsidRPr="000C534D">
        <w:t xml:space="preserve"> </w:t>
      </w:r>
      <w:r>
        <w:t xml:space="preserve">seems to </w:t>
      </w:r>
      <w:r w:rsidRPr="000C534D">
        <w:t xml:space="preserve">suggest that the </w:t>
      </w:r>
      <w:r w:rsidRPr="00B51F4A">
        <w:rPr>
          <w:i/>
        </w:rPr>
        <w:t>sole</w:t>
      </w:r>
      <w:r w:rsidRPr="007F423B">
        <w:t xml:space="preserve"> reason why the Panel rejected Professor Whitelaw's approach is that such approach "</w:t>
      </w:r>
      <w:r w:rsidRPr="00EE151D">
        <w:rPr>
          <w:i/>
        </w:rPr>
        <w:t>could</w:t>
      </w:r>
      <w:r w:rsidRPr="00785A3F">
        <w:t xml:space="preserve"> result</w:t>
      </w:r>
      <w:r>
        <w:t xml:space="preserve"> in an 'artificially' lower (or </w:t>
      </w:r>
      <w:r w:rsidRPr="00785A3F">
        <w:t>higher) market borrowing rate, therefore resulting in a 'misplaced</w:t>
      </w:r>
      <w:r>
        <w:t>' finding of subsidisation (or </w:t>
      </w:r>
      <w:r w:rsidRPr="00A21CA7">
        <w:t>of no subsidisation)".</w:t>
      </w:r>
      <w:r w:rsidRPr="00EC7285">
        <w:rPr>
          <w:rStyle w:val="FootnoteReference"/>
        </w:rPr>
        <w:footnoteReference w:id="503"/>
      </w:r>
      <w:r w:rsidRPr="006973F0">
        <w:t xml:space="preserve"> In </w:t>
      </w:r>
      <w:r>
        <w:t xml:space="preserve">so </w:t>
      </w:r>
      <w:r w:rsidRPr="006973F0">
        <w:t xml:space="preserve">doing, the </w:t>
      </w:r>
      <w:r w:rsidR="000A10EA">
        <w:t>European Union</w:t>
      </w:r>
      <w:r w:rsidRPr="000630DA">
        <w:t xml:space="preserve"> overlooks the </w:t>
      </w:r>
      <w:r w:rsidRPr="00A50B21">
        <w:rPr>
          <w:i/>
        </w:rPr>
        <w:t>specific</w:t>
      </w:r>
      <w:r w:rsidRPr="00245B1A">
        <w:t xml:space="preserve"> problems that the Panel identified regarding the averaging approach proposed by Professor Whitelaw.</w:t>
      </w:r>
      <w:r>
        <w:t xml:space="preserve"> As noted above, the Panel's conclusion was based on two main reasons. First, </w:t>
      </w:r>
      <w:r w:rsidRPr="00A55DF7">
        <w:t xml:space="preserve">the Panel observed that "Professor Whitelaw's averaging approach would result in the </w:t>
      </w:r>
      <w:r w:rsidRPr="008070ED">
        <w:t xml:space="preserve">application of corporate borrowing rates derived over time periods that are </w:t>
      </w:r>
      <w:r w:rsidRPr="008070ED">
        <w:rPr>
          <w:i/>
        </w:rPr>
        <w:t>different</w:t>
      </w:r>
      <w:r w:rsidRPr="008070ED">
        <w:t xml:space="preserve"> for the four LA/MSF contracts.</w:t>
      </w:r>
      <w:r w:rsidRPr="00B84A0D">
        <w:t>"</w:t>
      </w:r>
      <w:r w:rsidRPr="000C534D">
        <w:rPr>
          <w:rStyle w:val="FootnoteReference"/>
        </w:rPr>
        <w:footnoteReference w:id="504"/>
      </w:r>
      <w:r w:rsidR="00E113E6">
        <w:t xml:space="preserve"> Second, the </w:t>
      </w:r>
      <w:r>
        <w:t>Panel indicated</w:t>
      </w:r>
      <w:r w:rsidRPr="000C534D">
        <w:t xml:space="preserve"> that </w:t>
      </w:r>
      <w:r>
        <w:t>"</w:t>
      </w:r>
      <w:r w:rsidRPr="000C534D">
        <w:t>Professor Whitelaw's averaging approach would also incorporate data from after the conclusion of three of the four contracts.</w:t>
      </w:r>
      <w:r>
        <w:t>"</w:t>
      </w:r>
      <w:r>
        <w:rPr>
          <w:rStyle w:val="FootnoteReference"/>
        </w:rPr>
        <w:footnoteReference w:id="505"/>
      </w:r>
    </w:p>
    <w:p w:rsidR="0007161B" w:rsidRDefault="0007161B" w:rsidP="00DC4FDF">
      <w:pPr>
        <w:pStyle w:val="BodyText"/>
      </w:pPr>
      <w:r w:rsidRPr="007F423B">
        <w:t>These considerations, in our view, confirm that the Panel di</w:t>
      </w:r>
      <w:r>
        <w:t>d not take issue with Professor </w:t>
      </w:r>
      <w:r w:rsidRPr="007F423B">
        <w:t xml:space="preserve">Whitelaw's averaging approach for the mere reason that it was an </w:t>
      </w:r>
      <w:r w:rsidRPr="00EE151D">
        <w:rPr>
          <w:i/>
        </w:rPr>
        <w:t>average</w:t>
      </w:r>
      <w:r>
        <w:t>. We </w:t>
      </w:r>
      <w:r w:rsidRPr="00785A3F">
        <w:t>acknowledge t</w:t>
      </w:r>
      <w:r w:rsidRPr="00A21CA7">
        <w:t xml:space="preserve">hat, had that indeed been the case, the </w:t>
      </w:r>
      <w:r w:rsidR="000A10EA">
        <w:t>European Union</w:t>
      </w:r>
      <w:r w:rsidRPr="006973F0">
        <w:t xml:space="preserve"> may have some legitimate grounds to question the consistency and objectivity of the Panel's decision to include the </w:t>
      </w:r>
      <w:r w:rsidR="000A10EA">
        <w:t>six</w:t>
      </w:r>
      <w:r w:rsidR="000A10EA">
        <w:noBreakHyphen/>
        <w:t>month</w:t>
      </w:r>
      <w:r w:rsidRPr="006973F0">
        <w:t xml:space="preserve"> average in the </w:t>
      </w:r>
      <w:r>
        <w:t>market benchmark</w:t>
      </w:r>
      <w:r w:rsidRPr="006973F0">
        <w:t xml:space="preserve">. Instead, the Panel's misgivings in relation to Professor Whitelaw's averaging approach stemmed from </w:t>
      </w:r>
      <w:r>
        <w:t>the above-mentioned issues</w:t>
      </w:r>
      <w:r w:rsidRPr="006973F0">
        <w:t xml:space="preserve"> that </w:t>
      </w:r>
      <w:r w:rsidRPr="00A50B21">
        <w:t xml:space="preserve">the Panel identified. </w:t>
      </w:r>
      <w:r>
        <w:t>T</w:t>
      </w:r>
      <w:r w:rsidRPr="002207B9">
        <w:t>herefore</w:t>
      </w:r>
      <w:r>
        <w:t>, we</w:t>
      </w:r>
      <w:r w:rsidRPr="002207B9">
        <w:t xml:space="preserve"> do not consider that the Panel's reasoning was inconsistent </w:t>
      </w:r>
      <w:r>
        <w:t>or</w:t>
      </w:r>
      <w:r w:rsidRPr="002207B9">
        <w:t xml:space="preserve"> incoherent </w:t>
      </w:r>
      <w:r>
        <w:t>for</w:t>
      </w:r>
      <w:r w:rsidRPr="002207B9">
        <w:t xml:space="preserve">, on the one hand, rejecting Professor Whitelaw's averaging approach and, on the other hand, including the </w:t>
      </w:r>
      <w:r w:rsidR="000A10EA">
        <w:t>six</w:t>
      </w:r>
      <w:r w:rsidR="000A10EA">
        <w:noBreakHyphen/>
        <w:t>month</w:t>
      </w:r>
      <w:r w:rsidRPr="002207B9">
        <w:t xml:space="preserve"> average as </w:t>
      </w:r>
      <w:r w:rsidRPr="000270F2">
        <w:t>part of the range</w:t>
      </w:r>
      <w:r w:rsidRPr="00A31B2D">
        <w:t xml:space="preserve"> </w:t>
      </w:r>
      <w:r>
        <w:t>of average yields it used in determining the corporate borrowing rate</w:t>
      </w:r>
      <w:r w:rsidRPr="000270F2">
        <w:t xml:space="preserve">. Consequently, the </w:t>
      </w:r>
      <w:r w:rsidR="000A10EA">
        <w:t>European Union</w:t>
      </w:r>
      <w:r w:rsidRPr="000270F2">
        <w:t xml:space="preserve"> has not properly substantiated this challenge unde</w:t>
      </w:r>
      <w:r w:rsidRPr="00A5149B">
        <w:t xml:space="preserve">r </w:t>
      </w:r>
      <w:r w:rsidR="000A10EA">
        <w:t>Article </w:t>
      </w:r>
      <w:r w:rsidRPr="00FE5C91">
        <w:t>11 of the DSU.</w:t>
      </w:r>
    </w:p>
    <w:p w:rsidR="0007161B" w:rsidRPr="008331B2" w:rsidRDefault="0007161B" w:rsidP="00DC4FDF">
      <w:pPr>
        <w:pStyle w:val="BodyText"/>
      </w:pPr>
      <w:r>
        <w:lastRenderedPageBreak/>
        <w:t>Moreover, t</w:t>
      </w:r>
      <w:r w:rsidRPr="00B22EE9">
        <w:t xml:space="preserve">he </w:t>
      </w:r>
      <w:r w:rsidR="000A10EA">
        <w:t>European Union</w:t>
      </w:r>
      <w:r w:rsidRPr="00F861D7">
        <w:t xml:space="preserve"> considers that the Panel's reasoning is internally inconsistent for </w:t>
      </w:r>
      <w:r>
        <w:t>one</w:t>
      </w:r>
      <w:r w:rsidRPr="00F861D7">
        <w:t xml:space="preserve"> additional reason. </w:t>
      </w:r>
      <w:r>
        <w:t xml:space="preserve">According to the </w:t>
      </w:r>
      <w:r w:rsidR="000A10EA">
        <w:t>European Union</w:t>
      </w:r>
      <w:r>
        <w:t>, o</w:t>
      </w:r>
      <w:r w:rsidR="00E113E6">
        <w:t>n the one hand, the </w:t>
      </w:r>
      <w:r w:rsidRPr="00F861D7">
        <w:t>Panel rejected the EADS bond yield on the day of conclusion of the A3</w:t>
      </w:r>
      <w:r w:rsidRPr="00CF618F">
        <w:t xml:space="preserve">50XWB LA/MSF contracts based on the mere possibility that it "may" be "distorted", even though the evidence on the </w:t>
      </w:r>
      <w:r w:rsidRPr="00B613CF">
        <w:t>record demonstrated that no such distortion existed. On the other hand, the Panel accep</w:t>
      </w:r>
      <w:r>
        <w:t xml:space="preserve">ted the </w:t>
      </w:r>
      <w:r w:rsidR="000A10EA">
        <w:t>six</w:t>
      </w:r>
      <w:r w:rsidR="000A10EA">
        <w:noBreakHyphen/>
        <w:t>month</w:t>
      </w:r>
      <w:r w:rsidRPr="00B613CF">
        <w:t xml:space="preserve"> average yield for the </w:t>
      </w:r>
      <w:r w:rsidRPr="00CF618F">
        <w:t xml:space="preserve">EADS bond as a basis for </w:t>
      </w:r>
      <w:r>
        <w:t xml:space="preserve">determining </w:t>
      </w:r>
      <w:r w:rsidRPr="00CF618F">
        <w:t>the corporate borrowing rate, even though that average bore the same risk of being "distorted", and the evidence on the record demonstrated that this average was, indeed, distorted.</w:t>
      </w:r>
      <w:r>
        <w:t xml:space="preserve"> Therefore, according to t</w:t>
      </w:r>
      <w:r w:rsidRPr="00CF618F">
        <w:t xml:space="preserve">he </w:t>
      </w:r>
      <w:r w:rsidR="000A10EA">
        <w:t>European Union</w:t>
      </w:r>
      <w:r>
        <w:t>,</w:t>
      </w:r>
      <w:r w:rsidRPr="00B613CF">
        <w:t xml:space="preserve"> the Pan</w:t>
      </w:r>
      <w:r>
        <w:t xml:space="preserve">el's decision to accept the </w:t>
      </w:r>
      <w:r w:rsidR="000A10EA">
        <w:t>six</w:t>
      </w:r>
      <w:r w:rsidR="000A10EA">
        <w:noBreakHyphen/>
        <w:t>month</w:t>
      </w:r>
      <w:r w:rsidRPr="00B613CF">
        <w:t xml:space="preserve"> average yield wa</w:t>
      </w:r>
      <w:r w:rsidRPr="00CF618F">
        <w:t>s based on incoherent and inconsistent reasoning</w:t>
      </w:r>
      <w:r w:rsidRPr="00B613CF">
        <w:t>.</w:t>
      </w:r>
      <w:r w:rsidRPr="00B613CF">
        <w:rPr>
          <w:rStyle w:val="FootnoteReference"/>
        </w:rPr>
        <w:footnoteReference w:id="506"/>
      </w:r>
    </w:p>
    <w:p w:rsidR="0007161B" w:rsidRDefault="0007161B" w:rsidP="00DC4FDF">
      <w:pPr>
        <w:pStyle w:val="BodyText"/>
      </w:pPr>
      <w:r>
        <w:t xml:space="preserve">In our view, this challenge </w:t>
      </w:r>
      <w:r w:rsidRPr="002207B9">
        <w:t xml:space="preserve">under </w:t>
      </w:r>
      <w:r w:rsidR="000A10EA">
        <w:t>Article </w:t>
      </w:r>
      <w:r w:rsidRPr="00FE5C91">
        <w:t xml:space="preserve">11 of the DSU does not </w:t>
      </w:r>
      <w:r>
        <w:t>represent</w:t>
      </w:r>
      <w:r w:rsidRPr="00FE5C91">
        <w:t xml:space="preserve"> a</w:t>
      </w:r>
      <w:r>
        <w:t xml:space="preserve"> full and</w:t>
      </w:r>
      <w:r w:rsidRPr="00FE5C91">
        <w:t xml:space="preserve"> accurate characterization of the Panel's analysis. </w:t>
      </w:r>
      <w:r>
        <w:t>T</w:t>
      </w:r>
      <w:r w:rsidRPr="00FE5C91">
        <w:t xml:space="preserve">he </w:t>
      </w:r>
      <w:r w:rsidR="000A10EA">
        <w:t>European Union</w:t>
      </w:r>
      <w:r w:rsidRPr="00764E6F">
        <w:t xml:space="preserve"> contends that the evidence on the record demonstrated that there was </w:t>
      </w:r>
      <w:r w:rsidRPr="005B71B4">
        <w:rPr>
          <w:i/>
        </w:rPr>
        <w:t>no</w:t>
      </w:r>
      <w:r w:rsidRPr="005B71B4">
        <w:t xml:space="preserve"> distortion in </w:t>
      </w:r>
      <w:r w:rsidRPr="00E07A4B">
        <w:t xml:space="preserve">the yield </w:t>
      </w:r>
      <w:r w:rsidRPr="00064903">
        <w:t xml:space="preserve">of the EADS bond on the day of conclusion of the </w:t>
      </w:r>
      <w:r w:rsidRPr="001B2823">
        <w:t>A3</w:t>
      </w:r>
      <w:r w:rsidRPr="000C534D">
        <w:t>5</w:t>
      </w:r>
      <w:r w:rsidRPr="003638A1">
        <w:t xml:space="preserve">0XWB </w:t>
      </w:r>
      <w:r>
        <w:t>LA/MSF contracts,</w:t>
      </w:r>
      <w:r w:rsidRPr="003638A1">
        <w:t xml:space="preserve"> and </w:t>
      </w:r>
      <w:r>
        <w:t xml:space="preserve">that the </w:t>
      </w:r>
      <w:r w:rsidR="000A10EA">
        <w:t>six</w:t>
      </w:r>
      <w:r w:rsidR="000A10EA">
        <w:noBreakHyphen/>
        <w:t>month</w:t>
      </w:r>
      <w:r w:rsidRPr="003638A1">
        <w:t xml:space="preserve"> average was</w:t>
      </w:r>
      <w:r>
        <w:t>, in fact,</w:t>
      </w:r>
      <w:r w:rsidRPr="003638A1">
        <w:t xml:space="preserve"> distorted. </w:t>
      </w:r>
      <w:r>
        <w:t xml:space="preserve">We see no support for the </w:t>
      </w:r>
      <w:r w:rsidR="000A10EA">
        <w:t>European Union</w:t>
      </w:r>
      <w:r>
        <w:t xml:space="preserve">'s assertions in the Panel's findings or the evidence on the record. In particular, we recall that </w:t>
      </w:r>
      <w:r w:rsidRPr="00D54C1A">
        <w:t>we do not understand the Panel to have based its finding on speculation that there might have been</w:t>
      </w:r>
      <w:r w:rsidRPr="00D54C1A">
        <w:rPr>
          <w:i/>
        </w:rPr>
        <w:t xml:space="preserve"> atypical fluctuations</w:t>
      </w:r>
      <w:r w:rsidRPr="00D54C1A">
        <w:t xml:space="preserve"> in the yield of the EADS bond on the day of signature of the A350XWB LA/MSF contracts. Rather, the Panel merely observed, as a general </w:t>
      </w:r>
      <w:r w:rsidRPr="004328ED">
        <w:t>matter, that choosing the yield on the day of conclusion of the A350XWB LA/MSF contract at issue might raise some methodological concerns for purposes of constructing the market benchmark because, on the day of conclusion of a contract, the yield "</w:t>
      </w:r>
      <w:r w:rsidRPr="004328ED">
        <w:rPr>
          <w:i/>
        </w:rPr>
        <w:t>may</w:t>
      </w:r>
      <w:r w:rsidRPr="004328ED">
        <w:t xml:space="preserve"> reflect atypical fluctuations".</w:t>
      </w:r>
      <w:r w:rsidRPr="004328ED">
        <w:rPr>
          <w:rStyle w:val="FootnoteReference"/>
        </w:rPr>
        <w:footnoteReference w:id="507"/>
      </w:r>
      <w:r>
        <w:t xml:space="preserve"> In any event, we observe that the Panel's analysis did not hinge on whether or not there were any actual distortions on the yield of the EADS bond. Instead, the Panel properly focused on the </w:t>
      </w:r>
      <w:r w:rsidRPr="001D58B0">
        <w:t>specific nature and features of the</w:t>
      </w:r>
      <w:r>
        <w:t xml:space="preserve"> A350XWB LA/MSF</w:t>
      </w:r>
      <w:r w:rsidRPr="001D58B0">
        <w:t xml:space="preserve"> financing at issue</w:t>
      </w:r>
      <w:r>
        <w:t xml:space="preserve"> </w:t>
      </w:r>
      <w:r w:rsidRPr="005C562B">
        <w:t>and whether aspects thereof were agreed in the lead</w:t>
      </w:r>
      <w:r>
        <w:t>-</w:t>
      </w:r>
      <w:r w:rsidRPr="005C562B">
        <w:t>up to the formal signing of the legal instrument providing the financial contribution</w:t>
      </w:r>
      <w:r>
        <w:t>.</w:t>
      </w:r>
    </w:p>
    <w:p w:rsidR="0007161B" w:rsidRDefault="0007161B" w:rsidP="00DC4FDF">
      <w:pPr>
        <w:pStyle w:val="BodyText"/>
      </w:pPr>
      <w:r w:rsidRPr="008331B2">
        <w:t xml:space="preserve">In addition, the </w:t>
      </w:r>
      <w:r w:rsidR="000A10EA">
        <w:t>European Union</w:t>
      </w:r>
      <w:r w:rsidRPr="00C9511E">
        <w:t xml:space="preserve"> contends that the </w:t>
      </w:r>
      <w:r w:rsidR="000A10EA">
        <w:t>six</w:t>
      </w:r>
      <w:r w:rsidR="000A10EA">
        <w:noBreakHyphen/>
        <w:t>month</w:t>
      </w:r>
      <w:r w:rsidRPr="00C9511E">
        <w:t xml:space="preserve"> average yield "bore the sa</w:t>
      </w:r>
      <w:r w:rsidRPr="002207B9">
        <w:t>me risk of being 'distorted'"</w:t>
      </w:r>
      <w:r w:rsidRPr="002207B9">
        <w:rPr>
          <w:rStyle w:val="FootnoteReference"/>
        </w:rPr>
        <w:footnoteReference w:id="508"/>
      </w:r>
      <w:r w:rsidRPr="002207B9">
        <w:t xml:space="preserve"> as the yield on the day of conclusion of the </w:t>
      </w:r>
      <w:r w:rsidRPr="00A5149B">
        <w:t>A3</w:t>
      </w:r>
      <w:r w:rsidRPr="00FE5C91">
        <w:t>50</w:t>
      </w:r>
      <w:r w:rsidRPr="003638A1">
        <w:t xml:space="preserve">XWB LA/MSF contracts. However, the </w:t>
      </w:r>
      <w:r w:rsidR="000A10EA">
        <w:t>European Union</w:t>
      </w:r>
      <w:r w:rsidRPr="003638A1">
        <w:t xml:space="preserve"> </w:t>
      </w:r>
      <w:r>
        <w:t>has not</w:t>
      </w:r>
      <w:r w:rsidRPr="003638A1">
        <w:t xml:space="preserve"> substantiate</w:t>
      </w:r>
      <w:r>
        <w:t>d</w:t>
      </w:r>
      <w:r w:rsidRPr="003638A1">
        <w:t xml:space="preserve"> </w:t>
      </w:r>
      <w:r w:rsidRPr="003638A1">
        <w:rPr>
          <w:i/>
        </w:rPr>
        <w:t>why</w:t>
      </w:r>
      <w:r w:rsidRPr="003638A1">
        <w:t xml:space="preserve"> that would be the case. </w:t>
      </w:r>
      <w:r>
        <w:t>I</w:t>
      </w:r>
      <w:r w:rsidR="00E113E6">
        <w:t>t </w:t>
      </w:r>
      <w:r w:rsidRPr="003638A1">
        <w:t>appears to us that there is a clear diff</w:t>
      </w:r>
      <w:r w:rsidRPr="00B613CF">
        <w:t>erence in the way "atypical</w:t>
      </w:r>
      <w:r w:rsidR="00E113E6">
        <w:t xml:space="preserve"> fluctuations" could affect, on </w:t>
      </w:r>
      <w:r w:rsidRPr="00B613CF">
        <w:t xml:space="preserve">the one hand, a bond's yield observed </w:t>
      </w:r>
      <w:r w:rsidRPr="00B613CF">
        <w:rPr>
          <w:i/>
        </w:rPr>
        <w:t>only</w:t>
      </w:r>
      <w:r w:rsidRPr="008331B2">
        <w:t xml:space="preserve"> on one day</w:t>
      </w:r>
      <w:r w:rsidRPr="003638A1">
        <w:t xml:space="preserve"> and, on the other hand, a </w:t>
      </w:r>
      <w:r w:rsidR="000A10EA">
        <w:t>six</w:t>
      </w:r>
      <w:r w:rsidR="000A10EA">
        <w:noBreakHyphen/>
        <w:t>month</w:t>
      </w:r>
      <w:r w:rsidRPr="003638A1">
        <w:t xml:space="preserve"> average of that same yield. We do not discount that a </w:t>
      </w:r>
      <w:r w:rsidR="000A10EA">
        <w:t>six</w:t>
      </w:r>
      <w:r w:rsidR="000A10EA">
        <w:noBreakHyphen/>
        <w:t>month</w:t>
      </w:r>
      <w:r w:rsidRPr="003638A1">
        <w:t xml:space="preserve"> average yield can also be affected by "dis</w:t>
      </w:r>
      <w:r w:rsidRPr="00B613CF">
        <w:t>tortions" or "atypical fluctuations". However, without an explanation</w:t>
      </w:r>
      <w:r>
        <w:t xml:space="preserve"> by the </w:t>
      </w:r>
      <w:r w:rsidR="000A10EA">
        <w:t>European Union</w:t>
      </w:r>
      <w:r w:rsidRPr="00B613CF">
        <w:t xml:space="preserve"> as to why the </w:t>
      </w:r>
      <w:r w:rsidR="000A10EA">
        <w:t>six</w:t>
      </w:r>
      <w:r w:rsidR="000A10EA">
        <w:noBreakHyphen/>
        <w:t>month</w:t>
      </w:r>
      <w:r w:rsidRPr="00B613CF">
        <w:t xml:space="preserve"> average yield bore the sam</w:t>
      </w:r>
      <w:r w:rsidR="00E113E6">
        <w:t>e risks of being "distorted" as </w:t>
      </w:r>
      <w:r w:rsidRPr="00B613CF">
        <w:t xml:space="preserve">the yield on the day of conclusion, we consider that the </w:t>
      </w:r>
      <w:r w:rsidR="000A10EA">
        <w:t>European Union</w:t>
      </w:r>
      <w:r w:rsidRPr="008331B2">
        <w:t xml:space="preserve"> has failed to substantiate this challenge under </w:t>
      </w:r>
      <w:r w:rsidR="000A10EA">
        <w:t>Article </w:t>
      </w:r>
      <w:r w:rsidRPr="002207B9">
        <w:t>11</w:t>
      </w:r>
      <w:r>
        <w:t xml:space="preserve"> of the DSU</w:t>
      </w:r>
      <w:r w:rsidRPr="002207B9">
        <w:t>.</w:t>
      </w:r>
      <w:r>
        <w:rPr>
          <w:rStyle w:val="FootnoteReference"/>
        </w:rPr>
        <w:footnoteReference w:id="509"/>
      </w:r>
    </w:p>
    <w:p w:rsidR="0007161B" w:rsidRDefault="0007161B" w:rsidP="00DC4FDF">
      <w:pPr>
        <w:pStyle w:val="BodyText"/>
      </w:pPr>
      <w:r>
        <w:t xml:space="preserve">In light of the above considerations, </w:t>
      </w:r>
      <w:r w:rsidRPr="003638A1">
        <w:t>we</w:t>
      </w:r>
      <w:r>
        <w:t xml:space="preserve"> </w:t>
      </w:r>
      <w:r w:rsidRPr="003C60FA">
        <w:rPr>
          <w:u w:val="single"/>
        </w:rPr>
        <w:t>find</w:t>
      </w:r>
      <w:r>
        <w:t xml:space="preserve"> that the </w:t>
      </w:r>
      <w:r w:rsidR="000A10EA">
        <w:t>European Union</w:t>
      </w:r>
      <w:r>
        <w:t xml:space="preserve"> has failed to establish</w:t>
      </w:r>
      <w:r w:rsidRPr="003638A1">
        <w:t xml:space="preserve"> that the Panel erred under </w:t>
      </w:r>
      <w:r w:rsidR="000A10EA">
        <w:t>Article </w:t>
      </w:r>
      <w:r w:rsidRPr="00B613CF">
        <w:t>11 of the DSU by deciding to observe the EADS bond yield on the basis of the average yields one</w:t>
      </w:r>
      <w:r w:rsidRPr="003638A1">
        <w:t xml:space="preserve"> month prior and </w:t>
      </w:r>
      <w:r w:rsidR="000A10EA">
        <w:t>six month</w:t>
      </w:r>
      <w:r w:rsidRPr="003638A1">
        <w:t xml:space="preserve">s prior to the conclusion of </w:t>
      </w:r>
      <w:r>
        <w:t xml:space="preserve">each of </w:t>
      </w:r>
      <w:r w:rsidRPr="003638A1">
        <w:t xml:space="preserve">the </w:t>
      </w:r>
      <w:r>
        <w:t xml:space="preserve">French, German, Spanish, and UK A350XWB LA/MSF </w:t>
      </w:r>
      <w:r w:rsidRPr="003638A1">
        <w:t>contracts, in the form of a range.</w:t>
      </w:r>
    </w:p>
    <w:p w:rsidR="0007161B" w:rsidRDefault="0007161B" w:rsidP="00DC4FDF">
      <w:pPr>
        <w:pStyle w:val="Heading4"/>
      </w:pPr>
      <w:bookmarkStart w:id="76" w:name="_Toc514059224"/>
      <w:r>
        <w:t>Conclusion on the Panel's findings regarding the corporate borrowing rate</w:t>
      </w:r>
      <w:bookmarkEnd w:id="76"/>
    </w:p>
    <w:p w:rsidR="008A789C" w:rsidRDefault="0007161B" w:rsidP="00DC4FDF">
      <w:pPr>
        <w:pStyle w:val="BodyText"/>
      </w:pPr>
      <w:r>
        <w:t>In our analysis above, we disagree with t</w:t>
      </w:r>
      <w:r w:rsidRPr="00867FE3">
        <w:t xml:space="preserve">he </w:t>
      </w:r>
      <w:r w:rsidR="000A10EA">
        <w:t>European Union</w:t>
      </w:r>
      <w:r>
        <w:t>'s</w:t>
      </w:r>
      <w:r w:rsidRPr="00867FE3">
        <w:t xml:space="preserve"> </w:t>
      </w:r>
      <w:r w:rsidRPr="00131F95">
        <w:rPr>
          <w:i/>
        </w:rPr>
        <w:t>principal</w:t>
      </w:r>
      <w:r w:rsidRPr="00867FE3">
        <w:t xml:space="preserve"> claims of error concerning the manner in which the Panel identified the </w:t>
      </w:r>
      <w:r>
        <w:t>relevant time period</w:t>
      </w:r>
      <w:r w:rsidRPr="00867FE3">
        <w:t xml:space="preserve"> from which to draw the corporate borrowing rate component of the market benchmark. </w:t>
      </w:r>
      <w:r>
        <w:t xml:space="preserve">In particular, </w:t>
      </w:r>
      <w:r w:rsidR="008A789C">
        <w:t xml:space="preserve">while we agree </w:t>
      </w:r>
      <w:r w:rsidR="008A789C" w:rsidRPr="003E0E27">
        <w:t>that, in conducting the benefit analysis, the comparison focuses on the moment in time when the lender and borrower commit to the transaction</w:t>
      </w:r>
      <w:r w:rsidR="008A789C">
        <w:t>, we</w:t>
      </w:r>
      <w:r w:rsidR="008A789C" w:rsidRPr="003E0E27">
        <w:t xml:space="preserve"> disagree with the </w:t>
      </w:r>
      <w:r w:rsidR="008A789C">
        <w:t>European Union</w:t>
      </w:r>
      <w:r w:rsidR="008A789C" w:rsidRPr="003E0E27">
        <w:t xml:space="preserve"> to the extent that it suggests that the Panel was required to limit its analysis to data from "the day of conclusion" of each A350XWB LA/MSF contract regardless of the time period over which the parties may have committed to the terms and conditions of that financing instrument. Rather, the Panel </w:t>
      </w:r>
      <w:r w:rsidR="008A789C" w:rsidRPr="003E0E27">
        <w:lastRenderedPageBreak/>
        <w:t>was required to take into account the specific financing instrument at issue, including the relevant circumstances surrounding the conclusion of that instrument, to determine the period over which the terms and conditions of the relevant contract were agreed.</w:t>
      </w:r>
      <w:r w:rsidR="008A789C">
        <w:t xml:space="preserve"> T</w:t>
      </w:r>
      <w:r w:rsidR="008A789C" w:rsidRPr="00B4588C">
        <w:t>he Panel provided two reasons in support of its decision to determine the corporate borrowing rate using the average yields one</w:t>
      </w:r>
      <w:r w:rsidR="003E713F">
        <w:t> </w:t>
      </w:r>
      <w:r w:rsidR="008A789C" w:rsidRPr="00B4588C">
        <w:t>month prior and six</w:t>
      </w:r>
      <w:r w:rsidR="008A789C">
        <w:t xml:space="preserve"> </w:t>
      </w:r>
      <w:r w:rsidR="008A789C" w:rsidRPr="00B4588C">
        <w:t xml:space="preserve">months prior to the conclusion of the </w:t>
      </w:r>
      <w:r w:rsidR="008A789C">
        <w:t xml:space="preserve">A350XWB LA/MSF </w:t>
      </w:r>
      <w:r w:rsidR="008A789C" w:rsidRPr="00B4588C">
        <w:t>contract</w:t>
      </w:r>
      <w:r w:rsidR="008A789C">
        <w:t>s</w:t>
      </w:r>
      <w:r w:rsidR="008A789C" w:rsidRPr="00B4588C">
        <w:t xml:space="preserve">, in the form of a </w:t>
      </w:r>
      <w:r w:rsidR="008A789C" w:rsidRPr="0089125B">
        <w:rPr>
          <w:i/>
        </w:rPr>
        <w:t>range</w:t>
      </w:r>
      <w:r w:rsidR="008A789C" w:rsidRPr="00B4588C">
        <w:t>. First, the Panel considered that "the yield on the day of the signature of contract may reflect atypical fluctuations."</w:t>
      </w:r>
      <w:r w:rsidR="008A789C" w:rsidRPr="00B4588C">
        <w:rPr>
          <w:rStyle w:val="FootnoteReference"/>
        </w:rPr>
        <w:footnoteReference w:id="510"/>
      </w:r>
      <w:r w:rsidR="008A789C" w:rsidRPr="00B4588C">
        <w:t xml:space="preserve"> </w:t>
      </w:r>
      <w:r w:rsidR="008A789C" w:rsidRPr="00D54C1A">
        <w:t>The Panel's second reason was that "</w:t>
      </w:r>
      <w:r w:rsidR="008A789C">
        <w:t>{</w:t>
      </w:r>
      <w:r w:rsidR="008A789C" w:rsidRPr="00D54C1A">
        <w:t>p</w:t>
      </w:r>
      <w:r w:rsidR="008A789C">
        <w:t>}</w:t>
      </w:r>
      <w:r w:rsidR="008A789C" w:rsidRPr="00D54C1A">
        <w:t xml:space="preserve">arties agreeing to a complex loan contract may rather set the rates in the lead-up to the conclusion of the </w:t>
      </w:r>
      <w:r w:rsidR="008A789C" w:rsidRPr="004E5695">
        <w:t>contract, and prior to the actual day on which the contract is signed</w:t>
      </w:r>
      <w:r w:rsidR="008A789C">
        <w:t>.</w:t>
      </w:r>
      <w:r w:rsidR="008A789C" w:rsidRPr="004E5695">
        <w:t>"</w:t>
      </w:r>
      <w:r w:rsidR="008A789C" w:rsidRPr="00485DB3">
        <w:rPr>
          <w:rStyle w:val="FootnoteReference"/>
        </w:rPr>
        <w:footnoteReference w:id="511"/>
      </w:r>
      <w:r w:rsidR="008A789C" w:rsidRPr="004E5695">
        <w:t xml:space="preserve"> </w:t>
      </w:r>
      <w:r w:rsidR="008A789C">
        <w:t>We have found t</w:t>
      </w:r>
      <w:r w:rsidR="008A789C" w:rsidRPr="004E5695">
        <w:t xml:space="preserve">his </w:t>
      </w:r>
      <w:r w:rsidR="008A789C">
        <w:t xml:space="preserve">understanding to be </w:t>
      </w:r>
      <w:r w:rsidR="008A789C" w:rsidRPr="004E5695">
        <w:t xml:space="preserve">in line with our </w:t>
      </w:r>
      <w:r w:rsidR="008A789C">
        <w:t xml:space="preserve">observation </w:t>
      </w:r>
      <w:r w:rsidR="008A789C" w:rsidRPr="004E5695">
        <w:t xml:space="preserve">that, in some cases, parties may have committed to a transaction – or to key aspects thereof – during </w:t>
      </w:r>
      <w:r w:rsidR="008A789C">
        <w:t>a</w:t>
      </w:r>
      <w:r w:rsidR="008A789C" w:rsidRPr="004E5695">
        <w:t xml:space="preserve"> finalization period </w:t>
      </w:r>
      <w:r w:rsidR="008A789C">
        <w:t xml:space="preserve">of the negotiations preceding the moment of formal conclusion of </w:t>
      </w:r>
      <w:r w:rsidR="008A789C" w:rsidRPr="0070783D">
        <w:rPr>
          <w:i/>
        </w:rPr>
        <w:t>all</w:t>
      </w:r>
      <w:r w:rsidR="008A789C">
        <w:t xml:space="preserve"> aspects of that transaction</w:t>
      </w:r>
      <w:r w:rsidR="008A789C" w:rsidRPr="005C562B">
        <w:t>.</w:t>
      </w:r>
      <w:r w:rsidR="008A789C">
        <w:t xml:space="preserve"> In the present case, </w:t>
      </w:r>
      <w:r w:rsidR="008A789C" w:rsidRPr="004E5695">
        <w:t xml:space="preserve">the financial contribution at issue consists of complex financing </w:t>
      </w:r>
      <w:r w:rsidR="008A789C">
        <w:t>the</w:t>
      </w:r>
      <w:r w:rsidR="008A789C" w:rsidRPr="004E5695">
        <w:t xml:space="preserve"> terms</w:t>
      </w:r>
      <w:r w:rsidR="008A789C">
        <w:t xml:space="preserve"> and conditions</w:t>
      </w:r>
      <w:r w:rsidR="008A789C" w:rsidRPr="004E5695">
        <w:t xml:space="preserve"> </w:t>
      </w:r>
      <w:r w:rsidR="008A789C">
        <w:t xml:space="preserve">of which </w:t>
      </w:r>
      <w:r w:rsidR="008A789C" w:rsidRPr="004E5695">
        <w:t>have</w:t>
      </w:r>
      <w:r w:rsidR="008A789C">
        <w:t xml:space="preserve"> been negotiated and agreed over a certain contracting </w:t>
      </w:r>
      <w:r w:rsidR="008A789C" w:rsidRPr="00712FC5">
        <w:t>period.</w:t>
      </w:r>
      <w:r w:rsidR="008A789C">
        <w:t xml:space="preserve"> In these circumstances, </w:t>
      </w:r>
      <w:r w:rsidR="00EE4F39">
        <w:t xml:space="preserve">we </w:t>
      </w:r>
      <w:r w:rsidR="00EE4F39" w:rsidRPr="00EE4F39">
        <w:rPr>
          <w:u w:val="single"/>
        </w:rPr>
        <w:t>find</w:t>
      </w:r>
      <w:r w:rsidR="00EE4F39" w:rsidRPr="00EE4F39">
        <w:t xml:space="preserve"> that </w:t>
      </w:r>
      <w:r w:rsidR="008A789C" w:rsidRPr="00EE4F39">
        <w:t xml:space="preserve">the Panel did not err in its application of Article 1.1(b) of the SCM Agreement in finding that </w:t>
      </w:r>
      <w:r w:rsidR="008A789C" w:rsidRPr="000951A8">
        <w:t xml:space="preserve">the corporate borrowing rate component of the market </w:t>
      </w:r>
      <w:r w:rsidR="008A789C">
        <w:t>benchmark could be based on</w:t>
      </w:r>
      <w:r w:rsidR="00EE4F39">
        <w:t xml:space="preserve"> </w:t>
      </w:r>
      <w:r w:rsidR="008A789C" w:rsidRPr="000951A8">
        <w:t>the average yields o</w:t>
      </w:r>
      <w:r w:rsidR="00EE4F39">
        <w:t>f the</w:t>
      </w:r>
      <w:r w:rsidR="008A789C" w:rsidRPr="000951A8">
        <w:t xml:space="preserve"> EADS bond </w:t>
      </w:r>
      <w:r w:rsidR="00EE4F39">
        <w:t>"</w:t>
      </w:r>
      <w:r w:rsidR="008A789C" w:rsidRPr="000951A8">
        <w:t>one-month prior and six-months prior to the conclusion</w:t>
      </w:r>
      <w:r w:rsidR="00EE4F39">
        <w:t>"</w:t>
      </w:r>
      <w:r w:rsidR="008A789C" w:rsidRPr="000951A8">
        <w:t xml:space="preserve"> of the</w:t>
      </w:r>
      <w:r w:rsidR="00EE4F39">
        <w:t xml:space="preserve"> French, German, Spanish, and UK</w:t>
      </w:r>
      <w:r w:rsidR="008A789C" w:rsidRPr="000951A8">
        <w:t xml:space="preserve"> </w:t>
      </w:r>
      <w:r w:rsidR="008A789C">
        <w:t xml:space="preserve">A350XWB </w:t>
      </w:r>
      <w:r w:rsidR="008A789C" w:rsidRPr="000951A8">
        <w:t>LA/MSF contract</w:t>
      </w:r>
      <w:r w:rsidR="008A789C">
        <w:t>s</w:t>
      </w:r>
      <w:r w:rsidR="008A789C" w:rsidRPr="000951A8">
        <w:t xml:space="preserve">, </w:t>
      </w:r>
      <w:r w:rsidR="00EE4F39">
        <w:t>"</w:t>
      </w:r>
      <w:r w:rsidR="008A789C" w:rsidRPr="000951A8">
        <w:t>in the form of a range"</w:t>
      </w:r>
      <w:r w:rsidR="008A789C">
        <w:t xml:space="preserve">, </w:t>
      </w:r>
      <w:r w:rsidR="008A789C" w:rsidRPr="00C7364A">
        <w:t>attributing more weight to the former average yield</w:t>
      </w:r>
      <w:r w:rsidR="00EE4F39">
        <w:t xml:space="preserve">s </w:t>
      </w:r>
      <w:r w:rsidR="008A789C" w:rsidRPr="00C7364A">
        <w:t>than it did to the latter</w:t>
      </w:r>
      <w:r w:rsidR="008A789C" w:rsidRPr="007C1287">
        <w:t>.</w:t>
      </w:r>
      <w:r w:rsidR="00EE4F39">
        <w:rPr>
          <w:rStyle w:val="FootnoteReference"/>
        </w:rPr>
        <w:footnoteReference w:id="512"/>
      </w:r>
    </w:p>
    <w:p w:rsidR="008A789C" w:rsidRDefault="008A789C" w:rsidP="00DC4FDF">
      <w:pPr>
        <w:pStyle w:val="BodyText"/>
      </w:pPr>
      <w:r>
        <w:t xml:space="preserve">Moreover, we </w:t>
      </w:r>
      <w:r w:rsidRPr="0072718C">
        <w:t>reject</w:t>
      </w:r>
      <w:r w:rsidRPr="00592208">
        <w:t xml:space="preserve"> the </w:t>
      </w:r>
      <w:r>
        <w:t>European Union</w:t>
      </w:r>
      <w:r w:rsidRPr="00592208">
        <w:t>'s claim</w:t>
      </w:r>
      <w:r>
        <w:t xml:space="preserve"> that the Panel </w:t>
      </w:r>
      <w:r w:rsidRPr="00B613CF">
        <w:t xml:space="preserve">acted inconsistently with </w:t>
      </w:r>
      <w:r w:rsidRPr="008331B2">
        <w:t xml:space="preserve">Article 11 of the DSU because it </w:t>
      </w:r>
      <w:r w:rsidRPr="00167FD1">
        <w:rPr>
          <w:i/>
        </w:rPr>
        <w:t>lacked a sufficient evidentiary basis</w:t>
      </w:r>
      <w:r w:rsidRPr="002207B9">
        <w:t xml:space="preserve"> for rejecting the EADS bond yield on the day of conclusion of each A350XWB LA/MSF contract</w:t>
      </w:r>
      <w:r>
        <w:t xml:space="preserve">. In addition, the European Union has not established </w:t>
      </w:r>
      <w:r w:rsidRPr="00A5149B">
        <w:t>that the Panel's</w:t>
      </w:r>
      <w:r>
        <w:t xml:space="preserve"> decision to set the corporate borrowing rate in the form of a range</w:t>
      </w:r>
      <w:r w:rsidRPr="007471B0">
        <w:t xml:space="preserve"> </w:t>
      </w:r>
      <w:r>
        <w:t>of average yields, or the fact that such decision was done against the background of a downward trend in the yield of the EADS bond,</w:t>
      </w:r>
      <w:r w:rsidRPr="00A5149B">
        <w:t xml:space="preserve"> reflect</w:t>
      </w:r>
      <w:r>
        <w:t>s</w:t>
      </w:r>
      <w:r w:rsidRPr="00A5149B">
        <w:t xml:space="preserve"> a </w:t>
      </w:r>
      <w:r w:rsidRPr="004C6DD0">
        <w:t>lack of objectivity and even-handedness</w:t>
      </w:r>
      <w:r w:rsidRPr="00B84BA1">
        <w:t xml:space="preserve"> contrary to the requirements of </w:t>
      </w:r>
      <w:r w:rsidRPr="00764E6F">
        <w:t>Article </w:t>
      </w:r>
      <w:r w:rsidRPr="005B71B4">
        <w:t>11 of the DSU</w:t>
      </w:r>
      <w:r>
        <w:t>.</w:t>
      </w:r>
      <w:r w:rsidR="00EE4F39">
        <w:t xml:space="preserve"> Consequently, we </w:t>
      </w:r>
      <w:r w:rsidR="00EE4F39">
        <w:rPr>
          <w:u w:val="single"/>
        </w:rPr>
        <w:t>find</w:t>
      </w:r>
      <w:r w:rsidR="00EE4F39" w:rsidRPr="00EE4F39">
        <w:t xml:space="preserve"> </w:t>
      </w:r>
      <w:r w:rsidR="00EE4F39">
        <w:t>that the European Union has failed to establish that the Panel acted inconsistently with its obligations under Article 11 of the DSU.</w:t>
      </w:r>
    </w:p>
    <w:p w:rsidR="0007161B" w:rsidRDefault="008A789C" w:rsidP="00DC4FDF">
      <w:pPr>
        <w:pStyle w:val="BodyText"/>
      </w:pPr>
      <w:r>
        <w:t xml:space="preserve">We also </w:t>
      </w:r>
      <w:r w:rsidRPr="00F335F0">
        <w:t>reject</w:t>
      </w:r>
      <w:r>
        <w:t xml:space="preserve"> the European Union's alternative claims that </w:t>
      </w:r>
      <w:r w:rsidRPr="00306D7F">
        <w:t xml:space="preserve">the Panel erred in its application of </w:t>
      </w:r>
      <w:r>
        <w:t>Article </w:t>
      </w:r>
      <w:r w:rsidRPr="00306D7F">
        <w:t xml:space="preserve">1.1(b) of the </w:t>
      </w:r>
      <w:r>
        <w:t>SCM Agreement and acted inconsistently with Article 11 of the DSU</w:t>
      </w:r>
      <w:r w:rsidRPr="00306D7F">
        <w:t xml:space="preserve"> </w:t>
      </w:r>
      <w:r>
        <w:t xml:space="preserve">by </w:t>
      </w:r>
      <w:r w:rsidRPr="00867FE3">
        <w:t>accept</w:t>
      </w:r>
      <w:r>
        <w:t>ing</w:t>
      </w:r>
      <w:r w:rsidRPr="00867FE3">
        <w:t xml:space="preserve"> the average yield of the EADS bond over the </w:t>
      </w:r>
      <w:r w:rsidRPr="00742A26">
        <w:rPr>
          <w:i/>
        </w:rPr>
        <w:t>six months</w:t>
      </w:r>
      <w:r w:rsidRPr="00867FE3">
        <w:t xml:space="preserve"> prior to the conclusion of the </w:t>
      </w:r>
      <w:r w:rsidR="00EE4F39">
        <w:t>French, German, Spanish, and UK</w:t>
      </w:r>
      <w:r>
        <w:t xml:space="preserve"> </w:t>
      </w:r>
      <w:r w:rsidRPr="00867FE3">
        <w:t>A350XWB LA/MSF contract</w:t>
      </w:r>
      <w:r>
        <w:t>s</w:t>
      </w:r>
      <w:r w:rsidRPr="00867FE3">
        <w:t xml:space="preserve"> as part of the range </w:t>
      </w:r>
      <w:r w:rsidR="00EE4F39">
        <w:t xml:space="preserve">of average yields </w:t>
      </w:r>
      <w:r w:rsidRPr="00867FE3">
        <w:t xml:space="preserve">that </w:t>
      </w:r>
      <w:r>
        <w:t>was</w:t>
      </w:r>
      <w:r w:rsidRPr="00867FE3">
        <w:t xml:space="preserve"> used to determine the corporate borrowing rate</w:t>
      </w:r>
      <w:r>
        <w:t>. Although the corporate borrowing rate was determined in the form of a range</w:t>
      </w:r>
      <w:r w:rsidRPr="007471B0">
        <w:t xml:space="preserve"> </w:t>
      </w:r>
      <w:r>
        <w:t xml:space="preserve">of average yields, </w:t>
      </w:r>
      <w:r w:rsidRPr="004328ED">
        <w:t xml:space="preserve">the Panel </w:t>
      </w:r>
      <w:r>
        <w:t>rightly gave more</w:t>
      </w:r>
      <w:r w:rsidRPr="004328ED">
        <w:t xml:space="preserve"> prominence to the one-month average yield </w:t>
      </w:r>
      <w:r>
        <w:t>of</w:t>
      </w:r>
      <w:r w:rsidRPr="004328ED">
        <w:t xml:space="preserve"> the EADS bond</w:t>
      </w:r>
      <w:r>
        <w:t xml:space="preserve"> than to the six-month average yield, which was considered to be </w:t>
      </w:r>
      <w:r w:rsidR="001778BE">
        <w:t xml:space="preserve">only </w:t>
      </w:r>
      <w:r>
        <w:t>a "helpful indication of market expectations".</w:t>
      </w:r>
      <w:r>
        <w:rPr>
          <w:rStyle w:val="FootnoteReference"/>
        </w:rPr>
        <w:footnoteReference w:id="513"/>
      </w:r>
      <w:r>
        <w:t xml:space="preserve"> In these circumstances, </w:t>
      </w:r>
      <w:r w:rsidR="001778BE">
        <w:t xml:space="preserve">we </w:t>
      </w:r>
      <w:r w:rsidR="001778BE" w:rsidRPr="001778BE">
        <w:rPr>
          <w:u w:val="single"/>
        </w:rPr>
        <w:t>find</w:t>
      </w:r>
      <w:r w:rsidR="001778BE">
        <w:t xml:space="preserve"> that the European Union has failed to establish </w:t>
      </w:r>
      <w:r>
        <w:t xml:space="preserve">that the Panel erred in its application of Article 1.1(b) of the SCM Agreement or acted inconsistently with Article 11 of the DSU </w:t>
      </w:r>
      <w:r w:rsidRPr="00B613CF">
        <w:t>by deciding to observe the EADS bond yield on the basis of the average yields one</w:t>
      </w:r>
      <w:r w:rsidRPr="003638A1">
        <w:t xml:space="preserve"> month prior and six months prior to the conclusion of </w:t>
      </w:r>
      <w:r>
        <w:t xml:space="preserve">each of </w:t>
      </w:r>
      <w:r w:rsidRPr="003638A1">
        <w:t xml:space="preserve">the </w:t>
      </w:r>
      <w:r w:rsidR="00371154">
        <w:t>four</w:t>
      </w:r>
      <w:r>
        <w:t xml:space="preserve"> A350XWB LA/MSF </w:t>
      </w:r>
      <w:r w:rsidRPr="003638A1">
        <w:t>contracts, in the form of a range</w:t>
      </w:r>
      <w:r>
        <w:t xml:space="preserve">, </w:t>
      </w:r>
      <w:r w:rsidRPr="00C7364A">
        <w:t>attributing more weight to the former average yield</w:t>
      </w:r>
      <w:r w:rsidR="00371154">
        <w:t>s</w:t>
      </w:r>
      <w:r w:rsidRPr="00C7364A">
        <w:t xml:space="preserve"> than it did to the latter</w:t>
      </w:r>
      <w:r w:rsidRPr="007C1287">
        <w:t>.</w:t>
      </w:r>
    </w:p>
    <w:p w:rsidR="0007161B" w:rsidRDefault="0007161B" w:rsidP="00DC4FDF">
      <w:pPr>
        <w:pStyle w:val="BodyText"/>
      </w:pPr>
      <w:r>
        <w:t xml:space="preserve">Accordingly, we </w:t>
      </w:r>
      <w:r w:rsidRPr="003C60FA">
        <w:rPr>
          <w:u w:val="single"/>
        </w:rPr>
        <w:t>uphold</w:t>
      </w:r>
      <w:r>
        <w:t xml:space="preserve"> the Panel's finding, in paragraph 6.389 of the Panel Report, that the corporate borrowing rate component of the market benchmark be based on "the average yields one-month prior and </w:t>
      </w:r>
      <w:r w:rsidR="000A10EA">
        <w:t>six</w:t>
      </w:r>
      <w:r w:rsidR="000A10EA">
        <w:noBreakHyphen/>
        <w:t>month</w:t>
      </w:r>
      <w:r>
        <w:t xml:space="preserve">s prior to the conclusion of the {French, German, Spanish, and UK </w:t>
      </w:r>
      <w:r w:rsidRPr="00867FE3">
        <w:t xml:space="preserve">A350XWB LA/MSF </w:t>
      </w:r>
      <w:r>
        <w:t>contracts}, in the form of a range".</w:t>
      </w:r>
      <w:r w:rsidRPr="00F0065B">
        <w:t xml:space="preserve"> </w:t>
      </w:r>
      <w:r>
        <w:t xml:space="preserve">Consequently, we also </w:t>
      </w:r>
      <w:r w:rsidRPr="003C60FA">
        <w:rPr>
          <w:u w:val="single"/>
        </w:rPr>
        <w:t>uphold</w:t>
      </w:r>
      <w:r>
        <w:t xml:space="preserve"> the Panel's findings related to the corporate borrowing rate in Table 7 at paragraph 6</w:t>
      </w:r>
      <w:r w:rsidR="00E113E6">
        <w:t>.430 and in </w:t>
      </w:r>
      <w:r>
        <w:t>Table 10 at paragraph 6.632 of the Panel Report. Below, we</w:t>
      </w:r>
      <w:r w:rsidR="00371154">
        <w:t xml:space="preserve"> reproduce Table 7 of the Panel </w:t>
      </w:r>
      <w:r>
        <w:t>Report, which sets out the quantitative implications of the Panel's findings on the corporate borrowing rate:</w:t>
      </w:r>
    </w:p>
    <w:p w:rsidR="0007161B" w:rsidRPr="006E63EA" w:rsidRDefault="0007161B" w:rsidP="00206326">
      <w:pPr>
        <w:pStyle w:val="Caption"/>
      </w:pPr>
      <w:r>
        <w:lastRenderedPageBreak/>
        <w:t xml:space="preserve">Table </w:t>
      </w:r>
      <w:r w:rsidR="009A724D">
        <w:fldChar w:fldCharType="begin"/>
      </w:r>
      <w:r w:rsidR="009A724D">
        <w:instrText xml:space="preserve"> SEQ Table \* ARABIC </w:instrText>
      </w:r>
      <w:r w:rsidR="009A724D">
        <w:fldChar w:fldCharType="separate"/>
      </w:r>
      <w:r w:rsidR="00FD2727">
        <w:rPr>
          <w:noProof/>
        </w:rPr>
        <w:t>3</w:t>
      </w:r>
      <w:r w:rsidR="009A724D">
        <w:rPr>
          <w:noProof/>
        </w:rPr>
        <w:fldChar w:fldCharType="end"/>
      </w:r>
      <w:r>
        <w:t>:</w:t>
      </w:r>
      <w:r w:rsidRPr="007D4E98">
        <w:t xml:space="preserve"> </w:t>
      </w:r>
      <w:r w:rsidRPr="00777DA2">
        <w:t>Corporate</w:t>
      </w:r>
      <w:r w:rsidRPr="006E63EA">
        <w:t xml:space="preserve"> borrowing rate estimates</w:t>
      </w: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951"/>
        <w:gridCol w:w="2835"/>
        <w:gridCol w:w="1985"/>
        <w:gridCol w:w="2471"/>
      </w:tblGrid>
      <w:tr w:rsidR="0007161B" w:rsidRPr="00B84A0D" w:rsidTr="00206326">
        <w:tc>
          <w:tcPr>
            <w:tcW w:w="1951" w:type="dxa"/>
            <w:shd w:val="clear" w:color="auto" w:fill="006283"/>
            <w:vAlign w:val="center"/>
          </w:tcPr>
          <w:p w:rsidR="0007161B" w:rsidRPr="007B2F7C" w:rsidRDefault="0007161B" w:rsidP="00206326">
            <w:pPr>
              <w:keepNext/>
              <w:jc w:val="center"/>
              <w:rPr>
                <w:b/>
                <w:color w:val="FFFFFF"/>
                <w:sz w:val="16"/>
                <w:szCs w:val="16"/>
              </w:rPr>
            </w:pPr>
            <w:r w:rsidRPr="007B2F7C">
              <w:rPr>
                <w:b/>
                <w:color w:val="FFFFFF"/>
                <w:sz w:val="16"/>
                <w:szCs w:val="16"/>
              </w:rPr>
              <w:t>EU member State</w:t>
            </w:r>
          </w:p>
        </w:tc>
        <w:tc>
          <w:tcPr>
            <w:tcW w:w="2835" w:type="dxa"/>
            <w:shd w:val="clear" w:color="auto" w:fill="006283"/>
            <w:vAlign w:val="center"/>
          </w:tcPr>
          <w:p w:rsidR="0007161B" w:rsidRPr="007B2F7C" w:rsidRDefault="0007161B" w:rsidP="00206326">
            <w:pPr>
              <w:keepNext/>
              <w:jc w:val="center"/>
              <w:rPr>
                <w:b/>
                <w:color w:val="FFFFFF"/>
                <w:sz w:val="16"/>
                <w:szCs w:val="16"/>
              </w:rPr>
            </w:pPr>
            <w:r w:rsidRPr="007B2F7C">
              <w:rPr>
                <w:b/>
                <w:color w:val="FFFFFF"/>
                <w:sz w:val="16"/>
                <w:szCs w:val="16"/>
              </w:rPr>
              <w:t>Corporate borrowing rate as reflected by yield on EADS bond (range: between average yield 1</w:t>
            </w:r>
            <w:r w:rsidRPr="007B2F7C">
              <w:rPr>
                <w:b/>
                <w:color w:val="FFFFFF"/>
                <w:sz w:val="16"/>
                <w:szCs w:val="16"/>
              </w:rPr>
              <w:noBreakHyphen/>
              <w:t>month prior, and 6</w:t>
            </w:r>
            <w:r w:rsidRPr="007B2F7C">
              <w:rPr>
                <w:b/>
                <w:color w:val="FFFFFF"/>
                <w:sz w:val="16"/>
                <w:szCs w:val="16"/>
              </w:rPr>
              <w:noBreakHyphen/>
              <w:t>months prior, to date of individual contract)</w:t>
            </w:r>
            <w:r w:rsidRPr="007B2F7C">
              <w:rPr>
                <w:rStyle w:val="FootnoteReference"/>
                <w:b/>
                <w:color w:val="FFFFFF"/>
                <w:sz w:val="16"/>
                <w:szCs w:val="16"/>
              </w:rPr>
              <w:footnoteReference w:id="514"/>
            </w:r>
          </w:p>
        </w:tc>
        <w:tc>
          <w:tcPr>
            <w:tcW w:w="1985" w:type="dxa"/>
            <w:shd w:val="clear" w:color="auto" w:fill="006283"/>
            <w:vAlign w:val="center"/>
          </w:tcPr>
          <w:p w:rsidR="0007161B" w:rsidRPr="007B2F7C" w:rsidRDefault="0007161B" w:rsidP="00206326">
            <w:pPr>
              <w:keepNext/>
              <w:jc w:val="center"/>
              <w:rPr>
                <w:b/>
                <w:color w:val="FFFFFF"/>
                <w:sz w:val="16"/>
                <w:szCs w:val="16"/>
              </w:rPr>
            </w:pPr>
            <w:r w:rsidRPr="007B2F7C">
              <w:rPr>
                <w:b/>
                <w:color w:val="FFFFFF"/>
                <w:sz w:val="16"/>
                <w:szCs w:val="16"/>
              </w:rPr>
              <w:t>Representative sum for normal market fees</w:t>
            </w:r>
          </w:p>
        </w:tc>
        <w:tc>
          <w:tcPr>
            <w:tcW w:w="2471" w:type="dxa"/>
            <w:shd w:val="clear" w:color="auto" w:fill="006283"/>
            <w:vAlign w:val="center"/>
          </w:tcPr>
          <w:p w:rsidR="0007161B" w:rsidRPr="007B2F7C" w:rsidRDefault="0007161B" w:rsidP="00206326">
            <w:pPr>
              <w:keepNext/>
              <w:jc w:val="center"/>
              <w:rPr>
                <w:b/>
                <w:color w:val="FFFFFF"/>
                <w:sz w:val="16"/>
                <w:szCs w:val="16"/>
              </w:rPr>
            </w:pPr>
            <w:r w:rsidRPr="007B2F7C">
              <w:rPr>
                <w:b/>
                <w:color w:val="FFFFFF"/>
                <w:sz w:val="16"/>
                <w:szCs w:val="16"/>
              </w:rPr>
              <w:t>Total corporate borrowing rate component of market benchmark rate</w:t>
            </w:r>
          </w:p>
        </w:tc>
      </w:tr>
      <w:tr w:rsidR="0007161B" w:rsidRPr="00B84A0D" w:rsidTr="00206326">
        <w:tc>
          <w:tcPr>
            <w:tcW w:w="1951" w:type="dxa"/>
            <w:shd w:val="clear" w:color="auto" w:fill="auto"/>
          </w:tcPr>
          <w:p w:rsidR="0007161B" w:rsidRPr="007B2F7C" w:rsidRDefault="0007161B" w:rsidP="00206326">
            <w:pPr>
              <w:keepNext/>
              <w:rPr>
                <w:sz w:val="16"/>
                <w:szCs w:val="16"/>
              </w:rPr>
            </w:pPr>
            <w:r w:rsidRPr="007B2F7C">
              <w:rPr>
                <w:sz w:val="16"/>
                <w:szCs w:val="16"/>
              </w:rPr>
              <w:t>France</w:t>
            </w:r>
          </w:p>
        </w:tc>
        <w:tc>
          <w:tcPr>
            <w:tcW w:w="2835" w:type="dxa"/>
            <w:shd w:val="clear" w:color="auto" w:fill="auto"/>
          </w:tcPr>
          <w:p w:rsidR="0007161B" w:rsidRPr="007B2F7C" w:rsidRDefault="0007161B" w:rsidP="00206326">
            <w:pPr>
              <w:keepNext/>
              <w:jc w:val="center"/>
              <w:rPr>
                <w:sz w:val="16"/>
                <w:szCs w:val="16"/>
              </w:rPr>
            </w:pPr>
            <w:r w:rsidRPr="007B2F7C">
              <w:rPr>
                <w:b/>
                <w:sz w:val="16"/>
                <w:szCs w:val="16"/>
              </w:rPr>
              <w:t>[</w:t>
            </w:r>
            <w:r w:rsidR="00C8434D" w:rsidRPr="007B2F7C">
              <w:rPr>
                <w:b/>
                <w:sz w:val="16"/>
                <w:szCs w:val="16"/>
              </w:rPr>
              <w:t>BCI</w:t>
            </w:r>
            <w:r w:rsidRPr="007B2F7C">
              <w:rPr>
                <w:b/>
                <w:sz w:val="16"/>
                <w:szCs w:val="16"/>
              </w:rPr>
              <w:t>]</w:t>
            </w:r>
            <w:r w:rsidRPr="007B2F7C">
              <w:rPr>
                <w:sz w:val="16"/>
                <w:szCs w:val="16"/>
              </w:rPr>
              <w:t xml:space="preserve"> to </w:t>
            </w:r>
            <w:r w:rsidRPr="007B2F7C">
              <w:rPr>
                <w:b/>
                <w:sz w:val="16"/>
                <w:szCs w:val="16"/>
              </w:rPr>
              <w:t>[</w:t>
            </w:r>
            <w:r w:rsidR="00C8434D" w:rsidRPr="007B2F7C">
              <w:rPr>
                <w:b/>
                <w:sz w:val="16"/>
                <w:szCs w:val="16"/>
              </w:rPr>
              <w:t>BCI</w:t>
            </w:r>
            <w:r w:rsidRPr="007B2F7C">
              <w:rPr>
                <w:b/>
                <w:sz w:val="16"/>
                <w:szCs w:val="16"/>
              </w:rPr>
              <w:t>]</w:t>
            </w:r>
          </w:p>
        </w:tc>
        <w:tc>
          <w:tcPr>
            <w:tcW w:w="1985" w:type="dxa"/>
          </w:tcPr>
          <w:p w:rsidR="0007161B" w:rsidRPr="007B2F7C" w:rsidRDefault="0007161B" w:rsidP="00206326">
            <w:pPr>
              <w:keepNext/>
              <w:jc w:val="center"/>
              <w:rPr>
                <w:sz w:val="16"/>
                <w:szCs w:val="16"/>
              </w:rPr>
            </w:pPr>
            <w:r w:rsidRPr="007B2F7C">
              <w:rPr>
                <w:b/>
                <w:sz w:val="16"/>
                <w:szCs w:val="16"/>
              </w:rPr>
              <w:t>[</w:t>
            </w:r>
            <w:r w:rsidR="00C8434D" w:rsidRPr="007B2F7C">
              <w:rPr>
                <w:b/>
                <w:sz w:val="16"/>
                <w:szCs w:val="16"/>
              </w:rPr>
              <w:t>BCI</w:t>
            </w:r>
            <w:r w:rsidRPr="007B2F7C">
              <w:rPr>
                <w:b/>
                <w:sz w:val="16"/>
                <w:szCs w:val="16"/>
              </w:rPr>
              <w:t>]</w:t>
            </w:r>
          </w:p>
        </w:tc>
        <w:tc>
          <w:tcPr>
            <w:tcW w:w="2471" w:type="dxa"/>
          </w:tcPr>
          <w:p w:rsidR="0007161B" w:rsidRPr="007B2F7C" w:rsidRDefault="0007161B" w:rsidP="00206326">
            <w:pPr>
              <w:keepNext/>
              <w:jc w:val="center"/>
              <w:rPr>
                <w:sz w:val="16"/>
                <w:szCs w:val="16"/>
              </w:rPr>
            </w:pPr>
            <w:r w:rsidRPr="007B2F7C">
              <w:rPr>
                <w:b/>
                <w:sz w:val="16"/>
                <w:szCs w:val="16"/>
              </w:rPr>
              <w:t>[</w:t>
            </w:r>
            <w:r w:rsidR="00C8434D" w:rsidRPr="007B2F7C">
              <w:rPr>
                <w:b/>
                <w:sz w:val="16"/>
                <w:szCs w:val="16"/>
              </w:rPr>
              <w:t>BCI</w:t>
            </w:r>
            <w:r w:rsidRPr="007B2F7C">
              <w:rPr>
                <w:b/>
                <w:sz w:val="16"/>
                <w:szCs w:val="16"/>
              </w:rPr>
              <w:t>]</w:t>
            </w:r>
            <w:r w:rsidRPr="007B2F7C">
              <w:rPr>
                <w:sz w:val="16"/>
                <w:szCs w:val="16"/>
              </w:rPr>
              <w:t xml:space="preserve"> to </w:t>
            </w:r>
            <w:r w:rsidRPr="007B2F7C">
              <w:rPr>
                <w:b/>
                <w:sz w:val="16"/>
                <w:szCs w:val="16"/>
              </w:rPr>
              <w:t>[</w:t>
            </w:r>
            <w:r w:rsidR="00C8434D" w:rsidRPr="007B2F7C">
              <w:rPr>
                <w:b/>
                <w:sz w:val="16"/>
                <w:szCs w:val="16"/>
              </w:rPr>
              <w:t>BCI</w:t>
            </w:r>
            <w:r w:rsidRPr="007B2F7C">
              <w:rPr>
                <w:b/>
                <w:sz w:val="16"/>
                <w:szCs w:val="16"/>
              </w:rPr>
              <w:t>]</w:t>
            </w:r>
          </w:p>
        </w:tc>
      </w:tr>
      <w:tr w:rsidR="0007161B" w:rsidRPr="00B84A0D" w:rsidTr="00206326">
        <w:tc>
          <w:tcPr>
            <w:tcW w:w="1951" w:type="dxa"/>
            <w:shd w:val="clear" w:color="auto" w:fill="C9DED4"/>
          </w:tcPr>
          <w:p w:rsidR="0007161B" w:rsidRPr="007B2F7C" w:rsidRDefault="0007161B" w:rsidP="00206326">
            <w:pPr>
              <w:keepNext/>
              <w:rPr>
                <w:sz w:val="16"/>
                <w:szCs w:val="16"/>
              </w:rPr>
            </w:pPr>
            <w:r w:rsidRPr="007B2F7C">
              <w:rPr>
                <w:sz w:val="16"/>
                <w:szCs w:val="16"/>
              </w:rPr>
              <w:t>Germany</w:t>
            </w:r>
          </w:p>
        </w:tc>
        <w:tc>
          <w:tcPr>
            <w:tcW w:w="2835" w:type="dxa"/>
            <w:shd w:val="clear" w:color="auto" w:fill="C9DED4"/>
          </w:tcPr>
          <w:p w:rsidR="0007161B" w:rsidRPr="007B2F7C" w:rsidRDefault="0007161B" w:rsidP="00206326">
            <w:pPr>
              <w:keepNext/>
              <w:jc w:val="center"/>
              <w:rPr>
                <w:sz w:val="16"/>
                <w:szCs w:val="16"/>
              </w:rPr>
            </w:pPr>
            <w:r w:rsidRPr="007B2F7C">
              <w:rPr>
                <w:b/>
                <w:sz w:val="16"/>
                <w:szCs w:val="16"/>
              </w:rPr>
              <w:t>[</w:t>
            </w:r>
            <w:r w:rsidR="00C8434D" w:rsidRPr="007B2F7C">
              <w:rPr>
                <w:b/>
                <w:sz w:val="16"/>
                <w:szCs w:val="16"/>
              </w:rPr>
              <w:t>BCI</w:t>
            </w:r>
            <w:r w:rsidRPr="007B2F7C">
              <w:rPr>
                <w:b/>
                <w:sz w:val="16"/>
                <w:szCs w:val="16"/>
              </w:rPr>
              <w:t>]</w:t>
            </w:r>
            <w:r w:rsidRPr="007B2F7C">
              <w:rPr>
                <w:sz w:val="16"/>
                <w:szCs w:val="16"/>
              </w:rPr>
              <w:t xml:space="preserve"> to </w:t>
            </w:r>
            <w:r w:rsidRPr="007B2F7C">
              <w:rPr>
                <w:b/>
                <w:sz w:val="16"/>
                <w:szCs w:val="16"/>
              </w:rPr>
              <w:t>[</w:t>
            </w:r>
            <w:r w:rsidR="00C8434D" w:rsidRPr="007B2F7C">
              <w:rPr>
                <w:b/>
                <w:sz w:val="16"/>
                <w:szCs w:val="16"/>
              </w:rPr>
              <w:t>BCI</w:t>
            </w:r>
            <w:r w:rsidRPr="007B2F7C">
              <w:rPr>
                <w:b/>
                <w:sz w:val="16"/>
                <w:szCs w:val="16"/>
              </w:rPr>
              <w:t>]</w:t>
            </w:r>
          </w:p>
        </w:tc>
        <w:tc>
          <w:tcPr>
            <w:tcW w:w="1985" w:type="dxa"/>
            <w:shd w:val="clear" w:color="auto" w:fill="C9DED4"/>
          </w:tcPr>
          <w:p w:rsidR="0007161B" w:rsidRPr="007B2F7C" w:rsidRDefault="0007161B" w:rsidP="00206326">
            <w:pPr>
              <w:keepNext/>
              <w:jc w:val="center"/>
              <w:rPr>
                <w:sz w:val="16"/>
                <w:szCs w:val="16"/>
              </w:rPr>
            </w:pPr>
            <w:r w:rsidRPr="007B2F7C">
              <w:rPr>
                <w:b/>
                <w:sz w:val="16"/>
                <w:szCs w:val="16"/>
              </w:rPr>
              <w:t>[</w:t>
            </w:r>
            <w:r w:rsidR="00C8434D" w:rsidRPr="007B2F7C">
              <w:rPr>
                <w:b/>
                <w:sz w:val="16"/>
                <w:szCs w:val="16"/>
              </w:rPr>
              <w:t>BCI</w:t>
            </w:r>
            <w:r w:rsidRPr="007B2F7C">
              <w:rPr>
                <w:b/>
                <w:sz w:val="16"/>
                <w:szCs w:val="16"/>
              </w:rPr>
              <w:t>]</w:t>
            </w:r>
          </w:p>
        </w:tc>
        <w:tc>
          <w:tcPr>
            <w:tcW w:w="2471" w:type="dxa"/>
            <w:shd w:val="clear" w:color="auto" w:fill="C9DED4"/>
          </w:tcPr>
          <w:p w:rsidR="0007161B" w:rsidRPr="007B2F7C" w:rsidRDefault="0007161B" w:rsidP="00206326">
            <w:pPr>
              <w:keepNext/>
              <w:jc w:val="center"/>
              <w:rPr>
                <w:sz w:val="16"/>
                <w:szCs w:val="16"/>
              </w:rPr>
            </w:pPr>
            <w:r w:rsidRPr="007B2F7C">
              <w:rPr>
                <w:b/>
                <w:sz w:val="16"/>
                <w:szCs w:val="16"/>
              </w:rPr>
              <w:t>[</w:t>
            </w:r>
            <w:r w:rsidR="00C8434D" w:rsidRPr="007B2F7C">
              <w:rPr>
                <w:b/>
                <w:sz w:val="16"/>
                <w:szCs w:val="16"/>
              </w:rPr>
              <w:t>BCI</w:t>
            </w:r>
            <w:r w:rsidRPr="007B2F7C">
              <w:rPr>
                <w:b/>
                <w:sz w:val="16"/>
                <w:szCs w:val="16"/>
              </w:rPr>
              <w:t>]</w:t>
            </w:r>
            <w:r w:rsidRPr="007B2F7C">
              <w:rPr>
                <w:sz w:val="16"/>
                <w:szCs w:val="16"/>
              </w:rPr>
              <w:t xml:space="preserve"> to </w:t>
            </w:r>
            <w:r w:rsidRPr="007B2F7C">
              <w:rPr>
                <w:b/>
                <w:sz w:val="16"/>
                <w:szCs w:val="16"/>
              </w:rPr>
              <w:t>[</w:t>
            </w:r>
            <w:r w:rsidR="00C8434D" w:rsidRPr="007B2F7C">
              <w:rPr>
                <w:b/>
                <w:sz w:val="16"/>
                <w:szCs w:val="16"/>
              </w:rPr>
              <w:t>BCI</w:t>
            </w:r>
            <w:r w:rsidRPr="007B2F7C">
              <w:rPr>
                <w:b/>
                <w:sz w:val="16"/>
                <w:szCs w:val="16"/>
              </w:rPr>
              <w:t>]</w:t>
            </w:r>
          </w:p>
        </w:tc>
      </w:tr>
      <w:tr w:rsidR="0007161B" w:rsidRPr="00B84A0D" w:rsidTr="00206326">
        <w:tc>
          <w:tcPr>
            <w:tcW w:w="1951" w:type="dxa"/>
            <w:shd w:val="clear" w:color="auto" w:fill="auto"/>
          </w:tcPr>
          <w:p w:rsidR="0007161B" w:rsidRPr="007B2F7C" w:rsidRDefault="0007161B" w:rsidP="00206326">
            <w:pPr>
              <w:keepNext/>
              <w:rPr>
                <w:sz w:val="16"/>
                <w:szCs w:val="16"/>
              </w:rPr>
            </w:pPr>
            <w:r w:rsidRPr="007B2F7C">
              <w:rPr>
                <w:sz w:val="16"/>
                <w:szCs w:val="16"/>
              </w:rPr>
              <w:t xml:space="preserve">Spain </w:t>
            </w:r>
          </w:p>
        </w:tc>
        <w:tc>
          <w:tcPr>
            <w:tcW w:w="2835" w:type="dxa"/>
            <w:shd w:val="clear" w:color="auto" w:fill="auto"/>
          </w:tcPr>
          <w:p w:rsidR="0007161B" w:rsidRPr="007B2F7C" w:rsidRDefault="0007161B" w:rsidP="00206326">
            <w:pPr>
              <w:keepNext/>
              <w:jc w:val="center"/>
              <w:rPr>
                <w:sz w:val="16"/>
                <w:szCs w:val="16"/>
              </w:rPr>
            </w:pPr>
            <w:r w:rsidRPr="007B2F7C">
              <w:rPr>
                <w:b/>
                <w:sz w:val="16"/>
                <w:szCs w:val="16"/>
              </w:rPr>
              <w:t>[</w:t>
            </w:r>
            <w:r w:rsidR="00C8434D" w:rsidRPr="007B2F7C">
              <w:rPr>
                <w:b/>
                <w:sz w:val="16"/>
                <w:szCs w:val="16"/>
              </w:rPr>
              <w:t>BCI</w:t>
            </w:r>
            <w:r w:rsidRPr="007B2F7C">
              <w:rPr>
                <w:b/>
                <w:sz w:val="16"/>
                <w:szCs w:val="16"/>
              </w:rPr>
              <w:t>]</w:t>
            </w:r>
            <w:r w:rsidRPr="007B2F7C">
              <w:rPr>
                <w:rStyle w:val="FootnoteReference"/>
                <w:sz w:val="16"/>
                <w:szCs w:val="16"/>
              </w:rPr>
              <w:footnoteReference w:id="515"/>
            </w:r>
            <w:r w:rsidRPr="007B2F7C">
              <w:rPr>
                <w:sz w:val="16"/>
                <w:szCs w:val="16"/>
              </w:rPr>
              <w:t xml:space="preserve"> to </w:t>
            </w:r>
            <w:r w:rsidRPr="007B2F7C">
              <w:rPr>
                <w:b/>
                <w:sz w:val="16"/>
                <w:szCs w:val="16"/>
              </w:rPr>
              <w:t>[</w:t>
            </w:r>
            <w:r w:rsidR="00C8434D" w:rsidRPr="007B2F7C">
              <w:rPr>
                <w:b/>
                <w:sz w:val="16"/>
                <w:szCs w:val="16"/>
              </w:rPr>
              <w:t>BCI</w:t>
            </w:r>
            <w:r w:rsidRPr="007B2F7C">
              <w:rPr>
                <w:b/>
                <w:sz w:val="16"/>
                <w:szCs w:val="16"/>
              </w:rPr>
              <w:t>]</w:t>
            </w:r>
          </w:p>
        </w:tc>
        <w:tc>
          <w:tcPr>
            <w:tcW w:w="1985" w:type="dxa"/>
          </w:tcPr>
          <w:p w:rsidR="0007161B" w:rsidRPr="007B2F7C" w:rsidRDefault="0007161B" w:rsidP="00206326">
            <w:pPr>
              <w:keepNext/>
              <w:jc w:val="center"/>
              <w:rPr>
                <w:sz w:val="16"/>
                <w:szCs w:val="16"/>
              </w:rPr>
            </w:pPr>
            <w:r w:rsidRPr="007B2F7C">
              <w:rPr>
                <w:b/>
                <w:sz w:val="16"/>
                <w:szCs w:val="16"/>
              </w:rPr>
              <w:t>[</w:t>
            </w:r>
            <w:r w:rsidR="00C8434D" w:rsidRPr="007B2F7C">
              <w:rPr>
                <w:b/>
                <w:sz w:val="16"/>
                <w:szCs w:val="16"/>
              </w:rPr>
              <w:t>BCI</w:t>
            </w:r>
            <w:r w:rsidRPr="007B2F7C">
              <w:rPr>
                <w:b/>
                <w:sz w:val="16"/>
                <w:szCs w:val="16"/>
              </w:rPr>
              <w:t>]</w:t>
            </w:r>
          </w:p>
        </w:tc>
        <w:tc>
          <w:tcPr>
            <w:tcW w:w="2471" w:type="dxa"/>
          </w:tcPr>
          <w:p w:rsidR="0007161B" w:rsidRPr="007B2F7C" w:rsidRDefault="0007161B" w:rsidP="00206326">
            <w:pPr>
              <w:keepNext/>
              <w:jc w:val="center"/>
              <w:rPr>
                <w:sz w:val="16"/>
                <w:szCs w:val="16"/>
              </w:rPr>
            </w:pPr>
            <w:r w:rsidRPr="007B2F7C">
              <w:rPr>
                <w:b/>
                <w:sz w:val="16"/>
                <w:szCs w:val="16"/>
              </w:rPr>
              <w:t>[</w:t>
            </w:r>
            <w:r w:rsidR="00C8434D" w:rsidRPr="007B2F7C">
              <w:rPr>
                <w:b/>
                <w:sz w:val="16"/>
                <w:szCs w:val="16"/>
              </w:rPr>
              <w:t>BCI</w:t>
            </w:r>
            <w:r w:rsidRPr="007B2F7C">
              <w:rPr>
                <w:b/>
                <w:sz w:val="16"/>
                <w:szCs w:val="16"/>
              </w:rPr>
              <w:t>]</w:t>
            </w:r>
            <w:r w:rsidRPr="007B2F7C">
              <w:rPr>
                <w:sz w:val="16"/>
                <w:szCs w:val="16"/>
              </w:rPr>
              <w:t xml:space="preserve"> to </w:t>
            </w:r>
            <w:r w:rsidRPr="007B2F7C">
              <w:rPr>
                <w:b/>
                <w:sz w:val="16"/>
                <w:szCs w:val="16"/>
              </w:rPr>
              <w:t>[</w:t>
            </w:r>
            <w:r w:rsidR="00C8434D" w:rsidRPr="007B2F7C">
              <w:rPr>
                <w:b/>
                <w:sz w:val="16"/>
                <w:szCs w:val="16"/>
              </w:rPr>
              <w:t>BCI</w:t>
            </w:r>
            <w:r w:rsidRPr="007B2F7C">
              <w:rPr>
                <w:b/>
                <w:sz w:val="16"/>
                <w:szCs w:val="16"/>
              </w:rPr>
              <w:t>]</w:t>
            </w:r>
          </w:p>
        </w:tc>
      </w:tr>
      <w:tr w:rsidR="0007161B" w:rsidRPr="00B84A0D" w:rsidTr="00206326">
        <w:tc>
          <w:tcPr>
            <w:tcW w:w="1951" w:type="dxa"/>
            <w:shd w:val="clear" w:color="auto" w:fill="C9DED4"/>
          </w:tcPr>
          <w:p w:rsidR="0007161B" w:rsidRPr="007B2F7C" w:rsidRDefault="0007161B" w:rsidP="00206326">
            <w:pPr>
              <w:rPr>
                <w:sz w:val="16"/>
                <w:szCs w:val="16"/>
              </w:rPr>
            </w:pPr>
            <w:r w:rsidRPr="007B2F7C">
              <w:rPr>
                <w:sz w:val="16"/>
                <w:szCs w:val="16"/>
              </w:rPr>
              <w:t>United Kingdom</w:t>
            </w:r>
          </w:p>
        </w:tc>
        <w:tc>
          <w:tcPr>
            <w:tcW w:w="2835" w:type="dxa"/>
            <w:shd w:val="clear" w:color="auto" w:fill="C9DED4"/>
          </w:tcPr>
          <w:p w:rsidR="0007161B" w:rsidRPr="007B2F7C" w:rsidRDefault="0007161B" w:rsidP="00206326">
            <w:pPr>
              <w:jc w:val="center"/>
              <w:rPr>
                <w:sz w:val="16"/>
                <w:szCs w:val="16"/>
              </w:rPr>
            </w:pPr>
            <w:r w:rsidRPr="007B2F7C">
              <w:rPr>
                <w:b/>
                <w:sz w:val="16"/>
                <w:szCs w:val="16"/>
              </w:rPr>
              <w:t>[</w:t>
            </w:r>
            <w:r w:rsidR="00C8434D" w:rsidRPr="007B2F7C">
              <w:rPr>
                <w:b/>
                <w:sz w:val="16"/>
                <w:szCs w:val="16"/>
              </w:rPr>
              <w:t>BCI</w:t>
            </w:r>
            <w:r w:rsidRPr="007B2F7C">
              <w:rPr>
                <w:b/>
                <w:sz w:val="16"/>
                <w:szCs w:val="16"/>
              </w:rPr>
              <w:t>]</w:t>
            </w:r>
            <w:r w:rsidRPr="007B2F7C">
              <w:rPr>
                <w:sz w:val="16"/>
                <w:szCs w:val="16"/>
              </w:rPr>
              <w:t xml:space="preserve"> to </w:t>
            </w:r>
            <w:r w:rsidRPr="007B2F7C">
              <w:rPr>
                <w:b/>
                <w:sz w:val="16"/>
                <w:szCs w:val="16"/>
              </w:rPr>
              <w:t>[</w:t>
            </w:r>
            <w:r w:rsidR="00C8434D" w:rsidRPr="007B2F7C">
              <w:rPr>
                <w:b/>
                <w:sz w:val="16"/>
                <w:szCs w:val="16"/>
              </w:rPr>
              <w:t>BCI</w:t>
            </w:r>
            <w:r w:rsidRPr="007B2F7C">
              <w:rPr>
                <w:b/>
                <w:sz w:val="16"/>
                <w:szCs w:val="16"/>
              </w:rPr>
              <w:t>]</w:t>
            </w:r>
          </w:p>
        </w:tc>
        <w:tc>
          <w:tcPr>
            <w:tcW w:w="1985" w:type="dxa"/>
            <w:shd w:val="clear" w:color="auto" w:fill="C9DED4"/>
          </w:tcPr>
          <w:p w:rsidR="0007161B" w:rsidRPr="007B2F7C" w:rsidRDefault="0007161B" w:rsidP="00206326">
            <w:pPr>
              <w:jc w:val="center"/>
              <w:rPr>
                <w:sz w:val="16"/>
                <w:szCs w:val="16"/>
              </w:rPr>
            </w:pPr>
            <w:r w:rsidRPr="007B2F7C">
              <w:rPr>
                <w:b/>
                <w:sz w:val="16"/>
                <w:szCs w:val="16"/>
              </w:rPr>
              <w:t>[</w:t>
            </w:r>
            <w:r w:rsidR="00C8434D" w:rsidRPr="007B2F7C">
              <w:rPr>
                <w:b/>
                <w:sz w:val="16"/>
                <w:szCs w:val="16"/>
              </w:rPr>
              <w:t>BCI</w:t>
            </w:r>
            <w:r w:rsidRPr="007B2F7C">
              <w:rPr>
                <w:b/>
                <w:sz w:val="16"/>
                <w:szCs w:val="16"/>
              </w:rPr>
              <w:t>]</w:t>
            </w:r>
          </w:p>
        </w:tc>
        <w:tc>
          <w:tcPr>
            <w:tcW w:w="2471" w:type="dxa"/>
            <w:shd w:val="clear" w:color="auto" w:fill="C9DED4"/>
          </w:tcPr>
          <w:p w:rsidR="0007161B" w:rsidRPr="007B2F7C" w:rsidRDefault="0007161B" w:rsidP="00206326">
            <w:pPr>
              <w:jc w:val="center"/>
              <w:rPr>
                <w:sz w:val="16"/>
                <w:szCs w:val="16"/>
              </w:rPr>
            </w:pPr>
            <w:r w:rsidRPr="007B2F7C">
              <w:rPr>
                <w:b/>
                <w:sz w:val="16"/>
                <w:szCs w:val="16"/>
              </w:rPr>
              <w:t>[</w:t>
            </w:r>
            <w:r w:rsidR="00C8434D" w:rsidRPr="007B2F7C">
              <w:rPr>
                <w:b/>
                <w:sz w:val="16"/>
                <w:szCs w:val="16"/>
              </w:rPr>
              <w:t>BCI</w:t>
            </w:r>
            <w:r w:rsidRPr="007B2F7C">
              <w:rPr>
                <w:b/>
                <w:sz w:val="16"/>
                <w:szCs w:val="16"/>
              </w:rPr>
              <w:t>]</w:t>
            </w:r>
            <w:r w:rsidRPr="007B2F7C">
              <w:rPr>
                <w:rStyle w:val="FootnoteReference"/>
                <w:sz w:val="16"/>
                <w:szCs w:val="16"/>
              </w:rPr>
              <w:footnoteReference w:id="516"/>
            </w:r>
            <w:r w:rsidRPr="007B2F7C">
              <w:rPr>
                <w:sz w:val="16"/>
                <w:szCs w:val="16"/>
              </w:rPr>
              <w:t xml:space="preserve"> to </w:t>
            </w:r>
            <w:r w:rsidRPr="007B2F7C">
              <w:rPr>
                <w:b/>
                <w:sz w:val="16"/>
                <w:szCs w:val="16"/>
              </w:rPr>
              <w:t>[</w:t>
            </w:r>
            <w:r w:rsidR="00C8434D" w:rsidRPr="007B2F7C">
              <w:rPr>
                <w:b/>
                <w:sz w:val="16"/>
                <w:szCs w:val="16"/>
              </w:rPr>
              <w:t>BCI</w:t>
            </w:r>
            <w:r w:rsidRPr="007B2F7C">
              <w:rPr>
                <w:b/>
                <w:sz w:val="16"/>
                <w:szCs w:val="16"/>
              </w:rPr>
              <w:t>]</w:t>
            </w:r>
          </w:p>
        </w:tc>
      </w:tr>
    </w:tbl>
    <w:p w:rsidR="0007161B" w:rsidRDefault="0007161B" w:rsidP="00145239">
      <w:pPr>
        <w:pStyle w:val="NoteText"/>
        <w:spacing w:before="120" w:after="240"/>
      </w:pPr>
      <w:r>
        <w:t>Source: Panel Report, Table 7 at paragraph 6.430.</w:t>
      </w:r>
    </w:p>
    <w:p w:rsidR="0007161B" w:rsidRPr="00EA692E" w:rsidRDefault="0007161B" w:rsidP="003E742D">
      <w:pPr>
        <w:pStyle w:val="Heading3"/>
        <w:keepNext w:val="0"/>
        <w:keepLines w:val="0"/>
      </w:pPr>
      <w:bookmarkStart w:id="77" w:name="_Toc514059225"/>
      <w:r w:rsidRPr="00EA692E">
        <w:t>Project-specific risk premium</w:t>
      </w:r>
      <w:bookmarkEnd w:id="77"/>
    </w:p>
    <w:p w:rsidR="0007161B" w:rsidRDefault="0007161B" w:rsidP="003E742D">
      <w:pPr>
        <w:pStyle w:val="BodyText"/>
      </w:pPr>
      <w:r w:rsidRPr="00B322BC">
        <w:t xml:space="preserve">The </w:t>
      </w:r>
      <w:r w:rsidR="000A10EA">
        <w:t>European Union</w:t>
      </w:r>
      <w:r w:rsidRPr="00B322BC">
        <w:t xml:space="preserve"> </w:t>
      </w:r>
      <w:r>
        <w:t xml:space="preserve">argues that </w:t>
      </w:r>
      <w:r w:rsidRPr="00B322BC">
        <w:t>the Panel</w:t>
      </w:r>
      <w:r>
        <w:t xml:space="preserve"> erred in its</w:t>
      </w:r>
      <w:r w:rsidRPr="00B322BC">
        <w:t xml:space="preserve"> identification of the "project-specific risk premium" component</w:t>
      </w:r>
      <w:r w:rsidRPr="00097064">
        <w:t xml:space="preserve"> of the market benchmark </w:t>
      </w:r>
      <w:r>
        <w:t xml:space="preserve">that was used </w:t>
      </w:r>
      <w:r w:rsidRPr="00097064">
        <w:t xml:space="preserve">to determine whether the </w:t>
      </w:r>
      <w:r>
        <w:t xml:space="preserve">French, German, Spanish, and UK </w:t>
      </w:r>
      <w:r w:rsidRPr="00097064">
        <w:t xml:space="preserve">A350XWB LA/MSF </w:t>
      </w:r>
      <w:r w:rsidRPr="00C572CB">
        <w:t>contracts</w:t>
      </w:r>
      <w:r>
        <w:t xml:space="preserve"> </w:t>
      </w:r>
      <w:r w:rsidRPr="00097064">
        <w:t>confer a "benefit"</w:t>
      </w:r>
      <w:r>
        <w:t xml:space="preserve"> </w:t>
      </w:r>
      <w:r w:rsidRPr="00696860">
        <w:t>within the meani</w:t>
      </w:r>
      <w:r>
        <w:t xml:space="preserve">ng of </w:t>
      </w:r>
      <w:r w:rsidR="000A10EA">
        <w:t>Article </w:t>
      </w:r>
      <w:r>
        <w:t xml:space="preserve">1.1(b) of the </w:t>
      </w:r>
      <w:r w:rsidR="000A10EA">
        <w:t>SCM Agreement</w:t>
      </w:r>
      <w:r w:rsidRPr="00097064">
        <w:t>.</w:t>
      </w:r>
      <w:r>
        <w:t xml:space="preserve"> The </w:t>
      </w:r>
      <w:r w:rsidR="000A10EA">
        <w:t>European Union</w:t>
      </w:r>
      <w:r>
        <w:t xml:space="preserve"> challenges many aspects of the Panel's analysis by bringing</w:t>
      </w:r>
      <w:r w:rsidRPr="00097064">
        <w:t xml:space="preserve"> </w:t>
      </w:r>
      <w:r w:rsidRPr="00301234">
        <w:rPr>
          <w:i/>
        </w:rPr>
        <w:t>three</w:t>
      </w:r>
      <w:r w:rsidRPr="00097064">
        <w:t xml:space="preserve"> </w:t>
      </w:r>
      <w:r>
        <w:t>sets</w:t>
      </w:r>
      <w:r w:rsidRPr="00097064">
        <w:t xml:space="preserve"> of </w:t>
      </w:r>
      <w:r>
        <w:t xml:space="preserve">claims of </w:t>
      </w:r>
      <w:r w:rsidRPr="00097064">
        <w:t xml:space="preserve">error </w:t>
      </w:r>
      <w:r>
        <w:t xml:space="preserve">allegedly </w:t>
      </w:r>
      <w:r w:rsidRPr="00097064">
        <w:t xml:space="preserve">committed </w:t>
      </w:r>
      <w:r>
        <w:t xml:space="preserve">by </w:t>
      </w:r>
      <w:r w:rsidRPr="00097064">
        <w:t xml:space="preserve">the Panel in </w:t>
      </w:r>
      <w:r w:rsidRPr="00B322BC">
        <w:t>identif</w:t>
      </w:r>
      <w:r>
        <w:t xml:space="preserve">ying </w:t>
      </w:r>
      <w:r w:rsidRPr="00B322BC">
        <w:t>the project-specific risk premium</w:t>
      </w:r>
      <w:r w:rsidRPr="00097064">
        <w:t>.</w:t>
      </w:r>
      <w:r>
        <w:t xml:space="preserve"> The overarching critique by the</w:t>
      </w:r>
      <w:r w:rsidRPr="00097064">
        <w:t xml:space="preserve"> </w:t>
      </w:r>
      <w:r w:rsidR="000A10EA">
        <w:t>European Union</w:t>
      </w:r>
      <w:r w:rsidRPr="00097064">
        <w:t xml:space="preserve"> </w:t>
      </w:r>
      <w:r>
        <w:t>is</w:t>
      </w:r>
      <w:r w:rsidRPr="00097064">
        <w:t xml:space="preserve"> that the Panel erred in using the project-specific risk premium that was developed in the original proceedings for the A380 </w:t>
      </w:r>
      <w:r>
        <w:t>project</w:t>
      </w:r>
      <w:r w:rsidRPr="00097064">
        <w:t xml:space="preserve"> as the risk premium for the A350XWB </w:t>
      </w:r>
      <w:r>
        <w:t>project,</w:t>
      </w:r>
      <w:r w:rsidRPr="00097064">
        <w:t xml:space="preserve"> </w:t>
      </w:r>
      <w:r>
        <w:t>"</w:t>
      </w:r>
      <w:r w:rsidRPr="00097064">
        <w:t xml:space="preserve">launched at a </w:t>
      </w:r>
      <w:r w:rsidRPr="00556EA4">
        <w:rPr>
          <w:i/>
        </w:rPr>
        <w:t>different moment in time</w:t>
      </w:r>
      <w:r w:rsidRPr="00097064">
        <w:t xml:space="preserve">, and implicating </w:t>
      </w:r>
      <w:r w:rsidRPr="00556EA4">
        <w:rPr>
          <w:i/>
        </w:rPr>
        <w:t>different risks</w:t>
      </w:r>
      <w:r w:rsidRPr="00097064">
        <w:t>".</w:t>
      </w:r>
      <w:r w:rsidRPr="00097064">
        <w:rPr>
          <w:rStyle w:val="FootnoteReference"/>
        </w:rPr>
        <w:footnoteReference w:id="517"/>
      </w:r>
      <w:r w:rsidRPr="00097064">
        <w:t xml:space="preserve"> According to the </w:t>
      </w:r>
      <w:r w:rsidR="000A10EA">
        <w:t>European Union</w:t>
      </w:r>
      <w:r w:rsidR="00E113E6">
        <w:t>, the </w:t>
      </w:r>
      <w:r w:rsidRPr="00097064">
        <w:t>single, undifferentiated project risk premium selec</w:t>
      </w:r>
      <w:r>
        <w:t xml:space="preserve">ted by the Panel </w:t>
      </w:r>
      <w:r w:rsidRPr="00097064">
        <w:t xml:space="preserve">does not precisely and accurately reflect the risks involved in the </w:t>
      </w:r>
      <w:r w:rsidRPr="00171025">
        <w:t>A350XWB project</w:t>
      </w:r>
      <w:r>
        <w:t>,</w:t>
      </w:r>
      <w:r w:rsidRPr="00171025">
        <w:t xml:space="preserve"> </w:t>
      </w:r>
      <w:r>
        <w:t>a</w:t>
      </w:r>
      <w:r w:rsidRPr="00171025">
        <w:t>nd does not reflect the differing terms of each of the four individual A350XWB LA/MSF contracts.</w:t>
      </w:r>
      <w:r w:rsidRPr="00171025">
        <w:rPr>
          <w:rStyle w:val="FootnoteReference"/>
        </w:rPr>
        <w:footnoteReference w:id="518"/>
      </w:r>
      <w:r>
        <w:t xml:space="preserve"> We describe below the essence of the </w:t>
      </w:r>
      <w:r w:rsidRPr="00301234">
        <w:rPr>
          <w:i/>
        </w:rPr>
        <w:t>three</w:t>
      </w:r>
      <w:r w:rsidRPr="00097064">
        <w:t xml:space="preserve"> </w:t>
      </w:r>
      <w:r>
        <w:t>sets</w:t>
      </w:r>
      <w:r w:rsidRPr="00097064">
        <w:t xml:space="preserve"> of </w:t>
      </w:r>
      <w:r>
        <w:t>claims of</w:t>
      </w:r>
      <w:r w:rsidRPr="00097064">
        <w:t xml:space="preserve"> error</w:t>
      </w:r>
      <w:r>
        <w:t xml:space="preserve"> brought by the </w:t>
      </w:r>
      <w:r w:rsidR="000A10EA">
        <w:t>European Union</w:t>
      </w:r>
      <w:r>
        <w:t>.</w:t>
      </w:r>
    </w:p>
    <w:p w:rsidR="0007161B" w:rsidRDefault="0007161B" w:rsidP="003E742D">
      <w:pPr>
        <w:pStyle w:val="BodyText"/>
      </w:pPr>
      <w:r>
        <w:t>In its f</w:t>
      </w:r>
      <w:r w:rsidRPr="00E225A2">
        <w:t>irst</w:t>
      </w:r>
      <w:r>
        <w:t xml:space="preserve"> set of claims</w:t>
      </w:r>
      <w:r w:rsidRPr="00E225A2">
        <w:t xml:space="preserve">, the </w:t>
      </w:r>
      <w:r w:rsidR="000A10EA">
        <w:t>European Union</w:t>
      </w:r>
      <w:r>
        <w:t xml:space="preserve"> argues that the Panel erred in its application of </w:t>
      </w:r>
      <w:r w:rsidR="000A10EA">
        <w:t>Article </w:t>
      </w:r>
      <w:r>
        <w:t xml:space="preserve">1.1(b) of the </w:t>
      </w:r>
      <w:r w:rsidR="000A10EA">
        <w:t>SCM Agreement</w:t>
      </w:r>
      <w:r>
        <w:t xml:space="preserve"> and acted inconsistently with </w:t>
      </w:r>
      <w:r w:rsidR="000A10EA">
        <w:t>Article </w:t>
      </w:r>
      <w:r>
        <w:t xml:space="preserve">11 of the DSU. With respect to </w:t>
      </w:r>
      <w:r w:rsidR="000A10EA">
        <w:t>Article </w:t>
      </w:r>
      <w:r>
        <w:t xml:space="preserve">1.1(b), the </w:t>
      </w:r>
      <w:r w:rsidR="000A10EA">
        <w:t>European Union</w:t>
      </w:r>
      <w:r>
        <w:t xml:space="preserve"> </w:t>
      </w:r>
      <w:r w:rsidRPr="00E225A2">
        <w:t>submits that "</w:t>
      </w:r>
      <w:r>
        <w:t>{t}</w:t>
      </w:r>
      <w:r w:rsidRPr="00E225A2">
        <w:t xml:space="preserve">he Panel failed to undertake a </w:t>
      </w:r>
      <w:r>
        <w:t>'</w:t>
      </w:r>
      <w:r w:rsidRPr="00E225A2">
        <w:t>progressive</w:t>
      </w:r>
      <w:r w:rsidRPr="00097064">
        <w:t xml:space="preserve"> </w:t>
      </w:r>
      <w:r w:rsidRPr="002C67E7">
        <w:t>search' for and to adopt the benchmark that shared 'as many elements as possible in common with' the A350XWB LA/MSF loans".</w:t>
      </w:r>
      <w:r w:rsidRPr="002C67E7">
        <w:rPr>
          <w:rStyle w:val="FootnoteReference"/>
        </w:rPr>
        <w:footnoteReference w:id="519"/>
      </w:r>
      <w:r w:rsidRPr="002C67E7">
        <w:t xml:space="preserve"> In addition, the </w:t>
      </w:r>
      <w:r w:rsidR="000A10EA">
        <w:t>European Union</w:t>
      </w:r>
      <w:r w:rsidRPr="002C67E7">
        <w:t xml:space="preserve"> asserts that, having failed to adopt</w:t>
      </w:r>
      <w:r>
        <w:t xml:space="preserve"> the benchmark most closely tailored to the risks associated with the A350XWB project</w:t>
      </w:r>
      <w:r w:rsidRPr="00097064">
        <w:t xml:space="preserve">, </w:t>
      </w:r>
      <w:r>
        <w:t>the Panel</w:t>
      </w:r>
      <w:r w:rsidRPr="00097064">
        <w:t xml:space="preserve"> </w:t>
      </w:r>
      <w:r w:rsidRPr="00FE2BAA">
        <w:t xml:space="preserve">failed to make any </w:t>
      </w:r>
      <w:r w:rsidRPr="00DB2843">
        <w:rPr>
          <w:i/>
        </w:rPr>
        <w:t>adjustments</w:t>
      </w:r>
      <w:r w:rsidRPr="00FE2BAA">
        <w:t xml:space="preserve"> to account for acknowledged </w:t>
      </w:r>
      <w:r w:rsidRPr="00FE2BAA">
        <w:lastRenderedPageBreak/>
        <w:t>differences between the selected benchmark and the A350XWB LA/MSF contracts.</w:t>
      </w:r>
      <w:r w:rsidRPr="00FE2BAA">
        <w:rPr>
          <w:rStyle w:val="FootnoteReference"/>
        </w:rPr>
        <w:footnoteReference w:id="520"/>
      </w:r>
      <w:r>
        <w:t xml:space="preserve"> As a result, </w:t>
      </w:r>
      <w:r w:rsidRPr="00FE2BAA">
        <w:t>the Panel erred in its application</w:t>
      </w:r>
      <w:r w:rsidRPr="00171025">
        <w:t xml:space="preserve"> of </w:t>
      </w:r>
      <w:r w:rsidR="000A10EA">
        <w:t>Article </w:t>
      </w:r>
      <w:r w:rsidRPr="00171025">
        <w:t>1.1(b) by failing "to ensure that the benchmark it selected {was} properly tailored to the specific risks associated with the A350XWB project, and each of the four LA/MSF contracts for that project".</w:t>
      </w:r>
      <w:r w:rsidRPr="00171025">
        <w:rPr>
          <w:rStyle w:val="FootnoteReference"/>
        </w:rPr>
        <w:footnoteReference w:id="521"/>
      </w:r>
      <w:r w:rsidRPr="00171025">
        <w:t xml:space="preserve"> </w:t>
      </w:r>
      <w:r>
        <w:t>With regard to</w:t>
      </w:r>
      <w:r w:rsidRPr="00171025">
        <w:t xml:space="preserve"> </w:t>
      </w:r>
      <w:r w:rsidR="000A10EA">
        <w:t>Article </w:t>
      </w:r>
      <w:r w:rsidRPr="00171025">
        <w:t xml:space="preserve">11 of the DSU, the </w:t>
      </w:r>
      <w:r w:rsidR="000A10EA">
        <w:t>European Union</w:t>
      </w:r>
      <w:r>
        <w:t xml:space="preserve"> claims that</w:t>
      </w:r>
      <w:r w:rsidRPr="00171025">
        <w:t xml:space="preserve"> </w:t>
      </w:r>
      <w:r>
        <w:t xml:space="preserve">the </w:t>
      </w:r>
      <w:r w:rsidRPr="00171025">
        <w:t>Panel</w:t>
      </w:r>
      <w:r>
        <w:t xml:space="preserve"> acted inconsistently with</w:t>
      </w:r>
      <w:r w:rsidRPr="00171025">
        <w:t xml:space="preserve"> </w:t>
      </w:r>
      <w:r>
        <w:t>this provision, first, by failing</w:t>
      </w:r>
      <w:r w:rsidRPr="00097064">
        <w:t xml:space="preserve"> to consider alternative</w:t>
      </w:r>
      <w:r>
        <w:t>,</w:t>
      </w:r>
      <w:r w:rsidRPr="00097064">
        <w:t xml:space="preserve"> </w:t>
      </w:r>
      <w:r>
        <w:t xml:space="preserve">and </w:t>
      </w:r>
      <w:r w:rsidRPr="00097064">
        <w:t>more appropriate</w:t>
      </w:r>
      <w:r>
        <w:t>,</w:t>
      </w:r>
      <w:r w:rsidRPr="00097064">
        <w:t xml:space="preserve"> benchmarks </w:t>
      </w:r>
      <w:r>
        <w:t>than those</w:t>
      </w:r>
      <w:r w:rsidRPr="00097064">
        <w:t xml:space="preserve"> proposed by the </w:t>
      </w:r>
      <w:r w:rsidR="000A10EA">
        <w:t>United States</w:t>
      </w:r>
      <w:r>
        <w:t>.</w:t>
      </w:r>
      <w:r>
        <w:rPr>
          <w:rStyle w:val="FootnoteReference"/>
        </w:rPr>
        <w:footnoteReference w:id="522"/>
      </w:r>
      <w:r>
        <w:t xml:space="preserve"> Second, the </w:t>
      </w:r>
      <w:r w:rsidR="000A10EA">
        <w:t>European Union</w:t>
      </w:r>
      <w:r>
        <w:t xml:space="preserve"> contends that,</w:t>
      </w:r>
      <w:r w:rsidRPr="00097064">
        <w:t xml:space="preserve"> in adopting a constant, undifferentiated project risk premium not tailored to the risks associated with LA/MSF for the A350XWB, the Panel inappropriately deviated from the findings of the original panel, which called for establishing a risk premium that takes into account the risks involved in </w:t>
      </w:r>
      <w:r w:rsidRPr="00B8733D">
        <w:rPr>
          <w:i/>
        </w:rPr>
        <w:t>each specific</w:t>
      </w:r>
      <w:r w:rsidR="00584272">
        <w:t xml:space="preserve"> LCA </w:t>
      </w:r>
      <w:r w:rsidRPr="00097064">
        <w:t>project.</w:t>
      </w:r>
      <w:r>
        <w:rPr>
          <w:rStyle w:val="FootnoteReference"/>
        </w:rPr>
        <w:footnoteReference w:id="523"/>
      </w:r>
    </w:p>
    <w:p w:rsidR="0007161B" w:rsidRDefault="0007161B" w:rsidP="003E742D">
      <w:pPr>
        <w:pStyle w:val="BodyText"/>
      </w:pPr>
      <w:r>
        <w:t>In its s</w:t>
      </w:r>
      <w:r w:rsidRPr="00097064">
        <w:t>econd</w:t>
      </w:r>
      <w:r>
        <w:t xml:space="preserve"> set of claims</w:t>
      </w:r>
      <w:r w:rsidRPr="00097064">
        <w:t>,</w:t>
      </w:r>
      <w:r>
        <w:t xml:space="preserve"> </w:t>
      </w:r>
      <w:r w:rsidRPr="00097064">
        <w:t xml:space="preserve">the </w:t>
      </w:r>
      <w:r w:rsidR="000A10EA">
        <w:t>European Union</w:t>
      </w:r>
      <w:r w:rsidRPr="00097064">
        <w:t xml:space="preserve"> submits that the Panel acted inconsistently with </w:t>
      </w:r>
      <w:r w:rsidR="000A10EA">
        <w:t>Article </w:t>
      </w:r>
      <w:r w:rsidRPr="00097064">
        <w:t>11 of the DSU</w:t>
      </w:r>
      <w:r>
        <w:t xml:space="preserve"> by finding</w:t>
      </w:r>
      <w:r w:rsidRPr="00171025">
        <w:t xml:space="preserve"> that </w:t>
      </w:r>
      <w:r w:rsidRPr="00097064">
        <w:t xml:space="preserve">the project risk premium developed for the </w:t>
      </w:r>
      <w:r w:rsidRPr="00171025">
        <w:t xml:space="preserve">A380 project </w:t>
      </w:r>
      <w:r>
        <w:t>was</w:t>
      </w:r>
      <w:r w:rsidRPr="00171025">
        <w:t xml:space="preserve"> a suitable benchmark for the A350XWB project </w:t>
      </w:r>
      <w:r>
        <w:t xml:space="preserve">on the basis that </w:t>
      </w:r>
      <w:r w:rsidRPr="00171025">
        <w:t xml:space="preserve">the risks </w:t>
      </w:r>
      <w:r>
        <w:t xml:space="preserve">associated with these two projects </w:t>
      </w:r>
      <w:r w:rsidRPr="00097064">
        <w:t>were similar.</w:t>
      </w:r>
      <w:r w:rsidRPr="00097064">
        <w:rPr>
          <w:rStyle w:val="FootnoteReference"/>
        </w:rPr>
        <w:footnoteReference w:id="524"/>
      </w:r>
      <w:r>
        <w:t xml:space="preserve"> In particular, the </w:t>
      </w:r>
      <w:r w:rsidR="000A10EA">
        <w:t>European Union</w:t>
      </w:r>
      <w:r>
        <w:t xml:space="preserve"> challenges the findings regarding the three main categories of risk assessed by the Panel: </w:t>
      </w:r>
      <w:r w:rsidRPr="00171025">
        <w:t>(</w:t>
      </w:r>
      <w:r>
        <w:t>i</w:t>
      </w:r>
      <w:r w:rsidRPr="00171025">
        <w:t>) the risk that the A380 or A350XWB project would fail or not be as successful as anticipated</w:t>
      </w:r>
      <w:r>
        <w:t xml:space="preserve"> </w:t>
      </w:r>
      <w:r w:rsidRPr="00171025">
        <w:t>because of a failure to develop or sell the aircra</w:t>
      </w:r>
      <w:r>
        <w:t>ft as expected (programme risk)</w:t>
      </w:r>
      <w:r w:rsidRPr="00171025">
        <w:t>; (</w:t>
      </w:r>
      <w:r>
        <w:t>ii</w:t>
      </w:r>
      <w:r w:rsidRPr="00171025">
        <w:t>)</w:t>
      </w:r>
      <w:r>
        <w:t> </w:t>
      </w:r>
      <w:r w:rsidRPr="00171025">
        <w:t>the extent t</w:t>
      </w:r>
      <w:r w:rsidR="00E113E6">
        <w:t>o which market lenders were, as </w:t>
      </w:r>
      <w:r w:rsidRPr="00171025">
        <w:t>a general matter, willing to accept risk at the time of the provision of A380 and A350XWB LA/MSF (the price of risk); and (</w:t>
      </w:r>
      <w:r>
        <w:t>iii</w:t>
      </w:r>
      <w:r w:rsidRPr="00171025">
        <w:t xml:space="preserve">) the risk associated with the different terms of the A380 </w:t>
      </w:r>
      <w:r>
        <w:t xml:space="preserve">LA/MSF contracts </w:t>
      </w:r>
      <w:r w:rsidRPr="005D7E3D">
        <w:t>vis-à-vis</w:t>
      </w:r>
      <w:r>
        <w:t xml:space="preserve"> the</w:t>
      </w:r>
      <w:r w:rsidRPr="00171025">
        <w:t xml:space="preserve"> </w:t>
      </w:r>
      <w:r>
        <w:t xml:space="preserve">four </w:t>
      </w:r>
      <w:r w:rsidRPr="00171025">
        <w:t>A350XWB LA/MSF contracts, as well as the risks associated with the different terms of the four individual A350XWB LA/MSF contracts (contract risk).</w:t>
      </w:r>
      <w:r w:rsidRPr="00171025">
        <w:rPr>
          <w:rStyle w:val="FootnoteReference"/>
        </w:rPr>
        <w:footnoteReference w:id="525"/>
      </w:r>
    </w:p>
    <w:p w:rsidR="0007161B" w:rsidRDefault="0007161B" w:rsidP="003E742D">
      <w:pPr>
        <w:pStyle w:val="BodyText"/>
      </w:pPr>
      <w:r>
        <w:t>In its third set of claims</w:t>
      </w:r>
      <w:r w:rsidRPr="00097064">
        <w:t xml:space="preserve">, the </w:t>
      </w:r>
      <w:r w:rsidR="000A10EA">
        <w:t>European Union</w:t>
      </w:r>
      <w:r w:rsidRPr="00097064">
        <w:t xml:space="preserve"> </w:t>
      </w:r>
      <w:r>
        <w:t>asserts</w:t>
      </w:r>
      <w:r w:rsidRPr="00097064">
        <w:t xml:space="preserve"> that the Panel erred in finding that the </w:t>
      </w:r>
      <w:r w:rsidRPr="000E0EA1">
        <w:rPr>
          <w:i/>
        </w:rPr>
        <w:t>same</w:t>
      </w:r>
      <w:r w:rsidRPr="00097064">
        <w:t xml:space="preserve"> risk premium could be applied as a benchmark for </w:t>
      </w:r>
      <w:r w:rsidRPr="00027EEE">
        <w:rPr>
          <w:i/>
        </w:rPr>
        <w:t>each</w:t>
      </w:r>
      <w:r w:rsidRPr="00097064">
        <w:t xml:space="preserve"> of the four </w:t>
      </w:r>
      <w:r>
        <w:t>individual</w:t>
      </w:r>
      <w:r w:rsidRPr="00097064">
        <w:t xml:space="preserve"> </w:t>
      </w:r>
      <w:r w:rsidRPr="00171025">
        <w:t>A350XWB</w:t>
      </w:r>
      <w:r w:rsidRPr="00097064">
        <w:t xml:space="preserve"> LA/MSF </w:t>
      </w:r>
      <w:r w:rsidRPr="00171025">
        <w:t xml:space="preserve">contracts. The </w:t>
      </w:r>
      <w:r w:rsidR="000A10EA">
        <w:t>European Union</w:t>
      </w:r>
      <w:r w:rsidRPr="00171025">
        <w:t xml:space="preserve"> argues that</w:t>
      </w:r>
      <w:r>
        <w:t>, in making this finding,</w:t>
      </w:r>
      <w:r w:rsidRPr="00171025">
        <w:t xml:space="preserve"> the Panel erred in its application of </w:t>
      </w:r>
      <w:r w:rsidR="000A10EA">
        <w:t>Article </w:t>
      </w:r>
      <w:r w:rsidRPr="00171025">
        <w:t xml:space="preserve">1.1(b) of the </w:t>
      </w:r>
      <w:r w:rsidR="000A10EA">
        <w:t>SCM Agreement</w:t>
      </w:r>
      <w:r>
        <w:t xml:space="preserve"> by failing to make adjustments to account for differences that exist </w:t>
      </w:r>
      <w:r w:rsidRPr="00C84E11">
        <w:rPr>
          <w:i/>
        </w:rPr>
        <w:t>among the four A350XWB LA/MSF contracts</w:t>
      </w:r>
      <w:r>
        <w:t xml:space="preserve">. Moreover, according to the </w:t>
      </w:r>
      <w:r w:rsidR="000A10EA">
        <w:t>European Union</w:t>
      </w:r>
      <w:r>
        <w:t xml:space="preserve">, the Panel also acted inconsistently with </w:t>
      </w:r>
      <w:r w:rsidR="000A10EA">
        <w:t>Article </w:t>
      </w:r>
      <w:r w:rsidRPr="00171025">
        <w:t>11 of the DSU</w:t>
      </w:r>
      <w:r>
        <w:t xml:space="preserve"> because</w:t>
      </w:r>
      <w:r w:rsidRPr="00171025">
        <w:t xml:space="preserve"> its conclusion</w:t>
      </w:r>
      <w:r>
        <w:t>s</w:t>
      </w:r>
      <w:r w:rsidRPr="00171025">
        <w:t xml:space="preserve"> </w:t>
      </w:r>
      <w:r>
        <w:t xml:space="preserve">were based </w:t>
      </w:r>
      <w:r w:rsidRPr="00171025">
        <w:t>on "internally inconsistent</w:t>
      </w:r>
      <w:r w:rsidR="008A789C">
        <w:t xml:space="preserve">" </w:t>
      </w:r>
      <w:r w:rsidRPr="00171025">
        <w:t>reasoning.</w:t>
      </w:r>
      <w:r w:rsidRPr="00171025">
        <w:rPr>
          <w:rStyle w:val="FootnoteReference"/>
        </w:rPr>
        <w:footnoteReference w:id="526"/>
      </w:r>
    </w:p>
    <w:p w:rsidR="0007161B" w:rsidRDefault="0007161B" w:rsidP="003E742D">
      <w:pPr>
        <w:pStyle w:val="BodyText"/>
      </w:pPr>
      <w:r>
        <w:t xml:space="preserve">On these bases, </w:t>
      </w:r>
      <w:r w:rsidRPr="00097064">
        <w:t xml:space="preserve">the </w:t>
      </w:r>
      <w:r w:rsidR="000A10EA">
        <w:t>European Union</w:t>
      </w:r>
      <w:r w:rsidRPr="00097064">
        <w:t xml:space="preserve"> requests </w:t>
      </w:r>
      <w:r>
        <w:t>us</w:t>
      </w:r>
      <w:r w:rsidRPr="00097064">
        <w:t xml:space="preserve"> to r</w:t>
      </w:r>
      <w:r w:rsidR="00E113E6">
        <w:t>everse the Panel's findings, in </w:t>
      </w:r>
      <w:r w:rsidRPr="00097064">
        <w:t>paragraphs 6.632 (including Table 10) and 6.633</w:t>
      </w:r>
      <w:r>
        <w:t xml:space="preserve"> of the Panel Report</w:t>
      </w:r>
      <w:r w:rsidRPr="00097064">
        <w:t xml:space="preserve">, that the </w:t>
      </w:r>
      <w:r>
        <w:t xml:space="preserve">French, German, Spanish, and UK </w:t>
      </w:r>
      <w:r w:rsidRPr="00097064">
        <w:t xml:space="preserve">A350XWB LA/MSF </w:t>
      </w:r>
      <w:r>
        <w:t xml:space="preserve">contracts </w:t>
      </w:r>
      <w:r w:rsidRPr="00097064">
        <w:t xml:space="preserve">confer a "benefit" within the meaning of </w:t>
      </w:r>
      <w:r w:rsidR="000A10EA">
        <w:t>Article </w:t>
      </w:r>
      <w:r w:rsidRPr="00097064">
        <w:t xml:space="preserve">1.1(b) of the </w:t>
      </w:r>
      <w:r w:rsidR="000A10EA">
        <w:t>SCM Agreement</w:t>
      </w:r>
      <w:r>
        <w:t>,</w:t>
      </w:r>
      <w:r w:rsidRPr="00097064">
        <w:t xml:space="preserve"> and consequently to r</w:t>
      </w:r>
      <w:r w:rsidR="00E113E6">
        <w:t>everse the Panel's findings, in </w:t>
      </w:r>
      <w:r w:rsidRPr="00097064">
        <w:t>paragraphs 6.656 and 7.1</w:t>
      </w:r>
      <w:r>
        <w:t>.c.i</w:t>
      </w:r>
      <w:r w:rsidRPr="0085426E">
        <w:t xml:space="preserve"> </w:t>
      </w:r>
      <w:r w:rsidRPr="00171025">
        <w:t xml:space="preserve">of the Panel Report, that the </w:t>
      </w:r>
      <w:r w:rsidR="00584272">
        <w:t>French, German, Spanish, and UK </w:t>
      </w:r>
      <w:r w:rsidRPr="00097064">
        <w:t>A350XWB</w:t>
      </w:r>
      <w:r w:rsidRPr="00171025">
        <w:t xml:space="preserve"> LA/MSF contracts </w:t>
      </w:r>
      <w:r w:rsidRPr="00097064">
        <w:t xml:space="preserve">each constitute a "subsidy" within the meaning of </w:t>
      </w:r>
      <w:r w:rsidR="000A10EA">
        <w:t>Article </w:t>
      </w:r>
      <w:r>
        <w:t xml:space="preserve">1 of the </w:t>
      </w:r>
      <w:r w:rsidR="000A10EA">
        <w:t>SCM Agreement</w:t>
      </w:r>
      <w:r w:rsidRPr="00097064">
        <w:t>.</w:t>
      </w:r>
      <w:r w:rsidR="008A789C">
        <w:rPr>
          <w:rStyle w:val="FootnoteReference"/>
        </w:rPr>
        <w:footnoteReference w:id="527"/>
      </w:r>
    </w:p>
    <w:p w:rsidR="0007161B" w:rsidRDefault="0007161B" w:rsidP="003E742D">
      <w:pPr>
        <w:pStyle w:val="BodyText"/>
      </w:pPr>
      <w:r>
        <w:t xml:space="preserve">Before addressing the </w:t>
      </w:r>
      <w:r w:rsidR="000A10EA">
        <w:t>European Union</w:t>
      </w:r>
      <w:r>
        <w:t>'s claims of error, we</w:t>
      </w:r>
      <w:r w:rsidR="00584272">
        <w:t xml:space="preserve"> summarize the Panel's findings </w:t>
      </w:r>
      <w:r>
        <w:t>below.</w:t>
      </w:r>
    </w:p>
    <w:p w:rsidR="0007161B" w:rsidRDefault="0007161B" w:rsidP="003E742D">
      <w:pPr>
        <w:pStyle w:val="Heading4"/>
        <w:numPr>
          <w:ilvl w:val="3"/>
          <w:numId w:val="12"/>
        </w:numPr>
      </w:pPr>
      <w:bookmarkStart w:id="78" w:name="_Toc514059226"/>
      <w:r>
        <w:lastRenderedPageBreak/>
        <w:t>The Panel's findings</w:t>
      </w:r>
      <w:bookmarkEnd w:id="78"/>
    </w:p>
    <w:p w:rsidR="0007161B" w:rsidRPr="00A453EC" w:rsidRDefault="0007161B" w:rsidP="003E742D">
      <w:pPr>
        <w:pStyle w:val="BodyText"/>
      </w:pPr>
      <w:r w:rsidRPr="00097064">
        <w:t>Before the Panel, the parties agreed that</w:t>
      </w:r>
      <w:r>
        <w:t>, in addition to the corporate borrowing rate,</w:t>
      </w:r>
      <w:r w:rsidRPr="00097064">
        <w:t xml:space="preserve"> the market benchmark should </w:t>
      </w:r>
      <w:r>
        <w:t>include</w:t>
      </w:r>
      <w:r w:rsidRPr="00097064">
        <w:t xml:space="preserve"> a project-specific risk premium reflecting the risk associated </w:t>
      </w:r>
      <w:r w:rsidRPr="00171025">
        <w:t xml:space="preserve">with providing financing on the same or similar terms </w:t>
      </w:r>
      <w:r w:rsidRPr="00A453EC">
        <w:t>as LA/MSF for the A350XWB project.</w:t>
      </w:r>
      <w:r w:rsidRPr="00A453EC">
        <w:rPr>
          <w:rStyle w:val="FootnoteReference"/>
        </w:rPr>
        <w:footnoteReference w:id="528"/>
      </w:r>
      <w:r w:rsidRPr="00A453EC">
        <w:t xml:space="preserve"> </w:t>
      </w:r>
    </w:p>
    <w:p w:rsidR="0007161B" w:rsidRPr="00A453EC" w:rsidRDefault="0007161B" w:rsidP="003E742D">
      <w:pPr>
        <w:pStyle w:val="BodyText"/>
      </w:pPr>
      <w:r w:rsidRPr="00A453EC">
        <w:t xml:space="preserve">The </w:t>
      </w:r>
      <w:r w:rsidR="000A10EA">
        <w:t>United States</w:t>
      </w:r>
      <w:r w:rsidRPr="00A453EC">
        <w:t xml:space="preserve"> proposed two options for a project-specific risk premium. The first option, preferred by the </w:t>
      </w:r>
      <w:r w:rsidR="000A10EA">
        <w:t>United States</w:t>
      </w:r>
      <w:r w:rsidRPr="00A453EC">
        <w:t xml:space="preserve">, was the Jordan Risk Premium (JRP), a figure calculated by its expert, Dr Jordan. The second option was the risk premium proposed by Professor Whitelaw in the original proceedings for the A380 project, and was referred </w:t>
      </w:r>
      <w:r w:rsidR="00E113E6">
        <w:t>to as the Whitelaw Risk Premium </w:t>
      </w:r>
      <w:r w:rsidRPr="00A453EC">
        <w:t>(WRP).</w:t>
      </w:r>
      <w:r w:rsidRPr="00A453EC">
        <w:rPr>
          <w:rStyle w:val="FootnoteReference"/>
        </w:rPr>
        <w:footnoteReference w:id="529"/>
      </w:r>
    </w:p>
    <w:p w:rsidR="0007161B" w:rsidRPr="000E19F4" w:rsidRDefault="0007161B" w:rsidP="003E742D">
      <w:pPr>
        <w:pStyle w:val="BodyText"/>
      </w:pPr>
      <w:r w:rsidRPr="00A453EC">
        <w:t xml:space="preserve">The Panel noted that the </w:t>
      </w:r>
      <w:r w:rsidR="000A10EA">
        <w:t>European Union</w:t>
      </w:r>
      <w:r w:rsidRPr="00A453EC">
        <w:t xml:space="preserve"> did not propose a project-specific risk premium of its own for the A350XWB project, and rejected both</w:t>
      </w:r>
      <w:r w:rsidRPr="00171025">
        <w:t xml:space="preserve"> of the risk premia advanced by the </w:t>
      </w:r>
      <w:r w:rsidR="000A10EA">
        <w:t>United States</w:t>
      </w:r>
      <w:r w:rsidRPr="00171025">
        <w:t xml:space="preserve">. </w:t>
      </w:r>
      <w:r>
        <w:t>T</w:t>
      </w:r>
      <w:r w:rsidRPr="00171025">
        <w:t xml:space="preserve">he </w:t>
      </w:r>
      <w:r w:rsidR="000A10EA">
        <w:t>European Union</w:t>
      </w:r>
      <w:r>
        <w:t xml:space="preserve"> asserted</w:t>
      </w:r>
      <w:r w:rsidRPr="00171025">
        <w:t>, first,</w:t>
      </w:r>
      <w:r>
        <w:t xml:space="preserve"> that</w:t>
      </w:r>
      <w:r w:rsidRPr="00171025">
        <w:t xml:space="preserve"> the JRP was not used as a project-specific risk prem</w:t>
      </w:r>
      <w:r>
        <w:t>ium in the original proceedings</w:t>
      </w:r>
      <w:r w:rsidRPr="00171025">
        <w:t xml:space="preserve"> and, second, </w:t>
      </w:r>
      <w:r>
        <w:t xml:space="preserve">that </w:t>
      </w:r>
      <w:r w:rsidRPr="00171025">
        <w:t xml:space="preserve">the </w:t>
      </w:r>
      <w:r w:rsidR="000A10EA">
        <w:t>United States</w:t>
      </w:r>
      <w:r w:rsidRPr="00171025">
        <w:t xml:space="preserve"> </w:t>
      </w:r>
      <w:r>
        <w:t>had</w:t>
      </w:r>
      <w:r w:rsidRPr="00171025">
        <w:t xml:space="preserve"> not show</w:t>
      </w:r>
      <w:r>
        <w:t>n</w:t>
      </w:r>
      <w:r w:rsidRPr="00171025">
        <w:t xml:space="preserve"> that the WRP </w:t>
      </w:r>
      <w:r>
        <w:t>was</w:t>
      </w:r>
      <w:r w:rsidRPr="00171025">
        <w:t xml:space="preserve"> an appropriate risk premium for the A350XWB.</w:t>
      </w:r>
      <w:r w:rsidRPr="00171025">
        <w:rPr>
          <w:rStyle w:val="FootnoteReference"/>
        </w:rPr>
        <w:footnoteReference w:id="530"/>
      </w:r>
    </w:p>
    <w:p w:rsidR="0007161B" w:rsidRDefault="0007161B" w:rsidP="003E742D">
      <w:pPr>
        <w:pStyle w:val="BodyText"/>
      </w:pPr>
      <w:r w:rsidRPr="001126BA">
        <w:t xml:space="preserve">With respect to the first project-specific risk premium submitted by the </w:t>
      </w:r>
      <w:r w:rsidR="000A10EA">
        <w:t>United States</w:t>
      </w:r>
      <w:r w:rsidRPr="001126BA">
        <w:t>, the</w:t>
      </w:r>
      <w:r w:rsidR="00E113E6">
        <w:t> </w:t>
      </w:r>
      <w:r>
        <w:t>Panel</w:t>
      </w:r>
      <w:r w:rsidRPr="001126BA">
        <w:t xml:space="preserve"> began by noting that the JRP </w:t>
      </w:r>
      <w:r w:rsidRPr="00170371">
        <w:t xml:space="preserve">is </w:t>
      </w:r>
      <w:r>
        <w:t xml:space="preserve">a </w:t>
      </w:r>
      <w:r w:rsidRPr="00170371">
        <w:t>figure calculated by Dr Jordan by using "the average of two very similar risk premia" introduced during the original proceedings in relation to the risk associated with the A380 project.</w:t>
      </w:r>
      <w:r w:rsidRPr="00170371">
        <w:rPr>
          <w:rStyle w:val="FootnoteReference"/>
        </w:rPr>
        <w:footnoteReference w:id="531"/>
      </w:r>
      <w:r w:rsidRPr="00170371">
        <w:t xml:space="preserve"> The Panel </w:t>
      </w:r>
      <w:r>
        <w:t>observed</w:t>
      </w:r>
      <w:r w:rsidRPr="00170371">
        <w:t xml:space="preserve"> that neither of the JRP inputs were accepted or even argued to be an</w:t>
      </w:r>
      <w:r w:rsidRPr="00097064">
        <w:t xml:space="preserve"> appropriate risk premium for the A380 in the original proceeding</w:t>
      </w:r>
      <w:r>
        <w:t>s</w:t>
      </w:r>
      <w:r w:rsidRPr="00097064">
        <w:t>.</w:t>
      </w:r>
      <w:r w:rsidRPr="00097064">
        <w:rPr>
          <w:rStyle w:val="FootnoteReference"/>
        </w:rPr>
        <w:footnoteReference w:id="532"/>
      </w:r>
      <w:r w:rsidRPr="00097064">
        <w:t xml:space="preserve"> Therefore, the Panel considered that, in </w:t>
      </w:r>
      <w:r>
        <w:t>these</w:t>
      </w:r>
      <w:r w:rsidRPr="00097064">
        <w:t xml:space="preserve"> compliance proceeding</w:t>
      </w:r>
      <w:r>
        <w:t>s</w:t>
      </w:r>
      <w:r w:rsidR="00E113E6">
        <w:t>, the </w:t>
      </w:r>
      <w:r w:rsidR="000A10EA">
        <w:t>United States</w:t>
      </w:r>
      <w:r w:rsidRPr="00097064">
        <w:t xml:space="preserve"> was required to present additional argumentation and evidence to support their use as a basis for a risk premium for the A350XWB.</w:t>
      </w:r>
      <w:r w:rsidRPr="00097064">
        <w:rPr>
          <w:rStyle w:val="FootnoteReference"/>
        </w:rPr>
        <w:footnoteReference w:id="533"/>
      </w:r>
      <w:r>
        <w:t xml:space="preserve"> The Panel was not persuaded by the reasons provided by the </w:t>
      </w:r>
      <w:r w:rsidR="000A10EA">
        <w:rPr>
          <w:szCs w:val="18"/>
        </w:rPr>
        <w:t>United States</w:t>
      </w:r>
      <w:r>
        <w:rPr>
          <w:szCs w:val="18"/>
        </w:rPr>
        <w:t xml:space="preserve"> to justify its reliance on the JRP.</w:t>
      </w:r>
      <w:r>
        <w:rPr>
          <w:rStyle w:val="FootnoteReference"/>
        </w:rPr>
        <w:footnoteReference w:id="534"/>
      </w:r>
      <w:r>
        <w:rPr>
          <w:szCs w:val="18"/>
        </w:rPr>
        <w:t xml:space="preserve"> As a result, </w:t>
      </w:r>
      <w:r w:rsidRPr="00171025">
        <w:t>the Panel was unable to accept the JRP as a project-specific risk premium.</w:t>
      </w:r>
      <w:r>
        <w:rPr>
          <w:rStyle w:val="FootnoteReference"/>
        </w:rPr>
        <w:footnoteReference w:id="535"/>
      </w:r>
    </w:p>
    <w:p w:rsidR="0007161B" w:rsidRDefault="0007161B" w:rsidP="003E742D">
      <w:pPr>
        <w:pStyle w:val="BodyText"/>
      </w:pPr>
      <w:r>
        <w:t xml:space="preserve">The Panel then turned to the </w:t>
      </w:r>
      <w:r w:rsidR="000A10EA">
        <w:t>United States</w:t>
      </w:r>
      <w:r>
        <w:t xml:space="preserve">' second option for a project-specific risk premium: </w:t>
      </w:r>
      <w:r w:rsidRPr="00171025">
        <w:t>the WRP</w:t>
      </w:r>
      <w:r>
        <w:t xml:space="preserve">. In this context, </w:t>
      </w:r>
      <w:r w:rsidRPr="00171025">
        <w:t xml:space="preserve">the Panel considered the main question to be whether the </w:t>
      </w:r>
      <w:r w:rsidR="000A10EA">
        <w:t>United States</w:t>
      </w:r>
      <w:r w:rsidRPr="00171025">
        <w:t xml:space="preserve"> had demonstrated that the project-specific risks of the A350XWB project </w:t>
      </w:r>
      <w:r>
        <w:t>were</w:t>
      </w:r>
      <w:r w:rsidRPr="00171025">
        <w:t xml:space="preserve"> </w:t>
      </w:r>
      <w:r>
        <w:t>"</w:t>
      </w:r>
      <w:r w:rsidRPr="00171025">
        <w:t>sufficiently similar</w:t>
      </w:r>
      <w:r>
        <w:t>"</w:t>
      </w:r>
      <w:r w:rsidRPr="00171025">
        <w:t xml:space="preserve"> to those of the A380 project, such that it would be reasonable to conclude that the WRP could be used as the project-specific risk premium for the A350XWB.</w:t>
      </w:r>
      <w:r w:rsidRPr="00171025">
        <w:rPr>
          <w:rStyle w:val="FootnoteReference"/>
        </w:rPr>
        <w:footnoteReference w:id="536"/>
      </w:r>
      <w:r w:rsidRPr="00171025">
        <w:t xml:space="preserve"> The Panel considered that the parties' arguments concerning the relative project-specific risks associated with the A380 and A350XWB projects focused on the following issues: </w:t>
      </w:r>
      <w:r w:rsidR="00E113E6">
        <w:t>(i) programme risk; (ii) the </w:t>
      </w:r>
      <w:r>
        <w:t>price of risk; and (iii) contract risk.</w:t>
      </w:r>
    </w:p>
    <w:p w:rsidR="0007161B" w:rsidRDefault="0007161B" w:rsidP="003E742D">
      <w:pPr>
        <w:pStyle w:val="BodyText"/>
      </w:pPr>
      <w:r>
        <w:lastRenderedPageBreak/>
        <w:t xml:space="preserve">In the context of the first issue, </w:t>
      </w:r>
      <w:r w:rsidRPr="00B63BD6">
        <w:rPr>
          <w:i/>
        </w:rPr>
        <w:t>programme risk</w:t>
      </w:r>
      <w:r>
        <w:t>, the Panel indicated that the parties submitted arguments and evidence with regard to two broad categories: "development" risk and "market" risk.</w:t>
      </w:r>
      <w:r>
        <w:rPr>
          <w:rStyle w:val="FootnoteReference"/>
        </w:rPr>
        <w:footnoteReference w:id="537"/>
      </w:r>
      <w:r>
        <w:t xml:space="preserve"> Regarding </w:t>
      </w:r>
      <w:r w:rsidRPr="00B63BD6">
        <w:rPr>
          <w:i/>
        </w:rPr>
        <w:t>development risk</w:t>
      </w:r>
      <w:r>
        <w:t>, t</w:t>
      </w:r>
      <w:r w:rsidRPr="00097064">
        <w:t>he Panel understood the parties to consider that development risk relates to the likelihood that Airbus would not be able to deliver the aircraft as and when promised</w:t>
      </w:r>
      <w:r w:rsidR="008A789C">
        <w:t>,</w:t>
      </w:r>
      <w:r w:rsidRPr="00097064">
        <w:t xml:space="preserve"> cover</w:t>
      </w:r>
      <w:r>
        <w:t>ing</w:t>
      </w:r>
      <w:r w:rsidRPr="00097064">
        <w:t xml:space="preserve"> the </w:t>
      </w:r>
      <w:r>
        <w:t xml:space="preserve">entire </w:t>
      </w:r>
      <w:r w:rsidRPr="00097064">
        <w:t xml:space="preserve">development of the </w:t>
      </w:r>
      <w:r w:rsidRPr="00F728A9">
        <w:t>project</w:t>
      </w:r>
      <w:r w:rsidRPr="00097064">
        <w:t xml:space="preserve"> from conceptualization to </w:t>
      </w:r>
      <w:r w:rsidRPr="00F0618D">
        <w:t>certification.</w:t>
      </w:r>
      <w:r w:rsidRPr="00F0618D">
        <w:rPr>
          <w:rStyle w:val="FootnoteReference"/>
        </w:rPr>
        <w:footnoteReference w:id="538"/>
      </w:r>
      <w:r>
        <w:t xml:space="preserve"> </w:t>
      </w:r>
      <w:r w:rsidRPr="00F0618D">
        <w:t xml:space="preserve">The </w:t>
      </w:r>
      <w:r w:rsidR="000A10EA">
        <w:t>United States</w:t>
      </w:r>
      <w:r w:rsidRPr="00F0618D">
        <w:t xml:space="preserve"> considered that, as a result of the A350XWB project</w:t>
      </w:r>
      <w:r w:rsidRPr="00F0618D" w:rsidDel="00CA4D26">
        <w:t xml:space="preserve"> </w:t>
      </w:r>
      <w:r w:rsidRPr="00F0618D">
        <w:t xml:space="preserve">using </w:t>
      </w:r>
      <w:r w:rsidRPr="00B63BD6">
        <w:rPr>
          <w:rFonts w:cs="Verdana"/>
        </w:rPr>
        <w:t>"risky new technologies", it entailed "unique and significant technology risks" that made the A350XWB "at least as risky, if not more risky, than the A380".</w:t>
      </w:r>
      <w:r w:rsidRPr="00097064">
        <w:rPr>
          <w:rStyle w:val="FootnoteReference"/>
          <w:rFonts w:cs="Verdana"/>
        </w:rPr>
        <w:footnoteReference w:id="539"/>
      </w:r>
      <w:r w:rsidRPr="00B63BD6">
        <w:rPr>
          <w:rFonts w:cs="Verdana"/>
        </w:rPr>
        <w:t xml:space="preserve"> The </w:t>
      </w:r>
      <w:r w:rsidR="000A10EA">
        <w:rPr>
          <w:rFonts w:cs="Verdana"/>
        </w:rPr>
        <w:t>European Union</w:t>
      </w:r>
      <w:r w:rsidRPr="00B63BD6">
        <w:rPr>
          <w:rFonts w:cs="Verdana"/>
        </w:rPr>
        <w:t xml:space="preserve"> disagreed with this contention and submitted that actions pursued by </w:t>
      </w:r>
      <w:r w:rsidR="000A18DA">
        <w:rPr>
          <w:rFonts w:cs="Verdana"/>
        </w:rPr>
        <w:t>Airbus mitigated the technology</w:t>
      </w:r>
      <w:r w:rsidR="000A18DA">
        <w:rPr>
          <w:rFonts w:cs="Verdana"/>
        </w:rPr>
        <w:noBreakHyphen/>
      </w:r>
      <w:r w:rsidRPr="00B63BD6">
        <w:rPr>
          <w:rFonts w:cs="Verdana"/>
        </w:rPr>
        <w:t>related risk for the A350XWB and, in addition, that risks were already lower and certain maturity levels were reached by the time the A350XWB LA/MSF contracts were concluded.</w:t>
      </w:r>
      <w:r w:rsidRPr="00F0618D">
        <w:rPr>
          <w:rStyle w:val="FootnoteReference"/>
          <w:rFonts w:cs="Verdana"/>
        </w:rPr>
        <w:footnoteReference w:id="540"/>
      </w:r>
      <w:r w:rsidRPr="00B63BD6">
        <w:rPr>
          <w:rFonts w:cs="Verdana"/>
        </w:rPr>
        <w:t xml:space="preserve"> In light of these arguments, the Panel considered that the main factual questions related to: (i) technical or technology</w:t>
      </w:r>
      <w:r w:rsidRPr="00B63BD6">
        <w:rPr>
          <w:rFonts w:cs="Verdana"/>
        </w:rPr>
        <w:noBreakHyphen/>
        <w:t>related risks; and (ii) risk-mitigating or -attenuating factors.</w:t>
      </w:r>
      <w:r>
        <w:rPr>
          <w:rStyle w:val="FootnoteReference"/>
          <w:rFonts w:cs="Verdana"/>
        </w:rPr>
        <w:footnoteReference w:id="541"/>
      </w:r>
      <w:r w:rsidRPr="00B63BD6">
        <w:rPr>
          <w:rFonts w:cs="Verdana"/>
        </w:rPr>
        <w:t xml:space="preserve"> The Panel also examined whether there were any risks associated with the A350XWB arising from problems with the A380 project.</w:t>
      </w:r>
    </w:p>
    <w:p w:rsidR="0007161B" w:rsidRPr="00A453EC" w:rsidRDefault="0007161B" w:rsidP="003E742D">
      <w:pPr>
        <w:pStyle w:val="BodyText"/>
      </w:pPr>
      <w:r>
        <w:t>T</w:t>
      </w:r>
      <w:r w:rsidRPr="00097064">
        <w:t xml:space="preserve">he Panel </w:t>
      </w:r>
      <w:r>
        <w:t>concluded</w:t>
      </w:r>
      <w:r w:rsidRPr="00097064">
        <w:t xml:space="preserve"> that</w:t>
      </w:r>
      <w:r>
        <w:t xml:space="preserve"> </w:t>
      </w:r>
      <w:r w:rsidRPr="00097064">
        <w:t>the evidence on the record indicated that the A350XWB was particularly technologically innovative.</w:t>
      </w:r>
      <w:r w:rsidRPr="00097064">
        <w:rPr>
          <w:rStyle w:val="FootnoteReference"/>
        </w:rPr>
        <w:footnoteReference w:id="542"/>
      </w:r>
      <w:r w:rsidRPr="00097064">
        <w:t xml:space="preserve"> The Panel was of the view that, even though the A380 involved its own technological challenges, the A350XWB's technological risk was at least as high</w:t>
      </w:r>
      <w:r>
        <w:t xml:space="preserve"> as</w:t>
      </w:r>
      <w:r w:rsidRPr="00097064">
        <w:t xml:space="preserve"> </w:t>
      </w:r>
      <w:r w:rsidR="008A789C">
        <w:t xml:space="preserve">or higher than </w:t>
      </w:r>
      <w:r>
        <w:t>that of</w:t>
      </w:r>
      <w:r w:rsidRPr="00097064">
        <w:t xml:space="preserve"> the A380.</w:t>
      </w:r>
      <w:r w:rsidRPr="00097064">
        <w:rPr>
          <w:rStyle w:val="FootnoteReference"/>
        </w:rPr>
        <w:footnoteReference w:id="543"/>
      </w:r>
      <w:r w:rsidRPr="00097064">
        <w:t xml:space="preserve"> </w:t>
      </w:r>
      <w:r w:rsidRPr="00FF7E58">
        <w:rPr>
          <w:rFonts w:cs="Verdana"/>
        </w:rPr>
        <w:t>The</w:t>
      </w:r>
      <w:r w:rsidRPr="00097064">
        <w:t xml:space="preserve"> Panel</w:t>
      </w:r>
      <w:r>
        <w:t xml:space="preserve"> also</w:t>
      </w:r>
      <w:r w:rsidRPr="00097064">
        <w:t xml:space="preserve"> considered that certain aspects of the A350XWB </w:t>
      </w:r>
      <w:r w:rsidRPr="00353706">
        <w:t>development programme</w:t>
      </w:r>
      <w:r w:rsidRPr="00097064">
        <w:t xml:space="preserve"> seem to have further increased development risks as compared to the A380.</w:t>
      </w:r>
      <w:r w:rsidRPr="00097064">
        <w:rPr>
          <w:rStyle w:val="FootnoteReference"/>
        </w:rPr>
        <w:footnoteReference w:id="544"/>
      </w:r>
      <w:r w:rsidRPr="00097064">
        <w:t xml:space="preserve"> </w:t>
      </w:r>
      <w:r>
        <w:t>With</w:t>
      </w:r>
      <w:r w:rsidRPr="00097064">
        <w:t xml:space="preserve"> regard to the risk</w:t>
      </w:r>
      <w:r>
        <w:t>-</w:t>
      </w:r>
      <w:r w:rsidRPr="00097064">
        <w:t>mitigating factors</w:t>
      </w:r>
      <w:r>
        <w:t xml:space="preserve"> identified by the </w:t>
      </w:r>
      <w:r w:rsidR="000A10EA">
        <w:t>European Union</w:t>
      </w:r>
      <w:r w:rsidRPr="00097064">
        <w:t xml:space="preserve">, the Panel concluded that these factors </w:t>
      </w:r>
      <w:r w:rsidRPr="00A453EC">
        <w:t>would not have fully offset the increased risks associated with the new "Develop And Ramp-Up Excellence" (DARE) programme and its high level of outsourcing, and also would not have fully offset the technology risks associated with new materials and their lower maturity levels at the start of development.</w:t>
      </w:r>
      <w:r w:rsidRPr="00A453EC">
        <w:rPr>
          <w:rStyle w:val="FootnoteReference"/>
        </w:rPr>
        <w:footnoteReference w:id="545"/>
      </w:r>
      <w:r w:rsidRPr="00A453EC">
        <w:t xml:space="preserve"> Therefore, taking those factors into consideration, the Panel concluded that "the development risks associated with the A350XWB were </w:t>
      </w:r>
      <w:r w:rsidRPr="00A453EC">
        <w:rPr>
          <w:i/>
        </w:rPr>
        <w:t>at least as high as, or sufficiently similar to</w:t>
      </w:r>
      <w:r w:rsidRPr="00A453EC">
        <w:t>, those associated with the A380".</w:t>
      </w:r>
      <w:r w:rsidRPr="00A453EC">
        <w:rPr>
          <w:rStyle w:val="FootnoteReference"/>
        </w:rPr>
        <w:footnoteReference w:id="546"/>
      </w:r>
    </w:p>
    <w:p w:rsidR="0007161B" w:rsidRDefault="0007161B" w:rsidP="003E742D">
      <w:pPr>
        <w:pStyle w:val="BodyText"/>
      </w:pPr>
      <w:r w:rsidRPr="00A453EC">
        <w:t xml:space="preserve">With respect to </w:t>
      </w:r>
      <w:r w:rsidRPr="00A453EC">
        <w:rPr>
          <w:i/>
        </w:rPr>
        <w:t>market risk</w:t>
      </w:r>
      <w:r w:rsidRPr="00A453EC">
        <w:t>, both parties agreed that market risk refers to "the risk that the new aircraft will not sell as well as anticipated".</w:t>
      </w:r>
      <w:r w:rsidRPr="00A453EC">
        <w:rPr>
          <w:rStyle w:val="FootnoteReference"/>
        </w:rPr>
        <w:footnoteReference w:id="547"/>
      </w:r>
      <w:r w:rsidRPr="00A453EC">
        <w:t xml:space="preserve"> In comparing the market risk associated with the A380 project against that associated with the A350XWB project, the Panel noted that the parties' arguments concerned risks regarding: (i) predictions about the size of the respective markets for the two aircraft models (market forecasts</w:t>
      </w:r>
      <w:r w:rsidRPr="00097064">
        <w:t xml:space="preserve">); and (ii) conditions of competition within </w:t>
      </w:r>
      <w:r>
        <w:t>the</w:t>
      </w:r>
      <w:r w:rsidRPr="00097064">
        <w:t xml:space="preserve"> respective market</w:t>
      </w:r>
      <w:r>
        <w:t>s</w:t>
      </w:r>
      <w:r w:rsidRPr="00097064">
        <w:t>.</w:t>
      </w:r>
      <w:r w:rsidRPr="00097064">
        <w:rPr>
          <w:rStyle w:val="FootnoteReference"/>
        </w:rPr>
        <w:footnoteReference w:id="548"/>
      </w:r>
      <w:r>
        <w:t xml:space="preserve"> As to the risk related to market forecasts, t</w:t>
      </w:r>
      <w:r w:rsidRPr="00097064">
        <w:t xml:space="preserve">he Panel </w:t>
      </w:r>
      <w:r>
        <w:t>observed</w:t>
      </w:r>
      <w:r w:rsidRPr="00097064">
        <w:t xml:space="preserve"> that the market demand predictions for the A350XWB were likely to be subject to a negative economic environment that would affect Airbus' clients, which was known at the time the </w:t>
      </w:r>
      <w:r w:rsidRPr="00F0618D">
        <w:t>A350XWB LA/MSF contracts were concluded.</w:t>
      </w:r>
      <w:r w:rsidRPr="00F0618D">
        <w:rPr>
          <w:rStyle w:val="FootnoteReference"/>
        </w:rPr>
        <w:footnoteReference w:id="549"/>
      </w:r>
      <w:r w:rsidRPr="00F0618D">
        <w:t xml:space="preserve"> The Panel noted that, while the economic environment appears to have been taken into account in</w:t>
      </w:r>
      <w:r>
        <w:t xml:space="preserve"> predictions with regard to the </w:t>
      </w:r>
      <w:r w:rsidRPr="00F0618D">
        <w:t>A380</w:t>
      </w:r>
      <w:r w:rsidRPr="00F0618D">
        <w:rPr>
          <w:rStyle w:val="FootnoteReference"/>
        </w:rPr>
        <w:footnoteReference w:id="550"/>
      </w:r>
      <w:r w:rsidRPr="00F0618D">
        <w:t xml:space="preserve">, it was not considered in </w:t>
      </w:r>
      <w:r w:rsidRPr="00F0618D">
        <w:lastRenderedPageBreak/>
        <w:t xml:space="preserve">the predictions of market demand for the A350XWB. </w:t>
      </w:r>
      <w:r>
        <w:t>T</w:t>
      </w:r>
      <w:r w:rsidRPr="00F0618D">
        <w:t xml:space="preserve">he Panel </w:t>
      </w:r>
      <w:r>
        <w:t>considered</w:t>
      </w:r>
      <w:r w:rsidRPr="00F0618D">
        <w:t xml:space="preserve"> that a market lender would have taken these factors into account in </w:t>
      </w:r>
      <w:r>
        <w:t xml:space="preserve">determining </w:t>
      </w:r>
      <w:r w:rsidRPr="00F0618D">
        <w:t>their market lending rate.</w:t>
      </w:r>
      <w:r w:rsidRPr="00F0618D">
        <w:rPr>
          <w:rStyle w:val="FootnoteReference"/>
        </w:rPr>
        <w:footnoteReference w:id="551"/>
      </w:r>
      <w:r>
        <w:t xml:space="preserve"> </w:t>
      </w:r>
    </w:p>
    <w:p w:rsidR="0007161B" w:rsidRDefault="0007161B" w:rsidP="003E742D">
      <w:pPr>
        <w:pStyle w:val="BodyText"/>
      </w:pPr>
      <w:r>
        <w:t>With regard to the r</w:t>
      </w:r>
      <w:r w:rsidRPr="00567D90">
        <w:t>isk related to conditions of competition within market segment</w:t>
      </w:r>
      <w:r w:rsidR="00E113E6">
        <w:t>s, the </w:t>
      </w:r>
      <w:r>
        <w:t xml:space="preserve">Panel was not persuaded by the </w:t>
      </w:r>
      <w:r w:rsidR="000A10EA">
        <w:t>European Union</w:t>
      </w:r>
      <w:r>
        <w:t xml:space="preserve">'s argument that </w:t>
      </w:r>
      <w:r w:rsidRPr="00097064">
        <w:t xml:space="preserve">the conditions of competition </w:t>
      </w:r>
      <w:r w:rsidRPr="00F0618D">
        <w:t xml:space="preserve">between Airbus and Boeing were more favourable to Airbus in the </w:t>
      </w:r>
      <w:r>
        <w:t xml:space="preserve">context of the </w:t>
      </w:r>
      <w:r w:rsidRPr="00F0618D">
        <w:t xml:space="preserve">A350XWB project than in </w:t>
      </w:r>
      <w:r>
        <w:t xml:space="preserve">that of </w:t>
      </w:r>
      <w:r w:rsidRPr="00F0618D">
        <w:t>the A380 project.</w:t>
      </w:r>
      <w:r w:rsidRPr="00F0618D">
        <w:rPr>
          <w:rStyle w:val="FootnoteReference"/>
        </w:rPr>
        <w:footnoteReference w:id="552"/>
      </w:r>
      <w:r>
        <w:t xml:space="preserve"> </w:t>
      </w:r>
      <w:r w:rsidRPr="00F77BBA">
        <w:t xml:space="preserve">The Panel was of the view that </w:t>
      </w:r>
      <w:r w:rsidRPr="00F77BBA">
        <w:rPr>
          <w:szCs w:val="18"/>
        </w:rPr>
        <w:t>the A380 and A350XWB experienced market risks that were different in nature.</w:t>
      </w:r>
      <w:r w:rsidRPr="009E6581">
        <w:rPr>
          <w:szCs w:val="18"/>
        </w:rPr>
        <w:t xml:space="preserve"> </w:t>
      </w:r>
      <w:r>
        <w:t>While</w:t>
      </w:r>
      <w:r w:rsidRPr="009E6581">
        <w:rPr>
          <w:szCs w:val="18"/>
        </w:rPr>
        <w:t xml:space="preserve"> the A380's market success or failure rested in large part on the correct identification of the existence and size of the market segment</w:t>
      </w:r>
      <w:r>
        <w:rPr>
          <w:szCs w:val="18"/>
        </w:rPr>
        <w:t>,</w:t>
      </w:r>
      <w:r w:rsidRPr="009E6581">
        <w:rPr>
          <w:szCs w:val="18"/>
        </w:rPr>
        <w:t xml:space="preserve"> the A350XWB's success or failure would depend upon how it would be received by customers in a market segment that was already relatively well known and served by existing aircraft.</w:t>
      </w:r>
      <w:r w:rsidR="008A789C">
        <w:rPr>
          <w:rStyle w:val="FootnoteReference"/>
          <w:szCs w:val="18"/>
        </w:rPr>
        <w:footnoteReference w:id="553"/>
      </w:r>
      <w:r w:rsidRPr="009E6581">
        <w:rPr>
          <w:szCs w:val="18"/>
        </w:rPr>
        <w:t xml:space="preserve"> Moreover, the A350XWB would need to be competitive not only in terms of innovation but, crucially, in terms of timing</w:t>
      </w:r>
      <w:r>
        <w:rPr>
          <w:szCs w:val="18"/>
        </w:rPr>
        <w:t xml:space="preserve">. On this basis, the </w:t>
      </w:r>
      <w:r w:rsidRPr="00FF420E">
        <w:t xml:space="preserve">Panel concluded that, while the A380 and A350XWB experienced market risks that were different </w:t>
      </w:r>
      <w:r>
        <w:t xml:space="preserve">in </w:t>
      </w:r>
      <w:r w:rsidRPr="00FF420E">
        <w:t xml:space="preserve">nature, </w:t>
      </w:r>
      <w:r w:rsidR="008A789C">
        <w:t>these risks</w:t>
      </w:r>
      <w:r w:rsidRPr="00FF420E">
        <w:t xml:space="preserve"> were nevertheless overall comparable in importance.</w:t>
      </w:r>
      <w:r w:rsidRPr="00FF420E">
        <w:rPr>
          <w:vertAlign w:val="superscript"/>
        </w:rPr>
        <w:footnoteReference w:id="554"/>
      </w:r>
    </w:p>
    <w:p w:rsidR="0007161B" w:rsidRDefault="0007161B" w:rsidP="003E742D">
      <w:pPr>
        <w:pStyle w:val="BodyText"/>
      </w:pPr>
      <w:r>
        <w:t xml:space="preserve">Turning to the second issue, the </w:t>
      </w:r>
      <w:r w:rsidRPr="00B6206D">
        <w:rPr>
          <w:i/>
        </w:rPr>
        <w:t>price of risk</w:t>
      </w:r>
      <w:r>
        <w:t xml:space="preserve">, the Panel </w:t>
      </w:r>
      <w:r w:rsidRPr="00097064">
        <w:t xml:space="preserve">began by noting that the price of risk refers to "risk acceptable to the </w:t>
      </w:r>
      <w:r w:rsidRPr="00AC0288">
        <w:rPr>
          <w:szCs w:val="18"/>
        </w:rPr>
        <w:t>finance</w:t>
      </w:r>
      <w:r w:rsidRPr="00097064">
        <w:t xml:space="preserve"> industry at different moments of its own market cycle".</w:t>
      </w:r>
      <w:r w:rsidRPr="00097064">
        <w:rPr>
          <w:rStyle w:val="FootnoteReference"/>
        </w:rPr>
        <w:footnoteReference w:id="555"/>
      </w:r>
      <w:r w:rsidRPr="00097064">
        <w:t xml:space="preserve"> The Panel considered that the main question in this regard was whether the financial environment – in particular the global financial and economic crisis – meant that a market lender would </w:t>
      </w:r>
      <w:r w:rsidRPr="00F0618D">
        <w:t>have demanded a higher return at the time financing was being sought for the A350XWB</w:t>
      </w:r>
      <w:r w:rsidRPr="00097064">
        <w:t xml:space="preserve"> than at the time it would have been sought for the A380, even if the aircraft development and marketing risks were similar.</w:t>
      </w:r>
      <w:r w:rsidRPr="00097064">
        <w:rPr>
          <w:rStyle w:val="FootnoteReference"/>
        </w:rPr>
        <w:footnoteReference w:id="556"/>
      </w:r>
      <w:r>
        <w:t xml:space="preserve"> </w:t>
      </w:r>
      <w:r w:rsidRPr="00097064">
        <w:t xml:space="preserve">Before the Panel, the </w:t>
      </w:r>
      <w:r w:rsidR="000A10EA">
        <w:t>United States</w:t>
      </w:r>
      <w:r w:rsidRPr="00097064">
        <w:t xml:space="preserve"> submitted that LA/MSF for the A350XWB "was finalised at a point </w:t>
      </w:r>
      <w:r w:rsidR="008A789C">
        <w:t xml:space="preserve">in time </w:t>
      </w:r>
      <w:r w:rsidRPr="00097064">
        <w:t>when lending conditions were historically tight" due to the lingering effects of the</w:t>
      </w:r>
      <w:r w:rsidR="000A10EA">
        <w:t> 20</w:t>
      </w:r>
      <w:r w:rsidRPr="00097064">
        <w:t>08 global financial and economic crisis,</w:t>
      </w:r>
      <w:r w:rsidR="00E113E6">
        <w:t xml:space="preserve"> with the implication that "the </w:t>
      </w:r>
      <w:r w:rsidRPr="00097064">
        <w:t>true A350XWB risk premium should likely be higher than the A380 risk premium"</w:t>
      </w:r>
      <w:r w:rsidR="008A789C">
        <w:t>.</w:t>
      </w:r>
      <w:r w:rsidRPr="00097064">
        <w:rPr>
          <w:rStyle w:val="FootnoteReference"/>
        </w:rPr>
        <w:footnoteReference w:id="557"/>
      </w:r>
      <w:r w:rsidR="00E113E6">
        <w:t xml:space="preserve"> Given </w:t>
      </w:r>
      <w:r w:rsidRPr="00097064">
        <w:t xml:space="preserve">that the </w:t>
      </w:r>
      <w:r w:rsidR="000A10EA">
        <w:t>United States</w:t>
      </w:r>
      <w:r w:rsidRPr="00097064">
        <w:t xml:space="preserve"> </w:t>
      </w:r>
      <w:r>
        <w:t>did</w:t>
      </w:r>
      <w:r w:rsidRPr="00097064">
        <w:t xml:space="preserve"> not provide</w:t>
      </w:r>
      <w:r>
        <w:t xml:space="preserve"> certain</w:t>
      </w:r>
      <w:r w:rsidRPr="00097064">
        <w:t xml:space="preserve"> yield spreads </w:t>
      </w:r>
      <w:r>
        <w:t>to</w:t>
      </w:r>
      <w:r w:rsidRPr="00097064">
        <w:t xml:space="preserve"> the Panel, the Panel was unable to accept the </w:t>
      </w:r>
      <w:r w:rsidR="000A10EA">
        <w:t>United States</w:t>
      </w:r>
      <w:r w:rsidRPr="00097064">
        <w:t xml:space="preserve">' argument that a market lender would have demanded a </w:t>
      </w:r>
      <w:r w:rsidR="00E113E6">
        <w:rPr>
          <w:i/>
        </w:rPr>
        <w:t>higher </w:t>
      </w:r>
      <w:r w:rsidRPr="00FC3605">
        <w:rPr>
          <w:i/>
        </w:rPr>
        <w:t>return</w:t>
      </w:r>
      <w:r w:rsidRPr="00097064">
        <w:t xml:space="preserve"> at the time </w:t>
      </w:r>
      <w:r w:rsidRPr="00F0618D">
        <w:t>financing was being sought for the A350XWB than at the time it would have been sought</w:t>
      </w:r>
      <w:r w:rsidRPr="00097064">
        <w:t xml:space="preserve"> for the A380.</w:t>
      </w:r>
      <w:r w:rsidRPr="00097064">
        <w:rPr>
          <w:rStyle w:val="FootnoteReference"/>
        </w:rPr>
        <w:footnoteReference w:id="558"/>
      </w:r>
    </w:p>
    <w:p w:rsidR="0007161B" w:rsidRDefault="0007161B" w:rsidP="003E742D">
      <w:pPr>
        <w:pStyle w:val="BodyText"/>
      </w:pPr>
      <w:r>
        <w:t xml:space="preserve">In the context of the third issue, </w:t>
      </w:r>
      <w:r w:rsidRPr="00B6206D">
        <w:rPr>
          <w:i/>
        </w:rPr>
        <w:t>contract risk</w:t>
      </w:r>
      <w:r>
        <w:t xml:space="preserve">, the Panel examined two factors. First, the Panel addressed the </w:t>
      </w:r>
      <w:r w:rsidR="000A10EA">
        <w:t>European Union</w:t>
      </w:r>
      <w:r>
        <w:t xml:space="preserve">'s </w:t>
      </w:r>
      <w:r w:rsidRPr="00097064">
        <w:t>argu</w:t>
      </w:r>
      <w:r>
        <w:t>ment</w:t>
      </w:r>
      <w:r w:rsidRPr="00097064">
        <w:t xml:space="preserve"> that "differences in the terms of the LA/MSF agreements for the A380 and the A350XWB reduce{d} the risk for the A350XWB and, hence, the benchmark."</w:t>
      </w:r>
      <w:r w:rsidRPr="00097064">
        <w:rPr>
          <w:rStyle w:val="FootnoteReference"/>
        </w:rPr>
        <w:footnoteReference w:id="559"/>
      </w:r>
      <w:r>
        <w:t xml:space="preserve"> The </w:t>
      </w:r>
      <w:r w:rsidRPr="00F0618D">
        <w:t xml:space="preserve">Panel noted that, as the </w:t>
      </w:r>
      <w:r w:rsidR="000A10EA">
        <w:t>European Union</w:t>
      </w:r>
      <w:r w:rsidRPr="00F0618D">
        <w:t xml:space="preserve"> had submitted, "under the </w:t>
      </w:r>
      <w:r w:rsidRPr="00F0618D">
        <w:rPr>
          <w:b/>
        </w:rPr>
        <w:t>[</w:t>
      </w:r>
      <w:r w:rsidR="00C8434D" w:rsidRPr="00C8434D">
        <w:rPr>
          <w:b/>
          <w:szCs w:val="16"/>
        </w:rPr>
        <w:t>BCI</w:t>
      </w:r>
      <w:r w:rsidRPr="00F0618D">
        <w:rPr>
          <w:b/>
        </w:rPr>
        <w:t>]</w:t>
      </w:r>
      <w:r w:rsidRPr="00F0618D">
        <w:t xml:space="preserve"> LA/MSF contracts for the A350XWB, </w:t>
      </w:r>
      <w:r w:rsidRPr="00F0618D">
        <w:rPr>
          <w:b/>
        </w:rPr>
        <w:t>[</w:t>
      </w:r>
      <w:r w:rsidR="00C8434D" w:rsidRPr="00C8434D">
        <w:rPr>
          <w:b/>
          <w:szCs w:val="16"/>
        </w:rPr>
        <w:t>BCI</w:t>
      </w:r>
      <w:r w:rsidRPr="00097064">
        <w:rPr>
          <w:b/>
        </w:rPr>
        <w:t>]</w:t>
      </w:r>
      <w:r w:rsidRPr="00097064">
        <w:t xml:space="preserve"> in the event that deliveries are not made (unless </w:t>
      </w:r>
      <w:r w:rsidRPr="00097064">
        <w:rPr>
          <w:b/>
        </w:rPr>
        <w:t>[</w:t>
      </w:r>
      <w:r w:rsidR="00C8434D" w:rsidRPr="00C8434D">
        <w:rPr>
          <w:b/>
          <w:szCs w:val="16"/>
        </w:rPr>
        <w:t>BCI</w:t>
      </w:r>
      <w:r w:rsidRPr="00097064">
        <w:rPr>
          <w:b/>
        </w:rPr>
        <w:t>]</w:t>
      </w:r>
      <w:r w:rsidRPr="00097064">
        <w:t>); thus some returns may accrue to those member State governments even in the event of delays to the programme."</w:t>
      </w:r>
      <w:r w:rsidRPr="00097064">
        <w:rPr>
          <w:rStyle w:val="FootnoteReference"/>
        </w:rPr>
        <w:footnoteReference w:id="560"/>
      </w:r>
      <w:r>
        <w:t xml:space="preserve"> </w:t>
      </w:r>
      <w:r w:rsidRPr="00097064">
        <w:t>However, the Panel pointed out that, in the original proceeding</w:t>
      </w:r>
      <w:r>
        <w:t>s</w:t>
      </w:r>
      <w:r w:rsidRPr="00097064">
        <w:t>, "</w:t>
      </w:r>
      <w:r w:rsidRPr="00097064">
        <w:rPr>
          <w:b/>
        </w:rPr>
        <w:t>[</w:t>
      </w:r>
      <w:r w:rsidR="00C8434D" w:rsidRPr="00C8434D">
        <w:rPr>
          <w:b/>
          <w:szCs w:val="16"/>
        </w:rPr>
        <w:t>BCI</w:t>
      </w:r>
      <w:r w:rsidRPr="00097064">
        <w:rPr>
          <w:b/>
        </w:rPr>
        <w:t>]</w:t>
      </w:r>
      <w:r w:rsidRPr="00097064">
        <w:t xml:space="preserve">, which would likewise constitute 'risk-reducing' terms, existed with </w:t>
      </w:r>
      <w:r w:rsidRPr="00605193">
        <w:t xml:space="preserve">respect to </w:t>
      </w:r>
      <w:r w:rsidRPr="00605193">
        <w:rPr>
          <w:b/>
        </w:rPr>
        <w:t>[</w:t>
      </w:r>
      <w:r w:rsidR="00C8434D" w:rsidRPr="00C8434D">
        <w:rPr>
          <w:b/>
          <w:szCs w:val="16"/>
        </w:rPr>
        <w:t>BCI</w:t>
      </w:r>
      <w:r w:rsidRPr="00605193">
        <w:rPr>
          <w:b/>
        </w:rPr>
        <w:t>]</w:t>
      </w:r>
      <w:r w:rsidRPr="00605193">
        <w:t xml:space="preserve"> LA/MSF at issue in that proceeding", and that at least one of the </w:t>
      </w:r>
      <w:r w:rsidRPr="00605193">
        <w:rPr>
          <w:b/>
        </w:rPr>
        <w:t>[</w:t>
      </w:r>
      <w:r w:rsidR="00C8434D" w:rsidRPr="00C8434D">
        <w:rPr>
          <w:b/>
          <w:szCs w:val="16"/>
        </w:rPr>
        <w:t>BCI</w:t>
      </w:r>
      <w:r w:rsidRPr="00605193">
        <w:rPr>
          <w:b/>
        </w:rPr>
        <w:t>]</w:t>
      </w:r>
      <w:r w:rsidRPr="00605193">
        <w:t> LA/MSF contracts considered in the original proceedings contained a mechanism that similarly</w:t>
      </w:r>
      <w:r w:rsidRPr="00F0618D">
        <w:t xml:space="preserve"> "protected" returns.</w:t>
      </w:r>
      <w:r w:rsidRPr="00F0618D">
        <w:rPr>
          <w:rStyle w:val="FootnoteReference"/>
        </w:rPr>
        <w:footnoteReference w:id="561"/>
      </w:r>
      <w:r w:rsidRPr="00F0618D">
        <w:t xml:space="preserve"> In those proceedings, the WRP was nevertheless applied taking into account that it was a minimum risk premium and would be understated for that contract.</w:t>
      </w:r>
      <w:r w:rsidRPr="00F0618D">
        <w:rPr>
          <w:rStyle w:val="FootnoteReference"/>
        </w:rPr>
        <w:footnoteReference w:id="562"/>
      </w:r>
      <w:r w:rsidRPr="00F0618D">
        <w:t xml:space="preserve"> Therefore, the Panel </w:t>
      </w:r>
      <w:r w:rsidRPr="00F0618D">
        <w:lastRenderedPageBreak/>
        <w:t xml:space="preserve">considered that such features argued by the </w:t>
      </w:r>
      <w:r w:rsidR="000A10EA">
        <w:t>European Union</w:t>
      </w:r>
      <w:r w:rsidR="00E113E6">
        <w:t xml:space="preserve"> should not, in </w:t>
      </w:r>
      <w:r w:rsidRPr="00F0618D">
        <w:t>and of themselves, render the WRP inapplicable.</w:t>
      </w:r>
      <w:r w:rsidRPr="00F0618D">
        <w:rPr>
          <w:rStyle w:val="FootnoteReference"/>
        </w:rPr>
        <w:footnoteReference w:id="563"/>
      </w:r>
    </w:p>
    <w:p w:rsidR="0007161B" w:rsidRDefault="0007161B" w:rsidP="003E742D">
      <w:pPr>
        <w:pStyle w:val="BodyText"/>
      </w:pPr>
      <w:r>
        <w:t>Second, the Panel assessed t</w:t>
      </w:r>
      <w:r w:rsidRPr="00097064">
        <w:t xml:space="preserve">he </w:t>
      </w:r>
      <w:r w:rsidR="000A10EA">
        <w:t>European Union</w:t>
      </w:r>
      <w:r>
        <w:t>'s contention</w:t>
      </w:r>
      <w:r w:rsidRPr="00097064">
        <w:t xml:space="preserve"> that "differences </w:t>
      </w:r>
      <w:r>
        <w:t>{among}</w:t>
      </w:r>
      <w:r w:rsidRPr="00097064">
        <w:t xml:space="preserve"> the terms of the four A350XWB LA/MSF agreements 'could justify th</w:t>
      </w:r>
      <w:r w:rsidR="003E713F">
        <w:t>e application of, at least, two </w:t>
      </w:r>
      <w:r w:rsidRPr="00097064">
        <w:t>different risk premiums for those agreements'"</w:t>
      </w:r>
      <w:r>
        <w:t>.</w:t>
      </w:r>
      <w:r w:rsidRPr="00097064">
        <w:rPr>
          <w:rStyle w:val="FootnoteReference"/>
        </w:rPr>
        <w:footnoteReference w:id="564"/>
      </w:r>
      <w:r>
        <w:t xml:space="preserve"> </w:t>
      </w:r>
      <w:r w:rsidRPr="00F0618D">
        <w:t xml:space="preserve">The Panel </w:t>
      </w:r>
      <w:r>
        <w:t>recognized</w:t>
      </w:r>
      <w:r w:rsidRPr="00F0618D">
        <w:t xml:space="preserve"> that there were some differences </w:t>
      </w:r>
      <w:r>
        <w:t>among</w:t>
      </w:r>
      <w:r w:rsidRPr="00F0618D">
        <w:t xml:space="preserve"> the risk profiles of the four </w:t>
      </w:r>
      <w:r>
        <w:t xml:space="preserve">individual </w:t>
      </w:r>
      <w:r w:rsidRPr="00F0618D">
        <w:t xml:space="preserve">A350XWB LA/MSF contracts, but noted that this was also the case with respect to the contracts in the original proceedings – including </w:t>
      </w:r>
      <w:r>
        <w:t>among</w:t>
      </w:r>
      <w:r w:rsidRPr="00F0618D">
        <w:t xml:space="preserve"> the four A380 LA/MSF contracts – for which the same WRP was applied as a minimum premium for all contracts.</w:t>
      </w:r>
      <w:r w:rsidRPr="00F0618D">
        <w:rPr>
          <w:rStyle w:val="FootnoteReference"/>
        </w:rPr>
        <w:footnoteReference w:id="565"/>
      </w:r>
      <w:r w:rsidRPr="00F0618D">
        <w:t xml:space="preserve"> </w:t>
      </w:r>
      <w:r w:rsidRPr="00097064">
        <w:t>Consequently, the Panel was not "persuaded that certain terms render the agreements significantly different so as to require the application of two or more different project-specific risk premia in this proceeding."</w:t>
      </w:r>
      <w:r w:rsidRPr="00097064">
        <w:rPr>
          <w:rStyle w:val="FootnoteReference"/>
        </w:rPr>
        <w:footnoteReference w:id="566"/>
      </w:r>
    </w:p>
    <w:p w:rsidR="0007161B" w:rsidRPr="00CE3D59" w:rsidRDefault="0007161B" w:rsidP="003E742D">
      <w:pPr>
        <w:pStyle w:val="BodyText"/>
      </w:pPr>
      <w:r>
        <w:rPr>
          <w:szCs w:val="18"/>
        </w:rPr>
        <w:t xml:space="preserve">Overall, having reviewed the risk differences that may affect the project-specific risk premium, the Panel considered that </w:t>
      </w:r>
      <w:r>
        <w:t>the risks for the A380 and A350XWB projects were sufficiently similar to allow a valid risk premium applied to the A380 project in the original proceedings to be applied to the A350XWB project.</w:t>
      </w:r>
      <w:r>
        <w:rPr>
          <w:rStyle w:val="FootnoteReference"/>
        </w:rPr>
        <w:footnoteReference w:id="567"/>
      </w:r>
      <w:r>
        <w:t xml:space="preserve"> Therefore, the Panel concluded that "Professor Whitelaw's risk premium (the WRP) from the original proceeding could be applied to benchmark LA/MSF for </w:t>
      </w:r>
      <w:r w:rsidR="00E113E6">
        <w:t>the </w:t>
      </w:r>
      <w:r>
        <w:t>A350XWB."</w:t>
      </w:r>
      <w:r>
        <w:rPr>
          <w:rStyle w:val="FootnoteReference"/>
        </w:rPr>
        <w:footnoteReference w:id="568"/>
      </w:r>
    </w:p>
    <w:p w:rsidR="0007161B" w:rsidRPr="00EA692E" w:rsidRDefault="0007161B" w:rsidP="003E742D">
      <w:pPr>
        <w:pStyle w:val="Heading4"/>
      </w:pPr>
      <w:bookmarkStart w:id="79" w:name="_Toc479689636"/>
      <w:bookmarkStart w:id="80" w:name="_Toc514059227"/>
      <w:r w:rsidRPr="00EA692E">
        <w:t>Whether the Panel committed legal error by</w:t>
      </w:r>
      <w:r w:rsidR="00721BD0">
        <w:t xml:space="preserve"> failing to establish a project</w:t>
      </w:r>
      <w:r w:rsidR="00721BD0">
        <w:noBreakHyphen/>
      </w:r>
      <w:r w:rsidRPr="00EA692E">
        <w:t>specific risk premium for the four A350XWB LA/MSF contracts based on the risks associated with the A350XWB project</w:t>
      </w:r>
      <w:bookmarkEnd w:id="79"/>
      <w:bookmarkEnd w:id="80"/>
    </w:p>
    <w:p w:rsidR="0007161B" w:rsidRDefault="0007161B" w:rsidP="003E742D">
      <w:pPr>
        <w:pStyle w:val="BodyText"/>
      </w:pPr>
      <w:r>
        <w:t xml:space="preserve">In its </w:t>
      </w:r>
      <w:r w:rsidRPr="00B6206D">
        <w:rPr>
          <w:i/>
        </w:rPr>
        <w:t>first</w:t>
      </w:r>
      <w:r>
        <w:t xml:space="preserve"> set of claims, the </w:t>
      </w:r>
      <w:r w:rsidR="000A10EA">
        <w:t>European Union</w:t>
      </w:r>
      <w:r>
        <w:t>'s overarching critique is</w:t>
      </w:r>
      <w:r w:rsidRPr="00F0618D">
        <w:t xml:space="preserve"> that</w:t>
      </w:r>
      <w:r>
        <w:t>, by focusing on determining</w:t>
      </w:r>
      <w:r w:rsidRPr="008B3851">
        <w:t xml:space="preserve"> whether the risk premium developed to assess the A380 LA/MSF </w:t>
      </w:r>
      <w:r>
        <w:t>measures</w:t>
      </w:r>
      <w:r w:rsidRPr="008B3851">
        <w:t xml:space="preserve"> </w:t>
      </w:r>
      <w:r>
        <w:t xml:space="preserve">(i.e. the WRP) </w:t>
      </w:r>
      <w:r w:rsidRPr="008B3851">
        <w:t xml:space="preserve">could be applied to assess the </w:t>
      </w:r>
      <w:r>
        <w:t xml:space="preserve">French, German, Spanish, and UK </w:t>
      </w:r>
      <w:r w:rsidRPr="00E079B8">
        <w:t xml:space="preserve">A350XWB LA/MSF contracts, the Panel failed to establish a risk premium to benchmark the four A350XWB LA/MSF contracts </w:t>
      </w:r>
      <w:r w:rsidRPr="00E079B8">
        <w:rPr>
          <w:i/>
        </w:rPr>
        <w:t>based on the specific risk</w:t>
      </w:r>
      <w:r w:rsidRPr="00FC3605">
        <w:rPr>
          <w:i/>
        </w:rPr>
        <w:t>s associated</w:t>
      </w:r>
      <w:r w:rsidRPr="00F0618D">
        <w:t xml:space="preserve"> with the A350XWB project.</w:t>
      </w:r>
      <w:r>
        <w:rPr>
          <w:rStyle w:val="FootnoteReference"/>
        </w:rPr>
        <w:footnoteReference w:id="569"/>
      </w:r>
      <w:r w:rsidRPr="00F0618D">
        <w:t xml:space="preserve"> According to the </w:t>
      </w:r>
      <w:r w:rsidR="000A10EA">
        <w:t>European Union</w:t>
      </w:r>
      <w:r w:rsidRPr="00F0618D">
        <w:t xml:space="preserve">, in conducting </w:t>
      </w:r>
      <w:r>
        <w:t>its</w:t>
      </w:r>
      <w:r w:rsidRPr="00F0618D">
        <w:t xml:space="preserve"> examination, the</w:t>
      </w:r>
      <w:r w:rsidRPr="00097064">
        <w:t xml:space="preserve"> Panel erred in its application of </w:t>
      </w:r>
      <w:r w:rsidR="000A10EA">
        <w:t>Article </w:t>
      </w:r>
      <w:r w:rsidRPr="00097064">
        <w:t xml:space="preserve">1.1(b) of the </w:t>
      </w:r>
      <w:r w:rsidR="000A10EA">
        <w:t>SCM Agreement</w:t>
      </w:r>
      <w:r w:rsidRPr="00097064">
        <w:t xml:space="preserve">, and failed to make an objective assessment of the matter as required by </w:t>
      </w:r>
      <w:r w:rsidR="000A10EA">
        <w:t>Article </w:t>
      </w:r>
      <w:r w:rsidRPr="00097064">
        <w:t>11 of the DSU.</w:t>
      </w:r>
    </w:p>
    <w:p w:rsidR="0007161B" w:rsidRDefault="0007161B" w:rsidP="003E742D">
      <w:pPr>
        <w:pStyle w:val="BodyText"/>
      </w:pPr>
      <w:r w:rsidRPr="00097064">
        <w:t xml:space="preserve">The </w:t>
      </w:r>
      <w:r w:rsidR="000A10EA">
        <w:t>European Union</w:t>
      </w:r>
      <w:r w:rsidRPr="00097064">
        <w:t xml:space="preserve"> submits that the Panel erred in its application of </w:t>
      </w:r>
      <w:r w:rsidR="000A10EA">
        <w:t>Article </w:t>
      </w:r>
      <w:r w:rsidRPr="00097064">
        <w:t xml:space="preserve">1.1(b) of the </w:t>
      </w:r>
      <w:r w:rsidR="000A10EA">
        <w:t>SCM Agreement</w:t>
      </w:r>
      <w:r>
        <w:t xml:space="preserve">, first, by failing to undertake a </w:t>
      </w:r>
      <w:r w:rsidRPr="00097064">
        <w:t>progressive search for a market benchmark and to adopt the most appropriate benchmark</w:t>
      </w:r>
      <w:r>
        <w:t>.</w:t>
      </w:r>
      <w:r>
        <w:rPr>
          <w:rStyle w:val="FootnoteReference"/>
        </w:rPr>
        <w:footnoteReference w:id="570"/>
      </w:r>
      <w:r>
        <w:t xml:space="preserve"> Second, the </w:t>
      </w:r>
      <w:r w:rsidR="000A10EA">
        <w:t>European Union</w:t>
      </w:r>
      <w:r>
        <w:t xml:space="preserve"> asserts that, </w:t>
      </w:r>
      <w:r w:rsidRPr="00097064">
        <w:t>to the extent</w:t>
      </w:r>
      <w:r>
        <w:t xml:space="preserve"> that</w:t>
      </w:r>
      <w:r w:rsidRPr="00097064">
        <w:t xml:space="preserve"> an insufficiently tailored benchmark was used</w:t>
      </w:r>
      <w:r>
        <w:t>, the Panel failed</w:t>
      </w:r>
      <w:r w:rsidRPr="00097064">
        <w:t xml:space="preserve"> to make adjustments to the benchmark to ensure comparability.</w:t>
      </w:r>
      <w:r>
        <w:rPr>
          <w:rStyle w:val="FootnoteReference"/>
        </w:rPr>
        <w:footnoteReference w:id="571"/>
      </w:r>
      <w:r>
        <w:t xml:space="preserve"> </w:t>
      </w:r>
      <w:r w:rsidRPr="00097064">
        <w:t xml:space="preserve">The </w:t>
      </w:r>
      <w:r w:rsidR="000A10EA">
        <w:t>European Union</w:t>
      </w:r>
      <w:r w:rsidRPr="00097064">
        <w:t xml:space="preserve"> argues that, "{s}eparately and collectively"</w:t>
      </w:r>
      <w:r>
        <w:rPr>
          <w:rStyle w:val="FootnoteReference"/>
        </w:rPr>
        <w:footnoteReference w:id="572"/>
      </w:r>
      <w:r w:rsidRPr="00097064">
        <w:t>, the</w:t>
      </w:r>
      <w:r>
        <w:t>se</w:t>
      </w:r>
      <w:r w:rsidRPr="00097064">
        <w:t xml:space="preserve"> failure</w:t>
      </w:r>
      <w:r>
        <w:t>s by the Panel</w:t>
      </w:r>
      <w:r w:rsidRPr="00097064">
        <w:t xml:space="preserve"> </w:t>
      </w:r>
      <w:r w:rsidRPr="00001C97">
        <w:t>constitute error in the application of</w:t>
      </w:r>
      <w:r w:rsidRPr="00097064">
        <w:t xml:space="preserve"> </w:t>
      </w:r>
      <w:r w:rsidR="000A10EA">
        <w:t>Article </w:t>
      </w:r>
      <w:r w:rsidRPr="00097064">
        <w:t xml:space="preserve">1.1(b). </w:t>
      </w:r>
    </w:p>
    <w:p w:rsidR="0007161B" w:rsidRDefault="0007161B" w:rsidP="003E742D">
      <w:pPr>
        <w:pStyle w:val="BodyText"/>
      </w:pPr>
      <w:r w:rsidRPr="00171025">
        <w:t>In</w:t>
      </w:r>
      <w:r>
        <w:t xml:space="preserve"> the context of its</w:t>
      </w:r>
      <w:r w:rsidRPr="00171025">
        <w:t xml:space="preserve"> </w:t>
      </w:r>
      <w:r>
        <w:t>claim under</w:t>
      </w:r>
      <w:r w:rsidRPr="00171025">
        <w:t xml:space="preserve"> </w:t>
      </w:r>
      <w:r w:rsidR="000A10EA">
        <w:t>Article </w:t>
      </w:r>
      <w:r w:rsidRPr="00171025">
        <w:t>11 of the DSU</w:t>
      </w:r>
      <w:r>
        <w:t xml:space="preserve">, the </w:t>
      </w:r>
      <w:r w:rsidR="000A10EA">
        <w:t>European Union</w:t>
      </w:r>
      <w:r>
        <w:t xml:space="preserve"> argues, first, that the Panel acted inconsistently with this provision </w:t>
      </w:r>
      <w:r w:rsidRPr="00171025">
        <w:t xml:space="preserve">by </w:t>
      </w:r>
      <w:r w:rsidRPr="00097064">
        <w:t>fail</w:t>
      </w:r>
      <w:r>
        <w:t>ing</w:t>
      </w:r>
      <w:r w:rsidRPr="00097064">
        <w:t xml:space="preserve"> to consider alternative</w:t>
      </w:r>
      <w:r>
        <w:t>,</w:t>
      </w:r>
      <w:r w:rsidRPr="00097064">
        <w:t xml:space="preserve"> </w:t>
      </w:r>
      <w:r w:rsidR="00E113E6">
        <w:t>and more </w:t>
      </w:r>
      <w:r w:rsidRPr="00097064">
        <w:t>appropriate</w:t>
      </w:r>
      <w:r>
        <w:t>,</w:t>
      </w:r>
      <w:r w:rsidRPr="00097064">
        <w:t xml:space="preserve"> benchmarks </w:t>
      </w:r>
      <w:r>
        <w:t>than those</w:t>
      </w:r>
      <w:r w:rsidRPr="00097064">
        <w:t xml:space="preserve"> proposed by the </w:t>
      </w:r>
      <w:r w:rsidR="000A10EA">
        <w:t>United States</w:t>
      </w:r>
      <w:r>
        <w:t>.</w:t>
      </w:r>
      <w:r>
        <w:rPr>
          <w:rStyle w:val="FootnoteReference"/>
        </w:rPr>
        <w:footnoteReference w:id="573"/>
      </w:r>
      <w:r w:rsidR="00E113E6">
        <w:t xml:space="preserve"> Second, the </w:t>
      </w:r>
      <w:r w:rsidR="000A10EA">
        <w:t>European Union</w:t>
      </w:r>
      <w:r>
        <w:t xml:space="preserve"> contends that,</w:t>
      </w:r>
      <w:r w:rsidRPr="00097064">
        <w:t xml:space="preserve"> in adopting a constant, undifferentiated project risk premium not tailored to the risks associated with LA/MSF for the A350XWB, the Panel inappropriately </w:t>
      </w:r>
      <w:r w:rsidRPr="00097064">
        <w:lastRenderedPageBreak/>
        <w:t>deviated from the findings of the original panel, which called for establishing a risk premium that takes into account the risks involved in each specific LCA project.</w:t>
      </w:r>
      <w:r>
        <w:rPr>
          <w:rStyle w:val="FootnoteReference"/>
        </w:rPr>
        <w:footnoteReference w:id="574"/>
      </w:r>
    </w:p>
    <w:p w:rsidR="0007161B" w:rsidRDefault="0007161B" w:rsidP="003E742D">
      <w:pPr>
        <w:pStyle w:val="BodyText"/>
      </w:pPr>
      <w:r>
        <w:t xml:space="preserve">We begin by addressing the </w:t>
      </w:r>
      <w:r w:rsidR="000A10EA">
        <w:t>European Union</w:t>
      </w:r>
      <w:r>
        <w:t xml:space="preserve">'s claim that the Panel erred in its application of </w:t>
      </w:r>
      <w:r w:rsidR="000A10EA">
        <w:t>Article </w:t>
      </w:r>
      <w:r>
        <w:t xml:space="preserve">1.1(b) of the </w:t>
      </w:r>
      <w:r w:rsidR="000A10EA">
        <w:t>SCM Agreement</w:t>
      </w:r>
      <w:r>
        <w:t>.</w:t>
      </w:r>
    </w:p>
    <w:p w:rsidR="0007161B" w:rsidRDefault="0007161B" w:rsidP="003E742D">
      <w:pPr>
        <w:pStyle w:val="Heading5"/>
        <w:numPr>
          <w:ilvl w:val="4"/>
          <w:numId w:val="13"/>
        </w:numPr>
      </w:pPr>
      <w:bookmarkStart w:id="81" w:name="_Ref488851395"/>
      <w:bookmarkStart w:id="82" w:name="_Toc514059228"/>
      <w:r w:rsidRPr="00537C91">
        <w:t xml:space="preserve">Whether the Panel erred by failing to undertake a "progressive search" for a </w:t>
      </w:r>
      <w:r w:rsidRPr="00276A66">
        <w:t>market</w:t>
      </w:r>
      <w:r>
        <w:t xml:space="preserve"> </w:t>
      </w:r>
      <w:r w:rsidRPr="00537C91">
        <w:t>benchmark and to adopt the most appropriate benchmark</w:t>
      </w:r>
      <w:bookmarkEnd w:id="81"/>
      <w:bookmarkEnd w:id="82"/>
    </w:p>
    <w:p w:rsidR="0007161B" w:rsidRDefault="0007161B" w:rsidP="003E742D">
      <w:pPr>
        <w:pStyle w:val="BodyText"/>
      </w:pPr>
      <w:r w:rsidRPr="00D743BE">
        <w:t xml:space="preserve">The </w:t>
      </w:r>
      <w:r w:rsidR="000A10EA">
        <w:t>European Union</w:t>
      </w:r>
      <w:r w:rsidRPr="00D743BE">
        <w:t xml:space="preserve"> </w:t>
      </w:r>
      <w:r>
        <w:t xml:space="preserve">argues that </w:t>
      </w:r>
      <w:r w:rsidRPr="00097064">
        <w:t xml:space="preserve">the Panel focused its assessment </w:t>
      </w:r>
      <w:r w:rsidRPr="00001C97">
        <w:t xml:space="preserve">on whether the same project risk premium developed to assess the LA/MSF </w:t>
      </w:r>
      <w:r>
        <w:t>measures</w:t>
      </w:r>
      <w:r w:rsidRPr="00001C97">
        <w:t xml:space="preserve"> for the A380 project </w:t>
      </w:r>
      <w:r>
        <w:t xml:space="preserve">in the original proceedings </w:t>
      </w:r>
      <w:r w:rsidRPr="00001C97">
        <w:t xml:space="preserve">could be applied to assess the LA/MSF </w:t>
      </w:r>
      <w:r>
        <w:t>measures</w:t>
      </w:r>
      <w:r w:rsidRPr="00001C97">
        <w:t xml:space="preserve"> for the A350XWB project</w:t>
      </w:r>
      <w:r>
        <w:t>, instead of asking "</w:t>
      </w:r>
      <w:r w:rsidRPr="00001C97">
        <w:t xml:space="preserve">whether a </w:t>
      </w:r>
      <w:r w:rsidRPr="006C3615">
        <w:t xml:space="preserve">benchmark comprising, </w:t>
      </w:r>
      <w:r w:rsidRPr="006C3615">
        <w:rPr>
          <w:i/>
        </w:rPr>
        <w:t>inter alia</w:t>
      </w:r>
      <w:r w:rsidRPr="006C3615">
        <w:t xml:space="preserve">, a project risk premium </w:t>
      </w:r>
      <w:r w:rsidRPr="006C3615">
        <w:rPr>
          <w:i/>
        </w:rPr>
        <w:t>tailored to the risks of financing the A350XWB project itself</w:t>
      </w:r>
      <w:r w:rsidRPr="006C3615">
        <w:t xml:space="preserve">, was available and could be used" to assess whether the </w:t>
      </w:r>
      <w:r>
        <w:t xml:space="preserve">four </w:t>
      </w:r>
      <w:r w:rsidRPr="00357F2F">
        <w:t xml:space="preserve">A350XWB LA/MSF </w:t>
      </w:r>
      <w:r>
        <w:t>contracts</w:t>
      </w:r>
      <w:r w:rsidRPr="006C3615">
        <w:t xml:space="preserve"> </w:t>
      </w:r>
      <w:r>
        <w:t xml:space="preserve">confer a </w:t>
      </w:r>
      <w:r w:rsidRPr="00001C97">
        <w:t>benefit.</w:t>
      </w:r>
      <w:r>
        <w:rPr>
          <w:rStyle w:val="FootnoteReference"/>
        </w:rPr>
        <w:footnoteReference w:id="575"/>
      </w:r>
      <w:r w:rsidRPr="00001C97">
        <w:t xml:space="preserve"> Therefore, </w:t>
      </w:r>
      <w:r>
        <w:t>according to</w:t>
      </w:r>
      <w:r w:rsidRPr="00001C97">
        <w:t xml:space="preserve"> the </w:t>
      </w:r>
      <w:r w:rsidR="000A10EA">
        <w:t>European Union</w:t>
      </w:r>
      <w:r w:rsidRPr="00001C97">
        <w:t xml:space="preserve">, the Panel erred in </w:t>
      </w:r>
      <w:r>
        <w:t>its</w:t>
      </w:r>
      <w:r w:rsidRPr="00001C97">
        <w:t xml:space="preserve"> application of </w:t>
      </w:r>
      <w:r w:rsidR="000A10EA">
        <w:t>Article </w:t>
      </w:r>
      <w:r w:rsidRPr="00001C97">
        <w:t xml:space="preserve">1.1(b) </w:t>
      </w:r>
      <w:r>
        <w:t xml:space="preserve">of the </w:t>
      </w:r>
      <w:r w:rsidR="000A10EA">
        <w:t>SCM Agreement</w:t>
      </w:r>
      <w:r>
        <w:t xml:space="preserve"> </w:t>
      </w:r>
      <w:r w:rsidRPr="00001C97">
        <w:t>by failing to establish a project</w:t>
      </w:r>
      <w:r>
        <w:t>-specific</w:t>
      </w:r>
      <w:r w:rsidRPr="00001C97">
        <w:t xml:space="preserve"> risk premium that properly reflect</w:t>
      </w:r>
      <w:r>
        <w:t>ed</w:t>
      </w:r>
      <w:r w:rsidRPr="00001C97">
        <w:t xml:space="preserve"> the risks associated with the A350XWB project itself.</w:t>
      </w:r>
      <w:r w:rsidRPr="00001C97">
        <w:rPr>
          <w:rStyle w:val="FootnoteReference"/>
        </w:rPr>
        <w:footnoteReference w:id="576"/>
      </w:r>
    </w:p>
    <w:p w:rsidR="0007161B" w:rsidRDefault="0007161B" w:rsidP="003E742D">
      <w:pPr>
        <w:pStyle w:val="BodyText"/>
      </w:pPr>
      <w:r w:rsidRPr="00097064">
        <w:t xml:space="preserve">The </w:t>
      </w:r>
      <w:r w:rsidR="000A10EA">
        <w:t>European Union</w:t>
      </w:r>
      <w:r w:rsidRPr="00097064">
        <w:t xml:space="preserve"> observes that "</w:t>
      </w:r>
      <w:r w:rsidR="000A10EA">
        <w:t>Article </w:t>
      </w:r>
      <w:r w:rsidRPr="00097064">
        <w:t xml:space="preserve">14(b) of the </w:t>
      </w:r>
      <w:r w:rsidR="000A10EA">
        <w:t>SCM Agreement</w:t>
      </w:r>
      <w:r w:rsidRPr="00097064">
        <w:t xml:space="preserve"> provides that the market benchmark for a government loan must be 'a </w:t>
      </w:r>
      <w:r w:rsidRPr="0085075D">
        <w:rPr>
          <w:i/>
        </w:rPr>
        <w:t>comparable</w:t>
      </w:r>
      <w:r w:rsidRPr="00097064">
        <w:t xml:space="preserve"> commercial loan which the firm could actually obtain on the market'."</w:t>
      </w:r>
      <w:r w:rsidRPr="00097064">
        <w:rPr>
          <w:rStyle w:val="FootnoteReference"/>
        </w:rPr>
        <w:footnoteReference w:id="577"/>
      </w:r>
      <w:r w:rsidRPr="00097064">
        <w:t xml:space="preserve"> The </w:t>
      </w:r>
      <w:r w:rsidR="000A10EA">
        <w:t>Appellate Body</w:t>
      </w:r>
      <w:r w:rsidRPr="00097064">
        <w:t xml:space="preserve"> has explained that, to be "comparable", "a commercial loan 'should have </w:t>
      </w:r>
      <w:r w:rsidRPr="0085075D">
        <w:rPr>
          <w:i/>
        </w:rPr>
        <w:t>as many elements as possible in common</w:t>
      </w:r>
      <w:r w:rsidRPr="00097064">
        <w:t xml:space="preserve"> with the investigated loan'."</w:t>
      </w:r>
      <w:r w:rsidRPr="00097064">
        <w:rPr>
          <w:rStyle w:val="FootnoteReference"/>
        </w:rPr>
        <w:footnoteReference w:id="578"/>
      </w:r>
      <w:r w:rsidRPr="00097064">
        <w:t xml:space="preserve"> The </w:t>
      </w:r>
      <w:r w:rsidR="000A10EA">
        <w:t>European Union</w:t>
      </w:r>
      <w:r w:rsidRPr="00097064">
        <w:t xml:space="preserve"> considers that "a benchmark loan must be identified through 'a </w:t>
      </w:r>
      <w:r w:rsidRPr="0085075D">
        <w:rPr>
          <w:i/>
        </w:rPr>
        <w:t>progressive search</w:t>
      </w:r>
      <w:r w:rsidRPr="00097064">
        <w:t xml:space="preserve">', which must </w:t>
      </w:r>
      <w:r w:rsidRPr="0085075D">
        <w:rPr>
          <w:i/>
        </w:rPr>
        <w:t>begin</w:t>
      </w:r>
      <w:r w:rsidRPr="00097064">
        <w:t xml:space="preserve"> by assessing the commercial loan that exhibits as many similarities as possible to the investigated loan, </w:t>
      </w:r>
      <w:r w:rsidRPr="0085075D">
        <w:rPr>
          <w:i/>
        </w:rPr>
        <w:t>before</w:t>
      </w:r>
      <w:r w:rsidRPr="00097064">
        <w:t xml:space="preserve"> progressing to less similar commercial loans."</w:t>
      </w:r>
      <w:r w:rsidRPr="00097064">
        <w:rPr>
          <w:rStyle w:val="FootnoteReference"/>
        </w:rPr>
        <w:footnoteReference w:id="579"/>
      </w:r>
      <w:r w:rsidRPr="00097064">
        <w:t xml:space="preserve"> In the </w:t>
      </w:r>
      <w:r w:rsidR="000A10EA">
        <w:t>European Union</w:t>
      </w:r>
      <w:r w:rsidRPr="00097064">
        <w:t>'s view, "error results if another commercial loan that shares more elements in common with the investigated loan than the loan ultimately selected as the benchmark is not assessed in the course of the panel's 'progressive' consideration".</w:t>
      </w:r>
      <w:r w:rsidRPr="00097064">
        <w:rPr>
          <w:rStyle w:val="FootnoteReference"/>
        </w:rPr>
        <w:footnoteReference w:id="580"/>
      </w:r>
      <w:r>
        <w:t xml:space="preserve"> </w:t>
      </w:r>
      <w:r w:rsidRPr="00097064">
        <w:t xml:space="preserve">In light of these considerations, the </w:t>
      </w:r>
      <w:r w:rsidR="000A10EA">
        <w:t>European Union</w:t>
      </w:r>
      <w:r w:rsidRPr="00097064">
        <w:t xml:space="preserve"> contends that "{t}he Panel failed to undertake a 'progressive search' for and to adopt the benchmark that shared 'as many elements as possible in common with' the A350XWB LA/MSF loans, and that was, </w:t>
      </w:r>
      <w:r w:rsidRPr="00001C97">
        <w:t>therefore, most closely tailored to the risks associated with the A350XWB programme."</w:t>
      </w:r>
      <w:r w:rsidRPr="00001C97">
        <w:rPr>
          <w:rStyle w:val="FootnoteReference"/>
        </w:rPr>
        <w:footnoteReference w:id="581"/>
      </w:r>
      <w:r w:rsidRPr="00001C97">
        <w:t xml:space="preserve"> </w:t>
      </w:r>
    </w:p>
    <w:p w:rsidR="0007161B" w:rsidRDefault="0007161B" w:rsidP="003E742D">
      <w:pPr>
        <w:pStyle w:val="BodyText"/>
      </w:pPr>
      <w:r w:rsidRPr="00001C97">
        <w:t xml:space="preserve">The </w:t>
      </w:r>
      <w:r w:rsidR="000A10EA">
        <w:t>European Union</w:t>
      </w:r>
      <w:r w:rsidRPr="00001C97">
        <w:t xml:space="preserve"> points out that the Panel did not, for example, </w:t>
      </w:r>
      <w:r>
        <w:t>inquire</w:t>
      </w:r>
      <w:r w:rsidRPr="00001C97">
        <w:t xml:space="preserve"> whether "risk</w:t>
      </w:r>
      <w:r>
        <w:noBreakHyphen/>
      </w:r>
      <w:r w:rsidRPr="00001C97">
        <w:t xml:space="preserve">sharing supplier financing" for the A350XWB project would have been a more appropriate benchmark. The </w:t>
      </w:r>
      <w:r w:rsidR="000A10EA">
        <w:t>European Union</w:t>
      </w:r>
      <w:r w:rsidRPr="00001C97">
        <w:t xml:space="preserve"> states that risk-sharing supplier financing for the A350XWB is by definition more closely</w:t>
      </w:r>
      <w:r>
        <w:t xml:space="preserve"> </w:t>
      </w:r>
      <w:r w:rsidRPr="00001C97">
        <w:t>tailored to the risks associated with the A350XWB than risk</w:t>
      </w:r>
      <w:r w:rsidRPr="00001C97">
        <w:noBreakHyphen/>
        <w:t>sharing supplier financing for the A380</w:t>
      </w:r>
      <w:r>
        <w:t xml:space="preserve">, and </w:t>
      </w:r>
      <w:r w:rsidRPr="00001C97">
        <w:t xml:space="preserve">reflects market-based pricing at a time considerably more proximate to the conclusion of the A350XWB LA/MSF contracts. </w:t>
      </w:r>
      <w:r>
        <w:t xml:space="preserve">The </w:t>
      </w:r>
      <w:r w:rsidR="000A10EA">
        <w:t>European Union</w:t>
      </w:r>
      <w:r>
        <w:t xml:space="preserve"> contends that, </w:t>
      </w:r>
      <w:r w:rsidRPr="00001C97">
        <w:t xml:space="preserve">despite </w:t>
      </w:r>
      <w:r>
        <w:t xml:space="preserve">being </w:t>
      </w:r>
      <w:r w:rsidRPr="00001C97">
        <w:t>aware that Airbus had secured risk-sharing supplier financing for the A350XWB project</w:t>
      </w:r>
      <w:r>
        <w:rPr>
          <w:rStyle w:val="FootnoteReference"/>
        </w:rPr>
        <w:footnoteReference w:id="582"/>
      </w:r>
      <w:r w:rsidRPr="00001C97">
        <w:t xml:space="preserve">, neither the </w:t>
      </w:r>
      <w:r w:rsidR="000A10EA">
        <w:t>United States</w:t>
      </w:r>
      <w:r w:rsidRPr="00001C97">
        <w:t xml:space="preserve"> nor the Panel explored whether the terms of risk-sharing supplier financing arrangements for the A350XWB </w:t>
      </w:r>
      <w:r>
        <w:t>had</w:t>
      </w:r>
      <w:r w:rsidRPr="00001C97">
        <w:t xml:space="preserve"> more elements in common with A350XWB LA/MSF </w:t>
      </w:r>
      <w:r w:rsidRPr="00001C97">
        <w:lastRenderedPageBreak/>
        <w:t>than did risk</w:t>
      </w:r>
      <w:r w:rsidRPr="00001C97">
        <w:noBreakHyphen/>
        <w:t xml:space="preserve">sharing supplier financing arrangements for the A380 project. </w:t>
      </w:r>
      <w:r>
        <w:t>For the above reasons, t</w:t>
      </w:r>
      <w:r w:rsidRPr="00097064">
        <w:t xml:space="preserve">he </w:t>
      </w:r>
      <w:r w:rsidR="000A10EA">
        <w:t>European Union</w:t>
      </w:r>
      <w:r w:rsidRPr="00097064">
        <w:t xml:space="preserve"> concludes that the Panel erred in </w:t>
      </w:r>
      <w:r>
        <w:t>its</w:t>
      </w:r>
      <w:r w:rsidRPr="00097064">
        <w:t xml:space="preserve"> application of </w:t>
      </w:r>
      <w:r w:rsidR="000A10EA">
        <w:t>Article </w:t>
      </w:r>
      <w:r w:rsidRPr="00097064">
        <w:t xml:space="preserve">1.1(b) </w:t>
      </w:r>
      <w:r w:rsidR="00E113E6">
        <w:t>of the </w:t>
      </w:r>
      <w:r w:rsidR="000A10EA">
        <w:t>SCM Agreement</w:t>
      </w:r>
      <w:r w:rsidRPr="00097064">
        <w:t>.</w:t>
      </w:r>
      <w:r w:rsidRPr="00097064">
        <w:rPr>
          <w:rStyle w:val="FootnoteReference"/>
        </w:rPr>
        <w:footnoteReference w:id="583"/>
      </w:r>
    </w:p>
    <w:p w:rsidR="0007161B" w:rsidRDefault="0007161B" w:rsidP="003E742D">
      <w:pPr>
        <w:pStyle w:val="BodyText"/>
      </w:pPr>
      <w:r>
        <w:t>T</w:t>
      </w:r>
      <w:r w:rsidRPr="00097064">
        <w:t xml:space="preserve">he </w:t>
      </w:r>
      <w:r w:rsidR="000A10EA">
        <w:t>United States</w:t>
      </w:r>
      <w:r w:rsidRPr="00097064">
        <w:t xml:space="preserve"> disagrees</w:t>
      </w:r>
      <w:r>
        <w:t>.</w:t>
      </w:r>
      <w:r w:rsidRPr="00097064">
        <w:t xml:space="preserve"> In the </w:t>
      </w:r>
      <w:r w:rsidR="000A10EA">
        <w:t>United States</w:t>
      </w:r>
      <w:r w:rsidRPr="00097064">
        <w:t xml:space="preserve">' view, consistent with </w:t>
      </w:r>
      <w:r w:rsidR="000A10EA">
        <w:t>Article </w:t>
      </w:r>
      <w:r w:rsidRPr="00097064">
        <w:t xml:space="preserve">1 of the </w:t>
      </w:r>
      <w:r w:rsidR="000A10EA">
        <w:t>SCM Agreement</w:t>
      </w:r>
      <w:r>
        <w:t xml:space="preserve">, the </w:t>
      </w:r>
      <w:r w:rsidRPr="00001C97">
        <w:t>Panel found that</w:t>
      </w:r>
      <w:r>
        <w:t>,</w:t>
      </w:r>
      <w:r w:rsidRPr="00001C97">
        <w:t xml:space="preserve"> if the project-specific risks of the A350XWB project were sufficiently</w:t>
      </w:r>
      <w:r w:rsidRPr="00097064">
        <w:t xml:space="preserve"> </w:t>
      </w:r>
      <w:r w:rsidRPr="00001C97">
        <w:t>similar to those of the A380 project, then it could also use the A380 project­specific risk premium for the A350XWB project.</w:t>
      </w:r>
      <w:r w:rsidRPr="00001C97">
        <w:rPr>
          <w:rStyle w:val="FootnoteReference"/>
        </w:rPr>
        <w:footnoteReference w:id="584"/>
      </w:r>
      <w:r w:rsidRPr="00001C97">
        <w:t xml:space="preserve"> To determine if</w:t>
      </w:r>
      <w:r w:rsidRPr="00097064">
        <w:t xml:space="preserve"> this was the case, the Panel engaged in a detailed, fact-intensive assessment of the relative risks of the two </w:t>
      </w:r>
      <w:r>
        <w:t>projects</w:t>
      </w:r>
      <w:r w:rsidRPr="00097064">
        <w:t>.</w:t>
      </w:r>
      <w:r w:rsidRPr="00097064">
        <w:rPr>
          <w:rStyle w:val="FootnoteReference"/>
        </w:rPr>
        <w:footnoteReference w:id="585"/>
      </w:r>
      <w:r>
        <w:t xml:space="preserve"> Moreover, t</w:t>
      </w:r>
      <w:r w:rsidR="00E113E6">
        <w:t>he </w:t>
      </w:r>
      <w:r w:rsidR="000A10EA">
        <w:t>United States</w:t>
      </w:r>
      <w:r w:rsidRPr="00097064">
        <w:t xml:space="preserve"> points out that the reason </w:t>
      </w:r>
      <w:r>
        <w:t>the Panel did not consider risk</w:t>
      </w:r>
      <w:r>
        <w:noBreakHyphen/>
      </w:r>
      <w:r w:rsidRPr="00001C97">
        <w:t xml:space="preserve">sharing supplier contracts for the A350XWB </w:t>
      </w:r>
      <w:r w:rsidRPr="007828E6">
        <w:t>project</w:t>
      </w:r>
      <w:r>
        <w:t xml:space="preserve"> </w:t>
      </w:r>
      <w:r w:rsidRPr="00001C97">
        <w:t xml:space="preserve">is that the </w:t>
      </w:r>
      <w:r w:rsidR="000A10EA">
        <w:t>European Union</w:t>
      </w:r>
      <w:r w:rsidRPr="00001C97">
        <w:t xml:space="preserve"> never submitted </w:t>
      </w:r>
      <w:r>
        <w:t>those</w:t>
      </w:r>
      <w:r w:rsidRPr="00001C97">
        <w:t xml:space="preserve"> contracts and never argued that the Panel should use them to establish the</w:t>
      </w:r>
      <w:r w:rsidRPr="00097064">
        <w:t xml:space="preserve"> project-specific risk premium.</w:t>
      </w:r>
      <w:r w:rsidRPr="00097064">
        <w:rPr>
          <w:rStyle w:val="FootnoteReference"/>
        </w:rPr>
        <w:footnoteReference w:id="586"/>
      </w:r>
      <w:r w:rsidRPr="00097064">
        <w:t xml:space="preserve"> Nor did the </w:t>
      </w:r>
      <w:r w:rsidR="000A10EA">
        <w:t>European Union</w:t>
      </w:r>
      <w:r w:rsidRPr="00097064">
        <w:t xml:space="preserve"> propose a project-specific risk premium that could serve as an alternative to </w:t>
      </w:r>
      <w:r w:rsidRPr="00AF58D9">
        <w:t xml:space="preserve">those </w:t>
      </w:r>
      <w:r w:rsidRPr="00097064">
        <w:t xml:space="preserve">proposed by the </w:t>
      </w:r>
      <w:r w:rsidR="000A10EA">
        <w:t>United States</w:t>
      </w:r>
      <w:r w:rsidRPr="00097064">
        <w:t>.</w:t>
      </w:r>
      <w:r w:rsidRPr="00097064">
        <w:rPr>
          <w:rStyle w:val="FootnoteReference"/>
        </w:rPr>
        <w:footnoteReference w:id="587"/>
      </w:r>
      <w:r w:rsidRPr="00097064">
        <w:t xml:space="preserve"> The </w:t>
      </w:r>
      <w:r w:rsidR="000A10EA">
        <w:t>United States</w:t>
      </w:r>
      <w:r w:rsidRPr="00097064">
        <w:t xml:space="preserve"> notes that</w:t>
      </w:r>
      <w:r>
        <w:t>,</w:t>
      </w:r>
      <w:r w:rsidRPr="00097064">
        <w:t xml:space="preserve"> in the "</w:t>
      </w:r>
      <w:r w:rsidRPr="00FC3605">
        <w:rPr>
          <w:i/>
        </w:rPr>
        <w:t>absence</w:t>
      </w:r>
      <w:r w:rsidRPr="00097064">
        <w:t xml:space="preserve"> of argumentation … a panel can</w:t>
      </w:r>
      <w:r>
        <w:t>not intervene to raise argument</w:t>
      </w:r>
      <w:r w:rsidRPr="00097064">
        <w:t>s on a party's behalf".</w:t>
      </w:r>
      <w:r w:rsidRPr="00097064">
        <w:rPr>
          <w:rStyle w:val="FootnoteReference"/>
        </w:rPr>
        <w:footnoteReference w:id="588"/>
      </w:r>
    </w:p>
    <w:p w:rsidR="0007161B" w:rsidRDefault="0007161B" w:rsidP="003E742D">
      <w:pPr>
        <w:pStyle w:val="BodyText"/>
      </w:pPr>
      <w:r w:rsidRPr="00097064">
        <w:t xml:space="preserve">The </w:t>
      </w:r>
      <w:r w:rsidR="000A10EA">
        <w:t>United States</w:t>
      </w:r>
      <w:r w:rsidRPr="00097064">
        <w:t xml:space="preserve"> additionally argues that, contrary to the </w:t>
      </w:r>
      <w:r w:rsidR="000A10EA">
        <w:t>European Union</w:t>
      </w:r>
      <w:r w:rsidRPr="00097064">
        <w:t xml:space="preserve">'s argument, </w:t>
      </w:r>
      <w:r w:rsidR="000A10EA">
        <w:t>Article </w:t>
      </w:r>
      <w:r w:rsidRPr="00097064">
        <w:t xml:space="preserve">1.1(b) </w:t>
      </w:r>
      <w:r>
        <w:t>does</w:t>
      </w:r>
      <w:r w:rsidRPr="00097064">
        <w:t xml:space="preserve"> not require the Panel to </w:t>
      </w:r>
      <w:r>
        <w:t xml:space="preserve">have </w:t>
      </w:r>
      <w:r w:rsidRPr="00097064">
        <w:t>e</w:t>
      </w:r>
      <w:r>
        <w:t xml:space="preserve">ngaged in a "progressive search". According to the </w:t>
      </w:r>
      <w:r w:rsidR="000A10EA">
        <w:t>United States</w:t>
      </w:r>
      <w:r>
        <w:t>, t</w:t>
      </w:r>
      <w:r w:rsidRPr="00001C97">
        <w:t>he</w:t>
      </w:r>
      <w:r w:rsidRPr="00097064">
        <w:t xml:space="preserve"> requirement to conduct a "progressive search" applies to domestic investigating authorities in selecting a benchmark under </w:t>
      </w:r>
      <w:r w:rsidR="000A10EA">
        <w:t>Article </w:t>
      </w:r>
      <w:r w:rsidRPr="00097064">
        <w:t xml:space="preserve">14(b) of the </w:t>
      </w:r>
      <w:r w:rsidR="000A10EA">
        <w:t>SCM Agreement</w:t>
      </w:r>
      <w:r w:rsidRPr="00097064">
        <w:t xml:space="preserve">, and the </w:t>
      </w:r>
      <w:r w:rsidR="000A10EA">
        <w:t>European Union</w:t>
      </w:r>
      <w:r w:rsidRPr="00097064">
        <w:t xml:space="preserve"> incorrectly assumes that the same standard applies to WTO panels.</w:t>
      </w:r>
      <w:r w:rsidRPr="00097064">
        <w:rPr>
          <w:rStyle w:val="FootnoteReference"/>
        </w:rPr>
        <w:footnoteReference w:id="589"/>
      </w:r>
      <w:r>
        <w:t xml:space="preserve"> </w:t>
      </w:r>
      <w:r w:rsidR="00E113E6">
        <w:t>Given </w:t>
      </w:r>
      <w:r w:rsidRPr="006C3615">
        <w:t xml:space="preserve">that the </w:t>
      </w:r>
      <w:r w:rsidR="000A10EA">
        <w:t>European Union</w:t>
      </w:r>
      <w:r w:rsidRPr="00097064">
        <w:t xml:space="preserve"> never proposed any alternative project-specific risk premium, including the A350XWB risk-sharing supplier </w:t>
      </w:r>
      <w:r w:rsidRPr="00001C97">
        <w:t>contracts, the Panel had no obligation to engage in a "progressive search".</w:t>
      </w:r>
      <w:r w:rsidRPr="00001C97">
        <w:rPr>
          <w:rStyle w:val="FootnoteReference"/>
        </w:rPr>
        <w:footnoteReference w:id="590"/>
      </w:r>
      <w:r w:rsidRPr="00001C97">
        <w:t xml:space="preserve"> On the</w:t>
      </w:r>
      <w:r w:rsidRPr="00097064">
        <w:t xml:space="preserve"> contrary</w:t>
      </w:r>
      <w:r>
        <w:t>,</w:t>
      </w:r>
      <w:r w:rsidRPr="00097064">
        <w:t xml:space="preserve"> such a "progressive search" would have</w:t>
      </w:r>
      <w:r w:rsidR="00E113E6">
        <w:t xml:space="preserve"> "been </w:t>
      </w:r>
      <w:r w:rsidRPr="00097064">
        <w:t xml:space="preserve">tantamount to making the case for the </w:t>
      </w:r>
      <w:r>
        <w:t>{</w:t>
      </w:r>
      <w:r w:rsidR="000A10EA">
        <w:t>European Union</w:t>
      </w:r>
      <w:r>
        <w:t>}</w:t>
      </w:r>
      <w:r w:rsidRPr="00097064">
        <w:t xml:space="preserve">, and thus would itself have been inconsistent" with </w:t>
      </w:r>
      <w:r w:rsidR="000A10EA">
        <w:t>Article </w:t>
      </w:r>
      <w:r w:rsidRPr="00097064">
        <w:t>11 of the DSU.</w:t>
      </w:r>
      <w:r w:rsidRPr="00097064">
        <w:rPr>
          <w:rStyle w:val="FootnoteReference"/>
        </w:rPr>
        <w:footnoteReference w:id="591"/>
      </w:r>
      <w:r>
        <w:t xml:space="preserve"> </w:t>
      </w:r>
      <w:r w:rsidRPr="00097064">
        <w:t xml:space="preserve">The </w:t>
      </w:r>
      <w:r w:rsidR="000A10EA">
        <w:t>United States</w:t>
      </w:r>
      <w:r w:rsidRPr="00097064">
        <w:t xml:space="preserve"> argues that, even on the assumption that </w:t>
      </w:r>
      <w:r w:rsidR="000A10EA">
        <w:t>Article </w:t>
      </w:r>
      <w:r w:rsidRPr="00097064">
        <w:t xml:space="preserve">1.1(b) </w:t>
      </w:r>
      <w:r>
        <w:t>does</w:t>
      </w:r>
      <w:r w:rsidRPr="00097064">
        <w:t xml:space="preserve"> require the Panel to </w:t>
      </w:r>
      <w:r>
        <w:t xml:space="preserve">have </w:t>
      </w:r>
      <w:r w:rsidRPr="004A6DAE">
        <w:t>conduct</w:t>
      </w:r>
      <w:r>
        <w:t>ed</w:t>
      </w:r>
      <w:r w:rsidRPr="004A6DAE">
        <w:t xml:space="preserve"> a "</w:t>
      </w:r>
      <w:r w:rsidR="00E113E6">
        <w:t>progressive search", the </w:t>
      </w:r>
      <w:r w:rsidR="000A10EA">
        <w:t>European Union</w:t>
      </w:r>
      <w:r w:rsidRPr="004A6DAE">
        <w:t xml:space="preserve"> </w:t>
      </w:r>
      <w:r>
        <w:t xml:space="preserve">has </w:t>
      </w:r>
      <w:r w:rsidRPr="004A6DAE">
        <w:t>fail</w:t>
      </w:r>
      <w:r>
        <w:t>ed</w:t>
      </w:r>
      <w:r w:rsidRPr="004A6DAE">
        <w:t xml:space="preserve"> to establish that the Panel's findings are inconsistent with such a requirement.</w:t>
      </w:r>
      <w:r w:rsidRPr="004A6DAE">
        <w:rPr>
          <w:rStyle w:val="FootnoteReference"/>
        </w:rPr>
        <w:footnoteReference w:id="592"/>
      </w:r>
      <w:r w:rsidRPr="004A6DAE">
        <w:t xml:space="preserve"> </w:t>
      </w:r>
      <w:r>
        <w:t>In</w:t>
      </w:r>
      <w:r w:rsidRPr="004A6DAE">
        <w:t xml:space="preserve"> the </w:t>
      </w:r>
      <w:r w:rsidR="000A10EA">
        <w:t>United States</w:t>
      </w:r>
      <w:r>
        <w:t>' view</w:t>
      </w:r>
      <w:r w:rsidRPr="004A6DAE">
        <w:t>, "by using the A380 {project­specific risk premium},</w:t>
      </w:r>
      <w:r w:rsidRPr="0065400D">
        <w:t xml:space="preserve"> the Panel constructed a commercial</w:t>
      </w:r>
      <w:r w:rsidRPr="00097064">
        <w:t xml:space="preserve"> benchmark that was 'closest to' {the} LA/MSF for the A350XWB – 'a loan to the same borrower that is nearly identical to the investigated loan in terms of timing, structure, maturity, size and currency.'"</w:t>
      </w:r>
      <w:r w:rsidRPr="00097064">
        <w:rPr>
          <w:rStyle w:val="FootnoteReference"/>
        </w:rPr>
        <w:footnoteReference w:id="593"/>
      </w:r>
    </w:p>
    <w:p w:rsidR="0007161B" w:rsidRDefault="0007161B" w:rsidP="003E742D">
      <w:pPr>
        <w:pStyle w:val="BodyText"/>
      </w:pPr>
      <w:r>
        <w:t>We begin by recalling that a</w:t>
      </w:r>
      <w:r w:rsidRPr="005C562B">
        <w:t xml:space="preserve"> meaningful benefit analysis pursua</w:t>
      </w:r>
      <w:r>
        <w:t xml:space="preserve">nt to </w:t>
      </w:r>
      <w:r w:rsidR="000A10EA">
        <w:t>Article </w:t>
      </w:r>
      <w:r>
        <w:t xml:space="preserve">1.1(b) of the </w:t>
      </w:r>
      <w:r w:rsidR="000A10EA">
        <w:t>SCM Agreement</w:t>
      </w:r>
      <w:r w:rsidRPr="005C562B">
        <w:t xml:space="preserve"> requires WTO panels to carry out a careful and thorough comparison between the financial contribution provided by a government and a market benchmark</w:t>
      </w:r>
      <w:r>
        <w:t>.</w:t>
      </w:r>
      <w:r w:rsidRPr="00F10CF3">
        <w:t xml:space="preserve"> Pursuant to </w:t>
      </w:r>
      <w:r w:rsidR="000A10EA">
        <w:t>Article </w:t>
      </w:r>
      <w:r w:rsidRPr="00F10CF3">
        <w:t xml:space="preserve">14(b) of the </w:t>
      </w:r>
      <w:r w:rsidR="000A10EA">
        <w:t>SCM Agreement</w:t>
      </w:r>
      <w:r w:rsidRPr="00F10CF3">
        <w:t xml:space="preserve">, government loans shall not be considered as conferring a benefit unless there is a difference between the amount that the firm receiving the loan pays on the government loan and the amount the firm would pay on a </w:t>
      </w:r>
      <w:r w:rsidRPr="00F10CF3">
        <w:rPr>
          <w:i/>
        </w:rPr>
        <w:t>comparable commercial loan which the firm could actually obtain on the market</w:t>
      </w:r>
      <w:r w:rsidRPr="00F10CF3">
        <w:t>. In order to reach an appropriate conclusion as to whether or not a financial contribution in the form of a loan confers a benefit, it is necessary to compare the government loan with a market benchmark.</w:t>
      </w:r>
      <w:r>
        <w:t xml:space="preserve"> In the absence of an actual comparable commercial loan that is available on the market, a proxy may be used. We reiterate that, in </w:t>
      </w:r>
      <w:r w:rsidRPr="00097064">
        <w:lastRenderedPageBreak/>
        <w:t>selecti</w:t>
      </w:r>
      <w:r>
        <w:t xml:space="preserve">ng </w:t>
      </w:r>
      <w:r w:rsidRPr="00097064">
        <w:t xml:space="preserve">the comparator – i.e. the benchmark loan – </w:t>
      </w:r>
      <w:r>
        <w:t xml:space="preserve">it </w:t>
      </w:r>
      <w:r w:rsidRPr="00097064">
        <w:t>must</w:t>
      </w:r>
      <w:r>
        <w:t xml:space="preserve"> be</w:t>
      </w:r>
      <w:r w:rsidRPr="00097064">
        <w:t xml:space="preserve"> ensure</w:t>
      </w:r>
      <w:r>
        <w:t>d</w:t>
      </w:r>
      <w:r w:rsidRPr="00097064">
        <w:t xml:space="preserve"> that the government loan and the benchmark loan </w:t>
      </w:r>
      <w:r>
        <w:t xml:space="preserve">are "comparable" because they </w:t>
      </w:r>
      <w:r w:rsidRPr="00097064">
        <w:t>have "as many elements as possible in common".</w:t>
      </w:r>
      <w:r>
        <w:t xml:space="preserve"> In some cases, this may require a WTO panel </w:t>
      </w:r>
      <w:r w:rsidRPr="00E62349">
        <w:t>to make adjustments to</w:t>
      </w:r>
      <w:r>
        <w:t xml:space="preserve"> the benchmark loan</w:t>
      </w:r>
      <w:r w:rsidRPr="00E62349">
        <w:t xml:space="preserve"> </w:t>
      </w:r>
      <w:r>
        <w:t xml:space="preserve">to </w:t>
      </w:r>
      <w:r w:rsidRPr="00E62349">
        <w:t xml:space="preserve">reflect differences </w:t>
      </w:r>
      <w:r>
        <w:t>with the</w:t>
      </w:r>
      <w:r w:rsidRPr="00E62349">
        <w:t xml:space="preserve"> investigated loan</w:t>
      </w:r>
      <w:r>
        <w:t xml:space="preserve"> in relation to various aspects</w:t>
      </w:r>
      <w:r w:rsidRPr="00E62349">
        <w:t>, such as date of origination, size, maturity, currency, structure, or borrower's credit risk</w:t>
      </w:r>
      <w:r>
        <w:t>.</w:t>
      </w:r>
      <w:r>
        <w:rPr>
          <w:rStyle w:val="FootnoteReference"/>
        </w:rPr>
        <w:footnoteReference w:id="594"/>
      </w:r>
    </w:p>
    <w:p w:rsidR="0007161B" w:rsidRDefault="0007161B" w:rsidP="003E742D">
      <w:pPr>
        <w:pStyle w:val="BodyText"/>
      </w:pPr>
      <w:r w:rsidRPr="00097064">
        <w:t xml:space="preserve">The </w:t>
      </w:r>
      <w:r w:rsidR="000A10EA">
        <w:t>European Union</w:t>
      </w:r>
      <w:r w:rsidRPr="00097064">
        <w:t xml:space="preserve"> seeks to support its </w:t>
      </w:r>
      <w:r>
        <w:t>claim</w:t>
      </w:r>
      <w:r w:rsidRPr="00097064">
        <w:t xml:space="preserve"> by referring to the </w:t>
      </w:r>
      <w:r w:rsidR="000A10EA">
        <w:t>Appellate Body</w:t>
      </w:r>
      <w:r w:rsidRPr="00097064">
        <w:t xml:space="preserve">'s </w:t>
      </w:r>
      <w:r>
        <w:t>findings in</w:t>
      </w:r>
      <w:r w:rsidRPr="00097064">
        <w:t xml:space="preserve"> </w:t>
      </w:r>
      <w:r w:rsidRPr="00DE1C6C">
        <w:rPr>
          <w:i/>
        </w:rPr>
        <w:t>US – Anti-Dumping and Countervailing Duties (China)</w:t>
      </w:r>
      <w:r w:rsidRPr="00097064">
        <w:t>,</w:t>
      </w:r>
      <w:r w:rsidRPr="00DE1C6C">
        <w:rPr>
          <w:i/>
        </w:rPr>
        <w:t xml:space="preserve"> </w:t>
      </w:r>
      <w:r w:rsidRPr="00097064">
        <w:t xml:space="preserve">and particularly to the statement that "selecting a benchmark under </w:t>
      </w:r>
      <w:r w:rsidR="000A10EA">
        <w:t>Article </w:t>
      </w:r>
      <w:r w:rsidRPr="00097064">
        <w:t xml:space="preserve">14(b) involves a </w:t>
      </w:r>
      <w:r w:rsidRPr="00DE6EAD">
        <w:t>progressive search</w:t>
      </w:r>
      <w:r w:rsidRPr="00097064">
        <w:t xml:space="preserve"> for a </w:t>
      </w:r>
      <w:r w:rsidRPr="00DE6EAD">
        <w:t>comparable</w:t>
      </w:r>
      <w:r w:rsidRPr="00097064">
        <w:t xml:space="preserve"> commercial loan".</w:t>
      </w:r>
      <w:r w:rsidRPr="00097064">
        <w:rPr>
          <w:rStyle w:val="FootnoteReference"/>
        </w:rPr>
        <w:footnoteReference w:id="595"/>
      </w:r>
      <w:r w:rsidRPr="00097064">
        <w:t xml:space="preserve"> </w:t>
      </w:r>
      <w:r>
        <w:t>We observe that t</w:t>
      </w:r>
      <w:r w:rsidRPr="00097064">
        <w:t>h</w:t>
      </w:r>
      <w:r>
        <w:t>is guidance from th</w:t>
      </w:r>
      <w:r w:rsidRPr="00097064">
        <w:t xml:space="preserve">e </w:t>
      </w:r>
      <w:r w:rsidR="000A10EA">
        <w:t>Appellate Body</w:t>
      </w:r>
      <w:r w:rsidRPr="00097064">
        <w:t xml:space="preserve"> </w:t>
      </w:r>
      <w:r>
        <w:t xml:space="preserve">was provided in response </w:t>
      </w:r>
      <w:r w:rsidRPr="00097064">
        <w:t>to a specific set of circumstances</w:t>
      </w:r>
      <w:r>
        <w:t xml:space="preserve"> that arose in that dispute. In particular, </w:t>
      </w:r>
      <w:r w:rsidRPr="00097064">
        <w:t xml:space="preserve">the </w:t>
      </w:r>
      <w:r w:rsidR="000A10EA">
        <w:t>Appellate Body</w:t>
      </w:r>
      <w:r w:rsidRPr="00097064">
        <w:t xml:space="preserve"> addressed a claim about the </w:t>
      </w:r>
      <w:r w:rsidRPr="00DE1C6C">
        <w:rPr>
          <w:i/>
        </w:rPr>
        <w:t>rejection</w:t>
      </w:r>
      <w:r w:rsidRPr="00097064">
        <w:t xml:space="preserve"> of interest rates in China as benchmarks </w:t>
      </w:r>
      <w:r w:rsidRPr="00C51ADA">
        <w:t xml:space="preserve">in a series of </w:t>
      </w:r>
      <w:r w:rsidRPr="00A453EC">
        <w:t xml:space="preserve">countervailing duties investigations conducted by the </w:t>
      </w:r>
      <w:r w:rsidR="000A10EA">
        <w:t>United States</w:t>
      </w:r>
      <w:r w:rsidRPr="00A453EC">
        <w:t xml:space="preserve"> Department of Commerce (USDOC), and </w:t>
      </w:r>
      <w:r w:rsidRPr="00A453EC">
        <w:rPr>
          <w:i/>
        </w:rPr>
        <w:t>the use of an external proxy benchmark</w:t>
      </w:r>
      <w:r w:rsidRPr="00A453EC">
        <w:t xml:space="preserve"> (i.e. an out-of-country benchmark) to determine whether Chinese government loans conferred a benefit.</w:t>
      </w:r>
      <w:r w:rsidRPr="00A453EC">
        <w:rPr>
          <w:rStyle w:val="FootnoteReference"/>
        </w:rPr>
        <w:footnoteReference w:id="596"/>
      </w:r>
      <w:r w:rsidR="00FF5DAA">
        <w:t xml:space="preserve"> Thus, the </w:t>
      </w:r>
      <w:r w:rsidRPr="00A453EC">
        <w:t xml:space="preserve">specific context in which the </w:t>
      </w:r>
      <w:r w:rsidR="000A10EA">
        <w:t>Appellate Body</w:t>
      </w:r>
      <w:r w:rsidRPr="00A453EC">
        <w:t xml:space="preserve"> stated that the selection of a benchmark under </w:t>
      </w:r>
      <w:r w:rsidR="000A10EA">
        <w:t>Article </w:t>
      </w:r>
      <w:r w:rsidRPr="00A453EC">
        <w:t>14(b) involves</w:t>
      </w:r>
      <w:r w:rsidRPr="00097064">
        <w:t xml:space="preserve"> a </w:t>
      </w:r>
      <w:r>
        <w:t>"</w:t>
      </w:r>
      <w:r w:rsidRPr="00097064">
        <w:t>progressive search</w:t>
      </w:r>
      <w:r>
        <w:t>"</w:t>
      </w:r>
      <w:r w:rsidRPr="00097064">
        <w:t xml:space="preserve"> for a comparable commercial loan</w:t>
      </w:r>
      <w:r>
        <w:t xml:space="preserve"> related to a domestic authority's recourse to out</w:t>
      </w:r>
      <w:r>
        <w:noBreakHyphen/>
        <w:t>of</w:t>
      </w:r>
      <w:r>
        <w:noBreakHyphen/>
        <w:t>country benchmarks in conducting</w:t>
      </w:r>
      <w:r w:rsidRPr="00097064">
        <w:t xml:space="preserve"> </w:t>
      </w:r>
      <w:r>
        <w:t>the benefit analysis</w:t>
      </w:r>
      <w:r w:rsidRPr="00097064">
        <w:t>.</w:t>
      </w:r>
      <w:r>
        <w:rPr>
          <w:rStyle w:val="FootnoteReference"/>
        </w:rPr>
        <w:footnoteReference w:id="597"/>
      </w:r>
      <w:r>
        <w:t xml:space="preserve"> As in the case of </w:t>
      </w:r>
      <w:r w:rsidR="000A10EA">
        <w:t>Article </w:t>
      </w:r>
      <w:r>
        <w:t xml:space="preserve">14(b), </w:t>
      </w:r>
      <w:r w:rsidR="000A10EA">
        <w:t>Article </w:t>
      </w:r>
      <w:r w:rsidRPr="00D5196D">
        <w:t xml:space="preserve">14(a) </w:t>
      </w:r>
      <w:r>
        <w:t xml:space="preserve">and </w:t>
      </w:r>
      <w:r w:rsidR="000A10EA">
        <w:t>Article </w:t>
      </w:r>
      <w:r w:rsidRPr="00D5196D">
        <w:t xml:space="preserve">14(d) </w:t>
      </w:r>
      <w:r>
        <w:t>both indicate</w:t>
      </w:r>
      <w:r w:rsidRPr="00D5196D">
        <w:t xml:space="preserve"> that the search for a benefit benchmark begins in the country where the financial transaction takes place.</w:t>
      </w:r>
      <w:r>
        <w:rPr>
          <w:rStyle w:val="FootnoteReference"/>
        </w:rPr>
        <w:footnoteReference w:id="598"/>
      </w:r>
      <w:r w:rsidRPr="00D5196D">
        <w:t xml:space="preserve"> </w:t>
      </w:r>
      <w:r>
        <w:t xml:space="preserve">However, </w:t>
      </w:r>
      <w:r w:rsidR="00FF5DAA">
        <w:t>if </w:t>
      </w:r>
      <w:r w:rsidRPr="00D5196D">
        <w:t>there are no similar or comparable transactions (including priv</w:t>
      </w:r>
      <w:r w:rsidR="00FF5DAA">
        <w:t>ate and governmental prices) in </w:t>
      </w:r>
      <w:r w:rsidRPr="00D5196D">
        <w:t xml:space="preserve">that country or territory that are undistorted or cannot be properly adjusted to serve as benefit benchmarks, it </w:t>
      </w:r>
      <w:r>
        <w:t>is</w:t>
      </w:r>
      <w:r w:rsidRPr="00D5196D">
        <w:t xml:space="preserve"> permissible to search for an appropriate benefit benchmark out</w:t>
      </w:r>
      <w:r>
        <w:t>-</w:t>
      </w:r>
      <w:r w:rsidRPr="00D5196D">
        <w:t>of</w:t>
      </w:r>
      <w:r>
        <w:t>-</w:t>
      </w:r>
      <w:r w:rsidRPr="00D5196D">
        <w:t>country or to construct a proxy.</w:t>
      </w:r>
      <w:r>
        <w:t xml:space="preserve"> </w:t>
      </w:r>
    </w:p>
    <w:p w:rsidR="0007161B" w:rsidRPr="008D26F2" w:rsidRDefault="0007161B" w:rsidP="003E742D">
      <w:pPr>
        <w:pStyle w:val="BodyText"/>
      </w:pPr>
      <w:r>
        <w:t xml:space="preserve">The </w:t>
      </w:r>
      <w:r w:rsidR="000A10EA">
        <w:t>European Union</w:t>
      </w:r>
      <w:r>
        <w:t xml:space="preserve"> argues that </w:t>
      </w:r>
      <w:r w:rsidRPr="006C3615">
        <w:t xml:space="preserve">"a benchmark loan </w:t>
      </w:r>
      <w:r>
        <w:t>must be identified through 'a </w:t>
      </w:r>
      <w:r w:rsidRPr="006C3615">
        <w:rPr>
          <w:i/>
        </w:rPr>
        <w:t>progressive search</w:t>
      </w:r>
      <w:r w:rsidRPr="006C3615">
        <w:t xml:space="preserve">', which must </w:t>
      </w:r>
      <w:r w:rsidRPr="006C3615">
        <w:rPr>
          <w:i/>
        </w:rPr>
        <w:t>begin</w:t>
      </w:r>
      <w:r w:rsidRPr="006C3615">
        <w:t xml:space="preserve"> by assessing the commercial loan that exhibits as many similarities as possible to the investigated loan, </w:t>
      </w:r>
      <w:r w:rsidRPr="006C3615">
        <w:rPr>
          <w:i/>
        </w:rPr>
        <w:t>before</w:t>
      </w:r>
      <w:r w:rsidRPr="006C3615">
        <w:t xml:space="preserve"> progressing to less similar commercial loans</w:t>
      </w:r>
      <w:r>
        <w:t>.</w:t>
      </w:r>
      <w:r w:rsidRPr="006C3615">
        <w:t>"</w:t>
      </w:r>
      <w:r w:rsidRPr="006C3615">
        <w:rPr>
          <w:rStyle w:val="FootnoteReference"/>
        </w:rPr>
        <w:footnoteReference w:id="599"/>
      </w:r>
      <w:r w:rsidRPr="006C3615">
        <w:t xml:space="preserve"> </w:t>
      </w:r>
      <w:r w:rsidRPr="008D26F2">
        <w:t xml:space="preserve">Given the specific context of the </w:t>
      </w:r>
      <w:r w:rsidR="000A10EA">
        <w:t>Appellate Body</w:t>
      </w:r>
      <w:r w:rsidRPr="008D26F2">
        <w:t xml:space="preserve">'s statements in </w:t>
      </w:r>
      <w:r w:rsidRPr="008D26F2">
        <w:rPr>
          <w:i/>
        </w:rPr>
        <w:t>US – Anti-Dumping and Countervailing Duties (China)</w:t>
      </w:r>
      <w:r w:rsidRPr="008D26F2">
        <w:t>, to</w:t>
      </w:r>
      <w:r>
        <w:t xml:space="preserve"> the extent that </w:t>
      </w:r>
      <w:r w:rsidRPr="006C3615">
        <w:t>the</w:t>
      </w:r>
      <w:r w:rsidRPr="00A01316">
        <w:t xml:space="preserve"> </w:t>
      </w:r>
      <w:r w:rsidR="000A10EA">
        <w:t>European Union</w:t>
      </w:r>
      <w:r>
        <w:t xml:space="preserve"> is arguing </w:t>
      </w:r>
      <w:r w:rsidRPr="00A01316">
        <w:t xml:space="preserve">that a panel </w:t>
      </w:r>
      <w:r w:rsidRPr="00663EC5">
        <w:rPr>
          <w:i/>
        </w:rPr>
        <w:t>necessarily</w:t>
      </w:r>
      <w:r w:rsidRPr="00A01316">
        <w:t xml:space="preserve"> errs under </w:t>
      </w:r>
      <w:r w:rsidR="000A10EA">
        <w:t>Article </w:t>
      </w:r>
      <w:r w:rsidRPr="00A01316">
        <w:t>1.1(b)</w:t>
      </w:r>
      <w:r>
        <w:t xml:space="preserve"> of the </w:t>
      </w:r>
      <w:r w:rsidR="000A10EA">
        <w:t>SCM Agreement</w:t>
      </w:r>
      <w:r w:rsidRPr="00A01316">
        <w:t xml:space="preserve"> if it fails to follow a particular, predefined sequence or "</w:t>
      </w:r>
      <w:r w:rsidRPr="008D26F2">
        <w:t>progressive search" for a market benchmark, we disagree. Instead of hinging on whether the Panel in the present case failed to follow a particular, predefined sequence or "progressive search" for a market benchmark, our assessm</w:t>
      </w:r>
      <w:r w:rsidR="00FF5DAA">
        <w:t>ent should focus on whether, in </w:t>
      </w:r>
      <w:r w:rsidRPr="008D26F2">
        <w:t xml:space="preserve">identifying the project-specific risk premium, the Panel fulfilled the </w:t>
      </w:r>
      <w:r w:rsidRPr="008D26F2">
        <w:rPr>
          <w:i/>
        </w:rPr>
        <w:t>substantive</w:t>
      </w:r>
      <w:r w:rsidRPr="008D26F2">
        <w:t xml:space="preserve"> requirement of ensuring that the market benchmark is "comparable" to the A350XWB LA/MSF contracts because it has "as many elements as possible in common with the investigated loan{s}".</w:t>
      </w:r>
      <w:r w:rsidRPr="008D26F2">
        <w:rPr>
          <w:rStyle w:val="FootnoteReference"/>
        </w:rPr>
        <w:footnoteReference w:id="600"/>
      </w:r>
    </w:p>
    <w:p w:rsidR="0007161B" w:rsidRDefault="0007161B" w:rsidP="003E742D">
      <w:pPr>
        <w:pStyle w:val="BodyText"/>
      </w:pPr>
      <w:r w:rsidRPr="008D26F2">
        <w:t xml:space="preserve">The </w:t>
      </w:r>
      <w:r w:rsidR="000A10EA">
        <w:t>European Union</w:t>
      </w:r>
      <w:r w:rsidRPr="008D26F2">
        <w:t xml:space="preserve"> further argues that, as a consequence of this requirement to conduct a "progressive search" for a benchmark, the Panel should have considered whether the A350XWB risk-sharing supplier contracts were a better basis for the project-specific risk premium than the WRP. </w:t>
      </w:r>
      <w:bookmarkStart w:id="83" w:name="_Ref479182333"/>
      <w:r w:rsidRPr="008D26F2">
        <w:t xml:space="preserve">According to the </w:t>
      </w:r>
      <w:r w:rsidR="000A10EA">
        <w:t>European Union</w:t>
      </w:r>
      <w:r w:rsidRPr="008D26F2">
        <w:t xml:space="preserve">, instead of exploring whether the terms of risk-sharing </w:t>
      </w:r>
      <w:r w:rsidRPr="008D26F2">
        <w:lastRenderedPageBreak/>
        <w:t xml:space="preserve">supplier contracts for the A350XWB were a better project-specific </w:t>
      </w:r>
      <w:r>
        <w:t>risk premium than the WRP, "the </w:t>
      </w:r>
      <w:r w:rsidRPr="008D26F2">
        <w:t xml:space="preserve">Panel followed the </w:t>
      </w:r>
      <w:r w:rsidR="000A10EA">
        <w:t>United States</w:t>
      </w:r>
      <w:r w:rsidRPr="008D26F2">
        <w:t>' proposal</w:t>
      </w:r>
      <w:r w:rsidRPr="00097064">
        <w:t xml:space="preserve">, and proceeded </w:t>
      </w:r>
      <w:r w:rsidRPr="004226B2">
        <w:rPr>
          <w:i/>
        </w:rPr>
        <w:t>immediately</w:t>
      </w:r>
      <w:r w:rsidRPr="00097064">
        <w:t xml:space="preserve"> to an examination of the suitability </w:t>
      </w:r>
      <w:r w:rsidRPr="00001C97">
        <w:t>of a single, undifferentiated project risk premium derived from commercial financing</w:t>
      </w:r>
      <w:r>
        <w:t xml:space="preserve"> from risk</w:t>
      </w:r>
      <w:r>
        <w:noBreakHyphen/>
      </w:r>
      <w:r w:rsidRPr="00097064">
        <w:t xml:space="preserve">sharing suppliers for </w:t>
      </w:r>
      <w:r w:rsidRPr="004226B2">
        <w:rPr>
          <w:i/>
        </w:rPr>
        <w:t>another</w:t>
      </w:r>
      <w:r w:rsidRPr="00097064">
        <w:t xml:space="preserve"> LCA project (i.e., the A380)".</w:t>
      </w:r>
      <w:r w:rsidRPr="00097064">
        <w:rPr>
          <w:rStyle w:val="FootnoteReference"/>
        </w:rPr>
        <w:footnoteReference w:id="601"/>
      </w:r>
      <w:r w:rsidRPr="00097064">
        <w:t xml:space="preserve"> </w:t>
      </w:r>
    </w:p>
    <w:p w:rsidR="0007161B" w:rsidRDefault="0007161B" w:rsidP="003E742D">
      <w:pPr>
        <w:pStyle w:val="BodyText"/>
      </w:pPr>
      <w:r w:rsidRPr="00097064">
        <w:t xml:space="preserve">This </w:t>
      </w:r>
      <w:r>
        <w:t>argument</w:t>
      </w:r>
      <w:r w:rsidRPr="00097064">
        <w:t>, in our view, mischaracterizes t</w:t>
      </w:r>
      <w:r w:rsidR="00FF5DAA">
        <w:t>he Panel's actual analysis. The </w:t>
      </w:r>
      <w:r w:rsidR="000A10EA">
        <w:t>European Union</w:t>
      </w:r>
      <w:r w:rsidRPr="00097064">
        <w:t xml:space="preserve"> appears to suggest that the Panel simply accepted, without scrutiny or analysis, the </w:t>
      </w:r>
      <w:r w:rsidR="000A10EA">
        <w:t>United States</w:t>
      </w:r>
      <w:r w:rsidRPr="00097064">
        <w:t>' proposed project</w:t>
      </w:r>
      <w:r w:rsidRPr="001438B3">
        <w:t xml:space="preserve">-specific risk premium for the A350XWB </w:t>
      </w:r>
      <w:r>
        <w:t>project</w:t>
      </w:r>
      <w:r w:rsidRPr="001438B3">
        <w:t xml:space="preserve">. A review of the Panel's </w:t>
      </w:r>
      <w:r>
        <w:t>findings</w:t>
      </w:r>
      <w:r w:rsidRPr="001438B3">
        <w:t xml:space="preserve"> reveals the </w:t>
      </w:r>
      <w:r w:rsidRPr="00B6206D">
        <w:t>opposite</w:t>
      </w:r>
      <w:r w:rsidRPr="001438B3">
        <w:t xml:space="preserve">. We recall that the </w:t>
      </w:r>
      <w:r w:rsidR="000A10EA">
        <w:t>United States</w:t>
      </w:r>
      <w:r w:rsidRPr="001438B3">
        <w:t xml:space="preserve"> presented to the Panel two options for a project-specific risk premium: the JRP and, alternatively, the WRP. </w:t>
      </w:r>
      <w:r w:rsidRPr="00097064">
        <w:t xml:space="preserve">After examining the parties' arguments and evidence, the Panel </w:t>
      </w:r>
      <w:r w:rsidR="00721BD0">
        <w:t>rejected</w:t>
      </w:r>
      <w:r w:rsidRPr="00097064">
        <w:t xml:space="preserve"> the JRP, which was the </w:t>
      </w:r>
      <w:r w:rsidR="000A10EA">
        <w:t>United States</w:t>
      </w:r>
      <w:r w:rsidRPr="00097064">
        <w:t xml:space="preserve">' preferred premium. Only then </w:t>
      </w:r>
      <w:r>
        <w:t xml:space="preserve">did </w:t>
      </w:r>
      <w:r w:rsidRPr="00097064">
        <w:t xml:space="preserve">the Panel turn to consider the </w:t>
      </w:r>
      <w:r w:rsidR="000A10EA">
        <w:t>United States</w:t>
      </w:r>
      <w:r w:rsidRPr="00097064">
        <w:t xml:space="preserve">' alternative premium, the WRP. </w:t>
      </w:r>
      <w:r>
        <w:t>We highlight that</w:t>
      </w:r>
      <w:r w:rsidRPr="00097064">
        <w:t xml:space="preserve"> the Panel did not simply assume that the WRP would serve as an appropriate project-specific risk premium for the A350XWB. Instead, the Panel decided to conduct an assessment of the relative project-specific risks associated with </w:t>
      </w:r>
      <w:r w:rsidRPr="00001C97">
        <w:t xml:space="preserve">the A380 and A350XWB projects, </w:t>
      </w:r>
      <w:r>
        <w:t>focusing</w:t>
      </w:r>
      <w:r w:rsidRPr="00001C97">
        <w:t xml:space="preserve"> on three </w:t>
      </w:r>
      <w:r>
        <w:t>categories</w:t>
      </w:r>
      <w:r w:rsidRPr="00001C97">
        <w:t xml:space="preserve"> of risk: (i) programme risk; (ii) the price of risk; and (iii) contract risk. The purpose of this comparative analysis was, in the Panel's view, </w:t>
      </w:r>
      <w:r w:rsidR="00FF5DAA">
        <w:t>to </w:t>
      </w:r>
      <w:r>
        <w:t>determine</w:t>
      </w:r>
      <w:r w:rsidRPr="00001C97">
        <w:t xml:space="preserve"> "whether the </w:t>
      </w:r>
      <w:r w:rsidR="000A10EA">
        <w:t>United States</w:t>
      </w:r>
      <w:r w:rsidRPr="00001C97">
        <w:t xml:space="preserve"> ha{d} demonstrated that the project-specific risks of the A350XWB programme </w:t>
      </w:r>
      <w:r>
        <w:t>{were}</w:t>
      </w:r>
      <w:r w:rsidRPr="00001C97">
        <w:t xml:space="preserve"> sufficiently similar to those of the A380 programme such that it would be reasonable to conclude that the WRP could be used as the project-specific risk premium</w:t>
      </w:r>
      <w:r w:rsidRPr="00097064">
        <w:t xml:space="preserve"> for the A350XWB".</w:t>
      </w:r>
      <w:r w:rsidRPr="00097064">
        <w:rPr>
          <w:rStyle w:val="FootnoteReference"/>
        </w:rPr>
        <w:footnoteReference w:id="602"/>
      </w:r>
      <w:r w:rsidRPr="00097064">
        <w:t xml:space="preserve"> Thus, contrary to the </w:t>
      </w:r>
      <w:r w:rsidR="000A10EA">
        <w:t>European Union</w:t>
      </w:r>
      <w:r w:rsidRPr="00097064">
        <w:t>'s assertion, the Panel did not</w:t>
      </w:r>
      <w:r>
        <w:t xml:space="preserve"> simply</w:t>
      </w:r>
      <w:r w:rsidRPr="00097064">
        <w:t xml:space="preserve"> follow the </w:t>
      </w:r>
      <w:r w:rsidR="000A10EA">
        <w:t>United States</w:t>
      </w:r>
      <w:r w:rsidRPr="00097064">
        <w:t xml:space="preserve">' preferred </w:t>
      </w:r>
      <w:r>
        <w:t>approach</w:t>
      </w:r>
      <w:r w:rsidRPr="00097064">
        <w:t>.</w:t>
      </w:r>
      <w:r>
        <w:t xml:space="preserve"> Rather, </w:t>
      </w:r>
      <w:r w:rsidRPr="00097064">
        <w:t xml:space="preserve">the Panel </w:t>
      </w:r>
      <w:r>
        <w:t>sought to engage carefully with</w:t>
      </w:r>
      <w:r w:rsidRPr="00097064">
        <w:t xml:space="preserve"> the arguments and evidence presented by the parties regarding the possible risk premia </w:t>
      </w:r>
      <w:r>
        <w:t>that should be used</w:t>
      </w:r>
      <w:r w:rsidRPr="00097064">
        <w:t xml:space="preserve"> in</w:t>
      </w:r>
      <w:r>
        <w:t xml:space="preserve"> constructing</w:t>
      </w:r>
      <w:r w:rsidRPr="00097064">
        <w:t xml:space="preserve"> the market benchmark.</w:t>
      </w:r>
    </w:p>
    <w:bookmarkEnd w:id="83"/>
    <w:p w:rsidR="0007161B" w:rsidRDefault="0007161B" w:rsidP="003E742D">
      <w:pPr>
        <w:pStyle w:val="BodyText"/>
      </w:pPr>
      <w:r>
        <w:t>We also note that,</w:t>
      </w:r>
      <w:r w:rsidRPr="00097064">
        <w:t xml:space="preserve"> before the Panel, the </w:t>
      </w:r>
      <w:r w:rsidR="000A10EA">
        <w:t>European Union</w:t>
      </w:r>
      <w:r w:rsidRPr="00097064">
        <w:t xml:space="preserve"> did </w:t>
      </w:r>
      <w:r w:rsidRPr="00B6206D">
        <w:t>not</w:t>
      </w:r>
      <w:r w:rsidRPr="00097064">
        <w:t xml:space="preserve"> propose a project-specific risk premium of its own for the </w:t>
      </w:r>
      <w:r w:rsidRPr="00001C97">
        <w:t xml:space="preserve">A350XWB project, and </w:t>
      </w:r>
      <w:r>
        <w:t>rejected</w:t>
      </w:r>
      <w:r w:rsidRPr="00001C97">
        <w:t xml:space="preserve"> both of the risk premia advanced by the </w:t>
      </w:r>
      <w:r w:rsidR="000A10EA">
        <w:t>United States</w:t>
      </w:r>
      <w:r w:rsidRPr="00001C97">
        <w:t>.</w:t>
      </w:r>
      <w:r w:rsidRPr="00001C97">
        <w:rPr>
          <w:rStyle w:val="FootnoteReference"/>
        </w:rPr>
        <w:footnoteReference w:id="603"/>
      </w:r>
      <w:r w:rsidRPr="00001C97">
        <w:t xml:space="preserve"> Thus, the </w:t>
      </w:r>
      <w:r w:rsidR="000A10EA">
        <w:t>European Union</w:t>
      </w:r>
      <w:r w:rsidRPr="00001C97">
        <w:t xml:space="preserve"> </w:t>
      </w:r>
      <w:r>
        <w:t>did not claim</w:t>
      </w:r>
      <w:r w:rsidRPr="00001C97">
        <w:t xml:space="preserve"> before the Pa</w:t>
      </w:r>
      <w:r w:rsidR="00721BD0">
        <w:t>nel that the project</w:t>
      </w:r>
      <w:r w:rsidR="00721BD0">
        <w:noBreakHyphen/>
      </w:r>
      <w:r w:rsidRPr="00001C97">
        <w:t>specific risk premium should be determined on the basis of the A350XWB risk</w:t>
      </w:r>
      <w:r w:rsidRPr="00001C97">
        <w:noBreakHyphen/>
        <w:t>sharing supplier contracts, as it now claims on appeal.</w:t>
      </w:r>
      <w:r>
        <w:rPr>
          <w:rStyle w:val="FootnoteReference"/>
        </w:rPr>
        <w:footnoteReference w:id="604"/>
      </w:r>
      <w:r w:rsidRPr="00001C97">
        <w:t xml:space="preserve"> </w:t>
      </w:r>
      <w:r>
        <w:t>We note that a p</w:t>
      </w:r>
      <w:r w:rsidRPr="009A5D5C">
        <w:t xml:space="preserve">anel </w:t>
      </w:r>
      <w:r>
        <w:t>is</w:t>
      </w:r>
      <w:r w:rsidRPr="009A5D5C">
        <w:t xml:space="preserve"> the first trier of facts </w:t>
      </w:r>
      <w:r>
        <w:t>i</w:t>
      </w:r>
      <w:r w:rsidRPr="009A5D5C">
        <w:t xml:space="preserve">n a serious prejudice case under Part III of the </w:t>
      </w:r>
      <w:r w:rsidR="000A10EA">
        <w:t>SCM Agreement</w:t>
      </w:r>
      <w:r w:rsidRPr="009A5D5C">
        <w:t xml:space="preserve"> and </w:t>
      </w:r>
      <w:r>
        <w:t>has</w:t>
      </w:r>
      <w:r w:rsidRPr="009A5D5C">
        <w:t xml:space="preserve"> a duty to conduct an objective assessment</w:t>
      </w:r>
      <w:r>
        <w:t xml:space="preserve"> of the matter pursuant to </w:t>
      </w:r>
      <w:r w:rsidR="000A10EA">
        <w:t>Article </w:t>
      </w:r>
      <w:r>
        <w:t>11 of the DSU on the basis</w:t>
      </w:r>
      <w:r w:rsidRPr="009A5D5C">
        <w:t xml:space="preserve"> of the parties' submissions</w:t>
      </w:r>
      <w:r>
        <w:t xml:space="preserve"> and evidence.</w:t>
      </w:r>
      <w:r w:rsidRPr="009A5D5C">
        <w:rPr>
          <w:rStyle w:val="FootnoteReference"/>
        </w:rPr>
        <w:footnoteReference w:id="605"/>
      </w:r>
      <w:r w:rsidRPr="009A5D5C">
        <w:t xml:space="preserve"> </w:t>
      </w:r>
      <w:r>
        <w:t>I</w:t>
      </w:r>
      <w:r w:rsidRPr="009A5D5C">
        <w:t>n</w:t>
      </w:r>
      <w:r>
        <w:t xml:space="preserve"> particular, in</w:t>
      </w:r>
      <w:r w:rsidRPr="009A5D5C">
        <w:t xml:space="preserve"> conducting a</w:t>
      </w:r>
      <w:r>
        <w:t xml:space="preserve"> be</w:t>
      </w:r>
      <w:r w:rsidRPr="009A5D5C">
        <w:t>n</w:t>
      </w:r>
      <w:r>
        <w:t>efit analysis</w:t>
      </w:r>
      <w:r w:rsidRPr="009A5D5C">
        <w:t xml:space="preserve">, a panel </w:t>
      </w:r>
      <w:r>
        <w:t>should</w:t>
      </w:r>
      <w:r w:rsidRPr="009A5D5C">
        <w:t xml:space="preserve"> </w:t>
      </w:r>
      <w:r w:rsidRPr="008D26F2">
        <w:t xml:space="preserve">begin by examining the arguments and evidence presented by the complainant to support its proposed benchmark. A panel </w:t>
      </w:r>
      <w:r>
        <w:t>should</w:t>
      </w:r>
      <w:r w:rsidRPr="008D26F2">
        <w:t xml:space="preserve"> then turn to assess the responde</w:t>
      </w:r>
      <w:r w:rsidR="00FF5DAA">
        <w:t>nt's arguments and evidence. In </w:t>
      </w:r>
      <w:r w:rsidRPr="008D26F2">
        <w:t xml:space="preserve">assessing the parties' submissions, a panel may need to request further information </w:t>
      </w:r>
      <w:r>
        <w:t xml:space="preserve">and </w:t>
      </w:r>
      <w:r w:rsidRPr="008D26F2">
        <w:t>make adjustments to the</w:t>
      </w:r>
      <w:r>
        <w:t xml:space="preserve"> components of the proposed</w:t>
      </w:r>
      <w:r w:rsidRPr="008D26F2">
        <w:t xml:space="preserve"> benchmark</w:t>
      </w:r>
      <w:r>
        <w:t xml:space="preserve">. While </w:t>
      </w:r>
      <w:r w:rsidR="000A10EA">
        <w:t>Article </w:t>
      </w:r>
      <w:r>
        <w:t xml:space="preserve">13 of the </w:t>
      </w:r>
      <w:r w:rsidRPr="00C7364A">
        <w:t xml:space="preserve">DSU </w:t>
      </w:r>
      <w:r w:rsidRPr="00365633">
        <w:t xml:space="preserve">allows </w:t>
      </w:r>
      <w:r>
        <w:t>a panel to request further information to enable it to make an objective assessment</w:t>
      </w:r>
      <w:r w:rsidRPr="008D26F2">
        <w:t>,</w:t>
      </w:r>
      <w:r>
        <w:t xml:space="preserve"> a panel may not make the case for either of the parties.</w:t>
      </w:r>
      <w:r>
        <w:rPr>
          <w:rStyle w:val="FootnoteReference"/>
        </w:rPr>
        <w:footnoteReference w:id="606"/>
      </w:r>
    </w:p>
    <w:p w:rsidR="0007161B" w:rsidRDefault="0007161B" w:rsidP="003E742D">
      <w:pPr>
        <w:pStyle w:val="BodyText"/>
      </w:pPr>
      <w:r>
        <w:t xml:space="preserve">We reiterate that </w:t>
      </w:r>
      <w:r w:rsidRPr="00EE6F87">
        <w:t xml:space="preserve">the </w:t>
      </w:r>
      <w:r w:rsidR="000A10EA">
        <w:t>European Union</w:t>
      </w:r>
      <w:r w:rsidRPr="00EE6F87">
        <w:t xml:space="preserve"> did </w:t>
      </w:r>
      <w:r w:rsidRPr="00B6206D">
        <w:t>not</w:t>
      </w:r>
      <w:r w:rsidRPr="00EE6F87">
        <w:t xml:space="preserve"> </w:t>
      </w:r>
      <w:r>
        <w:t>request</w:t>
      </w:r>
      <w:r w:rsidRPr="00EE6F87">
        <w:t xml:space="preserve"> the Panel </w:t>
      </w:r>
      <w:r>
        <w:t>to explore "whether the terms of risk</w:t>
      </w:r>
      <w:r>
        <w:noBreakHyphen/>
      </w:r>
      <w:r w:rsidRPr="00001C97">
        <w:t>sharing supplier financing arrangements for the A350XWB shared more elements in common with A350XWB LA/MSF</w:t>
      </w:r>
      <w:r>
        <w:t>"</w:t>
      </w:r>
      <w:r w:rsidRPr="00001C97">
        <w:rPr>
          <w:rStyle w:val="FootnoteReference"/>
        </w:rPr>
        <w:footnoteReference w:id="607"/>
      </w:r>
      <w:r w:rsidRPr="00001C97">
        <w:t xml:space="preserve"> than</w:t>
      </w:r>
      <w:r>
        <w:t xml:space="preserve"> with the WRP.</w:t>
      </w:r>
      <w:r w:rsidRPr="00097064">
        <w:t xml:space="preserve"> </w:t>
      </w:r>
      <w:r>
        <w:t>W</w:t>
      </w:r>
      <w:r w:rsidRPr="00097064">
        <w:t>e</w:t>
      </w:r>
      <w:r>
        <w:t xml:space="preserve"> </w:t>
      </w:r>
      <w:r w:rsidRPr="00097064">
        <w:t>do not consider</w:t>
      </w:r>
      <w:r>
        <w:t xml:space="preserve"> that the </w:t>
      </w:r>
      <w:r w:rsidR="000A10EA">
        <w:t>European Union</w:t>
      </w:r>
      <w:r>
        <w:t xml:space="preserve"> has established its claim </w:t>
      </w:r>
      <w:r w:rsidRPr="00DE64FF">
        <w:t xml:space="preserve">of </w:t>
      </w:r>
      <w:r w:rsidRPr="00365633">
        <w:t xml:space="preserve">error under </w:t>
      </w:r>
      <w:r w:rsidR="000A10EA">
        <w:t>Article </w:t>
      </w:r>
      <w:r w:rsidRPr="00365633">
        <w:t xml:space="preserve">1.1(b) of the </w:t>
      </w:r>
      <w:r w:rsidR="000A10EA">
        <w:t>SCM Agreement</w:t>
      </w:r>
      <w:r w:rsidRPr="00365633">
        <w:t xml:space="preserve"> </w:t>
      </w:r>
      <w:r>
        <w:t>given that the Panel properly assessed the arguments and evidence that were put before it by the parties</w:t>
      </w:r>
      <w:r w:rsidRPr="00097064">
        <w:t>.</w:t>
      </w:r>
      <w:r>
        <w:t xml:space="preserve"> I</w:t>
      </w:r>
      <w:r w:rsidRPr="00EE6F87">
        <w:t xml:space="preserve">f the </w:t>
      </w:r>
      <w:r w:rsidR="000A10EA">
        <w:t>European Union</w:t>
      </w:r>
      <w:r w:rsidRPr="00EE6F87">
        <w:t xml:space="preserve"> consider</w:t>
      </w:r>
      <w:r>
        <w:t>s</w:t>
      </w:r>
      <w:r w:rsidRPr="00EE6F87">
        <w:t xml:space="preserve"> that </w:t>
      </w:r>
      <w:r w:rsidRPr="00E96F23">
        <w:t>a</w:t>
      </w:r>
      <w:r w:rsidRPr="00365633">
        <w:t>n</w:t>
      </w:r>
      <w:r w:rsidRPr="00E96F23">
        <w:t xml:space="preserve"> </w:t>
      </w:r>
      <w:r w:rsidRPr="00365633">
        <w:t>examination of</w:t>
      </w:r>
      <w:r w:rsidRPr="00E96F23">
        <w:t xml:space="preserve"> </w:t>
      </w:r>
      <w:r w:rsidRPr="00365633">
        <w:t xml:space="preserve">the </w:t>
      </w:r>
      <w:r w:rsidRPr="00E96F23">
        <w:t>terms of risk</w:t>
      </w:r>
      <w:r w:rsidRPr="00E96F23">
        <w:noBreakHyphen/>
        <w:t xml:space="preserve">sharing supplier </w:t>
      </w:r>
      <w:r w:rsidRPr="002937CA">
        <w:t>financing arrangements</w:t>
      </w:r>
      <w:r w:rsidRPr="00001C97">
        <w:t xml:space="preserve"> </w:t>
      </w:r>
      <w:r w:rsidRPr="00EE6F87">
        <w:t xml:space="preserve">was </w:t>
      </w:r>
      <w:r>
        <w:t>required</w:t>
      </w:r>
      <w:r w:rsidRPr="00EE6F87">
        <w:t xml:space="preserve"> to ensure </w:t>
      </w:r>
      <w:r>
        <w:t>a</w:t>
      </w:r>
      <w:r w:rsidRPr="00EE6F87">
        <w:t xml:space="preserve"> proper deter</w:t>
      </w:r>
      <w:r w:rsidR="00721BD0">
        <w:t>mination of the A350XWB project</w:t>
      </w:r>
      <w:r w:rsidR="00721BD0">
        <w:noBreakHyphen/>
      </w:r>
      <w:r w:rsidRPr="00EE6F87">
        <w:t>specific risk premium</w:t>
      </w:r>
      <w:r>
        <w:t xml:space="preserve">, it should have </w:t>
      </w:r>
      <w:r w:rsidRPr="00EE6F87">
        <w:t>pursue</w:t>
      </w:r>
      <w:r>
        <w:t>d</w:t>
      </w:r>
      <w:r w:rsidRPr="00EE6F87">
        <w:t xml:space="preserve"> this line of argumentation before the Panel, including by providing the </w:t>
      </w:r>
      <w:r w:rsidRPr="00001C97">
        <w:t>A350XWB risk-sharing supplier contracts</w:t>
      </w:r>
      <w:r w:rsidRPr="00EE6F87">
        <w:t xml:space="preserve"> </w:t>
      </w:r>
      <w:r>
        <w:t xml:space="preserve">and other relevant </w:t>
      </w:r>
      <w:r w:rsidRPr="00EE6F87">
        <w:t>evidence.</w:t>
      </w:r>
      <w:r>
        <w:t xml:space="preserve"> </w:t>
      </w:r>
      <w:r w:rsidRPr="00DE64FF">
        <w:lastRenderedPageBreak/>
        <w:t xml:space="preserve">In any event, and as noted by </w:t>
      </w:r>
      <w:r w:rsidRPr="005E27C8">
        <w:t xml:space="preserve">the </w:t>
      </w:r>
      <w:r w:rsidR="000A10EA">
        <w:t>United States</w:t>
      </w:r>
      <w:r w:rsidRPr="00F91438">
        <w:t>,</w:t>
      </w:r>
      <w:r w:rsidRPr="0056377F">
        <w:t xml:space="preserve"> the </w:t>
      </w:r>
      <w:r w:rsidR="000A10EA">
        <w:t>Appellate Body</w:t>
      </w:r>
      <w:r w:rsidRPr="0056377F">
        <w:t>'s findings from the original proceedings indicate that LA/MSF depresse</w:t>
      </w:r>
      <w:r w:rsidRPr="00CC0AEF">
        <w:t>s the rates of return demanded by risk-sharing suppliers because it transfers programme risk from Airbus to the lending governments</w:t>
      </w:r>
      <w:r w:rsidRPr="008D41EA">
        <w:t>.</w:t>
      </w:r>
      <w:r w:rsidRPr="008D41EA">
        <w:rPr>
          <w:rStyle w:val="FootnoteReference"/>
        </w:rPr>
        <w:footnoteReference w:id="608"/>
      </w:r>
      <w:r w:rsidR="00FF5DAA">
        <w:t xml:space="preserve"> As the </w:t>
      </w:r>
      <w:r w:rsidR="000A10EA">
        <w:t>Appellate Body</w:t>
      </w:r>
      <w:r w:rsidRPr="00781ACD">
        <w:t xml:space="preserve"> explained </w:t>
      </w:r>
      <w:r w:rsidRPr="00BC7D9B">
        <w:t>in the original proceedings, "</w:t>
      </w:r>
      <w:r w:rsidRPr="0014333B">
        <w:t>risk-sharing suppliers would be expected to demand a lower rate of return on their participation in an LCA project than they would have demanded in the absence of LA/MSF</w:t>
      </w:r>
      <w:r w:rsidRPr="00963A29">
        <w:t>"</w:t>
      </w:r>
      <w:r w:rsidRPr="00863405">
        <w:t xml:space="preserve"> and</w:t>
      </w:r>
      <w:r>
        <w:t>,</w:t>
      </w:r>
      <w:r w:rsidRPr="00863405">
        <w:t xml:space="preserve"> thus</w:t>
      </w:r>
      <w:r>
        <w:t>,</w:t>
      </w:r>
      <w:r w:rsidRPr="00863405">
        <w:t xml:space="preserve"> "deriving the project risk from the rate of return of the risk-sharing suppliers will underestimate the project risk premium that woul</w:t>
      </w:r>
      <w:r w:rsidRPr="00332607">
        <w:t>d be demanded by a market lender in the absence of LA/MSF."</w:t>
      </w:r>
      <w:r>
        <w:rPr>
          <w:rStyle w:val="FootnoteReference"/>
        </w:rPr>
        <w:footnoteReference w:id="609"/>
      </w:r>
    </w:p>
    <w:p w:rsidR="0007161B" w:rsidRDefault="0007161B" w:rsidP="003E742D">
      <w:pPr>
        <w:pStyle w:val="BodyText"/>
      </w:pPr>
      <w:r>
        <w:t xml:space="preserve">For the foregoing reasons, we disagree with </w:t>
      </w:r>
      <w:r w:rsidRPr="00097064">
        <w:t xml:space="preserve">the </w:t>
      </w:r>
      <w:r w:rsidR="000A10EA">
        <w:t>European Union</w:t>
      </w:r>
      <w:r w:rsidRPr="00097064">
        <w:t xml:space="preserve"> that</w:t>
      </w:r>
      <w:r>
        <w:t xml:space="preserve"> "</w:t>
      </w:r>
      <w:r w:rsidRPr="00AA08EF">
        <w:t xml:space="preserve">the Panel failed to adopt the most appropriate benchmark, tailored to the risks associated with the A350XWB, based on a </w:t>
      </w:r>
      <w:r>
        <w:t>'</w:t>
      </w:r>
      <w:r w:rsidRPr="00AA08EF">
        <w:t>progressive search</w:t>
      </w:r>
      <w:r>
        <w:t>'</w:t>
      </w:r>
      <w:r w:rsidRPr="00AA08EF">
        <w:t xml:space="preserve"> for the benchmark that shared </w:t>
      </w:r>
      <w:r>
        <w:t>'</w:t>
      </w:r>
      <w:r w:rsidRPr="00AA08EF">
        <w:t>as many elements as possible in common with</w:t>
      </w:r>
      <w:r>
        <w:t>'</w:t>
      </w:r>
      <w:r w:rsidRPr="00AA08EF">
        <w:t xml:space="preserve"> the A350XWB LA/MSF loans</w:t>
      </w:r>
      <w:r>
        <w:t>."</w:t>
      </w:r>
      <w:r w:rsidRPr="00001C97">
        <w:rPr>
          <w:rStyle w:val="FootnoteReference"/>
        </w:rPr>
        <w:footnoteReference w:id="610"/>
      </w:r>
      <w:r>
        <w:t xml:space="preserve"> Consequently, </w:t>
      </w:r>
      <w:r w:rsidR="00E05F1C">
        <w:t xml:space="preserve">we </w:t>
      </w:r>
      <w:r w:rsidR="00E05F1C">
        <w:rPr>
          <w:u w:val="single"/>
        </w:rPr>
        <w:t>find</w:t>
      </w:r>
      <w:r w:rsidR="00E05F1C">
        <w:t xml:space="preserve"> that </w:t>
      </w:r>
      <w:r>
        <w:t xml:space="preserve">the </w:t>
      </w:r>
      <w:r w:rsidR="000A10EA">
        <w:t>European Union</w:t>
      </w:r>
      <w:r>
        <w:t xml:space="preserve"> has not established that </w:t>
      </w:r>
      <w:r w:rsidRPr="00097064">
        <w:t xml:space="preserve">the Panel erred </w:t>
      </w:r>
      <w:r>
        <w:t xml:space="preserve">in its application of </w:t>
      </w:r>
      <w:r w:rsidR="000A10EA">
        <w:t>Article </w:t>
      </w:r>
      <w:r>
        <w:t xml:space="preserve">1.1(b) of the </w:t>
      </w:r>
      <w:r w:rsidR="000A10EA">
        <w:t>SCM Agreement</w:t>
      </w:r>
      <w:r>
        <w:t>.</w:t>
      </w:r>
    </w:p>
    <w:p w:rsidR="0007161B" w:rsidRPr="007855FF" w:rsidRDefault="0007161B" w:rsidP="003E742D">
      <w:pPr>
        <w:pStyle w:val="Heading5"/>
      </w:pPr>
      <w:bookmarkStart w:id="84" w:name="_Ref477528702"/>
      <w:bookmarkStart w:id="85" w:name="_Toc514059229"/>
      <w:r w:rsidRPr="007855FF">
        <w:t>Whether the Panel erred by failing to make adjustments to the benchmark to ensure comparability</w:t>
      </w:r>
      <w:bookmarkEnd w:id="84"/>
      <w:bookmarkEnd w:id="85"/>
    </w:p>
    <w:p w:rsidR="0007161B" w:rsidRDefault="0007161B" w:rsidP="003E742D">
      <w:pPr>
        <w:pStyle w:val="BodyText"/>
      </w:pPr>
      <w:r>
        <w:t xml:space="preserve">As we see it, in its second argument that the Panel erred under </w:t>
      </w:r>
      <w:r w:rsidR="000A10EA">
        <w:t>Article </w:t>
      </w:r>
      <w:r>
        <w:t xml:space="preserve">1.1(b) of the </w:t>
      </w:r>
      <w:r w:rsidR="000A10EA">
        <w:t>SCM Agreement</w:t>
      </w:r>
      <w:r>
        <w:t>, t</w:t>
      </w:r>
      <w:r w:rsidRPr="00443E2A">
        <w:t xml:space="preserve">he </w:t>
      </w:r>
      <w:r w:rsidR="000A10EA">
        <w:t>European Union</w:t>
      </w:r>
      <w:r w:rsidRPr="00443E2A">
        <w:t xml:space="preserve"> </w:t>
      </w:r>
      <w:r>
        <w:t xml:space="preserve">does not appear to take issue with the Panel's decision to use the </w:t>
      </w:r>
      <w:r w:rsidRPr="00A107E7">
        <w:t>WRP</w:t>
      </w:r>
      <w:r>
        <w:t xml:space="preserve"> as a basis for the </w:t>
      </w:r>
      <w:r w:rsidRPr="003621E6">
        <w:t>project-specific risk premium</w:t>
      </w:r>
      <w:r>
        <w:t xml:space="preserve">. Instead, the </w:t>
      </w:r>
      <w:r w:rsidR="000A10EA">
        <w:t>European Union</w:t>
      </w:r>
      <w:r>
        <w:t xml:space="preserve"> contends that, </w:t>
      </w:r>
      <w:r w:rsidRPr="00097064">
        <w:t>to the extent</w:t>
      </w:r>
      <w:r>
        <w:t xml:space="preserve"> that</w:t>
      </w:r>
      <w:r w:rsidRPr="00097064">
        <w:t xml:space="preserve"> an insufficiently tailored benchmark </w:t>
      </w:r>
      <w:r>
        <w:t xml:space="preserve">in the form of the WRP </w:t>
      </w:r>
      <w:r w:rsidRPr="00097064">
        <w:t>was used</w:t>
      </w:r>
      <w:r>
        <w:t xml:space="preserve">, the Panel </w:t>
      </w:r>
      <w:r w:rsidRPr="00FC3605">
        <w:rPr>
          <w:i/>
        </w:rPr>
        <w:t>failed to make adjustments</w:t>
      </w:r>
      <w:r w:rsidRPr="00097064">
        <w:t xml:space="preserve"> to the benchmark to ensure comparability.</w:t>
      </w:r>
      <w:r>
        <w:t xml:space="preserve"> According to the </w:t>
      </w:r>
      <w:r w:rsidR="000A10EA">
        <w:t>European Union</w:t>
      </w:r>
      <w:r>
        <w:t xml:space="preserve">, </w:t>
      </w:r>
      <w:r w:rsidRPr="00443E2A">
        <w:t xml:space="preserve">the Panel applied </w:t>
      </w:r>
      <w:r>
        <w:t>a</w:t>
      </w:r>
      <w:r w:rsidRPr="00443E2A">
        <w:t xml:space="preserve"> single,</w:t>
      </w:r>
      <w:r w:rsidRPr="00097064">
        <w:t xml:space="preserve"> </w:t>
      </w:r>
      <w:r w:rsidRPr="00001C97">
        <w:t>undifferentiated project risk premium derived from</w:t>
      </w:r>
      <w:r>
        <w:t xml:space="preserve"> LA/MSF</w:t>
      </w:r>
      <w:r w:rsidRPr="00001C97">
        <w:t xml:space="preserve"> financing for the A380 project to</w:t>
      </w:r>
      <w:r>
        <w:t xml:space="preserve"> LA/MSF</w:t>
      </w:r>
      <w:r w:rsidRPr="00001C97">
        <w:t xml:space="preserve"> financing for the A350XWB project </w:t>
      </w:r>
      <w:r w:rsidRPr="00001C97">
        <w:rPr>
          <w:i/>
        </w:rPr>
        <w:t>without making adjustments</w:t>
      </w:r>
      <w:r w:rsidRPr="00001C97">
        <w:t xml:space="preserve"> to account for the differ</w:t>
      </w:r>
      <w:r>
        <w:t xml:space="preserve">ences between the two projects </w:t>
      </w:r>
      <w:r w:rsidRPr="00001C97">
        <w:t>in terms of market risk, development risk, and contract risk.</w:t>
      </w:r>
      <w:r w:rsidRPr="00001C97">
        <w:rPr>
          <w:rStyle w:val="FootnoteReference"/>
        </w:rPr>
        <w:footnoteReference w:id="611"/>
      </w:r>
      <w:r>
        <w:t xml:space="preserve"> </w:t>
      </w:r>
    </w:p>
    <w:p w:rsidR="0007161B" w:rsidRDefault="0007161B" w:rsidP="003E742D">
      <w:pPr>
        <w:pStyle w:val="BodyText"/>
      </w:pPr>
      <w:r w:rsidRPr="00001C97">
        <w:t xml:space="preserve">The </w:t>
      </w:r>
      <w:r w:rsidR="000A10EA">
        <w:t>European Union</w:t>
      </w:r>
      <w:r w:rsidRPr="00001C97">
        <w:t xml:space="preserve"> asserts that the Panel found that the two projects posed different </w:t>
      </w:r>
      <w:r w:rsidRPr="00FC3605">
        <w:rPr>
          <w:i/>
        </w:rPr>
        <w:t>market risks</w:t>
      </w:r>
      <w:r w:rsidRPr="00001C97">
        <w:t xml:space="preserve">. According to the </w:t>
      </w:r>
      <w:r w:rsidR="000A10EA">
        <w:t>European Union</w:t>
      </w:r>
      <w:r w:rsidRPr="00001C97">
        <w:t xml:space="preserve">, the Panel acknowledged that the market risk for the A350XWB project was lower than the market risk for the </w:t>
      </w:r>
      <w:r>
        <w:t>A380 </w:t>
      </w:r>
      <w:r w:rsidRPr="00001C97">
        <w:t>project.</w:t>
      </w:r>
      <w:r w:rsidRPr="00001C97">
        <w:rPr>
          <w:rStyle w:val="FootnoteReference"/>
        </w:rPr>
        <w:footnoteReference w:id="612"/>
      </w:r>
      <w:r w:rsidRPr="00001C97">
        <w:t xml:space="preserve"> Moreover, the Panel found that the two</w:t>
      </w:r>
      <w:r w:rsidRPr="00097064">
        <w:t xml:space="preserve"> projects posed different </w:t>
      </w:r>
      <w:r w:rsidRPr="00FC3605">
        <w:rPr>
          <w:i/>
        </w:rPr>
        <w:t>development risks</w:t>
      </w:r>
      <w:r w:rsidRPr="00097064">
        <w:t xml:space="preserve"> by stating that "the development risks associated with the A350XWB 'were </w:t>
      </w:r>
      <w:r w:rsidRPr="00FC3605">
        <w:rPr>
          <w:i/>
        </w:rPr>
        <w:t>approximately similar</w:t>
      </w:r>
      <w:r w:rsidRPr="00097064">
        <w:t xml:space="preserve"> to, if not </w:t>
      </w:r>
      <w:r w:rsidRPr="00FC3605">
        <w:rPr>
          <w:i/>
        </w:rPr>
        <w:t>slightly higher</w:t>
      </w:r>
      <w:r w:rsidRPr="00097064">
        <w:t xml:space="preserve"> than, </w:t>
      </w:r>
      <w:r>
        <w:t xml:space="preserve">{those of} </w:t>
      </w:r>
      <w:r w:rsidRPr="00001C97">
        <w:t>the A380'."</w:t>
      </w:r>
      <w:r w:rsidRPr="00001C97">
        <w:rPr>
          <w:rStyle w:val="FootnoteReference"/>
        </w:rPr>
        <w:footnoteReference w:id="613"/>
      </w:r>
      <w:r w:rsidRPr="00001C97">
        <w:t xml:space="preserve"> In addition, the Panel found that the A350XWB project offered "some" risk</w:t>
      </w:r>
      <w:r>
        <w:t xml:space="preserve"> </w:t>
      </w:r>
      <w:r w:rsidRPr="00001C97">
        <w:t xml:space="preserve">mitigation that partially offset the development risk, while such risk mitigation was not present for the A380 project. Finally, with respect to </w:t>
      </w:r>
      <w:r w:rsidRPr="00FC3605">
        <w:rPr>
          <w:i/>
        </w:rPr>
        <w:t>contract risk</w:t>
      </w:r>
      <w:r w:rsidRPr="00001C97">
        <w:t xml:space="preserve">, the </w:t>
      </w:r>
      <w:r w:rsidR="000A10EA">
        <w:t>European Union</w:t>
      </w:r>
      <w:r w:rsidRPr="00001C97">
        <w:t xml:space="preserve"> contends that the Panel's findings reveal differences between the terms of the A350XWB LA/MSF contracts and the A380 LA/MSF contracts.</w:t>
      </w:r>
      <w:r w:rsidRPr="00001C97">
        <w:rPr>
          <w:rStyle w:val="FootnoteReference"/>
        </w:rPr>
        <w:footnoteReference w:id="614"/>
      </w:r>
      <w:r w:rsidRPr="00001C97">
        <w:t xml:space="preserve"> The </w:t>
      </w:r>
      <w:r w:rsidR="000A10EA">
        <w:t>European Union</w:t>
      </w:r>
      <w:r w:rsidRPr="00001C97">
        <w:t xml:space="preserve"> points out that the Panel failed to make any adjustments to the </w:t>
      </w:r>
      <w:r>
        <w:t>risk premium</w:t>
      </w:r>
      <w:r w:rsidRPr="00001C97">
        <w:t xml:space="preserve"> to account for these differences in market risk, development risk</w:t>
      </w:r>
      <w:r>
        <w:t>,</w:t>
      </w:r>
      <w:r w:rsidRPr="00001C97">
        <w:t xml:space="preserve"> and contract risk.</w:t>
      </w:r>
      <w:r w:rsidRPr="00001C97">
        <w:rPr>
          <w:rStyle w:val="FootnoteReference"/>
        </w:rPr>
        <w:footnoteReference w:id="615"/>
      </w:r>
      <w:r>
        <w:t xml:space="preserve"> </w:t>
      </w:r>
      <w:r w:rsidRPr="00097064">
        <w:t xml:space="preserve">Consequently, </w:t>
      </w:r>
      <w:r>
        <w:t xml:space="preserve">in </w:t>
      </w:r>
      <w:r w:rsidRPr="00097064">
        <w:t xml:space="preserve">the </w:t>
      </w:r>
      <w:r w:rsidR="000A10EA">
        <w:t>European Union</w:t>
      </w:r>
      <w:r>
        <w:t xml:space="preserve">'s view, </w:t>
      </w:r>
      <w:r w:rsidRPr="00097064">
        <w:t xml:space="preserve">the Panel's failure to account for </w:t>
      </w:r>
      <w:r>
        <w:t xml:space="preserve">these </w:t>
      </w:r>
      <w:r w:rsidRPr="00FC3605">
        <w:t>acknowledged differences</w:t>
      </w:r>
      <w:r w:rsidRPr="00001C97">
        <w:t xml:space="preserve"> amounts to an error in the application of </w:t>
      </w:r>
      <w:r w:rsidR="000A10EA">
        <w:t>Article </w:t>
      </w:r>
      <w:r w:rsidRPr="00001C97">
        <w:t>1.1(b)</w:t>
      </w:r>
      <w:r w:rsidR="00FF5DAA">
        <w:t xml:space="preserve"> of the </w:t>
      </w:r>
      <w:r w:rsidR="000A10EA">
        <w:t>SCM Agreement</w:t>
      </w:r>
      <w:r w:rsidRPr="00001C97">
        <w:t>.</w:t>
      </w:r>
      <w:r w:rsidRPr="00001C97">
        <w:rPr>
          <w:rStyle w:val="FootnoteReference"/>
        </w:rPr>
        <w:footnoteReference w:id="616"/>
      </w:r>
    </w:p>
    <w:p w:rsidR="0007161B" w:rsidRPr="00097064" w:rsidRDefault="0007161B" w:rsidP="000E71D5">
      <w:pPr>
        <w:pStyle w:val="BodyText"/>
        <w:keepNext/>
      </w:pPr>
      <w:r>
        <w:lastRenderedPageBreak/>
        <w:t>We begin by noting that t</w:t>
      </w:r>
      <w:r w:rsidRPr="00097064">
        <w:t xml:space="preserve">he </w:t>
      </w:r>
      <w:r>
        <w:t xml:space="preserve">passage in </w:t>
      </w:r>
      <w:r w:rsidRPr="00097064">
        <w:t xml:space="preserve">the </w:t>
      </w:r>
      <w:r w:rsidR="000A10EA">
        <w:t>Appellate Body</w:t>
      </w:r>
      <w:r>
        <w:t xml:space="preserve"> r</w:t>
      </w:r>
      <w:r w:rsidRPr="00C06575">
        <w:t>eport</w:t>
      </w:r>
      <w:r>
        <w:t xml:space="preserve"> </w:t>
      </w:r>
      <w:r w:rsidRPr="00097064">
        <w:t xml:space="preserve">in </w:t>
      </w:r>
      <w:r w:rsidRPr="00DB1CF8">
        <w:rPr>
          <w:i/>
        </w:rPr>
        <w:t>US – Anti-Dumping and Countervailing Duties (China)</w:t>
      </w:r>
      <w:r w:rsidRPr="00097064">
        <w:t xml:space="preserve"> </w:t>
      </w:r>
      <w:r>
        <w:t xml:space="preserve">that the </w:t>
      </w:r>
      <w:r w:rsidR="000A10EA">
        <w:t>European Union</w:t>
      </w:r>
      <w:r>
        <w:t xml:space="preserve"> relies upon in support of this line of argumentation reads</w:t>
      </w:r>
      <w:r w:rsidRPr="00097064">
        <w:t xml:space="preserve">: </w:t>
      </w:r>
    </w:p>
    <w:p w:rsidR="0007161B" w:rsidRDefault="0007161B" w:rsidP="000E71D5">
      <w:pPr>
        <w:pStyle w:val="Quotation"/>
        <w:keepNext/>
      </w:pPr>
      <w:r>
        <w:t>{S}</w:t>
      </w:r>
      <w:r w:rsidRPr="00097064">
        <w:t xml:space="preserve">electing a benchmark under </w:t>
      </w:r>
      <w:r w:rsidR="000A10EA">
        <w:t>Article </w:t>
      </w:r>
      <w:r w:rsidRPr="00097064">
        <w:t xml:space="preserve">14(b) involves a progressive search for a comparable commercial loan, starting with the commercial loan that is closest to the investigated loan (a loan to the same borrower that is nearly identical to the investigated loan in terms of timing, structure, maturity, size and currency) and moving to less similar commercial loans while </w:t>
      </w:r>
      <w:r w:rsidRPr="00097064">
        <w:rPr>
          <w:i/>
        </w:rPr>
        <w:t>adjusting</w:t>
      </w:r>
      <w:r w:rsidRPr="00097064">
        <w:t xml:space="preserve"> them to ensure comparability with the investigated loan.</w:t>
      </w:r>
      <w:r w:rsidRPr="00097064">
        <w:rPr>
          <w:rStyle w:val="FootnoteReference"/>
          <w:szCs w:val="20"/>
        </w:rPr>
        <w:footnoteReference w:id="617"/>
      </w:r>
    </w:p>
    <w:p w:rsidR="0007161B" w:rsidRDefault="0007161B" w:rsidP="003E742D">
      <w:pPr>
        <w:pStyle w:val="BodyText"/>
      </w:pPr>
      <w:r w:rsidRPr="00097064">
        <w:t>As noted in the previous section</w:t>
      </w:r>
      <w:r>
        <w:t xml:space="preserve"> of this Report</w:t>
      </w:r>
      <w:r>
        <w:rPr>
          <w:rStyle w:val="FootnoteReference"/>
        </w:rPr>
        <w:footnoteReference w:id="618"/>
      </w:r>
      <w:r w:rsidRPr="00097064">
        <w:t xml:space="preserve">, the </w:t>
      </w:r>
      <w:r w:rsidR="000A10EA">
        <w:t>Appellate Body</w:t>
      </w:r>
      <w:r w:rsidRPr="00097064">
        <w:t xml:space="preserve"> made this statement in address</w:t>
      </w:r>
      <w:r>
        <w:t>ing</w:t>
      </w:r>
      <w:r w:rsidRPr="00097064">
        <w:t xml:space="preserve"> a claim </w:t>
      </w:r>
      <w:r>
        <w:t>concerning</w:t>
      </w:r>
      <w:r w:rsidRPr="00097064">
        <w:t xml:space="preserve"> the </w:t>
      </w:r>
      <w:r w:rsidRPr="000D2D01">
        <w:rPr>
          <w:i/>
        </w:rPr>
        <w:t>rejection</w:t>
      </w:r>
      <w:r w:rsidRPr="00097064">
        <w:t xml:space="preserve"> of interest rates </w:t>
      </w:r>
      <w:r>
        <w:t>withi</w:t>
      </w:r>
      <w:r w:rsidRPr="00097064">
        <w:t xml:space="preserve">n China as benchmarks in a series of countervailing </w:t>
      </w:r>
      <w:r>
        <w:t>duty</w:t>
      </w:r>
      <w:r w:rsidRPr="00097064">
        <w:t xml:space="preserve"> investigations</w:t>
      </w:r>
      <w:r>
        <w:t xml:space="preserve"> conducted by the </w:t>
      </w:r>
      <w:r w:rsidRPr="004C20F2">
        <w:t>USDOC</w:t>
      </w:r>
      <w:r>
        <w:t>. In that context</w:t>
      </w:r>
      <w:r w:rsidR="00FF5DAA">
        <w:t>, the </w:t>
      </w:r>
      <w:r w:rsidR="000A10EA">
        <w:t>Appellate Body</w:t>
      </w:r>
      <w:r w:rsidRPr="00097064">
        <w:t xml:space="preserve"> provided guidance on the conditions</w:t>
      </w:r>
      <w:r>
        <w:t xml:space="preserve"> and sequence</w:t>
      </w:r>
      <w:r w:rsidRPr="00097064">
        <w:t xml:space="preserve"> that domestic investigating authorities should follow </w:t>
      </w:r>
      <w:r>
        <w:t>before</w:t>
      </w:r>
      <w:r w:rsidRPr="00097064">
        <w:t xml:space="preserve"> resorting to out-of-country benchmarks and</w:t>
      </w:r>
      <w:r>
        <w:t xml:space="preserve"> constructed</w:t>
      </w:r>
      <w:r w:rsidRPr="00097064">
        <w:t xml:space="preserve"> proxies for purposes of determining the appropriate market benchmark to conduct </w:t>
      </w:r>
      <w:r>
        <w:t>the</w:t>
      </w:r>
      <w:r w:rsidRPr="00097064">
        <w:t xml:space="preserve"> benefit </w:t>
      </w:r>
      <w:r>
        <w:t>analysis</w:t>
      </w:r>
      <w:r w:rsidRPr="00097064">
        <w:t>.</w:t>
      </w:r>
      <w:r>
        <w:t xml:space="preserve"> </w:t>
      </w:r>
    </w:p>
    <w:p w:rsidR="0007161B" w:rsidRDefault="0007161B" w:rsidP="003E742D">
      <w:pPr>
        <w:pStyle w:val="BodyText"/>
      </w:pPr>
      <w:r>
        <w:t xml:space="preserve">Given the specific context of the </w:t>
      </w:r>
      <w:r w:rsidR="000A10EA">
        <w:t>Appellate Body</w:t>
      </w:r>
      <w:r>
        <w:t xml:space="preserve">'s guidance, we recall that, in the present case, the focus of our assessment should be on </w:t>
      </w:r>
      <w:r w:rsidRPr="005C40DA">
        <w:t>whether, in identifying the project-specific risk premium, the Panel fulfilled</w:t>
      </w:r>
      <w:r>
        <w:t xml:space="preserve"> the </w:t>
      </w:r>
      <w:r w:rsidRPr="000D2D01">
        <w:rPr>
          <w:i/>
        </w:rPr>
        <w:t>substantive</w:t>
      </w:r>
      <w:r>
        <w:t xml:space="preserve"> requirement of ensuring that the market benchmark is "comparable</w:t>
      </w:r>
      <w:r w:rsidRPr="00C06575">
        <w:t>" because it has</w:t>
      </w:r>
      <w:r w:rsidRPr="00097064">
        <w:t xml:space="preserve"> </w:t>
      </w:r>
      <w:r>
        <w:t>"</w:t>
      </w:r>
      <w:r w:rsidRPr="00EA62A6">
        <w:rPr>
          <w:i/>
        </w:rPr>
        <w:t>as many elements as possible</w:t>
      </w:r>
      <w:r w:rsidRPr="00097064">
        <w:t xml:space="preserve"> in common with the investigated loan"</w:t>
      </w:r>
      <w:r>
        <w:t>.</w:t>
      </w:r>
      <w:r w:rsidRPr="00097064">
        <w:rPr>
          <w:rStyle w:val="FootnoteReference"/>
        </w:rPr>
        <w:footnoteReference w:id="619"/>
      </w:r>
      <w:r>
        <w:t xml:space="preserve"> In this sense, we agree with the </w:t>
      </w:r>
      <w:r w:rsidR="000A10EA">
        <w:t>European Union</w:t>
      </w:r>
      <w:r w:rsidRPr="00097064">
        <w:t xml:space="preserve"> that</w:t>
      </w:r>
      <w:r>
        <w:t>,</w:t>
      </w:r>
      <w:r w:rsidRPr="00097064">
        <w:t xml:space="preserve"> "{i}f a properly-executed progressive search for a benchmark nonetheless results in an imperfect match, with the selection of a commercial loan that reflects </w:t>
      </w:r>
      <w:r w:rsidRPr="00DB1CF8">
        <w:rPr>
          <w:i/>
        </w:rPr>
        <w:t>differences</w:t>
      </w:r>
      <w:r w:rsidRPr="00097064">
        <w:t xml:space="preserve"> with the investigated loan, </w:t>
      </w:r>
      <w:r w:rsidRPr="00DB1CF8">
        <w:rPr>
          <w:i/>
        </w:rPr>
        <w:t>adjustments</w:t>
      </w:r>
      <w:r w:rsidRPr="00097064">
        <w:t xml:space="preserve"> must be made to ensure comparability with the investigated loan."</w:t>
      </w:r>
      <w:r w:rsidRPr="00097064">
        <w:rPr>
          <w:rStyle w:val="FootnoteReference"/>
        </w:rPr>
        <w:footnoteReference w:id="620"/>
      </w:r>
      <w:r>
        <w:t xml:space="preserve"> Indeed, adjustments may be required in situations where the </w:t>
      </w:r>
      <w:r w:rsidRPr="00A32CCA">
        <w:t>differences</w:t>
      </w:r>
      <w:r>
        <w:t xml:space="preserve"> between the government loan and the benchmark loan are such that the benchmark loan is no longer "comparable" to the government loan (e.g. </w:t>
      </w:r>
      <w:r w:rsidRPr="00097064">
        <w:t>in terms of timing, structure, maturity, size</w:t>
      </w:r>
      <w:r>
        <w:t>,</w:t>
      </w:r>
      <w:r w:rsidRPr="00097064">
        <w:t xml:space="preserve"> </w:t>
      </w:r>
      <w:r>
        <w:t xml:space="preserve">or </w:t>
      </w:r>
      <w:r w:rsidRPr="00097064">
        <w:t>currency</w:t>
      </w:r>
      <w:r>
        <w:t>).</w:t>
      </w:r>
      <w:r>
        <w:rPr>
          <w:rStyle w:val="FootnoteReference"/>
        </w:rPr>
        <w:footnoteReference w:id="621"/>
      </w:r>
    </w:p>
    <w:p w:rsidR="0007161B" w:rsidRDefault="0007161B" w:rsidP="003E742D">
      <w:pPr>
        <w:pStyle w:val="BodyText"/>
      </w:pPr>
      <w:bookmarkStart w:id="86" w:name="_Ref494897781"/>
      <w:r>
        <w:t xml:space="preserve">While we agree that relevant differences between a government loan and the benchmark loan may require adjustments, </w:t>
      </w:r>
      <w:r w:rsidRPr="00097064">
        <w:t xml:space="preserve">the </w:t>
      </w:r>
      <w:r w:rsidR="000A10EA">
        <w:t>European Union</w:t>
      </w:r>
      <w:r w:rsidRPr="00097064">
        <w:t xml:space="preserve"> seems to </w:t>
      </w:r>
      <w:r w:rsidRPr="000272F0">
        <w:rPr>
          <w:i/>
        </w:rPr>
        <w:t>assume</w:t>
      </w:r>
      <w:r w:rsidRPr="00097064">
        <w:t xml:space="preserve"> that the fact that the Panel found </w:t>
      </w:r>
      <w:r>
        <w:t>certain</w:t>
      </w:r>
      <w:r w:rsidRPr="00097064">
        <w:t xml:space="preserve"> differences in </w:t>
      </w:r>
      <w:r>
        <w:t xml:space="preserve">the risks at issue </w:t>
      </w:r>
      <w:r w:rsidRPr="000272F0">
        <w:rPr>
          <w:i/>
        </w:rPr>
        <w:t>necessarily means</w:t>
      </w:r>
      <w:r w:rsidRPr="00001C97">
        <w:t xml:space="preserve"> that adjustments were required</w:t>
      </w:r>
      <w:r>
        <w:t>. As explained below, we do not consider this to be correct in the present case. As a starting point, in assessing</w:t>
      </w:r>
      <w:r w:rsidRPr="00AD360A">
        <w:t xml:space="preserve"> the risk differences</w:t>
      </w:r>
      <w:r>
        <w:t xml:space="preserve"> </w:t>
      </w:r>
      <w:r w:rsidRPr="00AD360A">
        <w:t>between the A350XWB and A380 projects</w:t>
      </w:r>
      <w:r>
        <w:t>, the Panel explained why, despite certain differences in the categories of risk examined, it did not necessarily follow that adjustments to the WRP were justified. We recall that, i</w:t>
      </w:r>
      <w:r w:rsidRPr="00AD360A">
        <w:t xml:space="preserve">n assessing the </w:t>
      </w:r>
      <w:r w:rsidR="000A10EA">
        <w:t>United States</w:t>
      </w:r>
      <w:r w:rsidRPr="00AD360A">
        <w:t>' alternative project-specific risk premium (i.e. the WRP), the Panel set out to examine the</w:t>
      </w:r>
      <w:r>
        <w:t xml:space="preserve"> risk </w:t>
      </w:r>
      <w:r w:rsidRPr="00097064">
        <w:t xml:space="preserve">differences that </w:t>
      </w:r>
      <w:r>
        <w:t>"</w:t>
      </w:r>
      <w:r w:rsidRPr="00097064">
        <w:t xml:space="preserve">may affect the project-specific risk premium". In light of the parties' arguments, the Panel focused its analysis on three main issues, or categories of </w:t>
      </w:r>
      <w:r>
        <w:t>risk: (i) </w:t>
      </w:r>
      <w:r w:rsidRPr="00AD360A">
        <w:t xml:space="preserve">programme risk; (ii) the price of risk; and (iii) contract risk. </w:t>
      </w:r>
      <w:r>
        <w:t xml:space="preserve">The nature of this analysis shows that the Panel was not assessing whether the risks associated with the </w:t>
      </w:r>
      <w:r w:rsidRPr="00AD360A">
        <w:t>A350XWB and A380 projects</w:t>
      </w:r>
      <w:r>
        <w:t xml:space="preserve"> were similar </w:t>
      </w:r>
      <w:r w:rsidRPr="005237D3">
        <w:rPr>
          <w:i/>
        </w:rPr>
        <w:t>in the abstract</w:t>
      </w:r>
      <w:r>
        <w:t xml:space="preserve">. Rather, </w:t>
      </w:r>
      <w:r w:rsidRPr="00AD360A">
        <w:t xml:space="preserve">the Panel </w:t>
      </w:r>
      <w:r>
        <w:t>sought</w:t>
      </w:r>
      <w:r w:rsidRPr="00AD360A">
        <w:t xml:space="preserve"> to make an </w:t>
      </w:r>
      <w:r w:rsidRPr="00AD360A">
        <w:rPr>
          <w:i/>
        </w:rPr>
        <w:t>overall</w:t>
      </w:r>
      <w:r w:rsidRPr="00AD360A">
        <w:t xml:space="preserve"> assessment of </w:t>
      </w:r>
      <w:r>
        <w:t xml:space="preserve">the relative risk categories and risk profiles </w:t>
      </w:r>
      <w:r w:rsidRPr="00AD360A">
        <w:t>between the A350XWB and A380 projects</w:t>
      </w:r>
      <w:r>
        <w:t xml:space="preserve"> with</w:t>
      </w:r>
      <w:r w:rsidRPr="00AD360A">
        <w:t xml:space="preserve"> one </w:t>
      </w:r>
      <w:r w:rsidRPr="00AD360A">
        <w:rPr>
          <w:i/>
        </w:rPr>
        <w:t>specific</w:t>
      </w:r>
      <w:r w:rsidRPr="00AD360A">
        <w:t xml:space="preserve"> objective: </w:t>
      </w:r>
      <w:r>
        <w:t xml:space="preserve">to </w:t>
      </w:r>
      <w:r w:rsidRPr="00AD360A">
        <w:t>determin</w:t>
      </w:r>
      <w:r>
        <w:t>e</w:t>
      </w:r>
      <w:r w:rsidRPr="00AD360A">
        <w:t xml:space="preserve"> whether the </w:t>
      </w:r>
      <w:r w:rsidRPr="00AD360A">
        <w:rPr>
          <w:i/>
        </w:rPr>
        <w:t>overall</w:t>
      </w:r>
      <w:r w:rsidRPr="00AD360A">
        <w:t xml:space="preserve"> project-specific risks between the two </w:t>
      </w:r>
      <w:r>
        <w:t>projects</w:t>
      </w:r>
      <w:r w:rsidRPr="00AD360A">
        <w:t xml:space="preserve"> </w:t>
      </w:r>
      <w:r>
        <w:t>were</w:t>
      </w:r>
      <w:r w:rsidRPr="00AD360A">
        <w:t xml:space="preserve"> sufficiently similar, "such that it would be reasonable to conclude that the WRP could be used as the project-specific risk premium</w:t>
      </w:r>
      <w:r w:rsidRPr="00097064">
        <w:t xml:space="preserve"> for the A350XWB".</w:t>
      </w:r>
      <w:r w:rsidRPr="00097064">
        <w:rPr>
          <w:rStyle w:val="FootnoteReference"/>
        </w:rPr>
        <w:footnoteReference w:id="622"/>
      </w:r>
      <w:r>
        <w:t xml:space="preserve"> Had the Panel intended to carry out such an analysis without the mentioned specific objective, then the existence of differences among the categories of risk may well have merited adjustments. However, as noted, the Panel was scrutinizing whether the</w:t>
      </w:r>
      <w:r w:rsidRPr="00AD360A">
        <w:t xml:space="preserve"> project-specific risks of the A350XWB </w:t>
      </w:r>
      <w:r>
        <w:t>project</w:t>
      </w:r>
      <w:r w:rsidRPr="00AD360A">
        <w:t xml:space="preserve"> </w:t>
      </w:r>
      <w:r>
        <w:t>were</w:t>
      </w:r>
      <w:r w:rsidRPr="00AD360A">
        <w:t xml:space="preserve"> sufficiently similar to </w:t>
      </w:r>
      <w:r w:rsidRPr="00AD360A">
        <w:lastRenderedPageBreak/>
        <w:t xml:space="preserve">those of the A380 </w:t>
      </w:r>
      <w:r>
        <w:t>project such as to warrant use of the WRP to measure the risks associated with the former project while ensuring that it did not make a "false" finding that a benefit existed, where there was none.</w:t>
      </w:r>
      <w:bookmarkEnd w:id="86"/>
    </w:p>
    <w:p w:rsidR="0007161B" w:rsidRDefault="0007161B" w:rsidP="003E742D">
      <w:pPr>
        <w:pStyle w:val="BodyText"/>
      </w:pPr>
      <w:r>
        <w:t xml:space="preserve">Having said that, we observe that, in the present case, </w:t>
      </w:r>
      <w:r w:rsidRPr="00097064">
        <w:t xml:space="preserve">it is not possible to determine </w:t>
      </w:r>
      <w:r w:rsidR="009E298E">
        <w:rPr>
          <w:i/>
        </w:rPr>
        <w:t>in </w:t>
      </w:r>
      <w:r w:rsidRPr="003A2679">
        <w:rPr>
          <w:i/>
        </w:rPr>
        <w:t>the abstract</w:t>
      </w:r>
      <w:r w:rsidRPr="00097064">
        <w:t xml:space="preserve"> whether the Panel ought to have made adjustments to the WRP to ensure that it ha</w:t>
      </w:r>
      <w:r>
        <w:t>d</w:t>
      </w:r>
      <w:r w:rsidRPr="00097064">
        <w:t xml:space="preserve"> as many elements as possible in common with the </w:t>
      </w:r>
      <w:r w:rsidRPr="00286829">
        <w:t>A350XWB LA/MSF contracts</w:t>
      </w:r>
      <w:r w:rsidRPr="00097064">
        <w:t xml:space="preserve">. </w:t>
      </w:r>
      <w:r w:rsidR="00FF5DAA">
        <w:t>Instead, this </w:t>
      </w:r>
      <w:r w:rsidRPr="007952DD">
        <w:t xml:space="preserve">determination requires examining whether the Panel found </w:t>
      </w:r>
      <w:r w:rsidRPr="007952DD">
        <w:rPr>
          <w:i/>
        </w:rPr>
        <w:t>specific</w:t>
      </w:r>
      <w:r w:rsidRPr="007952DD">
        <w:t xml:space="preserve"> differences</w:t>
      </w:r>
      <w:r>
        <w:t xml:space="preserve"> in the risk profiles of</w:t>
      </w:r>
      <w:r w:rsidRPr="007952DD">
        <w:t xml:space="preserve"> the A350XWB and A380 projects that would </w:t>
      </w:r>
      <w:r w:rsidRPr="007952DD">
        <w:rPr>
          <w:i/>
        </w:rPr>
        <w:t>affect the comparability</w:t>
      </w:r>
      <w:r w:rsidR="00721BD0">
        <w:t xml:space="preserve"> of the WRP as the project</w:t>
      </w:r>
      <w:r w:rsidR="00721BD0">
        <w:noBreakHyphen/>
      </w:r>
      <w:r w:rsidRPr="007952DD">
        <w:t>specific risk premium.</w:t>
      </w:r>
      <w:r>
        <w:t xml:space="preserve"> We will undertake this assessment when we address </w:t>
      </w:r>
      <w:r w:rsidRPr="00097064">
        <w:t xml:space="preserve">the </w:t>
      </w:r>
      <w:r w:rsidR="000A10EA">
        <w:t>European Union</w:t>
      </w:r>
      <w:r w:rsidRPr="00097064">
        <w:t xml:space="preserve">'s criticism of the extensive </w:t>
      </w:r>
      <w:r w:rsidRPr="00001C97">
        <w:t xml:space="preserve">analysis conducted by the Panel </w:t>
      </w:r>
      <w:r>
        <w:t xml:space="preserve">in </w:t>
      </w:r>
      <w:r w:rsidRPr="00001C97">
        <w:t>comparing the risks associated with the A350XWB project with those of the A380 project.</w:t>
      </w:r>
      <w:r>
        <w:t xml:space="preserve"> Indeed, the </w:t>
      </w:r>
      <w:r w:rsidR="000A10EA">
        <w:t>European Union</w:t>
      </w:r>
      <w:r>
        <w:t xml:space="preserve"> challenges under </w:t>
      </w:r>
      <w:r w:rsidR="000A10EA">
        <w:t>Article </w:t>
      </w:r>
      <w:r>
        <w:t>11 of the DSU the Panel's findings regarding the three main categories of risk assessed by the Panel: (i) programme risk; (ii) contract risk; and (iii) the price of risk.</w:t>
      </w:r>
      <w:r>
        <w:rPr>
          <w:rStyle w:val="FootnoteReference"/>
        </w:rPr>
        <w:footnoteReference w:id="623"/>
      </w:r>
      <w:r>
        <w:t xml:space="preserve"> </w:t>
      </w:r>
      <w:r w:rsidR="009E298E">
        <w:t>Our </w:t>
      </w:r>
      <w:r w:rsidRPr="00001C97">
        <w:t xml:space="preserve">analysis of the Panel's </w:t>
      </w:r>
      <w:r w:rsidRPr="00A453EC">
        <w:t xml:space="preserve">comparative assessment of the risk differences between the A350XWB and A380 projects is found in </w:t>
      </w:r>
      <w:r w:rsidRPr="00145239">
        <w:t xml:space="preserve">section </w:t>
      </w:r>
      <w:r w:rsidR="0076346B" w:rsidRPr="00145239">
        <w:t>5.3.2.3</w:t>
      </w:r>
      <w:r w:rsidR="00B83DBC" w:rsidRPr="00145239">
        <w:t xml:space="preserve"> </w:t>
      </w:r>
      <w:r w:rsidRPr="00145239">
        <w:t>below</w:t>
      </w:r>
      <w:r w:rsidRPr="00A453EC">
        <w:t>.</w:t>
      </w:r>
    </w:p>
    <w:p w:rsidR="0007161B" w:rsidRPr="006C3615" w:rsidRDefault="0007161B" w:rsidP="003E742D">
      <w:pPr>
        <w:pStyle w:val="BodyText"/>
      </w:pPr>
      <w:r>
        <w:t>T</w:t>
      </w:r>
      <w:r w:rsidRPr="00001C97">
        <w:t xml:space="preserve">he </w:t>
      </w:r>
      <w:r w:rsidR="000A10EA">
        <w:t>European Union</w:t>
      </w:r>
      <w:r w:rsidRPr="00001C97">
        <w:t xml:space="preserve"> </w:t>
      </w:r>
      <w:r>
        <w:t xml:space="preserve">also </w:t>
      </w:r>
      <w:r w:rsidRPr="00001C97">
        <w:t xml:space="preserve">asserts that "the Panel failed to make </w:t>
      </w:r>
      <w:r w:rsidRPr="005C6E10">
        <w:rPr>
          <w:i/>
        </w:rPr>
        <w:t>any</w:t>
      </w:r>
      <w:r w:rsidRPr="00001C97">
        <w:t xml:space="preserve"> adjustments to account for the{} differences {in terms of market risk, development risk, and contract risk}, leading to the potential for distortion, imprecision and inaccuracies</w:t>
      </w:r>
      <w:r w:rsidRPr="00097064">
        <w:t xml:space="preserve"> that risk false positive 'benefit' findings."</w:t>
      </w:r>
      <w:r w:rsidRPr="00097064">
        <w:rPr>
          <w:rStyle w:val="FootnoteReference"/>
        </w:rPr>
        <w:footnoteReference w:id="624"/>
      </w:r>
      <w:r w:rsidRPr="00097064">
        <w:t xml:space="preserve"> </w:t>
      </w:r>
      <w:r>
        <w:t xml:space="preserve">We </w:t>
      </w:r>
      <w:r w:rsidRPr="00E16C16">
        <w:t xml:space="preserve">recognize </w:t>
      </w:r>
      <w:r>
        <w:t xml:space="preserve">that </w:t>
      </w:r>
      <w:r w:rsidRPr="00E16C16">
        <w:t xml:space="preserve">difficulties may arise </w:t>
      </w:r>
      <w:r>
        <w:t>in situations where</w:t>
      </w:r>
      <w:r w:rsidRPr="00E16C16">
        <w:t xml:space="preserve"> a panel looks at different aspects of risks and combines them all into a cumulative</w:t>
      </w:r>
      <w:r>
        <w:t xml:space="preserve"> or overall</w:t>
      </w:r>
      <w:r w:rsidRPr="00E16C16">
        <w:t xml:space="preserve"> finding of </w:t>
      </w:r>
      <w:r>
        <w:t>"</w:t>
      </w:r>
      <w:r w:rsidRPr="00E16C16">
        <w:t>sufficient</w:t>
      </w:r>
      <w:r>
        <w:t xml:space="preserve"> similarity</w:t>
      </w:r>
      <w:r w:rsidRPr="00E16C16">
        <w:t>".</w:t>
      </w:r>
      <w:r>
        <w:t xml:space="preserve"> In these circumstances, a panel has the obligation to engage in a rigorous and critical analysis of all relevant evidence and arguments. Moreover, in conducting the benefit analysis, a panel must fulfil the </w:t>
      </w:r>
      <w:r w:rsidRPr="005C6E10">
        <w:rPr>
          <w:i/>
        </w:rPr>
        <w:t>substantive</w:t>
      </w:r>
      <w:r>
        <w:t xml:space="preserve"> requirement of ensuring that the market benchmark is "comparable</w:t>
      </w:r>
      <w:r w:rsidRPr="00C06575">
        <w:t>" because it has</w:t>
      </w:r>
      <w:r w:rsidRPr="00097064">
        <w:t xml:space="preserve"> </w:t>
      </w:r>
      <w:r>
        <w:t>"</w:t>
      </w:r>
      <w:r w:rsidRPr="00097064">
        <w:t>as many elements as possible in common with the investigated loan"</w:t>
      </w:r>
      <w:r>
        <w:t>.</w:t>
      </w:r>
      <w:r w:rsidRPr="00097064">
        <w:rPr>
          <w:rStyle w:val="FootnoteReference"/>
        </w:rPr>
        <w:footnoteReference w:id="625"/>
      </w:r>
      <w:r>
        <w:t xml:space="preserve"> While we agree with the </w:t>
      </w:r>
      <w:r w:rsidR="000A10EA">
        <w:t>European Union</w:t>
      </w:r>
      <w:r w:rsidRPr="00A20B2C">
        <w:t xml:space="preserve"> </w:t>
      </w:r>
      <w:r>
        <w:t xml:space="preserve">that the Panel was required to avoid </w:t>
      </w:r>
      <w:r w:rsidRPr="00A20B2C">
        <w:t xml:space="preserve">imprecision in </w:t>
      </w:r>
      <w:r>
        <w:t xml:space="preserve">its </w:t>
      </w:r>
      <w:r w:rsidRPr="00A20B2C">
        <w:t>selection of the project-specific risk premium</w:t>
      </w:r>
      <w:r>
        <w:t xml:space="preserve">, it is important to </w:t>
      </w:r>
      <w:r w:rsidRPr="00A20B2C">
        <w:t xml:space="preserve">bear in mind that the Panel itself also recognized that the </w:t>
      </w:r>
      <w:r w:rsidR="000A10EA">
        <w:t>European Union</w:t>
      </w:r>
      <w:r w:rsidRPr="00A20B2C">
        <w:t xml:space="preserve">'s </w:t>
      </w:r>
      <w:r w:rsidR="002E5003">
        <w:t>internal rates of return (</w:t>
      </w:r>
      <w:r w:rsidR="002E0F1D">
        <w:t>IRRs</w:t>
      </w:r>
      <w:r w:rsidR="002E5003">
        <w:t>)</w:t>
      </w:r>
      <w:r w:rsidRPr="00A20B2C">
        <w:t xml:space="preserve"> – which were used as a basis for the Panel's benefit analysis – may </w:t>
      </w:r>
      <w:r w:rsidRPr="005C6E10">
        <w:rPr>
          <w:i/>
        </w:rPr>
        <w:t>overstate</w:t>
      </w:r>
      <w:r w:rsidRPr="00A20B2C">
        <w:t xml:space="preserve"> the expected rates of return.</w:t>
      </w:r>
      <w:r>
        <w:rPr>
          <w:rStyle w:val="FootnoteReference"/>
        </w:rPr>
        <w:footnoteReference w:id="626"/>
      </w:r>
      <w:r w:rsidRPr="00A20B2C">
        <w:t xml:space="preserve"> </w:t>
      </w:r>
      <w:r>
        <w:t>In any event, we highlight that the f</w:t>
      </w:r>
      <w:r w:rsidRPr="00A20B2C">
        <w:t>ocus</w:t>
      </w:r>
      <w:r>
        <w:t xml:space="preserve"> of </w:t>
      </w:r>
      <w:r w:rsidRPr="00A20B2C">
        <w:t xml:space="preserve">our assessment </w:t>
      </w:r>
      <w:r>
        <w:t>is</w:t>
      </w:r>
      <w:r w:rsidRPr="00A20B2C">
        <w:t xml:space="preserve"> whether the Panel met the substantive requirement of conducting a benefit analysis on the basis of </w:t>
      </w:r>
      <w:r w:rsidRPr="005C6E10">
        <w:rPr>
          <w:i/>
        </w:rPr>
        <w:t>comparable</w:t>
      </w:r>
      <w:r w:rsidRPr="00A20B2C">
        <w:t xml:space="preserve"> government and benchmark loans</w:t>
      </w:r>
      <w:r w:rsidR="00FF5DAA">
        <w:t xml:space="preserve"> or </w:t>
      </w:r>
      <w:r>
        <w:t>proxies.</w:t>
      </w:r>
    </w:p>
    <w:p w:rsidR="0007161B" w:rsidRDefault="0007161B" w:rsidP="003E742D">
      <w:pPr>
        <w:pStyle w:val="BodyText"/>
      </w:pPr>
      <w:r w:rsidRPr="006C3615">
        <w:t xml:space="preserve">Furthermore, </w:t>
      </w:r>
      <w:r w:rsidRPr="00DE3164">
        <w:rPr>
          <w:i/>
        </w:rPr>
        <w:t xml:space="preserve">to the extent </w:t>
      </w:r>
      <w:r w:rsidRPr="00B6206D">
        <w:t>that</w:t>
      </w:r>
      <w:r w:rsidRPr="006C3615">
        <w:t xml:space="preserve"> the </w:t>
      </w:r>
      <w:r w:rsidR="000A10EA">
        <w:t>European Union</w:t>
      </w:r>
      <w:r w:rsidRPr="006C3615">
        <w:t xml:space="preserve"> </w:t>
      </w:r>
      <w:r>
        <w:t>argues</w:t>
      </w:r>
      <w:r w:rsidR="00FF5DAA">
        <w:t xml:space="preserve"> that applying a "single,</w:t>
      </w:r>
      <w:r w:rsidR="00D15139">
        <w:t> </w:t>
      </w:r>
      <w:r w:rsidRPr="006C3615">
        <w:t>undifferentiated project risk premium"</w:t>
      </w:r>
      <w:r w:rsidRPr="006C3615">
        <w:rPr>
          <w:rStyle w:val="FootnoteReference"/>
        </w:rPr>
        <w:footnoteReference w:id="627"/>
      </w:r>
      <w:r w:rsidRPr="006C3615">
        <w:t xml:space="preserve"> to several families of Airbus aircraft constitutes </w:t>
      </w:r>
      <w:r w:rsidRPr="006C3615">
        <w:rPr>
          <w:i/>
        </w:rPr>
        <w:t>per se</w:t>
      </w:r>
      <w:r w:rsidRPr="006C3615">
        <w:t xml:space="preserve"> legal error under </w:t>
      </w:r>
      <w:r w:rsidR="000A10EA">
        <w:t>Article </w:t>
      </w:r>
      <w:r w:rsidRPr="006C3615">
        <w:t>1.1(b)</w:t>
      </w:r>
      <w:r>
        <w:t>, we disagree.</w:t>
      </w:r>
      <w:r w:rsidRPr="00097064">
        <w:t xml:space="preserve"> </w:t>
      </w:r>
      <w:r>
        <w:t>I</w:t>
      </w:r>
      <w:r w:rsidRPr="00097064">
        <w:t>n the original proceedings, Professor Whitelaw derived the WRP</w:t>
      </w:r>
      <w:r>
        <w:t xml:space="preserve"> from the risk-sharing supplier contracts</w:t>
      </w:r>
      <w:r w:rsidRPr="00097064">
        <w:t xml:space="preserve"> </w:t>
      </w:r>
      <w:r>
        <w:t>for</w:t>
      </w:r>
      <w:r w:rsidRPr="00097064">
        <w:t xml:space="preserve"> the A380, and applied this project risk premium also to the A320, A3</w:t>
      </w:r>
      <w:r>
        <w:t>30/A340, A330-200, and A340</w:t>
      </w:r>
      <w:r>
        <w:noBreakHyphen/>
      </w:r>
      <w:r w:rsidRPr="00097064">
        <w:t xml:space="preserve">500/600 </w:t>
      </w:r>
      <w:r>
        <w:t>projects</w:t>
      </w:r>
      <w:r w:rsidRPr="00A01696">
        <w:t xml:space="preserve"> </w:t>
      </w:r>
      <w:r w:rsidRPr="00B12F2F">
        <w:rPr>
          <w:i/>
        </w:rPr>
        <w:t>without</w:t>
      </w:r>
      <w:r>
        <w:t xml:space="preserve"> making</w:t>
      </w:r>
      <w:r w:rsidRPr="00097064">
        <w:t xml:space="preserve"> </w:t>
      </w:r>
      <w:r w:rsidRPr="00B12F2F">
        <w:t>any</w:t>
      </w:r>
      <w:r w:rsidRPr="00097064">
        <w:t xml:space="preserve"> adjustments.</w:t>
      </w:r>
      <w:r w:rsidR="00721BD0">
        <w:rPr>
          <w:rStyle w:val="FootnoteReference"/>
        </w:rPr>
        <w:footnoteReference w:id="628"/>
      </w:r>
      <w:r w:rsidRPr="00097064">
        <w:t xml:space="preserve"> The original panel took issue with the notion of applying a "constant risk premium to </w:t>
      </w:r>
      <w:r w:rsidRPr="00B12F2F">
        <w:rPr>
          <w:i/>
        </w:rPr>
        <w:t>all</w:t>
      </w:r>
      <w:r w:rsidRPr="00097064">
        <w:t xml:space="preserve"> LCA projects"</w:t>
      </w:r>
      <w:r w:rsidRPr="00097064">
        <w:rPr>
          <w:rStyle w:val="FootnoteReference"/>
        </w:rPr>
        <w:footnoteReference w:id="629"/>
      </w:r>
      <w:r w:rsidRPr="00097064">
        <w:t>, but did not</w:t>
      </w:r>
      <w:r>
        <w:t xml:space="preserve"> </w:t>
      </w:r>
      <w:r>
        <w:rPr>
          <w:i/>
        </w:rPr>
        <w:t>a priori</w:t>
      </w:r>
      <w:r w:rsidRPr="00097064">
        <w:t xml:space="preserve"> see a problem with the application of the same risk premium to groups of aircraft. Indeed, the original panel divided the LCA projects into </w:t>
      </w:r>
      <w:r w:rsidRPr="00097064">
        <w:lastRenderedPageBreak/>
        <w:t>three groups: (i) the A300 and A310; (ii) the A320, A330/A340, A330</w:t>
      </w:r>
      <w:r>
        <w:noBreakHyphen/>
      </w:r>
      <w:r w:rsidRPr="00097064">
        <w:t>200, and A340</w:t>
      </w:r>
      <w:r w:rsidR="0076346B">
        <w:noBreakHyphen/>
        <w:t>500/600; and </w:t>
      </w:r>
      <w:r>
        <w:t>(iii) </w:t>
      </w:r>
      <w:r w:rsidRPr="00097064">
        <w:t xml:space="preserve">the A380. </w:t>
      </w:r>
      <w:r>
        <w:t>T</w:t>
      </w:r>
      <w:r w:rsidRPr="00097064">
        <w:t xml:space="preserve">he </w:t>
      </w:r>
      <w:r w:rsidR="000A10EA">
        <w:t>Appellate Body</w:t>
      </w:r>
      <w:r w:rsidRPr="00097064">
        <w:t xml:space="preserve"> did not fault the </w:t>
      </w:r>
      <w:r>
        <w:t>original p</w:t>
      </w:r>
      <w:r w:rsidRPr="00097064">
        <w:t xml:space="preserve">anel for doing so. In fact, the </w:t>
      </w:r>
      <w:r w:rsidR="000A10EA">
        <w:t>Appellate Body</w:t>
      </w:r>
      <w:r w:rsidRPr="00097064">
        <w:t xml:space="preserve"> indicated that it was not "inappropriate </w:t>
      </w:r>
      <w:r w:rsidRPr="00B12F2F">
        <w:rPr>
          <w:i/>
        </w:rPr>
        <w:t>per se</w:t>
      </w:r>
      <w:r w:rsidRPr="00097064">
        <w:t xml:space="preserve"> for the {original</w:t>
      </w:r>
      <w:r>
        <w:t xml:space="preserve"> p</w:t>
      </w:r>
      <w:r w:rsidRPr="00097064">
        <w:t>anel} to have arranged the LCA projects into groups and to have det</w:t>
      </w:r>
      <w:r>
        <w:t>ermined a range for the project</w:t>
      </w:r>
      <w:r>
        <w:noBreakHyphen/>
      </w:r>
      <w:r w:rsidRPr="00097064">
        <w:t>specific risk premium applicable to the LCA projects within each group".</w:t>
      </w:r>
      <w:r w:rsidRPr="00097064">
        <w:rPr>
          <w:rStyle w:val="FootnoteReference"/>
        </w:rPr>
        <w:footnoteReference w:id="630"/>
      </w:r>
      <w:r>
        <w:t xml:space="preserve"> Moreover, provided that </w:t>
      </w:r>
      <w:r w:rsidRPr="00097064">
        <w:t>the government loan a</w:t>
      </w:r>
      <w:r>
        <w:t>nd the benchmark loan or proxy have "as </w:t>
      </w:r>
      <w:r w:rsidRPr="00097064">
        <w:t>many elements as possible in common"</w:t>
      </w:r>
      <w:r>
        <w:rPr>
          <w:rStyle w:val="FootnoteReference"/>
        </w:rPr>
        <w:footnoteReference w:id="631"/>
      </w:r>
      <w:r>
        <w:t xml:space="preserve">, it is possible to design a project-specific risk premium for a project in one group of aircraft (e.g. twin-aisle </w:t>
      </w:r>
      <w:r w:rsidR="00721BD0">
        <w:t xml:space="preserve">LCA </w:t>
      </w:r>
      <w:r>
        <w:t xml:space="preserve">such as the </w:t>
      </w:r>
      <w:r w:rsidRPr="00001C97">
        <w:t>A350XWB</w:t>
      </w:r>
      <w:r>
        <w:t xml:space="preserve">) on the basis of information related to </w:t>
      </w:r>
      <w:r w:rsidRPr="00AF539E">
        <w:rPr>
          <w:i/>
        </w:rPr>
        <w:t>another</w:t>
      </w:r>
      <w:r>
        <w:t xml:space="preserve"> group of aircraft (e.g. </w:t>
      </w:r>
      <w:r w:rsidR="00721BD0">
        <w:t>VLA</w:t>
      </w:r>
      <w:r>
        <w:t xml:space="preserve"> such as the A380), when it is established that the risk profiles of both projects are either sufficiently similar or appropriate adjustments are made.</w:t>
      </w:r>
      <w:r w:rsidRPr="00097064">
        <w:t xml:space="preserve"> Therefore, </w:t>
      </w:r>
      <w:r>
        <w:t>applying a</w:t>
      </w:r>
      <w:r w:rsidRPr="00001C97">
        <w:t xml:space="preserve"> single, undifferentiated project risk premium derived from the A3</w:t>
      </w:r>
      <w:r w:rsidR="00D15139">
        <w:t>80 project to financing for the </w:t>
      </w:r>
      <w:r w:rsidRPr="00001C97">
        <w:t>A350XWB project</w:t>
      </w:r>
      <w:r>
        <w:t xml:space="preserve"> does not constitute </w:t>
      </w:r>
      <w:r>
        <w:rPr>
          <w:i/>
        </w:rPr>
        <w:t>per se</w:t>
      </w:r>
      <w:r>
        <w:t xml:space="preserve"> legal error under </w:t>
      </w:r>
      <w:r w:rsidR="000A10EA">
        <w:t>Article </w:t>
      </w:r>
      <w:r>
        <w:t>1.1(b).</w:t>
      </w:r>
    </w:p>
    <w:p w:rsidR="0007161B" w:rsidRDefault="0007161B" w:rsidP="003E742D">
      <w:pPr>
        <w:pStyle w:val="BodyText"/>
      </w:pPr>
      <w:r>
        <w:t xml:space="preserve">In sum, </w:t>
      </w:r>
      <w:r w:rsidR="00E05F1C">
        <w:t xml:space="preserve">we </w:t>
      </w:r>
      <w:r w:rsidR="00E05F1C">
        <w:rPr>
          <w:u w:val="single"/>
        </w:rPr>
        <w:t>find</w:t>
      </w:r>
      <w:r w:rsidR="00E05F1C">
        <w:t xml:space="preserve"> that </w:t>
      </w:r>
      <w:r>
        <w:t xml:space="preserve">the </w:t>
      </w:r>
      <w:r w:rsidR="000A10EA">
        <w:t>European Union</w:t>
      </w:r>
      <w:r w:rsidRPr="00097064">
        <w:t xml:space="preserve"> </w:t>
      </w:r>
      <w:r>
        <w:t xml:space="preserve">has not established </w:t>
      </w:r>
      <w:r w:rsidRPr="00097064">
        <w:t xml:space="preserve">that the Panel erred </w:t>
      </w:r>
      <w:r>
        <w:t xml:space="preserve">in its application of </w:t>
      </w:r>
      <w:r w:rsidR="000A10EA">
        <w:t>Article </w:t>
      </w:r>
      <w:r>
        <w:t xml:space="preserve">1.1(b) of the </w:t>
      </w:r>
      <w:r w:rsidR="000A10EA">
        <w:t>SCM Agreement</w:t>
      </w:r>
      <w:r>
        <w:t xml:space="preserve"> merely because it applied</w:t>
      </w:r>
      <w:r w:rsidRPr="0049011E">
        <w:t xml:space="preserve"> </w:t>
      </w:r>
      <w:r w:rsidRPr="00097064">
        <w:t xml:space="preserve">a single, </w:t>
      </w:r>
      <w:r w:rsidRPr="00001C97">
        <w:t>undifferentiated project risk premium derived from the A380 project to the A350XWB project</w:t>
      </w:r>
      <w:r>
        <w:t>. Whether such a risk premium could be used</w:t>
      </w:r>
      <w:r w:rsidRPr="00001C97">
        <w:t xml:space="preserve"> </w:t>
      </w:r>
      <w:r>
        <w:t>"</w:t>
      </w:r>
      <w:r w:rsidRPr="0049011E">
        <w:rPr>
          <w:i/>
        </w:rPr>
        <w:t xml:space="preserve">without making </w:t>
      </w:r>
      <w:r w:rsidRPr="00721BD0">
        <w:rPr>
          <w:i/>
        </w:rPr>
        <w:t>adjustments in light of differences between the two projects</w:t>
      </w:r>
      <w:r>
        <w:t>"</w:t>
      </w:r>
      <w:r w:rsidRPr="00001C97">
        <w:rPr>
          <w:rStyle w:val="FootnoteReference"/>
        </w:rPr>
        <w:footnoteReference w:id="632"/>
      </w:r>
      <w:r>
        <w:t xml:space="preserve"> depended on whether the risk profile of the </w:t>
      </w:r>
      <w:r w:rsidRPr="00001C97">
        <w:t xml:space="preserve">A380 project </w:t>
      </w:r>
      <w:r>
        <w:t xml:space="preserve">was sufficiently similar </w:t>
      </w:r>
      <w:r w:rsidRPr="00001C97">
        <w:t xml:space="preserve">to the </w:t>
      </w:r>
      <w:r>
        <w:t xml:space="preserve">risk </w:t>
      </w:r>
      <w:r w:rsidRPr="00A453EC">
        <w:t xml:space="preserve">profile of the A350XWB project so as to be "comparable". We return to this question </w:t>
      </w:r>
      <w:r w:rsidRPr="00145239">
        <w:t>in section </w:t>
      </w:r>
      <w:r w:rsidR="0076346B" w:rsidRPr="00145239">
        <w:t xml:space="preserve">5.3.2.3 </w:t>
      </w:r>
      <w:r w:rsidRPr="00145239">
        <w:t>below</w:t>
      </w:r>
      <w:r w:rsidRPr="00A453EC">
        <w:t xml:space="preserve">, which addresses the </w:t>
      </w:r>
      <w:r w:rsidR="000A10EA">
        <w:t>European Union</w:t>
      </w:r>
      <w:r w:rsidRPr="00A453EC">
        <w:t>'s claim that the Panel acted inconsistently with</w:t>
      </w:r>
      <w:r w:rsidRPr="00097064">
        <w:t xml:space="preserve"> </w:t>
      </w:r>
      <w:r w:rsidR="000A10EA">
        <w:t>Article </w:t>
      </w:r>
      <w:r w:rsidRPr="00097064">
        <w:t>11 of the DSU</w:t>
      </w:r>
      <w:r>
        <w:t xml:space="preserve"> by finding</w:t>
      </w:r>
      <w:r w:rsidRPr="00171025">
        <w:t xml:space="preserve"> that </w:t>
      </w:r>
      <w:r w:rsidRPr="00097064">
        <w:t xml:space="preserve">the project risk premium developed for the </w:t>
      </w:r>
      <w:r w:rsidRPr="00171025">
        <w:t xml:space="preserve">A380 project is a suitable benchmark for the A350XWB project </w:t>
      </w:r>
      <w:r>
        <w:t xml:space="preserve">on the basis that </w:t>
      </w:r>
      <w:r w:rsidRPr="00171025">
        <w:t>the risks posed by the A380 and A350XWB projects</w:t>
      </w:r>
      <w:r w:rsidRPr="00097064">
        <w:t xml:space="preserve"> </w:t>
      </w:r>
      <w:r>
        <w:t>are</w:t>
      </w:r>
      <w:r w:rsidRPr="00097064">
        <w:t xml:space="preserve"> similar.</w:t>
      </w:r>
      <w:r w:rsidRPr="00097064">
        <w:rPr>
          <w:rStyle w:val="FootnoteReference"/>
        </w:rPr>
        <w:footnoteReference w:id="633"/>
      </w:r>
    </w:p>
    <w:p w:rsidR="0007161B" w:rsidRPr="00E535B9" w:rsidRDefault="0007161B" w:rsidP="003E742D">
      <w:pPr>
        <w:pStyle w:val="Heading5"/>
      </w:pPr>
      <w:bookmarkStart w:id="87" w:name="_Toc514059230"/>
      <w:r>
        <w:t xml:space="preserve">Whether </w:t>
      </w:r>
      <w:r w:rsidRPr="00D12164">
        <w:t xml:space="preserve">the Panel acted inconsistently with </w:t>
      </w:r>
      <w:r w:rsidR="000A10EA">
        <w:t>Article </w:t>
      </w:r>
      <w:r w:rsidRPr="00D12164">
        <w:t>11 of the DSU</w:t>
      </w:r>
      <w:bookmarkEnd w:id="87"/>
    </w:p>
    <w:p w:rsidR="0007161B" w:rsidRDefault="0007161B" w:rsidP="003E742D">
      <w:pPr>
        <w:pStyle w:val="BodyText"/>
      </w:pPr>
      <w:r w:rsidRPr="00097064">
        <w:t xml:space="preserve">The </w:t>
      </w:r>
      <w:r w:rsidR="000A10EA">
        <w:t>European Union</w:t>
      </w:r>
      <w:r w:rsidRPr="00097064">
        <w:t xml:space="preserve"> also claims that the Panel acted inconsistently with </w:t>
      </w:r>
      <w:r w:rsidR="000A10EA">
        <w:t>Article </w:t>
      </w:r>
      <w:r w:rsidRPr="00097064">
        <w:t xml:space="preserve">11 of the DSU by failing to establish a project risk premium for A350XWB LA/MSF </w:t>
      </w:r>
      <w:r w:rsidRPr="00001C97">
        <w:t>based on the risks associated with the A350XWB project. The</w:t>
      </w:r>
      <w:r w:rsidRPr="00097064">
        <w:t xml:space="preserve"> </w:t>
      </w:r>
      <w:r w:rsidR="000A10EA">
        <w:t>European Union</w:t>
      </w:r>
      <w:r w:rsidRPr="00097064">
        <w:t xml:space="preserve"> advances two lines of argumentation in support of its claim</w:t>
      </w:r>
      <w:r>
        <w:t xml:space="preserve">. First, </w:t>
      </w:r>
      <w:r w:rsidRPr="00097064">
        <w:t xml:space="preserve">the Panel failed to consider alternative, </w:t>
      </w:r>
      <w:r>
        <w:t xml:space="preserve">and </w:t>
      </w:r>
      <w:r w:rsidRPr="00097064">
        <w:t>more appropriate</w:t>
      </w:r>
      <w:r>
        <w:t>,</w:t>
      </w:r>
      <w:r w:rsidRPr="00097064">
        <w:t xml:space="preserve"> benchmarks </w:t>
      </w:r>
      <w:r>
        <w:t>than those</w:t>
      </w:r>
      <w:r w:rsidRPr="00097064">
        <w:t xml:space="preserve"> proposed by the </w:t>
      </w:r>
      <w:r w:rsidR="000A10EA">
        <w:t>United States</w:t>
      </w:r>
      <w:r>
        <w:t xml:space="preserve">. Second, </w:t>
      </w:r>
      <w:r w:rsidRPr="00097064">
        <w:t>the Panel inappropriately deviated from the original panel's findings when it adopted a constant, undifferentiated project risk premium not tailored to the risks associated with LA/MSF for the A350XWB.</w:t>
      </w:r>
      <w:r w:rsidRPr="00097064">
        <w:rPr>
          <w:rStyle w:val="FootnoteReference"/>
        </w:rPr>
        <w:footnoteReference w:id="634"/>
      </w:r>
      <w:r>
        <w:t xml:space="preserve"> We examine each of these two lines of argumentation below.</w:t>
      </w:r>
    </w:p>
    <w:p w:rsidR="0007161B" w:rsidRDefault="0007161B" w:rsidP="003E742D">
      <w:pPr>
        <w:pStyle w:val="BodyText"/>
      </w:pPr>
      <w:r>
        <w:t>In its first line of argumentation, t</w:t>
      </w:r>
      <w:r w:rsidRPr="00001C97">
        <w:t xml:space="preserve">he </w:t>
      </w:r>
      <w:r w:rsidR="000A10EA">
        <w:t>European Union</w:t>
      </w:r>
      <w:r w:rsidRPr="00001C97">
        <w:t xml:space="preserve"> alleges that, when accepting the A380 project risk premium</w:t>
      </w:r>
      <w:r w:rsidRPr="00097064">
        <w:t xml:space="preserve"> as a benchmark for the </w:t>
      </w:r>
      <w:r>
        <w:t xml:space="preserve">four </w:t>
      </w:r>
      <w:r w:rsidRPr="0084026D">
        <w:t>A350XWB LA/MSF contracts</w:t>
      </w:r>
      <w:r w:rsidRPr="00097064">
        <w:t>, the Panel failed to consider alternative</w:t>
      </w:r>
      <w:r>
        <w:t>,</w:t>
      </w:r>
      <w:r w:rsidRPr="00097064">
        <w:t xml:space="preserve"> </w:t>
      </w:r>
      <w:r>
        <w:t xml:space="preserve">and </w:t>
      </w:r>
      <w:r w:rsidRPr="00097064">
        <w:t>more appropriate</w:t>
      </w:r>
      <w:r>
        <w:t>,</w:t>
      </w:r>
      <w:r w:rsidRPr="00097064">
        <w:t xml:space="preserve"> benchmarks </w:t>
      </w:r>
      <w:r>
        <w:t>than those</w:t>
      </w:r>
      <w:r w:rsidRPr="00097064">
        <w:t xml:space="preserve"> proposed by the </w:t>
      </w:r>
      <w:r w:rsidR="000A10EA">
        <w:t>United States</w:t>
      </w:r>
      <w:r w:rsidRPr="00097064">
        <w:t xml:space="preserve">. The </w:t>
      </w:r>
      <w:r w:rsidR="000A10EA">
        <w:t>European Union</w:t>
      </w:r>
      <w:r w:rsidRPr="00097064">
        <w:t xml:space="preserve"> maintains that this is inconsistent with the </w:t>
      </w:r>
      <w:r w:rsidR="000A10EA">
        <w:t>Appellate Body</w:t>
      </w:r>
      <w:r w:rsidRPr="00097064">
        <w:t>'s guidance that a panel's mandate is not limited to assessing the benchmarks proposed by the parties and, instead, includes an obligation to consider alternatives, so as to identify and adopt the most appropriate benchmark.</w:t>
      </w:r>
      <w:r w:rsidRPr="00097064">
        <w:rPr>
          <w:rStyle w:val="FootnoteReference"/>
        </w:rPr>
        <w:footnoteReference w:id="635"/>
      </w:r>
    </w:p>
    <w:p w:rsidR="0007161B" w:rsidRDefault="0007161B" w:rsidP="003E742D">
      <w:pPr>
        <w:pStyle w:val="BodyText"/>
      </w:pPr>
      <w:r w:rsidRPr="00097064">
        <w:t xml:space="preserve">In response, the </w:t>
      </w:r>
      <w:r w:rsidR="000A10EA">
        <w:t>United States</w:t>
      </w:r>
      <w:r w:rsidRPr="00097064">
        <w:t xml:space="preserve"> disagrees with the </w:t>
      </w:r>
      <w:r w:rsidR="000A10EA">
        <w:t>European Union</w:t>
      </w:r>
      <w:r w:rsidRPr="00097064">
        <w:t xml:space="preserve"> that, in </w:t>
      </w:r>
      <w:r w:rsidRPr="00001C97">
        <w:t xml:space="preserve">accepting the </w:t>
      </w:r>
      <w:r>
        <w:t xml:space="preserve">WRP </w:t>
      </w:r>
      <w:r w:rsidRPr="00001C97">
        <w:t xml:space="preserve">as a benchmark for the </w:t>
      </w:r>
      <w:r>
        <w:t xml:space="preserve">four </w:t>
      </w:r>
      <w:r w:rsidRPr="0084026D">
        <w:t>A350XWB LA/MSF contracts</w:t>
      </w:r>
      <w:r w:rsidRPr="00097064">
        <w:t xml:space="preserve">, the Panel acted inconsistently with </w:t>
      </w:r>
      <w:r w:rsidR="000A10EA">
        <w:t>Article </w:t>
      </w:r>
      <w:r w:rsidRPr="00097064">
        <w:t xml:space="preserve">11 </w:t>
      </w:r>
      <w:r>
        <w:t xml:space="preserve">of the DSU </w:t>
      </w:r>
      <w:r w:rsidRPr="00097064">
        <w:t>by failing to consider alternative</w:t>
      </w:r>
      <w:r>
        <w:t>,</w:t>
      </w:r>
      <w:r w:rsidRPr="00097064">
        <w:t xml:space="preserve"> and more appropriate</w:t>
      </w:r>
      <w:r>
        <w:t>,</w:t>
      </w:r>
      <w:r w:rsidRPr="00097064">
        <w:t xml:space="preserve"> benchmarks. </w:t>
      </w:r>
      <w:r w:rsidR="00D15139">
        <w:t>The </w:t>
      </w:r>
      <w:r w:rsidR="000A10EA">
        <w:t>United States</w:t>
      </w:r>
      <w:r>
        <w:t xml:space="preserve"> notes that, in</w:t>
      </w:r>
      <w:r w:rsidRPr="00097064">
        <w:t xml:space="preserve"> support </w:t>
      </w:r>
      <w:r>
        <w:t>of</w:t>
      </w:r>
      <w:r w:rsidRPr="00097064">
        <w:t xml:space="preserve"> its argument, the </w:t>
      </w:r>
      <w:r w:rsidR="000A10EA">
        <w:t>European Union</w:t>
      </w:r>
      <w:r w:rsidRPr="00097064">
        <w:t xml:space="preserve"> cites the </w:t>
      </w:r>
      <w:r w:rsidR="000A10EA">
        <w:lastRenderedPageBreak/>
        <w:t>Appellate Body</w:t>
      </w:r>
      <w:r w:rsidRPr="00097064">
        <w:t>'s statement in the original proceedings that the original panel had a "duty to assess, based on the evidence on record, whether the application of a constant project risk premium was the most appropriate approach and, to the extent that it was not, to consider alternative approaches".</w:t>
      </w:r>
      <w:r w:rsidRPr="00097064">
        <w:rPr>
          <w:rStyle w:val="FootnoteReference"/>
        </w:rPr>
        <w:footnoteReference w:id="636"/>
      </w:r>
      <w:r w:rsidRPr="00097064">
        <w:t xml:space="preserve"> </w:t>
      </w:r>
      <w:r>
        <w:t xml:space="preserve">According to the </w:t>
      </w:r>
      <w:r w:rsidR="000A10EA">
        <w:t>United States</w:t>
      </w:r>
      <w:r>
        <w:t>, t</w:t>
      </w:r>
      <w:r w:rsidRPr="00097064">
        <w:t xml:space="preserve">he </w:t>
      </w:r>
      <w:r w:rsidR="000A10EA">
        <w:t>European Union</w:t>
      </w:r>
      <w:r w:rsidRPr="00097064">
        <w:t xml:space="preserve"> overlooks the fact that the </w:t>
      </w:r>
      <w:r w:rsidR="000A10EA">
        <w:t>Appellate Body</w:t>
      </w:r>
      <w:r>
        <w:t>'s</w:t>
      </w:r>
      <w:r w:rsidRPr="00097064">
        <w:t xml:space="preserve"> statement indicates that the appropriate benchmark must be "based on the evidence on record".</w:t>
      </w:r>
      <w:r w:rsidRPr="00097064">
        <w:rPr>
          <w:rStyle w:val="FootnoteReference"/>
        </w:rPr>
        <w:footnoteReference w:id="637"/>
      </w:r>
      <w:r w:rsidRPr="00097064">
        <w:t xml:space="preserve"> For the </w:t>
      </w:r>
      <w:r w:rsidR="000A10EA">
        <w:t>United States</w:t>
      </w:r>
      <w:r w:rsidRPr="00097064">
        <w:t>, this means that, in determining the appropriate project-specific risk premium, the Panel had "a duty to consider the range of approaches that were possible based on the evidence before it. However, it did not have a duty to consider approaches that were not possible given the evidence before it, or to add to the record by</w:t>
      </w:r>
      <w:r w:rsidR="00721BD0">
        <w:t xml:space="preserve"> conducting its own information</w:t>
      </w:r>
      <w:r w:rsidR="00721BD0">
        <w:noBreakHyphen/>
      </w:r>
      <w:r w:rsidRPr="00097064">
        <w:t>gathering exercise".</w:t>
      </w:r>
      <w:r w:rsidRPr="00097064">
        <w:rPr>
          <w:rStyle w:val="FootnoteReference"/>
        </w:rPr>
        <w:footnoteReference w:id="638"/>
      </w:r>
      <w:r w:rsidRPr="00097064">
        <w:t xml:space="preserve"> </w:t>
      </w:r>
      <w:r>
        <w:t xml:space="preserve">According to the </w:t>
      </w:r>
      <w:r w:rsidR="000A10EA">
        <w:t>United States</w:t>
      </w:r>
      <w:r>
        <w:t>, g</w:t>
      </w:r>
      <w:r w:rsidRPr="00097064">
        <w:t xml:space="preserve">iven that the </w:t>
      </w:r>
      <w:r w:rsidR="000A10EA">
        <w:t>European Union</w:t>
      </w:r>
      <w:r w:rsidRPr="00001C97">
        <w:t xml:space="preserve"> </w:t>
      </w:r>
      <w:r>
        <w:t>did not</w:t>
      </w:r>
      <w:r w:rsidRPr="00001C97">
        <w:t xml:space="preserve"> submit the risk­sharing supplier contracts for the</w:t>
      </w:r>
      <w:r w:rsidRPr="00097064">
        <w:t xml:space="preserve"> </w:t>
      </w:r>
      <w:r w:rsidRPr="00001C97">
        <w:t>A</w:t>
      </w:r>
      <w:r>
        <w:t>350XWB project, the Panel "bore </w:t>
      </w:r>
      <w:r w:rsidRPr="00001C97">
        <w:t>no obligation to explore"</w:t>
      </w:r>
      <w:r>
        <w:t>,</w:t>
      </w:r>
      <w:r w:rsidRPr="00001C97">
        <w:t xml:space="preserve"> using these contracts</w:t>
      </w:r>
      <w:r>
        <w:t>,</w:t>
      </w:r>
      <w:r w:rsidRPr="00001C97">
        <w:t xml:space="preserve"> in</w:t>
      </w:r>
      <w:r w:rsidRPr="00097064">
        <w:t xml:space="preserve"> constructing the project-specific risk premium.</w:t>
      </w:r>
      <w:r w:rsidRPr="00097064">
        <w:rPr>
          <w:rStyle w:val="FootnoteReference"/>
        </w:rPr>
        <w:footnoteReference w:id="639"/>
      </w:r>
    </w:p>
    <w:p w:rsidR="0007161B" w:rsidRDefault="0007161B" w:rsidP="003E742D">
      <w:pPr>
        <w:pStyle w:val="BodyText"/>
      </w:pPr>
      <w:r w:rsidRPr="00097064">
        <w:t xml:space="preserve">We begin our analysis by noting that the </w:t>
      </w:r>
      <w:r w:rsidR="000A10EA">
        <w:t>European Union</w:t>
      </w:r>
      <w:r>
        <w:t>'s</w:t>
      </w:r>
      <w:r w:rsidRPr="00097064">
        <w:t xml:space="preserve"> first line of argumentation under </w:t>
      </w:r>
      <w:r w:rsidR="000A10EA">
        <w:t>Article </w:t>
      </w:r>
      <w:r w:rsidRPr="00097064">
        <w:t xml:space="preserve">11 of the DSU </w:t>
      </w:r>
      <w:r>
        <w:t>seems</w:t>
      </w:r>
      <w:r w:rsidRPr="00097064">
        <w:t xml:space="preserve"> to be largely based on the same ground as its first claim of error in the application </w:t>
      </w:r>
      <w:r>
        <w:t>of</w:t>
      </w:r>
      <w:r w:rsidRPr="00097064">
        <w:t xml:space="preserve"> </w:t>
      </w:r>
      <w:r w:rsidR="000A10EA">
        <w:t>Article </w:t>
      </w:r>
      <w:r w:rsidRPr="00097064">
        <w:t xml:space="preserve">1.1(b) of the </w:t>
      </w:r>
      <w:r w:rsidR="000A10EA">
        <w:t>SCM Agreement</w:t>
      </w:r>
      <w:r>
        <w:t>, namely,</w:t>
      </w:r>
      <w:r w:rsidRPr="00097064">
        <w:t xml:space="preserve"> that the Panel erred </w:t>
      </w:r>
      <w:r>
        <w:t>by</w:t>
      </w:r>
      <w:r w:rsidRPr="00097064">
        <w:t xml:space="preserve"> failing to undertake a "progressive search" for </w:t>
      </w:r>
      <w:r>
        <w:t>a</w:t>
      </w:r>
      <w:r w:rsidRPr="00097064">
        <w:t xml:space="preserve"> market benchmark.</w:t>
      </w:r>
      <w:r>
        <w:t xml:space="preserve"> </w:t>
      </w:r>
      <w:r w:rsidRPr="00097064">
        <w:t xml:space="preserve">The </w:t>
      </w:r>
      <w:r w:rsidR="000A10EA">
        <w:t>European Union</w:t>
      </w:r>
      <w:r w:rsidRPr="00097064">
        <w:t xml:space="preserve"> itself appears to recognize that there is a degree of overlap between its claim of error under </w:t>
      </w:r>
      <w:r w:rsidR="000A10EA">
        <w:t>Article </w:t>
      </w:r>
      <w:r w:rsidRPr="00097064">
        <w:t xml:space="preserve">1.1(b) and its claim under </w:t>
      </w:r>
      <w:r w:rsidR="000A10EA">
        <w:t>Article </w:t>
      </w:r>
      <w:r w:rsidRPr="00097064">
        <w:t>11 of the DSU.</w:t>
      </w:r>
      <w:r w:rsidRPr="00097064">
        <w:rPr>
          <w:rStyle w:val="FootnoteReference"/>
        </w:rPr>
        <w:footnoteReference w:id="640"/>
      </w:r>
      <w:r w:rsidRPr="00097064">
        <w:t xml:space="preserve"> </w:t>
      </w:r>
      <w:r>
        <w:t>T</w:t>
      </w:r>
      <w:r w:rsidRPr="00097064">
        <w:t xml:space="preserve">he </w:t>
      </w:r>
      <w:r w:rsidR="000A10EA">
        <w:t>European Union</w:t>
      </w:r>
      <w:r>
        <w:t xml:space="preserve"> nevertheless</w:t>
      </w:r>
      <w:r w:rsidRPr="00097064">
        <w:t xml:space="preserve"> "maintains </w:t>
      </w:r>
      <w:r w:rsidRPr="006A7F12">
        <w:rPr>
          <w:i/>
        </w:rPr>
        <w:t>both</w:t>
      </w:r>
      <w:r w:rsidRPr="00097064">
        <w:t xml:space="preserve"> grounds of appeal to explain why the Panel's failure to consider alternative approaches amounts to inconsistencies with </w:t>
      </w:r>
      <w:r w:rsidRPr="006A7F12">
        <w:rPr>
          <w:i/>
        </w:rPr>
        <w:t>both</w:t>
      </w:r>
      <w:r w:rsidRPr="00097064">
        <w:t xml:space="preserve"> </w:t>
      </w:r>
      <w:r w:rsidR="000A10EA">
        <w:t>Article </w:t>
      </w:r>
      <w:r w:rsidRPr="00097064">
        <w:t xml:space="preserve">1.1(b) of the </w:t>
      </w:r>
      <w:r w:rsidR="000A10EA">
        <w:t>SCM Agreement</w:t>
      </w:r>
      <w:r w:rsidR="00D15139">
        <w:t>, and </w:t>
      </w:r>
      <w:r w:rsidR="000A10EA">
        <w:t>Article </w:t>
      </w:r>
      <w:r w:rsidRPr="00097064">
        <w:t>11 of the DSU".</w:t>
      </w:r>
      <w:r w:rsidRPr="00097064">
        <w:rPr>
          <w:rStyle w:val="FootnoteReference"/>
        </w:rPr>
        <w:footnoteReference w:id="641"/>
      </w:r>
    </w:p>
    <w:p w:rsidR="0007161B" w:rsidRDefault="0007161B" w:rsidP="003E742D">
      <w:pPr>
        <w:pStyle w:val="BodyText"/>
      </w:pPr>
      <w:r>
        <w:t>It is well established that</w:t>
      </w:r>
      <w:r w:rsidRPr="00097064">
        <w:t xml:space="preserve">, in most cases, an issue </w:t>
      </w:r>
      <w:r>
        <w:t>"</w:t>
      </w:r>
      <w:r w:rsidRPr="00097064">
        <w:t xml:space="preserve">will </w:t>
      </w:r>
      <w:r w:rsidRPr="00097064">
        <w:rPr>
          <w:i/>
        </w:rPr>
        <w:t>either</w:t>
      </w:r>
      <w:r w:rsidRPr="00097064">
        <w:t xml:space="preserve"> be one of application of the law to the facts </w:t>
      </w:r>
      <w:r w:rsidRPr="00097064">
        <w:rPr>
          <w:i/>
        </w:rPr>
        <w:t>or</w:t>
      </w:r>
      <w:r w:rsidRPr="00097064">
        <w:t xml:space="preserve"> an issue of the objective assessment of facts, and not both</w:t>
      </w:r>
      <w:r>
        <w:t>"</w:t>
      </w:r>
      <w:r w:rsidRPr="00097064">
        <w:t>.</w:t>
      </w:r>
      <w:r w:rsidRPr="00097064">
        <w:rPr>
          <w:rStyle w:val="FootnoteReference"/>
        </w:rPr>
        <w:footnoteReference w:id="642"/>
      </w:r>
      <w:r w:rsidRPr="00097064">
        <w:t xml:space="preserve"> </w:t>
      </w:r>
      <w:r>
        <w:t>I</w:t>
      </w:r>
      <w:r w:rsidRPr="00097064">
        <w:t xml:space="preserve">n </w:t>
      </w:r>
      <w:r w:rsidRPr="00097064">
        <w:rPr>
          <w:i/>
        </w:rPr>
        <w:t>US – Large Civil Aircraft (2</w:t>
      </w:r>
      <w:r w:rsidRPr="00097064">
        <w:rPr>
          <w:i/>
          <w:vertAlign w:val="superscript"/>
        </w:rPr>
        <w:t>nd</w:t>
      </w:r>
      <w:r>
        <w:rPr>
          <w:i/>
        </w:rPr>
        <w:t> </w:t>
      </w:r>
      <w:r w:rsidRPr="00097064">
        <w:rPr>
          <w:i/>
        </w:rPr>
        <w:t>complaint)</w:t>
      </w:r>
      <w:r w:rsidRPr="00097064">
        <w:t xml:space="preserve">, the </w:t>
      </w:r>
      <w:r w:rsidR="000A10EA">
        <w:t>Appellate Body</w:t>
      </w:r>
      <w:r w:rsidRPr="00097064">
        <w:t xml:space="preserve"> found that, while "{a} party is free to frame its claim on appeal as it sees fit", "important consequences flow from that choice, including the standard of review that will apply in adjudicating that claim".</w:t>
      </w:r>
      <w:r w:rsidRPr="00097064">
        <w:rPr>
          <w:rStyle w:val="FootnoteReference"/>
        </w:rPr>
        <w:footnoteReference w:id="643"/>
      </w:r>
      <w:r w:rsidRPr="00097064">
        <w:t xml:space="preserve"> In that dispute, the </w:t>
      </w:r>
      <w:r w:rsidR="000A10EA">
        <w:t>Appellate Body</w:t>
      </w:r>
      <w:r w:rsidRPr="00097064">
        <w:t xml:space="preserve"> further reasoned that</w:t>
      </w:r>
      <w:r>
        <w:t>,</w:t>
      </w:r>
      <w:r w:rsidRPr="00097064">
        <w:t xml:space="preserve"> "{w}here there is ambiguity, it will fall on the </w:t>
      </w:r>
      <w:r w:rsidR="000A10EA">
        <w:t>Appellate Body</w:t>
      </w:r>
      <w:r w:rsidRPr="00097064">
        <w:t xml:space="preserve"> to determine whether a finding</w:t>
      </w:r>
      <w:r>
        <w:t xml:space="preserve"> – </w:t>
      </w:r>
      <w:r w:rsidRPr="00097064">
        <w:t>and a related challenge to it on appeal</w:t>
      </w:r>
      <w:r>
        <w:t xml:space="preserve"> – </w:t>
      </w:r>
      <w:r w:rsidRPr="00097064">
        <w:t>is properly characterized as legal or factual, in the circumstances of a specific case".</w:t>
      </w:r>
      <w:r w:rsidRPr="00097064">
        <w:rPr>
          <w:rStyle w:val="FootnoteReference"/>
        </w:rPr>
        <w:footnoteReference w:id="644"/>
      </w:r>
    </w:p>
    <w:p w:rsidR="0007161B" w:rsidRPr="004469B3" w:rsidRDefault="0007161B" w:rsidP="003E742D">
      <w:pPr>
        <w:pStyle w:val="BodyText"/>
      </w:pPr>
      <w:r>
        <w:lastRenderedPageBreak/>
        <w:t>As we see it, the basis</w:t>
      </w:r>
      <w:r w:rsidRPr="00097064">
        <w:t xml:space="preserve"> </w:t>
      </w:r>
      <w:r>
        <w:t xml:space="preserve">for </w:t>
      </w:r>
      <w:r w:rsidRPr="00097064">
        <w:t xml:space="preserve">the </w:t>
      </w:r>
      <w:r w:rsidR="000A10EA">
        <w:t>European Union</w:t>
      </w:r>
      <w:r w:rsidRPr="00097064">
        <w:t xml:space="preserve">'s claim under </w:t>
      </w:r>
      <w:r w:rsidR="000A10EA">
        <w:t>Article </w:t>
      </w:r>
      <w:r w:rsidRPr="00097064">
        <w:t xml:space="preserve">1.1(b) of the </w:t>
      </w:r>
      <w:r w:rsidR="000A10EA">
        <w:t>SCM Agreement</w:t>
      </w:r>
      <w:r w:rsidRPr="00097064">
        <w:t xml:space="preserve"> and its claim under </w:t>
      </w:r>
      <w:r w:rsidR="000A10EA">
        <w:t>Article </w:t>
      </w:r>
      <w:r>
        <w:t>11 of the DSU are, by and large, the same.</w:t>
      </w:r>
      <w:r>
        <w:rPr>
          <w:rStyle w:val="FootnoteReference"/>
        </w:rPr>
        <w:footnoteReference w:id="645"/>
      </w:r>
      <w:r>
        <w:t xml:space="preserve"> Thus,</w:t>
      </w:r>
      <w:r w:rsidR="00D15139">
        <w:t> </w:t>
      </w:r>
      <w:r>
        <w:t xml:space="preserve">the question arises whether </w:t>
      </w:r>
      <w:r w:rsidRPr="00097064">
        <w:t xml:space="preserve">the </w:t>
      </w:r>
      <w:r w:rsidR="000A10EA">
        <w:t>European Union</w:t>
      </w:r>
      <w:r w:rsidRPr="00097064">
        <w:t xml:space="preserve">'s </w:t>
      </w:r>
      <w:r>
        <w:t>challenge</w:t>
      </w:r>
      <w:r w:rsidRPr="00097064">
        <w:t xml:space="preserve"> </w:t>
      </w:r>
      <w:r>
        <w:t>to</w:t>
      </w:r>
      <w:r w:rsidRPr="00097064">
        <w:t xml:space="preserve"> the Panel's findings should be analysed either as a claim of error in the application of </w:t>
      </w:r>
      <w:r w:rsidR="000A10EA">
        <w:t>Article </w:t>
      </w:r>
      <w:r w:rsidRPr="00097064">
        <w:t xml:space="preserve">1.1(b) </w:t>
      </w:r>
      <w:r w:rsidRPr="00097064">
        <w:rPr>
          <w:i/>
        </w:rPr>
        <w:t xml:space="preserve">or </w:t>
      </w:r>
      <w:r w:rsidRPr="00097064">
        <w:t>as</w:t>
      </w:r>
      <w:r w:rsidRPr="00097064">
        <w:rPr>
          <w:i/>
        </w:rPr>
        <w:t xml:space="preserve"> </w:t>
      </w:r>
      <w:r w:rsidRPr="00097064">
        <w:t xml:space="preserve">a claim of inconsistency with </w:t>
      </w:r>
      <w:r w:rsidR="000A10EA">
        <w:t>Article </w:t>
      </w:r>
      <w:r w:rsidRPr="00097064">
        <w:t>11 of the DSU.</w:t>
      </w:r>
      <w:r>
        <w:t xml:space="preserve"> In our view, the </w:t>
      </w:r>
      <w:r w:rsidR="000A10EA">
        <w:t>European Union</w:t>
      </w:r>
      <w:r>
        <w:t xml:space="preserve">'s critique of the Panel's failure to undertake its benefit inquiry in a particular manner </w:t>
      </w:r>
      <w:r w:rsidRPr="004469B3">
        <w:t>and following a particular sequence of analysis is more appropriately addressed</w:t>
      </w:r>
      <w:r>
        <w:t xml:space="preserve"> as a matter of application of</w:t>
      </w:r>
      <w:r w:rsidRPr="004469B3">
        <w:t xml:space="preserve"> the legal standard established by </w:t>
      </w:r>
      <w:r w:rsidR="000A10EA">
        <w:t>Article </w:t>
      </w:r>
      <w:r w:rsidRPr="004469B3">
        <w:t xml:space="preserve">1.1(b) of the </w:t>
      </w:r>
      <w:r w:rsidR="000A10EA">
        <w:t>SCM Agreement</w:t>
      </w:r>
      <w:r w:rsidRPr="004469B3">
        <w:t>. Since we have already addressed above th</w:t>
      </w:r>
      <w:r>
        <w:t xml:space="preserve">e </w:t>
      </w:r>
      <w:r w:rsidR="000A10EA">
        <w:t>European Union</w:t>
      </w:r>
      <w:r w:rsidRPr="004469B3">
        <w:t xml:space="preserve">'s claim that the Panel erred under </w:t>
      </w:r>
      <w:r w:rsidR="000A10EA">
        <w:t>Article </w:t>
      </w:r>
      <w:r w:rsidRPr="004469B3">
        <w:t>1.1(b)</w:t>
      </w:r>
      <w:r w:rsidRPr="004469B3">
        <w:rPr>
          <w:rStyle w:val="FootnoteReference"/>
        </w:rPr>
        <w:footnoteReference w:id="646"/>
      </w:r>
      <w:r w:rsidRPr="004469B3">
        <w:t xml:space="preserve">, we do not consider it necessary to address further the </w:t>
      </w:r>
      <w:r w:rsidR="000A10EA">
        <w:t>European Union</w:t>
      </w:r>
      <w:r w:rsidRPr="004469B3">
        <w:t xml:space="preserve">'s claim that the Panel acted inconsistently with </w:t>
      </w:r>
      <w:r w:rsidR="000A10EA">
        <w:t>Article </w:t>
      </w:r>
      <w:r w:rsidRPr="004469B3">
        <w:t>11 of the DSU by failing to conside</w:t>
      </w:r>
      <w:r>
        <w:t>r alternative, and more appropriate,</w:t>
      </w:r>
      <w:r w:rsidRPr="004469B3">
        <w:t xml:space="preserve"> benchmarks </w:t>
      </w:r>
      <w:r>
        <w:t>than those</w:t>
      </w:r>
      <w:r w:rsidRPr="004469B3">
        <w:t xml:space="preserve"> proposed by the </w:t>
      </w:r>
      <w:r w:rsidR="000A10EA">
        <w:t>United States</w:t>
      </w:r>
      <w:r w:rsidRPr="004469B3">
        <w:t>.</w:t>
      </w:r>
    </w:p>
    <w:p w:rsidR="0007161B" w:rsidRDefault="0007161B" w:rsidP="003E742D">
      <w:pPr>
        <w:pStyle w:val="BodyText"/>
      </w:pPr>
      <w:r w:rsidRPr="004469B3">
        <w:t xml:space="preserve"> We </w:t>
      </w:r>
      <w:r>
        <w:t xml:space="preserve">now </w:t>
      </w:r>
      <w:r w:rsidRPr="004469B3">
        <w:t xml:space="preserve">turn to the </w:t>
      </w:r>
      <w:r w:rsidR="000A10EA">
        <w:t>European Union</w:t>
      </w:r>
      <w:r w:rsidRPr="004469B3">
        <w:t>'s second line of argumentation</w:t>
      </w:r>
      <w:r>
        <w:t xml:space="preserve"> under </w:t>
      </w:r>
      <w:r w:rsidR="000A10EA">
        <w:t>Article </w:t>
      </w:r>
      <w:r>
        <w:t xml:space="preserve">11 of the DSU. The </w:t>
      </w:r>
      <w:r w:rsidR="000A10EA">
        <w:t>European Union</w:t>
      </w:r>
      <w:r>
        <w:t xml:space="preserve"> argues that, </w:t>
      </w:r>
      <w:r w:rsidRPr="00097064">
        <w:t>in adopting a constant, undifferentiated project risk premium, the Panel "inappropriately deviated" from the findings of the original panel, which called for establishing a risk premium that takes into account the risks involved in "</w:t>
      </w:r>
      <w:r w:rsidRPr="007E0DDC">
        <w:rPr>
          <w:i/>
        </w:rPr>
        <w:t>each specific</w:t>
      </w:r>
      <w:r w:rsidRPr="00097064">
        <w:t xml:space="preserve"> LCA project".</w:t>
      </w:r>
      <w:r w:rsidRPr="00097064">
        <w:rPr>
          <w:rStyle w:val="FootnoteReference"/>
        </w:rPr>
        <w:footnoteReference w:id="647"/>
      </w:r>
      <w:r w:rsidRPr="00097064">
        <w:t xml:space="preserve"> </w:t>
      </w:r>
      <w:r>
        <w:t>Despite the original panel's findings</w:t>
      </w:r>
      <w:r w:rsidRPr="00097064">
        <w:t xml:space="preserve">, the Panel applied the risk premium established for the A380 </w:t>
      </w:r>
      <w:r w:rsidR="001942DB">
        <w:t xml:space="preserve">LA/MSF </w:t>
      </w:r>
      <w:r>
        <w:t xml:space="preserve">contract </w:t>
      </w:r>
      <w:r w:rsidRPr="00097064">
        <w:t xml:space="preserve">in the original proceedings to the </w:t>
      </w:r>
      <w:r>
        <w:t xml:space="preserve">four </w:t>
      </w:r>
      <w:r w:rsidRPr="00A35811">
        <w:t xml:space="preserve">A350XWB LA/MSF </w:t>
      </w:r>
      <w:r>
        <w:t>contracts</w:t>
      </w:r>
      <w:r w:rsidRPr="00097064">
        <w:t xml:space="preserve">, without making any adjustments. Thus, in the </w:t>
      </w:r>
      <w:r w:rsidR="000A10EA">
        <w:t>European Union</w:t>
      </w:r>
      <w:r w:rsidRPr="00097064">
        <w:t xml:space="preserve">'s view, without any explanation, the Panel adopted the very approach that the original panel rejected. Consequently, the </w:t>
      </w:r>
      <w:r w:rsidR="000A10EA">
        <w:t>European Union</w:t>
      </w:r>
      <w:r w:rsidR="001942DB">
        <w:t xml:space="preserve"> submits that the </w:t>
      </w:r>
      <w:r w:rsidRPr="00097064">
        <w:t xml:space="preserve">Panel's deviation from the original panel's approach constitutes a failure to make an objective assessment of the matter, as required by </w:t>
      </w:r>
      <w:r w:rsidR="000A10EA">
        <w:t>Article </w:t>
      </w:r>
      <w:r w:rsidRPr="00097064">
        <w:t>11 of the DSU.</w:t>
      </w:r>
      <w:r w:rsidRPr="00097064">
        <w:rPr>
          <w:rStyle w:val="FootnoteReference"/>
        </w:rPr>
        <w:footnoteReference w:id="648"/>
      </w:r>
    </w:p>
    <w:p w:rsidR="0007161B" w:rsidRDefault="0007161B" w:rsidP="003E742D">
      <w:pPr>
        <w:pStyle w:val="BodyText"/>
      </w:pPr>
      <w:r w:rsidRPr="001B5D34">
        <w:t xml:space="preserve">In response, the </w:t>
      </w:r>
      <w:r w:rsidR="000A10EA">
        <w:t>United States</w:t>
      </w:r>
      <w:r w:rsidRPr="001B5D34">
        <w:t xml:space="preserve"> disagrees with the </w:t>
      </w:r>
      <w:r w:rsidR="000A10EA">
        <w:t>European Union</w:t>
      </w:r>
      <w:r w:rsidRPr="001B5D34">
        <w:t xml:space="preserve"> that the Panel, in adopting a constant, undifferentiated project-specific risk premium, inappropriately</w:t>
      </w:r>
      <w:r w:rsidRPr="00097064">
        <w:t xml:space="preserve"> deviated from the findings of the original panel. In the </w:t>
      </w:r>
      <w:r w:rsidR="000A10EA">
        <w:t>United States</w:t>
      </w:r>
      <w:r w:rsidRPr="00097064">
        <w:t>' view, "{n}o such deviation occurred".</w:t>
      </w:r>
      <w:r w:rsidRPr="00097064">
        <w:rPr>
          <w:rStyle w:val="FootnoteReference"/>
        </w:rPr>
        <w:footnoteReference w:id="649"/>
      </w:r>
      <w:r w:rsidRPr="00097064">
        <w:t xml:space="preserve"> The original panel found that it was appropriate – and the </w:t>
      </w:r>
      <w:r w:rsidR="000A10EA">
        <w:t>Appellate Body</w:t>
      </w:r>
      <w:r w:rsidRPr="00097064">
        <w:t xml:space="preserve"> upheld its approach on appeal – to use a constant project-specific risk premium for three separate groups of LA/MSF.</w:t>
      </w:r>
      <w:r w:rsidRPr="00097064">
        <w:rPr>
          <w:rStyle w:val="FootnoteReference"/>
        </w:rPr>
        <w:footnoteReference w:id="650"/>
      </w:r>
      <w:r w:rsidRPr="00097064">
        <w:t xml:space="preserve"> The </w:t>
      </w:r>
      <w:r w:rsidR="000A10EA">
        <w:t>United States</w:t>
      </w:r>
      <w:r w:rsidRPr="00097064">
        <w:t xml:space="preserve"> argues that "the Panel followed the same approach, in effect, grouping the A380 and the A350</w:t>
      </w:r>
      <w:r>
        <w:t> </w:t>
      </w:r>
      <w:r w:rsidRPr="00097064">
        <w:t>XWB into the same category for purposes of the {project-specific risk premium} based on a detailed and lengthy analysis of the relevant facts</w:t>
      </w:r>
      <w:r>
        <w:t>.</w:t>
      </w:r>
      <w:r w:rsidRPr="00097064">
        <w:t>"</w:t>
      </w:r>
      <w:r w:rsidRPr="00097064">
        <w:rPr>
          <w:rStyle w:val="FootnoteReference"/>
        </w:rPr>
        <w:footnoteReference w:id="651"/>
      </w:r>
      <w:r w:rsidRPr="00097064">
        <w:t xml:space="preserve"> Consequently, the </w:t>
      </w:r>
      <w:r w:rsidR="000A10EA">
        <w:t>United States</w:t>
      </w:r>
      <w:r w:rsidRPr="00097064">
        <w:t xml:space="preserve"> </w:t>
      </w:r>
      <w:r>
        <w:t>disagrees with</w:t>
      </w:r>
      <w:r w:rsidRPr="00097064">
        <w:t xml:space="preserve"> the </w:t>
      </w:r>
      <w:r w:rsidR="000A10EA">
        <w:t>European Union</w:t>
      </w:r>
      <w:r w:rsidRPr="00097064">
        <w:t xml:space="preserve">'s claim that the Panel acted inconsistently with </w:t>
      </w:r>
      <w:r w:rsidR="000A10EA">
        <w:t>Article </w:t>
      </w:r>
      <w:r w:rsidR="00D15139">
        <w:t>11 of </w:t>
      </w:r>
      <w:r w:rsidR="001942DB">
        <w:t>the </w:t>
      </w:r>
      <w:r w:rsidRPr="00097064">
        <w:t>DSU.</w:t>
      </w:r>
    </w:p>
    <w:p w:rsidR="0007161B" w:rsidRDefault="0007161B" w:rsidP="003E742D">
      <w:pPr>
        <w:pStyle w:val="BodyText"/>
      </w:pPr>
      <w:r>
        <w:t>According to</w:t>
      </w:r>
      <w:r w:rsidRPr="00097064">
        <w:t xml:space="preserve"> the </w:t>
      </w:r>
      <w:r w:rsidR="000A10EA">
        <w:t>European Union</w:t>
      </w:r>
      <w:r w:rsidRPr="00097064">
        <w:t>, the findings of the original panel called for establishing a risk premium that takes into account the risks involved in "</w:t>
      </w:r>
      <w:r w:rsidRPr="00A7663E">
        <w:rPr>
          <w:i/>
        </w:rPr>
        <w:t>each specific</w:t>
      </w:r>
      <w:r w:rsidRPr="00097064">
        <w:t xml:space="preserve"> LCA project".</w:t>
      </w:r>
      <w:r w:rsidRPr="00097064">
        <w:rPr>
          <w:rStyle w:val="FootnoteReference"/>
        </w:rPr>
        <w:footnoteReference w:id="652"/>
      </w:r>
      <w:r w:rsidRPr="00097064">
        <w:t xml:space="preserve"> </w:t>
      </w:r>
      <w:r>
        <w:t xml:space="preserve">We </w:t>
      </w:r>
      <w:r w:rsidRPr="00294196">
        <w:t xml:space="preserve">do not agree with the </w:t>
      </w:r>
      <w:r w:rsidR="000A10EA">
        <w:t>European Union</w:t>
      </w:r>
      <w:r>
        <w:t>'s</w:t>
      </w:r>
      <w:r w:rsidRPr="00294196">
        <w:t xml:space="preserve"> reading of the original panel's findings</w:t>
      </w:r>
      <w:r>
        <w:t xml:space="preserve"> and their endorsement by the </w:t>
      </w:r>
      <w:r w:rsidR="000A10EA">
        <w:t>Appellate Body</w:t>
      </w:r>
      <w:r>
        <w:t xml:space="preserve">. While the original panel took issue </w:t>
      </w:r>
      <w:r w:rsidRPr="00097064">
        <w:t xml:space="preserve">with the </w:t>
      </w:r>
      <w:r>
        <w:t>application</w:t>
      </w:r>
      <w:r w:rsidRPr="00097064">
        <w:t xml:space="preserve"> of "a constant risk premium to </w:t>
      </w:r>
      <w:r w:rsidRPr="00A7663E">
        <w:rPr>
          <w:i/>
        </w:rPr>
        <w:t>all</w:t>
      </w:r>
      <w:r w:rsidRPr="00097064">
        <w:t xml:space="preserve"> LCA projects", including </w:t>
      </w:r>
      <w:r w:rsidRPr="00A7663E">
        <w:rPr>
          <w:i/>
        </w:rPr>
        <w:t>all</w:t>
      </w:r>
      <w:r>
        <w:t xml:space="preserve"> pre</w:t>
      </w:r>
      <w:r>
        <w:noBreakHyphen/>
      </w:r>
      <w:r w:rsidRPr="00097064">
        <w:t>A350 LA/MSF projects</w:t>
      </w:r>
      <w:r w:rsidRPr="00097064">
        <w:rPr>
          <w:rStyle w:val="FootnoteReference"/>
        </w:rPr>
        <w:footnoteReference w:id="653"/>
      </w:r>
      <w:r>
        <w:t>,</w:t>
      </w:r>
      <w:r w:rsidRPr="00097064">
        <w:t xml:space="preserve"> </w:t>
      </w:r>
      <w:r>
        <w:t>and "</w:t>
      </w:r>
      <w:r w:rsidRPr="00097064">
        <w:t xml:space="preserve">expressed a </w:t>
      </w:r>
      <w:r w:rsidRPr="00097064">
        <w:lastRenderedPageBreak/>
        <w:t>preference for a variable risk premium that took into account the particularities of the specific LCA projects"</w:t>
      </w:r>
      <w:r w:rsidRPr="00097064">
        <w:rPr>
          <w:rStyle w:val="FootnoteReference"/>
        </w:rPr>
        <w:footnoteReference w:id="654"/>
      </w:r>
      <w:r>
        <w:t xml:space="preserve">, we do not understand it to have suggested that it was necessary to </w:t>
      </w:r>
      <w:r w:rsidRPr="00097064">
        <w:t>establish</w:t>
      </w:r>
      <w:r>
        <w:t xml:space="preserve"> </w:t>
      </w:r>
      <w:r w:rsidRPr="00097064">
        <w:t>a risk premium that takes into account the risks involved in "</w:t>
      </w:r>
      <w:r w:rsidRPr="00A7663E">
        <w:rPr>
          <w:i/>
        </w:rPr>
        <w:t>each specific</w:t>
      </w:r>
      <w:r>
        <w:t xml:space="preserve"> LCA project".</w:t>
      </w:r>
      <w:r w:rsidRPr="00097064">
        <w:rPr>
          <w:rStyle w:val="FootnoteReference"/>
        </w:rPr>
        <w:footnoteReference w:id="655"/>
      </w:r>
      <w:r>
        <w:t xml:space="preserve"> </w:t>
      </w:r>
      <w:r w:rsidRPr="00097064">
        <w:t xml:space="preserve">In </w:t>
      </w:r>
      <w:r>
        <w:t>our view</w:t>
      </w:r>
      <w:r w:rsidRPr="00097064">
        <w:t xml:space="preserve">, the approach that the original panel followed </w:t>
      </w:r>
      <w:r>
        <w:t xml:space="preserve">is quite different from </w:t>
      </w:r>
      <w:r w:rsidRPr="00097064">
        <w:t xml:space="preserve">the </w:t>
      </w:r>
      <w:r w:rsidR="000A10EA">
        <w:t>European Union</w:t>
      </w:r>
      <w:r w:rsidRPr="00097064">
        <w:t xml:space="preserve">'s understanding of the original panel report. Indeed, as noted, the </w:t>
      </w:r>
      <w:r>
        <w:t>original p</w:t>
      </w:r>
      <w:r w:rsidRPr="00097064">
        <w:t>anel divided the LCA projects into three groups</w:t>
      </w:r>
      <w:r>
        <w:t xml:space="preserve">: </w:t>
      </w:r>
      <w:r w:rsidRPr="00097064">
        <w:t>(i) the A300 and A310; (ii) the</w:t>
      </w:r>
      <w:r w:rsidR="00D15139">
        <w:t xml:space="preserve"> A320, A330/A340, A330-200, and </w:t>
      </w:r>
      <w:r w:rsidRPr="00097064">
        <w:t>A340-500/600; and (iii) the A380</w:t>
      </w:r>
      <w:r w:rsidRPr="00097064">
        <w:rPr>
          <w:rStyle w:val="FootnoteReference"/>
        </w:rPr>
        <w:footnoteReference w:id="656"/>
      </w:r>
      <w:r w:rsidRPr="00097064">
        <w:t xml:space="preserve">, and determined ranges for the risk premium applicable to each group of LCA projects. In turn, the </w:t>
      </w:r>
      <w:r w:rsidR="000A10EA">
        <w:t>Appellate Body</w:t>
      </w:r>
      <w:r w:rsidRPr="00097064">
        <w:t xml:space="preserve"> endorsed this </w:t>
      </w:r>
      <w:r>
        <w:t>general approach by indicating that "it </w:t>
      </w:r>
      <w:r w:rsidRPr="00097064">
        <w:t xml:space="preserve">was {not} inappropriate </w:t>
      </w:r>
      <w:r w:rsidRPr="00A7663E">
        <w:rPr>
          <w:i/>
        </w:rPr>
        <w:t>per se</w:t>
      </w:r>
      <w:r w:rsidRPr="00097064">
        <w:t xml:space="preserve"> for the </w:t>
      </w:r>
      <w:r>
        <w:t>{original p</w:t>
      </w:r>
      <w:r w:rsidRPr="00097064">
        <w:t>anel</w:t>
      </w:r>
      <w:r>
        <w:t>}</w:t>
      </w:r>
      <w:r w:rsidRPr="00097064">
        <w:t xml:space="preserve"> to have arranged the LCA projects into groups and to have determined a range for the project-specific risk premi</w:t>
      </w:r>
      <w:r w:rsidRPr="005215AD">
        <w:t>um</w:t>
      </w:r>
      <w:r w:rsidRPr="00097064">
        <w:t xml:space="preserve"> applicable to the LCA projects within each group".</w:t>
      </w:r>
      <w:r>
        <w:rPr>
          <w:rStyle w:val="FootnoteReference"/>
        </w:rPr>
        <w:footnoteReference w:id="657"/>
      </w:r>
      <w:r w:rsidRPr="00097064">
        <w:t xml:space="preserve"> Thus, as we see it, </w:t>
      </w:r>
      <w:r>
        <w:t xml:space="preserve">in the original proceedings, </w:t>
      </w:r>
      <w:r w:rsidRPr="00097064">
        <w:t>the original panel</w:t>
      </w:r>
      <w:r>
        <w:t xml:space="preserve"> and the </w:t>
      </w:r>
      <w:r w:rsidR="000A10EA">
        <w:t>Appellate Body</w:t>
      </w:r>
      <w:r w:rsidRPr="00097064">
        <w:t xml:space="preserve"> did </w:t>
      </w:r>
      <w:r w:rsidRPr="00A7663E">
        <w:rPr>
          <w:i/>
        </w:rPr>
        <w:t>not</w:t>
      </w:r>
      <w:r w:rsidRPr="00097064">
        <w:t xml:space="preserve"> find that</w:t>
      </w:r>
      <w:r>
        <w:t xml:space="preserve"> it was necessary to identify a </w:t>
      </w:r>
      <w:r w:rsidRPr="00A7663E">
        <w:rPr>
          <w:i/>
        </w:rPr>
        <w:t>specific</w:t>
      </w:r>
      <w:r>
        <w:t xml:space="preserve"> risk premium with respect to</w:t>
      </w:r>
      <w:r w:rsidRPr="00097064">
        <w:t xml:space="preserve"> </w:t>
      </w:r>
      <w:r w:rsidRPr="00A7663E">
        <w:rPr>
          <w:i/>
        </w:rPr>
        <w:t>each</w:t>
      </w:r>
      <w:r>
        <w:t xml:space="preserve"> of the Airbus LCA projects at issue</w:t>
      </w:r>
      <w:r w:rsidRPr="00097064">
        <w:t>.</w:t>
      </w:r>
    </w:p>
    <w:p w:rsidR="0007161B" w:rsidRDefault="0007161B" w:rsidP="003E742D">
      <w:pPr>
        <w:pStyle w:val="BodyText"/>
      </w:pPr>
      <w:r w:rsidRPr="00A35811">
        <w:t xml:space="preserve">In addition, we note that, in the context of this claim under </w:t>
      </w:r>
      <w:r w:rsidR="000A10EA">
        <w:t>Article </w:t>
      </w:r>
      <w:r w:rsidRPr="00A35811">
        <w:t xml:space="preserve">11, the </w:t>
      </w:r>
      <w:r w:rsidR="000A10EA">
        <w:t>European Union</w:t>
      </w:r>
      <w:r w:rsidRPr="00097064">
        <w:t xml:space="preserve"> also </w:t>
      </w:r>
      <w:r>
        <w:t xml:space="preserve">takes issue with the fact </w:t>
      </w:r>
      <w:r w:rsidRPr="00097064">
        <w:t xml:space="preserve">that the Panel applied the risk premium established for the A380 in the original proceedings to the </w:t>
      </w:r>
      <w:r>
        <w:t xml:space="preserve">four </w:t>
      </w:r>
      <w:r w:rsidRPr="00A35811">
        <w:t xml:space="preserve">A350XWB LA/MSF </w:t>
      </w:r>
      <w:r>
        <w:t>contracts</w:t>
      </w:r>
      <w:r w:rsidRPr="00097064">
        <w:t>, "without making any adjustments".</w:t>
      </w:r>
      <w:r w:rsidRPr="00097064">
        <w:rPr>
          <w:rStyle w:val="FootnoteReference"/>
        </w:rPr>
        <w:footnoteReference w:id="658"/>
      </w:r>
      <w:r w:rsidRPr="00097064">
        <w:t xml:space="preserve"> This argument is</w:t>
      </w:r>
      <w:r>
        <w:t xml:space="preserve"> essentially the same</w:t>
      </w:r>
      <w:r w:rsidRPr="00097064">
        <w:t xml:space="preserve"> </w:t>
      </w:r>
      <w:r>
        <w:t>as</w:t>
      </w:r>
      <w:r w:rsidRPr="00097064">
        <w:t xml:space="preserve"> the </w:t>
      </w:r>
      <w:r w:rsidR="000A10EA">
        <w:t>European Union</w:t>
      </w:r>
      <w:r w:rsidRPr="00097064">
        <w:t xml:space="preserve">'s earlier claim of error in the application of </w:t>
      </w:r>
      <w:r w:rsidR="000A10EA">
        <w:t>Article </w:t>
      </w:r>
      <w:r>
        <w:t xml:space="preserve">1.1(b) of the </w:t>
      </w:r>
      <w:r w:rsidR="000A10EA">
        <w:t>SCM Agreement</w:t>
      </w:r>
      <w:r w:rsidRPr="00097064">
        <w:t xml:space="preserve"> </w:t>
      </w:r>
      <w:r>
        <w:t xml:space="preserve">that we have </w:t>
      </w:r>
      <w:r w:rsidRPr="00097064">
        <w:t>examined above.</w:t>
      </w:r>
      <w:r>
        <w:rPr>
          <w:rStyle w:val="FootnoteReference"/>
        </w:rPr>
        <w:footnoteReference w:id="659"/>
      </w:r>
      <w:r w:rsidRPr="00097064">
        <w:t xml:space="preserve"> </w:t>
      </w:r>
      <w:r w:rsidRPr="00AD360A">
        <w:t xml:space="preserve">We fail to see any reason why the outcome of this analysis would be different in the context of the present claim under </w:t>
      </w:r>
      <w:r w:rsidR="000A10EA">
        <w:t>Article </w:t>
      </w:r>
      <w:r w:rsidRPr="00AD360A">
        <w:t>11 of the DSU</w:t>
      </w:r>
      <w:r>
        <w:t>.</w:t>
      </w:r>
    </w:p>
    <w:p w:rsidR="0007161B" w:rsidRDefault="0007161B" w:rsidP="003E742D">
      <w:pPr>
        <w:pStyle w:val="BodyText"/>
      </w:pPr>
      <w:r>
        <w:t xml:space="preserve">In light of the above considerations, </w:t>
      </w:r>
      <w:r w:rsidRPr="00AD360A">
        <w:t xml:space="preserve">we disagree </w:t>
      </w:r>
      <w:r>
        <w:t xml:space="preserve">with the </w:t>
      </w:r>
      <w:r w:rsidR="000A10EA">
        <w:t>European Union</w:t>
      </w:r>
      <w:r>
        <w:t xml:space="preserve"> that</w:t>
      </w:r>
      <w:r w:rsidRPr="00AD360A">
        <w:t xml:space="preserve"> the Panel "deviated" from the approach taken by the original panel regarding the identification of the project-specific risk premium</w:t>
      </w:r>
      <w:r w:rsidR="001942DB">
        <w:t>,</w:t>
      </w:r>
      <w:r>
        <w:t xml:space="preserve"> in a manner inconsistent with </w:t>
      </w:r>
      <w:r w:rsidR="000A10EA">
        <w:t>Article </w:t>
      </w:r>
      <w:r>
        <w:t>11 of the DSU.</w:t>
      </w:r>
    </w:p>
    <w:p w:rsidR="0007161B" w:rsidRPr="00230AA6" w:rsidRDefault="0007161B" w:rsidP="003E742D">
      <w:pPr>
        <w:pStyle w:val="BodyText"/>
      </w:pPr>
      <w:r>
        <w:t>To conclude, t</w:t>
      </w:r>
      <w:r w:rsidRPr="00001C97">
        <w:t>he</w:t>
      </w:r>
      <w:r w:rsidRPr="00097064">
        <w:t xml:space="preserve"> </w:t>
      </w:r>
      <w:r w:rsidR="000A10EA">
        <w:t>European Union</w:t>
      </w:r>
      <w:r w:rsidRPr="00097064">
        <w:t xml:space="preserve"> advance</w:t>
      </w:r>
      <w:r>
        <w:t>d</w:t>
      </w:r>
      <w:r w:rsidRPr="00097064">
        <w:t xml:space="preserve"> two lines of argumentation in support of its claim of inconsistency with </w:t>
      </w:r>
      <w:r w:rsidR="000A10EA">
        <w:t>Article </w:t>
      </w:r>
      <w:r w:rsidRPr="00097064">
        <w:t>11</w:t>
      </w:r>
      <w:r>
        <w:t xml:space="preserve"> of the DSU. With regard to the first, </w:t>
      </w:r>
      <w:r w:rsidR="001942DB">
        <w:t>given that</w:t>
      </w:r>
      <w:r w:rsidRPr="00F829D4">
        <w:t xml:space="preserve"> we have already addressed and rejected the </w:t>
      </w:r>
      <w:r w:rsidR="000A10EA">
        <w:t>European Union</w:t>
      </w:r>
      <w:r w:rsidRPr="00F829D4">
        <w:t>'s claim tha</w:t>
      </w:r>
      <w:r>
        <w:t xml:space="preserve">t the Panel erred under </w:t>
      </w:r>
      <w:r w:rsidR="000A10EA">
        <w:t>Article </w:t>
      </w:r>
      <w:r w:rsidRPr="00F829D4">
        <w:t xml:space="preserve">1.1(b) </w:t>
      </w:r>
      <w:r>
        <w:t xml:space="preserve">of the </w:t>
      </w:r>
      <w:r w:rsidR="000A10EA">
        <w:t>SCM Agreement</w:t>
      </w:r>
      <w:r>
        <w:t xml:space="preserve"> </w:t>
      </w:r>
      <w:r w:rsidRPr="00F829D4">
        <w:t>by failing to undertake a "progressive search" for a market benchmark</w:t>
      </w:r>
      <w:r w:rsidRPr="00F829D4">
        <w:rPr>
          <w:rStyle w:val="FootnoteReference"/>
        </w:rPr>
        <w:footnoteReference w:id="660"/>
      </w:r>
      <w:r w:rsidRPr="00F829D4">
        <w:t xml:space="preserve">, we consider it </w:t>
      </w:r>
      <w:r>
        <w:t>un</w:t>
      </w:r>
      <w:r w:rsidRPr="00F829D4">
        <w:t xml:space="preserve">necessary to address further the </w:t>
      </w:r>
      <w:r w:rsidR="000A10EA">
        <w:t>European Union</w:t>
      </w:r>
      <w:r w:rsidRPr="00F829D4">
        <w:t xml:space="preserve">'s claim that the Panel acted inconsistently with </w:t>
      </w:r>
      <w:r w:rsidR="000A10EA">
        <w:t>Article </w:t>
      </w:r>
      <w:r w:rsidRPr="00F829D4">
        <w:t xml:space="preserve">11 of the DSU by failing to consider alternative, </w:t>
      </w:r>
      <w:r>
        <w:t xml:space="preserve">and </w:t>
      </w:r>
      <w:r w:rsidRPr="00F829D4">
        <w:t xml:space="preserve">more appropriate, benchmarks </w:t>
      </w:r>
      <w:r>
        <w:t>than those</w:t>
      </w:r>
      <w:r w:rsidRPr="00F829D4">
        <w:t xml:space="preserve"> proposed by the </w:t>
      </w:r>
      <w:r w:rsidR="000A10EA">
        <w:t>United States</w:t>
      </w:r>
      <w:r w:rsidRPr="00F829D4">
        <w:t xml:space="preserve">. </w:t>
      </w:r>
      <w:r>
        <w:t>Regarding the second line of argumentation</w:t>
      </w:r>
      <w:r w:rsidRPr="00F829D4">
        <w:t>, we disagre</w:t>
      </w:r>
      <w:r w:rsidR="00004C56">
        <w:t>e</w:t>
      </w:r>
      <w:r w:rsidRPr="00F829D4">
        <w:t xml:space="preserve"> with the </w:t>
      </w:r>
      <w:r w:rsidR="000A10EA">
        <w:t>European Union</w:t>
      </w:r>
      <w:r w:rsidRPr="00F829D4">
        <w:t xml:space="preserve">'s claim that the Panel acted inconsistently with </w:t>
      </w:r>
      <w:r w:rsidR="000A10EA">
        <w:t>Article </w:t>
      </w:r>
      <w:r w:rsidRPr="00F829D4">
        <w:t>11</w:t>
      </w:r>
      <w:r>
        <w:t xml:space="preserve"> because it allegedly </w:t>
      </w:r>
      <w:r w:rsidRPr="00097064">
        <w:t xml:space="preserve">deviated from the original panel's findings </w:t>
      </w:r>
      <w:r>
        <w:t>by</w:t>
      </w:r>
      <w:r w:rsidRPr="00097064">
        <w:t xml:space="preserve"> adopt</w:t>
      </w:r>
      <w:r>
        <w:t>ing</w:t>
      </w:r>
      <w:r w:rsidRPr="00097064">
        <w:t xml:space="preserve"> a </w:t>
      </w:r>
      <w:r>
        <w:t>"</w:t>
      </w:r>
      <w:r w:rsidRPr="00097064">
        <w:t>constant, undifferentiated project risk premium</w:t>
      </w:r>
      <w:r>
        <w:t>"</w:t>
      </w:r>
      <w:r w:rsidRPr="00097064">
        <w:t xml:space="preserve"> for the A350XWB.</w:t>
      </w:r>
      <w:r w:rsidRPr="00097064">
        <w:rPr>
          <w:rStyle w:val="FootnoteReference"/>
        </w:rPr>
        <w:footnoteReference w:id="661"/>
      </w:r>
      <w:r>
        <w:t xml:space="preserve"> Consequently, we </w:t>
      </w:r>
      <w:r w:rsidRPr="00B6206D">
        <w:rPr>
          <w:u w:val="single"/>
        </w:rPr>
        <w:t>find</w:t>
      </w:r>
      <w:r>
        <w:t xml:space="preserve"> that the </w:t>
      </w:r>
      <w:r w:rsidR="000A10EA">
        <w:t>European Union</w:t>
      </w:r>
      <w:r>
        <w:t xml:space="preserve"> has failed to establish that the Panel acted inconsistently with </w:t>
      </w:r>
      <w:r w:rsidR="000A10EA">
        <w:t>Article </w:t>
      </w:r>
      <w:r>
        <w:t>11 of the DSU.</w:t>
      </w:r>
    </w:p>
    <w:p w:rsidR="0007161B" w:rsidRPr="00250B2F" w:rsidRDefault="0007161B" w:rsidP="003E742D">
      <w:pPr>
        <w:pStyle w:val="Heading4"/>
      </w:pPr>
      <w:bookmarkStart w:id="88" w:name="_Ref477528383"/>
      <w:bookmarkStart w:id="89" w:name="_Toc479689640"/>
      <w:bookmarkStart w:id="90" w:name="_Toc514059231"/>
      <w:r w:rsidRPr="00250B2F">
        <w:t xml:space="preserve">Whether the Panel acted inconsistently with </w:t>
      </w:r>
      <w:r w:rsidR="000A10EA">
        <w:t>Article </w:t>
      </w:r>
      <w:r w:rsidRPr="00250B2F">
        <w:t>11 of the DSU in its assessment of the risk differences that may affect the project-specific risk premium</w:t>
      </w:r>
      <w:bookmarkEnd w:id="88"/>
      <w:bookmarkEnd w:id="89"/>
      <w:bookmarkEnd w:id="90"/>
    </w:p>
    <w:p w:rsidR="0007161B" w:rsidRDefault="0007161B" w:rsidP="003E742D">
      <w:pPr>
        <w:pStyle w:val="BodyText"/>
      </w:pPr>
      <w:r>
        <w:t xml:space="preserve">Having addressed </w:t>
      </w:r>
      <w:r w:rsidRPr="00E225A2">
        <w:t xml:space="preserve">the </w:t>
      </w:r>
      <w:r w:rsidR="000A10EA">
        <w:t>European Union</w:t>
      </w:r>
      <w:r>
        <w:t xml:space="preserve">'s claims that the Panel erred in its application of </w:t>
      </w:r>
      <w:r w:rsidR="000A10EA">
        <w:t>Article </w:t>
      </w:r>
      <w:r>
        <w:t xml:space="preserve">1.1(b) of the </w:t>
      </w:r>
      <w:r w:rsidR="000A10EA">
        <w:t>SCM Agreement</w:t>
      </w:r>
      <w:r>
        <w:t xml:space="preserve"> and acted inconsistently with </w:t>
      </w:r>
      <w:r w:rsidR="000A10EA">
        <w:t>Article </w:t>
      </w:r>
      <w:r>
        <w:t xml:space="preserve">11 of the DSU </w:t>
      </w:r>
      <w:r w:rsidRPr="004536BB">
        <w:t xml:space="preserve">by failing to establish a project-specific risk premium for the </w:t>
      </w:r>
      <w:r>
        <w:t xml:space="preserve">four </w:t>
      </w:r>
      <w:r w:rsidRPr="002F4B87">
        <w:t xml:space="preserve">A350XWB LA/MSF </w:t>
      </w:r>
      <w:r>
        <w:t>contracts</w:t>
      </w:r>
      <w:r w:rsidRPr="004536BB">
        <w:t xml:space="preserve"> based on the risks associated with the A350XWB project</w:t>
      </w:r>
      <w:r>
        <w:t>, w</w:t>
      </w:r>
      <w:r w:rsidRPr="00AD360A">
        <w:t xml:space="preserve">e turn next to address the </w:t>
      </w:r>
      <w:r w:rsidR="000A10EA">
        <w:t>European Union</w:t>
      </w:r>
      <w:r>
        <w:t>'s</w:t>
      </w:r>
      <w:r w:rsidRPr="00AD360A">
        <w:t xml:space="preserve"> </w:t>
      </w:r>
      <w:r w:rsidRPr="00D97E4B">
        <w:rPr>
          <w:i/>
        </w:rPr>
        <w:t>second</w:t>
      </w:r>
      <w:r w:rsidRPr="00AD360A">
        <w:t xml:space="preserve"> set of claims </w:t>
      </w:r>
      <w:r>
        <w:t>challenging</w:t>
      </w:r>
      <w:r w:rsidRPr="00AD360A">
        <w:t xml:space="preserve"> the Panel's findings.</w:t>
      </w:r>
      <w:r>
        <w:t xml:space="preserve"> Specifically, t</w:t>
      </w:r>
      <w:r w:rsidRPr="00097064">
        <w:t xml:space="preserve">he </w:t>
      </w:r>
      <w:r w:rsidR="000A10EA">
        <w:t>European Union</w:t>
      </w:r>
      <w:r w:rsidRPr="00097064">
        <w:t xml:space="preserve"> argues that the Panel acted inconsistently with </w:t>
      </w:r>
      <w:r w:rsidR="000A10EA">
        <w:t>Article </w:t>
      </w:r>
      <w:r w:rsidRPr="00097064">
        <w:t xml:space="preserve">11 of the DSU in its assessment of </w:t>
      </w:r>
      <w:r>
        <w:t xml:space="preserve">the </w:t>
      </w:r>
      <w:r w:rsidRPr="0019760E">
        <w:t>three</w:t>
      </w:r>
      <w:r w:rsidRPr="00097064">
        <w:t xml:space="preserve"> </w:t>
      </w:r>
      <w:r>
        <w:t>categories</w:t>
      </w:r>
      <w:r w:rsidRPr="00097064">
        <w:t xml:space="preserve"> of </w:t>
      </w:r>
      <w:r w:rsidRPr="00097064">
        <w:lastRenderedPageBreak/>
        <w:t xml:space="preserve">risk </w:t>
      </w:r>
      <w:r>
        <w:t xml:space="preserve">examined </w:t>
      </w:r>
      <w:r w:rsidRPr="00AD360A">
        <w:t xml:space="preserve">in </w:t>
      </w:r>
      <w:r>
        <w:t xml:space="preserve">relation to </w:t>
      </w:r>
      <w:r w:rsidRPr="00AD360A">
        <w:t>the risk profiles of the A380 and A350XWB projects</w:t>
      </w:r>
      <w:r>
        <w:t>: (i) </w:t>
      </w:r>
      <w:r w:rsidRPr="00AD360A">
        <w:t>programme risk; (i</w:t>
      </w:r>
      <w:r>
        <w:t xml:space="preserve">i) </w:t>
      </w:r>
      <w:r w:rsidRPr="00AD360A">
        <w:t>contract risk</w:t>
      </w:r>
      <w:r>
        <w:t>; and (iii) the price of risk</w:t>
      </w:r>
      <w:r w:rsidRPr="00AD360A">
        <w:t>.</w:t>
      </w:r>
      <w:r w:rsidRPr="00AD360A">
        <w:rPr>
          <w:rStyle w:val="FootnoteReference"/>
        </w:rPr>
        <w:footnoteReference w:id="662"/>
      </w:r>
      <w:r w:rsidRPr="00FB2532">
        <w:t xml:space="preserve"> </w:t>
      </w:r>
      <w:r w:rsidRPr="00097064">
        <w:t xml:space="preserve">The </w:t>
      </w:r>
      <w:r w:rsidR="000A10EA">
        <w:t>European Union</w:t>
      </w:r>
      <w:r w:rsidRPr="00097064">
        <w:t xml:space="preserve"> </w:t>
      </w:r>
      <w:r>
        <w:t>challenges the Panel's analysis regarding these</w:t>
      </w:r>
      <w:r w:rsidRPr="00097064">
        <w:t xml:space="preserve"> three </w:t>
      </w:r>
      <w:r>
        <w:t>categories</w:t>
      </w:r>
      <w:r w:rsidRPr="00097064">
        <w:t xml:space="preserve"> of risk</w:t>
      </w:r>
      <w:r>
        <w:t xml:space="preserve"> on the basis of</w:t>
      </w:r>
      <w:r w:rsidRPr="00097064">
        <w:t xml:space="preserve"> </w:t>
      </w:r>
      <w:r>
        <w:t>multiple</w:t>
      </w:r>
      <w:r w:rsidRPr="00097064">
        <w:t xml:space="preserve"> claims of </w:t>
      </w:r>
      <w:r>
        <w:t>inconsistency with</w:t>
      </w:r>
      <w:r w:rsidRPr="00097064">
        <w:t xml:space="preserve"> </w:t>
      </w:r>
      <w:r w:rsidR="000A10EA">
        <w:t>Article </w:t>
      </w:r>
      <w:r w:rsidRPr="00097064">
        <w:t>11 of the DSU</w:t>
      </w:r>
      <w:r>
        <w:t xml:space="preserve">. These claims are all, in one way or another, related to the question of whether the risk profiles of the </w:t>
      </w:r>
      <w:r w:rsidRPr="004536BB">
        <w:t>A350XWB</w:t>
      </w:r>
      <w:r>
        <w:t xml:space="preserve"> and A380 projects were o</w:t>
      </w:r>
      <w:r w:rsidR="00D15139">
        <w:t>verall sufficiently similar, or </w:t>
      </w:r>
      <w:r>
        <w:t xml:space="preserve">whether any adjustments would have been required to use the WRP as the </w:t>
      </w:r>
      <w:r w:rsidRPr="004536BB">
        <w:t>A350XWB</w:t>
      </w:r>
      <w:r w:rsidR="001942DB">
        <w:t xml:space="preserve"> project</w:t>
      </w:r>
      <w:r w:rsidR="001942DB">
        <w:noBreakHyphen/>
      </w:r>
      <w:r>
        <w:t>specific risk premium.</w:t>
      </w:r>
    </w:p>
    <w:p w:rsidR="0007161B" w:rsidRDefault="0007161B" w:rsidP="003E742D">
      <w:pPr>
        <w:pStyle w:val="BodyText"/>
      </w:pPr>
      <w:r>
        <w:t xml:space="preserve">In addressing </w:t>
      </w:r>
      <w:r w:rsidRPr="00AD360A">
        <w:t>th</w:t>
      </w:r>
      <w:r>
        <w:t xml:space="preserve">is </w:t>
      </w:r>
      <w:r w:rsidRPr="00AD360A">
        <w:t xml:space="preserve">set of claims </w:t>
      </w:r>
      <w:r>
        <w:t xml:space="preserve">under </w:t>
      </w:r>
      <w:r w:rsidR="000A10EA">
        <w:t>Article </w:t>
      </w:r>
      <w:r w:rsidRPr="00097064">
        <w:t>11 of the DSU</w:t>
      </w:r>
      <w:r>
        <w:t xml:space="preserve">, we begin our analysis with the </w:t>
      </w:r>
      <w:r w:rsidR="000A10EA">
        <w:t>European Union</w:t>
      </w:r>
      <w:r>
        <w:t xml:space="preserve">'s challenge against the Panel's findings in relation to </w:t>
      </w:r>
      <w:r w:rsidRPr="00B6206D">
        <w:rPr>
          <w:i/>
        </w:rPr>
        <w:t>programme risk</w:t>
      </w:r>
      <w:r>
        <w:t xml:space="preserve">. This will be followed by the </w:t>
      </w:r>
      <w:r w:rsidR="000A10EA">
        <w:t>European Union</w:t>
      </w:r>
      <w:r>
        <w:t>'s claims regarding</w:t>
      </w:r>
      <w:r w:rsidRPr="00D97E4B">
        <w:t xml:space="preserve"> </w:t>
      </w:r>
      <w:r>
        <w:t>the Panel's findings on </w:t>
      </w:r>
      <w:r w:rsidRPr="00B6206D">
        <w:rPr>
          <w:i/>
        </w:rPr>
        <w:t>contract risk</w:t>
      </w:r>
      <w:r w:rsidR="00D15139">
        <w:t>. Finally, we </w:t>
      </w:r>
      <w:r>
        <w:t xml:space="preserve">conclude by examining the challenges against the Panel's analysis of </w:t>
      </w:r>
      <w:r w:rsidRPr="00B6206D">
        <w:rPr>
          <w:i/>
        </w:rPr>
        <w:t>the price of risk</w:t>
      </w:r>
      <w:r w:rsidRPr="00AD360A">
        <w:t>.</w:t>
      </w:r>
    </w:p>
    <w:p w:rsidR="0007161B" w:rsidRDefault="0007161B" w:rsidP="003E742D">
      <w:pPr>
        <w:pStyle w:val="Heading5"/>
        <w:numPr>
          <w:ilvl w:val="4"/>
          <w:numId w:val="14"/>
        </w:numPr>
      </w:pPr>
      <w:bookmarkStart w:id="91" w:name="_Toc514059232"/>
      <w:r>
        <w:t>Programme risk</w:t>
      </w:r>
      <w:bookmarkEnd w:id="91"/>
    </w:p>
    <w:p w:rsidR="0007161B" w:rsidRDefault="0007161B" w:rsidP="003E742D">
      <w:pPr>
        <w:pStyle w:val="BodyText"/>
      </w:pPr>
      <w:r w:rsidRPr="00097064">
        <w:t xml:space="preserve">The </w:t>
      </w:r>
      <w:r w:rsidR="000A10EA">
        <w:t>European Union</w:t>
      </w:r>
      <w:r w:rsidRPr="00097064">
        <w:t xml:space="preserve"> argues that the Panel acted inconsistently with its obligations under </w:t>
      </w:r>
      <w:r w:rsidR="000A10EA">
        <w:t>Article </w:t>
      </w:r>
      <w:r w:rsidRPr="00097064">
        <w:t xml:space="preserve">11 of the DSU in comparing the programme risks involved in </w:t>
      </w:r>
      <w:r w:rsidRPr="00AD360A">
        <w:t xml:space="preserve">the A350XWB and A380 projects. The </w:t>
      </w:r>
      <w:r w:rsidR="000A10EA">
        <w:t>European Union</w:t>
      </w:r>
      <w:r w:rsidRPr="00AD360A">
        <w:t xml:space="preserve"> </w:t>
      </w:r>
      <w:r>
        <w:t>observes</w:t>
      </w:r>
      <w:r w:rsidRPr="00AD360A">
        <w:t xml:space="preserve"> that programme risk </w:t>
      </w:r>
      <w:r>
        <w:t>encompasses</w:t>
      </w:r>
      <w:r w:rsidRPr="00AD360A">
        <w:t xml:space="preserve"> two different types of risk: "development" risk</w:t>
      </w:r>
      <w:r w:rsidRPr="00AD360A">
        <w:rPr>
          <w:rStyle w:val="FootnoteReference"/>
        </w:rPr>
        <w:footnoteReference w:id="663"/>
      </w:r>
      <w:r w:rsidRPr="00AD360A">
        <w:t>; and "market" risk.</w:t>
      </w:r>
      <w:r w:rsidRPr="00AD360A">
        <w:rPr>
          <w:rStyle w:val="FootnoteReference"/>
        </w:rPr>
        <w:footnoteReference w:id="664"/>
      </w:r>
      <w:r w:rsidRPr="00AD360A">
        <w:t xml:space="preserve"> In the </w:t>
      </w:r>
      <w:r w:rsidR="000A10EA">
        <w:t>European Union</w:t>
      </w:r>
      <w:r w:rsidRPr="00AD360A">
        <w:t>'s view, the Panel failed to make an objective assessment of the matter</w:t>
      </w:r>
      <w:r>
        <w:t>,</w:t>
      </w:r>
      <w:r w:rsidRPr="00AD360A">
        <w:t xml:space="preserve"> </w:t>
      </w:r>
      <w:r>
        <w:t>as required by</w:t>
      </w:r>
      <w:r w:rsidRPr="00AD360A">
        <w:t xml:space="preserve"> </w:t>
      </w:r>
      <w:r w:rsidR="000A10EA">
        <w:t>Article </w:t>
      </w:r>
      <w:r w:rsidRPr="00AD360A">
        <w:t>11 of the DSU</w:t>
      </w:r>
      <w:r>
        <w:t>,</w:t>
      </w:r>
      <w:r w:rsidRPr="00AD360A">
        <w:t xml:space="preserve"> in the context of the analysis of development risk; the analysis of market risk; and the comparison of the development and market risks posed by the A350XWB and A380 projects.</w:t>
      </w:r>
      <w:r>
        <w:t xml:space="preserve"> We begin by addressing the </w:t>
      </w:r>
      <w:r w:rsidR="000A10EA">
        <w:t>European Union</w:t>
      </w:r>
      <w:r>
        <w:t xml:space="preserve">'s claim regarding development risk. We then examine together the claims concerning </w:t>
      </w:r>
      <w:r w:rsidRPr="00AD360A">
        <w:t>market risk and the comparison of the development and market risks</w:t>
      </w:r>
      <w:r>
        <w:t>.</w:t>
      </w:r>
    </w:p>
    <w:p w:rsidR="0007161B" w:rsidRDefault="0007161B" w:rsidP="003E742D">
      <w:pPr>
        <w:pStyle w:val="Heading6"/>
        <w:numPr>
          <w:ilvl w:val="5"/>
          <w:numId w:val="15"/>
        </w:numPr>
      </w:pPr>
      <w:bookmarkStart w:id="92" w:name="_Toc514059233"/>
      <w:r>
        <w:t>Development risk</w:t>
      </w:r>
      <w:bookmarkEnd w:id="92"/>
    </w:p>
    <w:p w:rsidR="0007161B" w:rsidRDefault="0007161B" w:rsidP="003E742D">
      <w:pPr>
        <w:pStyle w:val="BodyText"/>
      </w:pPr>
      <w:r>
        <w:t>T</w:t>
      </w:r>
      <w:r w:rsidRPr="00AD360A">
        <w:t xml:space="preserve">he </w:t>
      </w:r>
      <w:r w:rsidR="000A10EA">
        <w:t>European Union</w:t>
      </w:r>
      <w:r w:rsidRPr="00AD360A">
        <w:t xml:space="preserve"> submits that</w:t>
      </w:r>
      <w:r w:rsidRPr="005D28AA">
        <w:t xml:space="preserve"> </w:t>
      </w:r>
      <w:r w:rsidRPr="00AD360A">
        <w:t xml:space="preserve">the Panel committed </w:t>
      </w:r>
      <w:r w:rsidRPr="00AD360A">
        <w:rPr>
          <w:i/>
        </w:rPr>
        <w:t>three</w:t>
      </w:r>
      <w:r w:rsidRPr="00AD360A">
        <w:t xml:space="preserve"> distinct errors under </w:t>
      </w:r>
      <w:r w:rsidR="000A10EA">
        <w:t>Article </w:t>
      </w:r>
      <w:r w:rsidRPr="00AD360A">
        <w:t>11 of the DSU in finding that "the A350XWB project involved development risks that were '</w:t>
      </w:r>
      <w:r w:rsidRPr="007E0DDC">
        <w:rPr>
          <w:i/>
        </w:rPr>
        <w:t>at least as high or</w:t>
      </w:r>
      <w:r w:rsidRPr="00AD360A">
        <w:t xml:space="preserve"> </w:t>
      </w:r>
      <w:r w:rsidRPr="007E0DDC">
        <w:rPr>
          <w:i/>
        </w:rPr>
        <w:t>higher</w:t>
      </w:r>
      <w:r w:rsidRPr="00AD360A">
        <w:t>' than the development risks related to the A380 project</w:t>
      </w:r>
      <w:r>
        <w:t>.</w:t>
      </w:r>
      <w:r w:rsidRPr="00AD360A">
        <w:t>"</w:t>
      </w:r>
      <w:r w:rsidRPr="00AD360A">
        <w:rPr>
          <w:rStyle w:val="FootnoteReference"/>
        </w:rPr>
        <w:footnoteReference w:id="665"/>
      </w:r>
    </w:p>
    <w:p w:rsidR="0007161B" w:rsidRDefault="0007161B" w:rsidP="003E742D">
      <w:pPr>
        <w:pStyle w:val="BodyText"/>
      </w:pPr>
      <w:r>
        <w:t>First, t</w:t>
      </w:r>
      <w:r w:rsidRPr="00097064">
        <w:t xml:space="preserve">he </w:t>
      </w:r>
      <w:r w:rsidR="000A10EA">
        <w:t>European Union</w:t>
      </w:r>
      <w:r w:rsidRPr="00097064">
        <w:t xml:space="preserve"> notes that </w:t>
      </w:r>
      <w:r w:rsidRPr="00AD360A">
        <w:t>"{t}he Panel found that the A380 and A350XWB projects gave rise to distinct</w:t>
      </w:r>
      <w:r w:rsidRPr="00097064">
        <w:t xml:space="preserve"> development risks, as they 'involved </w:t>
      </w:r>
      <w:r w:rsidRPr="00D75E75">
        <w:rPr>
          <w:i/>
        </w:rPr>
        <w:t>different</w:t>
      </w:r>
      <w:r w:rsidRPr="00097064">
        <w:t xml:space="preserve"> technological challenges'."</w:t>
      </w:r>
      <w:r w:rsidRPr="00097064">
        <w:rPr>
          <w:rStyle w:val="FootnoteReference"/>
        </w:rPr>
        <w:footnoteReference w:id="666"/>
      </w:r>
      <w:r w:rsidRPr="00097064">
        <w:t xml:space="preserve"> </w:t>
      </w:r>
      <w:r>
        <w:t>In particular</w:t>
      </w:r>
      <w:r w:rsidRPr="00097064">
        <w:t>, the A380 was "an aircraft of unprecedented size", whereas the A350XWB made extensive use of "new materials".</w:t>
      </w:r>
      <w:r w:rsidRPr="00097064">
        <w:rPr>
          <w:rStyle w:val="FootnoteReference"/>
        </w:rPr>
        <w:footnoteReference w:id="667"/>
      </w:r>
      <w:r w:rsidRPr="00097064">
        <w:t xml:space="preserve"> However, despite assessing the different </w:t>
      </w:r>
      <w:r w:rsidRPr="00AD360A">
        <w:t>technological challenges involved in the A380 and A350XWB projects, the Panel failed to reduce these different development risks to common terms susceptible to comparison, that is, in terms of the price that would be demanded by a commercial lender as a risk premium to bear each of the distinct development risks – the unprecedented size of the A380 and the use of new materials in the A350XWB.</w:t>
      </w:r>
      <w:r>
        <w:t xml:space="preserve"> Therefore</w:t>
      </w:r>
      <w:r w:rsidRPr="00AD360A">
        <w:t xml:space="preserve">, the </w:t>
      </w:r>
      <w:r w:rsidR="000A10EA">
        <w:t>European Union</w:t>
      </w:r>
      <w:r w:rsidRPr="00AD360A">
        <w:t xml:space="preserve"> maintains that there is </w:t>
      </w:r>
      <w:r w:rsidRPr="00354007">
        <w:rPr>
          <w:i/>
        </w:rPr>
        <w:t>no evidence</w:t>
      </w:r>
      <w:r w:rsidRPr="00AD360A">
        <w:t xml:space="preserve">, and </w:t>
      </w:r>
      <w:r w:rsidR="00D15139">
        <w:rPr>
          <w:i/>
        </w:rPr>
        <w:t>no </w:t>
      </w:r>
      <w:r w:rsidRPr="00354007">
        <w:rPr>
          <w:i/>
        </w:rPr>
        <w:t>reasoned or adequate explanation</w:t>
      </w:r>
      <w:r w:rsidRPr="00AD360A">
        <w:t>, to support the Panel's conclusion that the development risks faced by both projects, albeit different in nature, would nonetheless be similarly priced from a commercial lender's perspective.</w:t>
      </w:r>
      <w:r w:rsidR="001942DB">
        <w:rPr>
          <w:rStyle w:val="FootnoteReference"/>
        </w:rPr>
        <w:footnoteReference w:id="668"/>
      </w:r>
      <w:r w:rsidRPr="00AD360A">
        <w:t xml:space="preserve"> The </w:t>
      </w:r>
      <w:r w:rsidR="000A10EA">
        <w:t>European Union</w:t>
      </w:r>
      <w:r w:rsidRPr="00AD360A">
        <w:t xml:space="preserve"> asserts that, as a result of this "missing link" in the Panel's analysis, the record provides no basis for the Panel's finding that the A350XWB project involved development risks that were "</w:t>
      </w:r>
      <w:r w:rsidRPr="00D75E75">
        <w:rPr>
          <w:i/>
        </w:rPr>
        <w:t>at least as high or higher</w:t>
      </w:r>
      <w:r w:rsidRPr="00AD360A">
        <w:t xml:space="preserve">" than the development </w:t>
      </w:r>
      <w:r w:rsidRPr="00AD360A">
        <w:lastRenderedPageBreak/>
        <w:t>risks related to the A380</w:t>
      </w:r>
      <w:r>
        <w:t> </w:t>
      </w:r>
      <w:r w:rsidRPr="00AD360A">
        <w:t>project.</w:t>
      </w:r>
      <w:r w:rsidRPr="00AD360A">
        <w:rPr>
          <w:rStyle w:val="FootnoteReference"/>
        </w:rPr>
        <w:footnoteReference w:id="669"/>
      </w:r>
      <w:r w:rsidRPr="00AD360A">
        <w:t xml:space="preserve"> Consequently, the </w:t>
      </w:r>
      <w:r w:rsidR="000A10EA">
        <w:t>European Union</w:t>
      </w:r>
      <w:r w:rsidRPr="00AD360A">
        <w:t xml:space="preserve"> argues that, by </w:t>
      </w:r>
      <w:r>
        <w:t xml:space="preserve">making this </w:t>
      </w:r>
      <w:r w:rsidRPr="00AD360A">
        <w:t xml:space="preserve">finding </w:t>
      </w:r>
      <w:r>
        <w:t xml:space="preserve">regarding the </w:t>
      </w:r>
      <w:r w:rsidRPr="00AD360A">
        <w:t xml:space="preserve">development risks, the Panel acted inconsistently with </w:t>
      </w:r>
      <w:r w:rsidR="000A10EA">
        <w:t>Article </w:t>
      </w:r>
      <w:r w:rsidRPr="00AD360A">
        <w:t>11 of the DSU.</w:t>
      </w:r>
    </w:p>
    <w:p w:rsidR="0007161B" w:rsidRPr="00097064" w:rsidRDefault="0007161B" w:rsidP="003E742D">
      <w:pPr>
        <w:pStyle w:val="BodyText"/>
      </w:pPr>
      <w:r w:rsidRPr="00097064">
        <w:t xml:space="preserve">The </w:t>
      </w:r>
      <w:r w:rsidR="000A10EA">
        <w:t>United States</w:t>
      </w:r>
      <w:r w:rsidRPr="00097064">
        <w:t xml:space="preserve"> maintains that the Panel's findings were based primarily on qualitative rather than quantitative elements.</w:t>
      </w:r>
      <w:r w:rsidRPr="00097064">
        <w:rPr>
          <w:rStyle w:val="FootnoteReference"/>
        </w:rPr>
        <w:footnoteReference w:id="670"/>
      </w:r>
      <w:r w:rsidRPr="00097064">
        <w:t xml:space="preserve"> However, "</w:t>
      </w:r>
      <w:r w:rsidR="000A10EA">
        <w:t>Article </w:t>
      </w:r>
      <w:r w:rsidRPr="00097064">
        <w:t>11 requires that the Panel make an objective assessment of the facts – not that it express its intermediate findings quantitatively</w:t>
      </w:r>
      <w:r>
        <w:t>.</w:t>
      </w:r>
      <w:r w:rsidRPr="00097064">
        <w:t>"</w:t>
      </w:r>
      <w:r w:rsidRPr="00097064">
        <w:rPr>
          <w:rStyle w:val="FootnoteReference"/>
        </w:rPr>
        <w:footnoteReference w:id="671"/>
      </w:r>
      <w:r w:rsidRPr="00097064">
        <w:t xml:space="preserve"> The</w:t>
      </w:r>
      <w:r>
        <w:t>refore, the</w:t>
      </w:r>
      <w:r w:rsidRPr="00097064">
        <w:t xml:space="preserve"> </w:t>
      </w:r>
      <w:r w:rsidR="000A10EA">
        <w:t>United States</w:t>
      </w:r>
      <w:r w:rsidRPr="00097064">
        <w:t xml:space="preserve"> asserts that the Panel's objectivity </w:t>
      </w:r>
      <w:r>
        <w:t>can</w:t>
      </w:r>
      <w:r w:rsidRPr="00097064">
        <w:t>not</w:t>
      </w:r>
      <w:r>
        <w:t xml:space="preserve"> be</w:t>
      </w:r>
      <w:r w:rsidRPr="00097064">
        <w:t xml:space="preserve"> called into question simply because most of </w:t>
      </w:r>
      <w:r>
        <w:t>the</w:t>
      </w:r>
      <w:r w:rsidRPr="00097064">
        <w:t xml:space="preserve"> evidence </w:t>
      </w:r>
      <w:r>
        <w:t>examined by the Panel was</w:t>
      </w:r>
      <w:r w:rsidRPr="00097064">
        <w:t xml:space="preserve"> qualitative in nature.</w:t>
      </w:r>
      <w:r w:rsidRPr="00097064">
        <w:rPr>
          <w:rStyle w:val="FootnoteReference"/>
        </w:rPr>
        <w:footnoteReference w:id="672"/>
      </w:r>
    </w:p>
    <w:p w:rsidR="0007161B" w:rsidRDefault="0007161B" w:rsidP="003E742D">
      <w:pPr>
        <w:pStyle w:val="BodyText"/>
      </w:pPr>
      <w:r>
        <w:t xml:space="preserve">We begin by analysing the </w:t>
      </w:r>
      <w:r w:rsidRPr="00097064">
        <w:t xml:space="preserve">thrust of the </w:t>
      </w:r>
      <w:r w:rsidR="000A10EA">
        <w:t>European Union</w:t>
      </w:r>
      <w:r w:rsidRPr="00097064">
        <w:t>'s claim</w:t>
      </w:r>
      <w:r>
        <w:t>.</w:t>
      </w:r>
      <w:r w:rsidR="00D15139">
        <w:t xml:space="preserve"> As we see it, the </w:t>
      </w:r>
      <w:r w:rsidR="000A10EA">
        <w:t>European Union</w:t>
      </w:r>
      <w:r>
        <w:t xml:space="preserve">'s claim </w:t>
      </w:r>
      <w:r w:rsidRPr="00097064">
        <w:t xml:space="preserve">is that the Panel </w:t>
      </w:r>
      <w:r w:rsidRPr="00097064">
        <w:rPr>
          <w:i/>
        </w:rPr>
        <w:t>should have</w:t>
      </w:r>
      <w:r w:rsidRPr="00097064">
        <w:t xml:space="preserve"> analysed the A380's development risk (resulting from its unprecedented size) and the A350XWB's development risk (resulting from the use of new materials) from the perspective of the price that a commercial lender would have charged to assume each of the</w:t>
      </w:r>
      <w:r>
        <w:t>se</w:t>
      </w:r>
      <w:r w:rsidRPr="00097064">
        <w:t xml:space="preserve"> distinct risks. The Panel's failure to carry out this specific assessment resulted, in the </w:t>
      </w:r>
      <w:r w:rsidR="000A10EA">
        <w:t>European Union</w:t>
      </w:r>
      <w:r w:rsidRPr="00097064">
        <w:t xml:space="preserve">'s view, in a breach of </w:t>
      </w:r>
      <w:r w:rsidR="000A10EA">
        <w:t>Article </w:t>
      </w:r>
      <w:r w:rsidRPr="00097064">
        <w:t>11.</w:t>
      </w:r>
    </w:p>
    <w:p w:rsidR="0007161B" w:rsidRDefault="0007161B" w:rsidP="003E742D">
      <w:pPr>
        <w:pStyle w:val="BodyText"/>
      </w:pPr>
      <w:r w:rsidRPr="006E26EB">
        <w:t xml:space="preserve">The </w:t>
      </w:r>
      <w:r w:rsidR="000A10EA">
        <w:t>European Union</w:t>
      </w:r>
      <w:r w:rsidRPr="006E26EB">
        <w:t xml:space="preserve">'s argument appears to be premised on the assumption that the legal standard under </w:t>
      </w:r>
      <w:r w:rsidR="000A10EA">
        <w:t>Article </w:t>
      </w:r>
      <w:r w:rsidRPr="006E26EB">
        <w:t>1.1(b) of</w:t>
      </w:r>
      <w:r>
        <w:t xml:space="preserve"> the </w:t>
      </w:r>
      <w:r w:rsidR="000A10EA">
        <w:t>SCM Agreement</w:t>
      </w:r>
      <w:r>
        <w:t xml:space="preserve"> and </w:t>
      </w:r>
      <w:r w:rsidR="000A10EA">
        <w:t>Article </w:t>
      </w:r>
      <w:r>
        <w:t>11 of the DSU</w:t>
      </w:r>
      <w:r w:rsidRPr="00097064">
        <w:t xml:space="preserve"> require the Panel to </w:t>
      </w:r>
      <w:r>
        <w:t xml:space="preserve">have </w:t>
      </w:r>
      <w:r w:rsidRPr="00097064">
        <w:t>examine</w:t>
      </w:r>
      <w:r>
        <w:t>d, for both the A380 and the A350XWB project,</w:t>
      </w:r>
      <w:r w:rsidRPr="00097064">
        <w:t xml:space="preserve"> the </w:t>
      </w:r>
      <w:r w:rsidRPr="00C9255B">
        <w:t>specific issue of the development</w:t>
      </w:r>
      <w:r w:rsidRPr="00B3243D">
        <w:rPr>
          <w:i/>
        </w:rPr>
        <w:t xml:space="preserve"> </w:t>
      </w:r>
      <w:r w:rsidRPr="00097064">
        <w:t xml:space="preserve">risks </w:t>
      </w:r>
      <w:r w:rsidRPr="00B3243D">
        <w:rPr>
          <w:i/>
        </w:rPr>
        <w:t>in terms of the price that a commercial lender would have charged</w:t>
      </w:r>
      <w:r w:rsidRPr="00097064">
        <w:t xml:space="preserve"> to assume the specific risks at issue</w:t>
      </w:r>
      <w:r>
        <w:t>. W</w:t>
      </w:r>
      <w:r w:rsidRPr="00AD360A">
        <w:t xml:space="preserve">hile we agree that the </w:t>
      </w:r>
      <w:r w:rsidRPr="00B3243D">
        <w:rPr>
          <w:i/>
        </w:rPr>
        <w:t xml:space="preserve">main issue </w:t>
      </w:r>
      <w:r w:rsidRPr="00AD360A">
        <w:t xml:space="preserve">before the Panel was </w:t>
      </w:r>
      <w:r w:rsidRPr="00B3243D">
        <w:rPr>
          <w:i/>
        </w:rPr>
        <w:t>whether a commercial lender would have imposed similar terms for assuming the risk</w:t>
      </w:r>
      <w:r w:rsidRPr="00097064">
        <w:t xml:space="preserve"> associated with each </w:t>
      </w:r>
      <w:r w:rsidRPr="00B3243D">
        <w:rPr>
          <w:i/>
        </w:rPr>
        <w:t>project</w:t>
      </w:r>
      <w:r w:rsidR="00E05F1C">
        <w:t xml:space="preserve"> (i.e. </w:t>
      </w:r>
      <w:r>
        <w:t>the A350XWB and the A380)</w:t>
      </w:r>
      <w:r w:rsidRPr="00097064">
        <w:t>, we do not consider that the Panel was required to</w:t>
      </w:r>
      <w:r>
        <w:t xml:space="preserve"> reach a "similarity finding" on the basis of "what </w:t>
      </w:r>
      <w:r w:rsidRPr="00AD360A">
        <w:t>a commercial lender</w:t>
      </w:r>
      <w:r w:rsidRPr="00097064">
        <w:t xml:space="preserve"> would have</w:t>
      </w:r>
      <w:r>
        <w:t xml:space="preserve"> charged"</w:t>
      </w:r>
      <w:r w:rsidRPr="00097064">
        <w:t xml:space="preserve"> with respect to </w:t>
      </w:r>
      <w:r w:rsidRPr="00B3243D">
        <w:rPr>
          <w:i/>
        </w:rPr>
        <w:t>each of the individual categories of risk</w:t>
      </w:r>
      <w:r w:rsidRPr="00097064">
        <w:t xml:space="preserve"> that the parties </w:t>
      </w:r>
      <w:r>
        <w:t xml:space="preserve">had </w:t>
      </w:r>
      <w:r w:rsidRPr="00097064">
        <w:t>presented.</w:t>
      </w:r>
      <w:r>
        <w:t xml:space="preserve"> Rather, </w:t>
      </w:r>
      <w:r w:rsidRPr="005215AD">
        <w:t>the Panel was required to provide</w:t>
      </w:r>
      <w:r>
        <w:t xml:space="preserve"> a reasoned and adequate explanation as to</w:t>
      </w:r>
      <w:r w:rsidRPr="005215AD">
        <w:t xml:space="preserve"> why</w:t>
      </w:r>
      <w:r>
        <w:t xml:space="preserve"> the risk profiles of the A350XWB and A380 projects were </w:t>
      </w:r>
      <w:r w:rsidRPr="00602391">
        <w:rPr>
          <w:i/>
        </w:rPr>
        <w:t>overall</w:t>
      </w:r>
      <w:r>
        <w:t xml:space="preserve"> sufficiently similar such that the WRP could be used – without making adjustments – as a project-specific risk premium for the A350XWB project.</w:t>
      </w:r>
      <w:r w:rsidRPr="00097064">
        <w:t xml:space="preserve"> </w:t>
      </w:r>
    </w:p>
    <w:p w:rsidR="0007161B" w:rsidRDefault="0007161B" w:rsidP="003E742D">
      <w:pPr>
        <w:pStyle w:val="BodyText"/>
      </w:pPr>
      <w:r>
        <w:t xml:space="preserve">To the extent that it would have been possible to quantify in the present case </w:t>
      </w:r>
      <w:r w:rsidRPr="00097064">
        <w:t xml:space="preserve">what a commercial lender would have charged </w:t>
      </w:r>
      <w:r>
        <w:t xml:space="preserve">as a risk premium to assume </w:t>
      </w:r>
      <w:r w:rsidRPr="006E6C0F">
        <w:t>each of the individual categories of risk e</w:t>
      </w:r>
      <w:r>
        <w:t>xamined by the Panel, this type of analysis would have provided a more robust basis</w:t>
      </w:r>
      <w:r w:rsidRPr="006E6C0F">
        <w:t xml:space="preserve"> </w:t>
      </w:r>
      <w:r>
        <w:t xml:space="preserve">for the Panel's ultimate finding regarding the project-specific risk premium to be used for the A350XWB. Nonetheless, and even accepting that the Panel </w:t>
      </w:r>
      <w:r w:rsidRPr="005215AD">
        <w:t>could have explained more clearly how it came to its conclusion</w:t>
      </w:r>
      <w:r>
        <w:t>, the Panel's evaluation of the various aspects of risk associated with the A350XWB and A380 projects provided a sufficient basis for it to find that "</w:t>
      </w:r>
      <w:r w:rsidRPr="00416B64">
        <w:t xml:space="preserve">the overall </w:t>
      </w:r>
      <w:r w:rsidR="001942DB">
        <w:t>project</w:t>
      </w:r>
      <w:r w:rsidR="001942DB">
        <w:noBreakHyphen/>
      </w:r>
      <w:r w:rsidRPr="006E26EB">
        <w:t xml:space="preserve">specific risks </w:t>
      </w:r>
      <w:r>
        <w:t>{were}</w:t>
      </w:r>
      <w:r w:rsidRPr="006E26EB">
        <w:t xml:space="preserve"> sufficiently similar to allow the risk premium applied for A380 LA/MSF in the original proceeding to be applied to A350XWB LA/MSF</w:t>
      </w:r>
      <w:r>
        <w:t>.</w:t>
      </w:r>
      <w:r w:rsidRPr="006E26EB">
        <w:t>"</w:t>
      </w:r>
      <w:r w:rsidRPr="006E26EB">
        <w:rPr>
          <w:rStyle w:val="FootnoteReference"/>
        </w:rPr>
        <w:footnoteReference w:id="673"/>
      </w:r>
      <w:r w:rsidRPr="006E26EB">
        <w:t xml:space="preserve"> In particular,</w:t>
      </w:r>
      <w:r>
        <w:t xml:space="preserve"> as examined below,</w:t>
      </w:r>
      <w:r w:rsidRPr="006E26EB">
        <w:t xml:space="preserve"> the Panel</w:t>
      </w:r>
      <w:r>
        <w:t>'s</w:t>
      </w:r>
      <w:r w:rsidRPr="006E26EB">
        <w:t xml:space="preserve"> analysis demonstrates that it took into account each of the various aspects</w:t>
      </w:r>
      <w:r>
        <w:t xml:space="preserve"> of risk in its overall analysis and that it did not find any differences that required adjustments to be made to the WRP, either downwards – as argued by the </w:t>
      </w:r>
      <w:r w:rsidR="000A10EA">
        <w:t>European Union</w:t>
      </w:r>
      <w:r w:rsidR="00D15139">
        <w:t xml:space="preserve"> – or upwards, as argued by the </w:t>
      </w:r>
      <w:r w:rsidR="000A10EA">
        <w:t>United States</w:t>
      </w:r>
      <w:r>
        <w:t>.</w:t>
      </w:r>
    </w:p>
    <w:p w:rsidR="0007161B" w:rsidRDefault="0007161B" w:rsidP="003E742D">
      <w:pPr>
        <w:pStyle w:val="BodyText"/>
      </w:pPr>
      <w:r w:rsidRPr="00097064">
        <w:t xml:space="preserve">The Panel </w:t>
      </w:r>
      <w:r>
        <w:t>likewise</w:t>
      </w:r>
      <w:r w:rsidRPr="00097064">
        <w:t xml:space="preserve"> did not consider that it was required to examine what a commercial lender would have charged with respect to </w:t>
      </w:r>
      <w:r w:rsidRPr="00097064">
        <w:rPr>
          <w:i/>
        </w:rPr>
        <w:t>each of the individual categories of risk</w:t>
      </w:r>
      <w:r w:rsidRPr="00097064">
        <w:t xml:space="preserve"> that the parties </w:t>
      </w:r>
      <w:r>
        <w:t xml:space="preserve">had </w:t>
      </w:r>
      <w:r w:rsidRPr="00097064">
        <w:t>presented. Rather, the Panel was</w:t>
      </w:r>
      <w:r>
        <w:t xml:space="preserve"> making</w:t>
      </w:r>
      <w:r w:rsidRPr="00097064">
        <w:t xml:space="preserve"> an </w:t>
      </w:r>
      <w:r w:rsidRPr="00097064">
        <w:rPr>
          <w:i/>
        </w:rPr>
        <w:t>overall</w:t>
      </w:r>
      <w:r w:rsidRPr="00097064">
        <w:t xml:space="preserve"> assessment </w:t>
      </w:r>
      <w:r>
        <w:t xml:space="preserve">and comparison </w:t>
      </w:r>
      <w:r w:rsidRPr="00097064">
        <w:t xml:space="preserve">of the </w:t>
      </w:r>
      <w:r w:rsidRPr="00AD360A">
        <w:t>relative risk</w:t>
      </w:r>
      <w:r>
        <w:t xml:space="preserve"> profile</w:t>
      </w:r>
      <w:r w:rsidRPr="00AD360A">
        <w:t xml:space="preserve">s </w:t>
      </w:r>
      <w:r>
        <w:t xml:space="preserve">of </w:t>
      </w:r>
      <w:r w:rsidRPr="00AD360A">
        <w:t xml:space="preserve">the A350XWB and A380 projects. Therefore, instead of seeking to base and quantify its conclusions on any one type of risk </w:t>
      </w:r>
      <w:r w:rsidRPr="00AD360A">
        <w:rPr>
          <w:i/>
        </w:rPr>
        <w:t>alone</w:t>
      </w:r>
      <w:r w:rsidRPr="00AD360A">
        <w:t xml:space="preserve">, the Panel decided to undertake a </w:t>
      </w:r>
      <w:r w:rsidRPr="00F51481">
        <w:t xml:space="preserve">holistic </w:t>
      </w:r>
      <w:r w:rsidRPr="00F51481">
        <w:lastRenderedPageBreak/>
        <w:t>assessment of the risk differences</w:t>
      </w:r>
      <w:r w:rsidRPr="00AD360A">
        <w:t xml:space="preserve"> between the A350XWB and A380 projects</w:t>
      </w:r>
      <w:r w:rsidRPr="00AD360A" w:rsidDel="00294B85">
        <w:t xml:space="preserve"> </w:t>
      </w:r>
      <w:r w:rsidRPr="00AD360A">
        <w:t>with the specific objective in mind of determining whether</w:t>
      </w:r>
      <w:r>
        <w:t xml:space="preserve"> the risk profiles were sufficiently similar such that</w:t>
      </w:r>
      <w:r w:rsidRPr="00AD360A">
        <w:t xml:space="preserve"> it would be "reasonable" </w:t>
      </w:r>
      <w:r>
        <w:t xml:space="preserve">for the Panel </w:t>
      </w:r>
      <w:r w:rsidRPr="00AD360A">
        <w:t>to use the WRP as the project</w:t>
      </w:r>
      <w:r w:rsidRPr="00AD360A">
        <w:noBreakHyphen/>
        <w:t>specific risk premium for the A350XWB.</w:t>
      </w:r>
      <w:r>
        <w:t xml:space="preserve"> In conducting this assessment, the Panel examined the arguments and evidence regarding the categories of risk put forward by the parties – which included programme risk (development and market risks), contract risk, and the price of risk – and came to the conclusion that "the overall project-specific risks {were} sufficiently similar to allow the risk premium applied for A380 LA/MSF in the original proceeding to be applied to A350XWB LA/MSF."</w:t>
      </w:r>
      <w:r>
        <w:rPr>
          <w:rStyle w:val="FootnoteReference"/>
        </w:rPr>
        <w:footnoteReference w:id="674"/>
      </w:r>
      <w:r>
        <w:t xml:space="preserve"> </w:t>
      </w:r>
    </w:p>
    <w:p w:rsidR="0007161B" w:rsidRDefault="0007161B" w:rsidP="003E742D">
      <w:pPr>
        <w:pStyle w:val="BodyText"/>
      </w:pPr>
      <w:r w:rsidRPr="00174E05">
        <w:t xml:space="preserve">Moreover, we observe that, before the Panel, the </w:t>
      </w:r>
      <w:r w:rsidR="000A10EA">
        <w:t>European Union</w:t>
      </w:r>
      <w:r w:rsidRPr="00174E05">
        <w:t xml:space="preserve"> does </w:t>
      </w:r>
      <w:r w:rsidRPr="00174E05">
        <w:rPr>
          <w:i/>
        </w:rPr>
        <w:t>not</w:t>
      </w:r>
      <w:r w:rsidRPr="00174E05">
        <w:t xml:space="preserve"> appear to have argued that the Panel was required to undertake an assessment of the specific risks at issue in terms of "the price that a commercial lender would have charged" to assume </w:t>
      </w:r>
      <w:r w:rsidRPr="00174E05">
        <w:rPr>
          <w:i/>
        </w:rPr>
        <w:t>each</w:t>
      </w:r>
      <w:r w:rsidRPr="00097064">
        <w:t xml:space="preserve"> of </w:t>
      </w:r>
      <w:r>
        <w:t xml:space="preserve">the </w:t>
      </w:r>
      <w:r w:rsidRPr="00097064">
        <w:rPr>
          <w:i/>
        </w:rPr>
        <w:t>specific</w:t>
      </w:r>
      <w:r w:rsidRPr="00097064">
        <w:t xml:space="preserve"> risks at issue. Rather, the </w:t>
      </w:r>
      <w:r w:rsidR="000A10EA">
        <w:t>European Union</w:t>
      </w:r>
      <w:r w:rsidRPr="00097064">
        <w:t xml:space="preserve">'s argumentation more broadly addressed the differences in the various risks at issue (development risk, market risk, the price of risk, and differences in the terms of the </w:t>
      </w:r>
      <w:r>
        <w:t>contracts) to support its position</w:t>
      </w:r>
      <w:r w:rsidRPr="00097064">
        <w:t xml:space="preserve"> that the </w:t>
      </w:r>
      <w:r w:rsidR="000A10EA">
        <w:t>United States</w:t>
      </w:r>
      <w:r w:rsidRPr="00097064">
        <w:t xml:space="preserve"> had </w:t>
      </w:r>
      <w:r w:rsidRPr="00AD360A">
        <w:t>failed to show that the risks of the A350XWB project</w:t>
      </w:r>
      <w:r w:rsidRPr="00AD360A" w:rsidDel="00294B85">
        <w:t xml:space="preserve"> </w:t>
      </w:r>
      <w:r>
        <w:t>were</w:t>
      </w:r>
      <w:r w:rsidRPr="00AD360A">
        <w:t xml:space="preserve"> "likely" to be higher than those of the A380 project.</w:t>
      </w:r>
      <w:r w:rsidRPr="00AD360A">
        <w:rPr>
          <w:rStyle w:val="FootnoteReference"/>
        </w:rPr>
        <w:footnoteReference w:id="675"/>
      </w:r>
      <w:r>
        <w:t xml:space="preserve"> Therefore, </w:t>
      </w:r>
      <w:r w:rsidRPr="00AD360A">
        <w:t>i</w:t>
      </w:r>
      <w:r>
        <w:t xml:space="preserve">t appears that </w:t>
      </w:r>
      <w:r w:rsidRPr="00AD360A">
        <w:t xml:space="preserve">the parties' arguments </w:t>
      </w:r>
      <w:r>
        <w:t xml:space="preserve">and evidence </w:t>
      </w:r>
      <w:r w:rsidRPr="00AD360A">
        <w:t>before the Panel</w:t>
      </w:r>
      <w:r>
        <w:t xml:space="preserve"> gave rise to an analysis focusing on</w:t>
      </w:r>
      <w:r w:rsidRPr="00AD360A">
        <w:t xml:space="preserve"> an </w:t>
      </w:r>
      <w:r w:rsidRPr="00AD360A">
        <w:rPr>
          <w:i/>
        </w:rPr>
        <w:t>overall</w:t>
      </w:r>
      <w:r w:rsidRPr="00AD360A">
        <w:t xml:space="preserve"> comparison of the risk</w:t>
      </w:r>
      <w:r>
        <w:t xml:space="preserve"> profiles</w:t>
      </w:r>
      <w:r w:rsidRPr="00AD360A">
        <w:t xml:space="preserve"> associated with the A350XWB and A380 projects</w:t>
      </w:r>
      <w:r w:rsidRPr="00097064">
        <w:t>.</w:t>
      </w:r>
      <w:r>
        <w:t xml:space="preserve"> </w:t>
      </w:r>
    </w:p>
    <w:p w:rsidR="0007161B" w:rsidRPr="00A21EEA" w:rsidRDefault="0007161B" w:rsidP="003E742D">
      <w:pPr>
        <w:pStyle w:val="BodyText"/>
      </w:pPr>
      <w:bookmarkStart w:id="93" w:name="_Ref493508898"/>
      <w:r>
        <w:t xml:space="preserve">In any event, in the specific context of development risk, the Panel provided a detailed examination of the parties' arguments and evidence regarding whether </w:t>
      </w:r>
      <w:r>
        <w:rPr>
          <w:szCs w:val="18"/>
        </w:rPr>
        <w:t>the A350XWB project was at least as risky, if not more risky, than the A380 project. The Panel began this assessment by noting that the evidence provided by both parties indicated that there were a number of technological leaps involved with the A350XWB that were primarily associated with the use of new materials and structural concepts employed to make a lighter and more efficient aircraft.</w:t>
      </w:r>
      <w:r>
        <w:rPr>
          <w:rStyle w:val="FootnoteReference"/>
          <w:szCs w:val="18"/>
        </w:rPr>
        <w:footnoteReference w:id="676"/>
      </w:r>
      <w:r w:rsidR="00D15139">
        <w:rPr>
          <w:szCs w:val="18"/>
        </w:rPr>
        <w:t xml:space="preserve"> In </w:t>
      </w:r>
      <w:r>
        <w:rPr>
          <w:szCs w:val="18"/>
        </w:rPr>
        <w:t xml:space="preserve">terms of the volume and extensive use of new materials, the Panel observed that the </w:t>
      </w:r>
      <w:r w:rsidR="000A10EA">
        <w:rPr>
          <w:szCs w:val="18"/>
        </w:rPr>
        <w:t>United States</w:t>
      </w:r>
      <w:r>
        <w:rPr>
          <w:szCs w:val="18"/>
        </w:rPr>
        <w:t xml:space="preserve"> had submitted evidence showing that the use of carbon fibre reinforced plastics and other new composites technology in the A350XWB was new and unprecedented.</w:t>
      </w:r>
      <w:r>
        <w:rPr>
          <w:rStyle w:val="FootnoteReference"/>
          <w:szCs w:val="18"/>
        </w:rPr>
        <w:footnoteReference w:id="677"/>
      </w:r>
      <w:r>
        <w:rPr>
          <w:szCs w:val="18"/>
        </w:rPr>
        <w:t xml:space="preserve"> In the Panel's view, this novelty and its challenges were known at the time of the aircraft's launch, and thus would have informed the assessment of risk at the time of the conclusion of the A350XWB LA/MSF contracts.</w:t>
      </w:r>
      <w:r>
        <w:rPr>
          <w:rStyle w:val="FootnoteReference"/>
          <w:szCs w:val="18"/>
        </w:rPr>
        <w:footnoteReference w:id="678"/>
      </w:r>
      <w:r>
        <w:rPr>
          <w:szCs w:val="18"/>
        </w:rPr>
        <w:t xml:space="preserve"> The Panel examined further evidence assessing the impact of new materials and structural concepts to the development risk associated with the A350XWB project. For instance, the Panel observed that, "{d}ue to the use of new materials with the A350XWB, other innovations were made in regards to new adaptations and integration"</w:t>
      </w:r>
      <w:r>
        <w:rPr>
          <w:rStyle w:val="FootnoteReference"/>
          <w:szCs w:val="18"/>
        </w:rPr>
        <w:footnoteReference w:id="679"/>
      </w:r>
      <w:r>
        <w:rPr>
          <w:szCs w:val="18"/>
        </w:rPr>
        <w:t xml:space="preserve">, and that "the choice of composites </w:t>
      </w:r>
      <w:r>
        <w:rPr>
          <w:szCs w:val="18"/>
        </w:rPr>
        <w:lastRenderedPageBreak/>
        <w:t>also had a knock-on effect on the choice (and integration) of systems in the composite fuselage"</w:t>
      </w:r>
      <w:r w:rsidR="001942DB">
        <w:rPr>
          <w:szCs w:val="18"/>
        </w:rPr>
        <w:t>.</w:t>
      </w:r>
      <w:r>
        <w:rPr>
          <w:rStyle w:val="FootnoteReference"/>
          <w:szCs w:val="18"/>
        </w:rPr>
        <w:footnoteReference w:id="680"/>
      </w:r>
      <w:r>
        <w:rPr>
          <w:szCs w:val="18"/>
        </w:rPr>
        <w:t xml:space="preserve"> The Panel also pointed to statements by Airbus indicating that "there were skills and resource challenges associated with the A350XWB's use of new materials and concepts."</w:t>
      </w:r>
      <w:r>
        <w:rPr>
          <w:rStyle w:val="FootnoteReference"/>
          <w:szCs w:val="18"/>
        </w:rPr>
        <w:footnoteReference w:id="681"/>
      </w:r>
      <w:r w:rsidR="00D15139">
        <w:rPr>
          <w:szCs w:val="18"/>
        </w:rPr>
        <w:t xml:space="preserve"> The </w:t>
      </w:r>
      <w:r>
        <w:rPr>
          <w:szCs w:val="18"/>
        </w:rPr>
        <w:t>Panel additionally observed that "{t}he use of new materials necessitated new testing and gathering of data"</w:t>
      </w:r>
      <w:r>
        <w:rPr>
          <w:rStyle w:val="FootnoteReference"/>
          <w:szCs w:val="18"/>
        </w:rPr>
        <w:footnoteReference w:id="682"/>
      </w:r>
      <w:r>
        <w:rPr>
          <w:szCs w:val="18"/>
        </w:rPr>
        <w:t>, and that "the move from aluminium to composite materials … also necessitated many changes and adaptations to production facilities, at the level of component production, sub-assembly and final assembly"</w:t>
      </w:r>
      <w:r w:rsidR="001942DB">
        <w:rPr>
          <w:szCs w:val="18"/>
        </w:rPr>
        <w:t>.</w:t>
      </w:r>
      <w:r>
        <w:rPr>
          <w:rStyle w:val="FootnoteReference"/>
          <w:szCs w:val="18"/>
        </w:rPr>
        <w:footnoteReference w:id="683"/>
      </w:r>
      <w:bookmarkEnd w:id="93"/>
    </w:p>
    <w:p w:rsidR="0007161B" w:rsidRPr="00A453EC" w:rsidRDefault="0007161B" w:rsidP="003E742D">
      <w:pPr>
        <w:pStyle w:val="BodyText"/>
      </w:pPr>
      <w:r>
        <w:t xml:space="preserve">The Panel then </w:t>
      </w:r>
      <w:r>
        <w:rPr>
          <w:szCs w:val="18"/>
        </w:rPr>
        <w:t xml:space="preserve">turned to compare the technological challenges associated with the A350XWB project to those associated with the A380 project. The Panel </w:t>
      </w:r>
      <w:r w:rsidR="001942DB">
        <w:rPr>
          <w:szCs w:val="18"/>
        </w:rPr>
        <w:t>found</w:t>
      </w:r>
      <w:r>
        <w:rPr>
          <w:szCs w:val="18"/>
        </w:rPr>
        <w:t xml:space="preserve"> that "the A380 aircraft also represented a break with previous aircraft", but noted that "this was mainly in terms of its unprecedented </w:t>
      </w:r>
      <w:r>
        <w:rPr>
          <w:i/>
          <w:szCs w:val="18"/>
        </w:rPr>
        <w:t>size</w:t>
      </w:r>
      <w:r>
        <w:rPr>
          <w:szCs w:val="18"/>
        </w:rPr>
        <w:t>."</w:t>
      </w:r>
      <w:r>
        <w:rPr>
          <w:rStyle w:val="FootnoteReference"/>
          <w:szCs w:val="18"/>
        </w:rPr>
        <w:footnoteReference w:id="684"/>
      </w:r>
      <w:r>
        <w:rPr>
          <w:szCs w:val="18"/>
        </w:rPr>
        <w:t xml:space="preserve"> However, the Panel pointed out that, while novel in size and design, the A380 was mainly made of traditional metal and fibreglass, which would not have involved the same unknowns, or necessitated enhanced testing, as the new materials extensively used for the A350XWB.</w:t>
      </w:r>
      <w:r>
        <w:rPr>
          <w:rStyle w:val="FootnoteReference"/>
          <w:szCs w:val="18"/>
        </w:rPr>
        <w:footnoteReference w:id="685"/>
      </w:r>
      <w:r>
        <w:rPr>
          <w:szCs w:val="18"/>
        </w:rPr>
        <w:t xml:space="preserve"> For instance, the Panel observed that "Airbus' engineers specifically contrast{ed} the new composites and how little is known about them, to 'aluminium structures, where more than </w:t>
      </w:r>
      <w:r>
        <w:rPr>
          <w:i/>
          <w:szCs w:val="18"/>
        </w:rPr>
        <w:t>six</w:t>
      </w:r>
      <w:r>
        <w:rPr>
          <w:szCs w:val="18"/>
        </w:rPr>
        <w:t xml:space="preserve"> </w:t>
      </w:r>
      <w:r>
        <w:rPr>
          <w:i/>
          <w:szCs w:val="18"/>
        </w:rPr>
        <w:t>decades of experience</w:t>
      </w:r>
      <w:r>
        <w:rPr>
          <w:szCs w:val="18"/>
        </w:rPr>
        <w:t xml:space="preserve"> have resulted in highly-optimized structures with little margin for improvement'."</w:t>
      </w:r>
      <w:r>
        <w:rPr>
          <w:rStyle w:val="FootnoteReference"/>
          <w:szCs w:val="18"/>
        </w:rPr>
        <w:footnoteReference w:id="686"/>
      </w:r>
      <w:r>
        <w:rPr>
          <w:szCs w:val="18"/>
        </w:rPr>
        <w:t xml:space="preserve"> Moreover, the Panel added that, while several variants were envisaged under the A380 project, the evidence on the Panel record suggested that the parallel development of multiple variants in the A350XWB project was more ambitious.</w:t>
      </w:r>
      <w:r>
        <w:rPr>
          <w:rStyle w:val="FootnoteReference"/>
          <w:szCs w:val="18"/>
        </w:rPr>
        <w:footnoteReference w:id="687"/>
      </w:r>
      <w:r>
        <w:rPr>
          <w:szCs w:val="18"/>
        </w:rPr>
        <w:t xml:space="preserve"> The Panel also pointed out that "the A350XWB was expected to have a higher relative programme </w:t>
      </w:r>
      <w:r>
        <w:rPr>
          <w:i/>
          <w:szCs w:val="18"/>
        </w:rPr>
        <w:t>cost</w:t>
      </w:r>
      <w:r>
        <w:rPr>
          <w:szCs w:val="18"/>
        </w:rPr>
        <w:t xml:space="preserve"> than the A380, due to higher research and </w:t>
      </w:r>
      <w:r w:rsidRPr="00A453EC">
        <w:rPr>
          <w:szCs w:val="18"/>
        </w:rPr>
        <w:t>development (R&amp;D) costs."</w:t>
      </w:r>
      <w:r w:rsidRPr="00A453EC">
        <w:rPr>
          <w:rStyle w:val="FootnoteReference"/>
          <w:szCs w:val="18"/>
        </w:rPr>
        <w:footnoteReference w:id="688"/>
      </w:r>
      <w:r w:rsidRPr="00A453EC">
        <w:rPr>
          <w:szCs w:val="18"/>
        </w:rPr>
        <w:t xml:space="preserve"> </w:t>
      </w:r>
    </w:p>
    <w:p w:rsidR="0007161B" w:rsidRPr="00A453EC" w:rsidRDefault="0007161B" w:rsidP="003E742D">
      <w:pPr>
        <w:pStyle w:val="BodyText"/>
      </w:pPr>
      <w:bookmarkStart w:id="94" w:name="_Ref493508904"/>
      <w:r w:rsidRPr="00A453EC">
        <w:rPr>
          <w:szCs w:val="18"/>
        </w:rPr>
        <w:t>Having conducted this comparative assessment of the development risks associated with the A350XWB and A380 projects, the Panel found that:</w:t>
      </w:r>
      <w:bookmarkEnd w:id="94"/>
    </w:p>
    <w:p w:rsidR="0007161B" w:rsidRDefault="0007161B" w:rsidP="00206326">
      <w:pPr>
        <w:pStyle w:val="Quotation"/>
      </w:pPr>
      <w:r w:rsidRPr="00A453EC">
        <w:t xml:space="preserve">higher R&amp;D costs, combined with the evidence of the extent to which the new design and use of new materials would necessitate the development of specialised equipment, expertise and testing, is consistent with a view that, from a lender's perspective, the A350XWB involved significant novelty, greater cost, greater investment, and therefore technology-related development risks that were </w:t>
      </w:r>
      <w:r w:rsidRPr="00A453EC">
        <w:rPr>
          <w:i/>
        </w:rPr>
        <w:t>at least as high or higher</w:t>
      </w:r>
      <w:r w:rsidRPr="00A453EC">
        <w:t xml:space="preserve"> than the risk involved with the technology involved in the development of the A380.</w:t>
      </w:r>
      <w:r w:rsidRPr="00A453EC">
        <w:rPr>
          <w:rStyle w:val="FootnoteReference"/>
        </w:rPr>
        <w:footnoteReference w:id="689"/>
      </w:r>
    </w:p>
    <w:p w:rsidR="0007161B" w:rsidRDefault="0007161B" w:rsidP="009E6402">
      <w:pPr>
        <w:pStyle w:val="BodyText"/>
      </w:pPr>
      <w:r>
        <w:t>In light of the above considerations, including the nature of the arguments and evidence that were before the Panel, we disagree with t</w:t>
      </w:r>
      <w:r w:rsidRPr="00097064">
        <w:t xml:space="preserve">he </w:t>
      </w:r>
      <w:r w:rsidR="000A10EA">
        <w:t>European Union</w:t>
      </w:r>
      <w:r>
        <w:t>'s arguments</w:t>
      </w:r>
      <w:r w:rsidRPr="00097064">
        <w:t xml:space="preserve"> that there is a </w:t>
      </w:r>
      <w:r w:rsidRPr="00097064">
        <w:lastRenderedPageBreak/>
        <w:t xml:space="preserve">"missing link" in the Panel's analysis </w:t>
      </w:r>
      <w:r>
        <w:t xml:space="preserve">and </w:t>
      </w:r>
      <w:r w:rsidRPr="00097064">
        <w:t xml:space="preserve">that the </w:t>
      </w:r>
      <w:r w:rsidRPr="00AD360A">
        <w:t>record provides no basis for the Panel's finding that the A350XWB project involved development risks that were "</w:t>
      </w:r>
      <w:r w:rsidRPr="00785932">
        <w:rPr>
          <w:i/>
        </w:rPr>
        <w:t>at least as high or higher</w:t>
      </w:r>
      <w:r w:rsidRPr="00AD360A">
        <w:t>" than the development risks related to the A380 project.</w:t>
      </w:r>
      <w:r w:rsidRPr="00AD360A">
        <w:rPr>
          <w:rStyle w:val="FootnoteReference"/>
        </w:rPr>
        <w:footnoteReference w:id="690"/>
      </w:r>
      <w:r>
        <w:t xml:space="preserve"> </w:t>
      </w:r>
      <w:r w:rsidRPr="00AD360A">
        <w:t xml:space="preserve">Consequently, </w:t>
      </w:r>
      <w:r w:rsidRPr="00097064">
        <w:t xml:space="preserve">we </w:t>
      </w:r>
      <w:r w:rsidRPr="001942DB">
        <w:t>reject</w:t>
      </w:r>
      <w:r w:rsidRPr="00097064">
        <w:t xml:space="preserve"> </w:t>
      </w:r>
      <w:r>
        <w:t xml:space="preserve">the </w:t>
      </w:r>
      <w:r w:rsidR="000A10EA">
        <w:t>European Union</w:t>
      </w:r>
      <w:r>
        <w:t xml:space="preserve">'s first argument </w:t>
      </w:r>
      <w:r w:rsidR="001942DB">
        <w:t xml:space="preserve">with regard to its claim </w:t>
      </w:r>
      <w:r w:rsidRPr="00AD360A">
        <w:t xml:space="preserve">that the Panel acted inconsistently with </w:t>
      </w:r>
      <w:r w:rsidR="000A10EA">
        <w:t>Article </w:t>
      </w:r>
      <w:r w:rsidRPr="00AD360A">
        <w:t>11 of the DSU.</w:t>
      </w:r>
    </w:p>
    <w:p w:rsidR="0007161B" w:rsidRDefault="0007161B" w:rsidP="009E6402">
      <w:pPr>
        <w:pStyle w:val="BodyText"/>
      </w:pPr>
      <w:r w:rsidRPr="001A1ADB">
        <w:t xml:space="preserve">In its second line of argumentation, the </w:t>
      </w:r>
      <w:r w:rsidR="000A10EA">
        <w:t>European Union</w:t>
      </w:r>
      <w:r w:rsidRPr="001A1ADB">
        <w:t xml:space="preserve"> contends that, in finding that the</w:t>
      </w:r>
      <w:r w:rsidRPr="00AD360A">
        <w:t xml:space="preserve"> development risks posed by the A380 and A350XWB projects were sufficiently similar, the Panel acted inconsistently with </w:t>
      </w:r>
      <w:r w:rsidR="000A10EA">
        <w:t>Article </w:t>
      </w:r>
      <w:r w:rsidRPr="00AD360A">
        <w:t xml:space="preserve">11 </w:t>
      </w:r>
      <w:r>
        <w:t xml:space="preserve">of the DSU </w:t>
      </w:r>
      <w:r w:rsidRPr="00AD360A">
        <w:t xml:space="preserve">because </w:t>
      </w:r>
      <w:r>
        <w:t>this finding</w:t>
      </w:r>
      <w:r w:rsidRPr="00AD360A">
        <w:t xml:space="preserve"> </w:t>
      </w:r>
      <w:r>
        <w:t>was</w:t>
      </w:r>
      <w:r w:rsidRPr="00AD360A">
        <w:t xml:space="preserve"> based on internally inconsistent reasoning.</w:t>
      </w:r>
      <w:r w:rsidRPr="00AD360A">
        <w:rPr>
          <w:rStyle w:val="FootnoteReference"/>
        </w:rPr>
        <w:footnoteReference w:id="691"/>
      </w:r>
      <w:r>
        <w:t xml:space="preserve"> </w:t>
      </w:r>
      <w:r w:rsidRPr="00097064">
        <w:t xml:space="preserve">According to the </w:t>
      </w:r>
      <w:r w:rsidR="000A10EA">
        <w:t>European Union</w:t>
      </w:r>
      <w:r w:rsidRPr="00097064">
        <w:t>, this is because the Panel found</w:t>
      </w:r>
      <w:r>
        <w:t>:</w:t>
      </w:r>
      <w:r w:rsidR="00BB61EA">
        <w:t> </w:t>
      </w:r>
      <w:r>
        <w:t>(i) </w:t>
      </w:r>
      <w:r w:rsidRPr="00097064">
        <w:t>that the development risks involved in the two projects were similar</w:t>
      </w:r>
      <w:r w:rsidRPr="00097064">
        <w:rPr>
          <w:rStyle w:val="FootnoteReference"/>
        </w:rPr>
        <w:footnoteReference w:id="692"/>
      </w:r>
      <w:r w:rsidRPr="00097064">
        <w:t xml:space="preserve">; </w:t>
      </w:r>
      <w:r>
        <w:t>(ii) </w:t>
      </w:r>
      <w:r w:rsidRPr="00097064">
        <w:t xml:space="preserve">that the development risks posed by </w:t>
      </w:r>
      <w:r w:rsidRPr="00AD360A">
        <w:t xml:space="preserve">the A350XWB project were mitigated to some extent at the time the </w:t>
      </w:r>
      <w:r>
        <w:t xml:space="preserve">A350XWB </w:t>
      </w:r>
      <w:r w:rsidRPr="00AD360A">
        <w:t>LA/MSF contracts were concluded, while the development risks posed by the A380 project were not</w:t>
      </w:r>
      <w:r w:rsidRPr="00AD360A">
        <w:rPr>
          <w:rStyle w:val="FootnoteReference"/>
        </w:rPr>
        <w:footnoteReference w:id="693"/>
      </w:r>
      <w:r w:rsidRPr="00AD360A">
        <w:t xml:space="preserve">; and </w:t>
      </w:r>
      <w:r>
        <w:t xml:space="preserve">(iii) </w:t>
      </w:r>
      <w:r w:rsidRPr="00AD360A">
        <w:t>despite having made these findings, that the development risks assumed by the LA/MSF lenders to the two projects were sufficiently similar.</w:t>
      </w:r>
      <w:r w:rsidRPr="00AD360A">
        <w:rPr>
          <w:rStyle w:val="FootnoteReference"/>
        </w:rPr>
        <w:footnoteReference w:id="694"/>
      </w:r>
      <w:r>
        <w:t xml:space="preserve"> </w:t>
      </w:r>
    </w:p>
    <w:p w:rsidR="0007161B" w:rsidRDefault="0007161B" w:rsidP="009E6402">
      <w:pPr>
        <w:pStyle w:val="BodyText"/>
      </w:pPr>
      <w:r>
        <w:t xml:space="preserve">In order to determine whether the </w:t>
      </w:r>
      <w:r w:rsidR="000A10EA">
        <w:t>European Union</w:t>
      </w:r>
      <w:r>
        <w:t xml:space="preserve"> is correct in asserting that the Panel's analysis was based on internally inconsistent reasoning, we turn to review the Panel's findings. B</w:t>
      </w:r>
      <w:r w:rsidRPr="00AD360A">
        <w:t xml:space="preserve">efore the Panel, the </w:t>
      </w:r>
      <w:r w:rsidR="000A10EA">
        <w:t>European Union</w:t>
      </w:r>
      <w:r w:rsidRPr="00AD360A">
        <w:t xml:space="preserve"> </w:t>
      </w:r>
      <w:r>
        <w:t>disagreed</w:t>
      </w:r>
      <w:r w:rsidRPr="00AD360A">
        <w:t xml:space="preserve"> that the development risk was higher fo</w:t>
      </w:r>
      <w:r>
        <w:t xml:space="preserve">r the A350XWB project than for the A380 project. For the </w:t>
      </w:r>
      <w:r w:rsidR="000A10EA">
        <w:t>European Union</w:t>
      </w:r>
      <w:r>
        <w:t>,</w:t>
      </w:r>
      <w:r w:rsidRPr="00AD360A">
        <w:t xml:space="preserve"> </w:t>
      </w:r>
      <w:r>
        <w:t xml:space="preserve">this was because </w:t>
      </w:r>
      <w:r w:rsidRPr="00AD360A">
        <w:t xml:space="preserve">actions pursued by Airbus </w:t>
      </w:r>
      <w:r w:rsidRPr="00AD360A">
        <w:rPr>
          <w:i/>
        </w:rPr>
        <w:t>mitigated</w:t>
      </w:r>
      <w:r w:rsidRPr="00AD360A">
        <w:t xml:space="preserve"> technology-related risk for the A350XWB.</w:t>
      </w:r>
      <w:r w:rsidRPr="00AD360A">
        <w:rPr>
          <w:rStyle w:val="FootnoteReference"/>
        </w:rPr>
        <w:footnoteReference w:id="695"/>
      </w:r>
      <w:r w:rsidRPr="00AD360A">
        <w:t xml:space="preserve"> Thus, in addition to examining the parties' arguments comparing the technology-related risks of the A350XWB and A380 projects, the Panel also examined the </w:t>
      </w:r>
      <w:r w:rsidR="000A10EA">
        <w:t>European Union</w:t>
      </w:r>
      <w:r w:rsidR="008E4C88">
        <w:t>'s arguments regarding two </w:t>
      </w:r>
      <w:r w:rsidRPr="00AD360A">
        <w:t>risk</w:t>
      </w:r>
      <w:r w:rsidR="001942DB">
        <w:noBreakHyphen/>
      </w:r>
      <w:r w:rsidRPr="00AD360A">
        <w:t>mitigating factors.</w:t>
      </w:r>
      <w:r w:rsidRPr="00AD360A">
        <w:rPr>
          <w:rStyle w:val="FootnoteReference"/>
        </w:rPr>
        <w:footnoteReference w:id="696"/>
      </w:r>
    </w:p>
    <w:p w:rsidR="0007161B" w:rsidRDefault="0007161B" w:rsidP="009E6402">
      <w:pPr>
        <w:pStyle w:val="BodyText"/>
      </w:pPr>
      <w:r>
        <w:t>We recall that, with respect to</w:t>
      </w:r>
      <w:r w:rsidRPr="00AD360A">
        <w:t xml:space="preserve"> the technology-related risks of the A350XWB and A380 projects, the Panel </w:t>
      </w:r>
      <w:r w:rsidRPr="00092D9C">
        <w:rPr>
          <w:szCs w:val="18"/>
        </w:rPr>
        <w:t xml:space="preserve">began by noting that the evidence provided by both parties indicated that there were a number of technological leaps involved with the A350XWB that were primarily associated with </w:t>
      </w:r>
      <w:r>
        <w:rPr>
          <w:szCs w:val="18"/>
        </w:rPr>
        <w:t xml:space="preserve">the use of </w:t>
      </w:r>
      <w:r w:rsidRPr="00092D9C">
        <w:rPr>
          <w:szCs w:val="18"/>
        </w:rPr>
        <w:t xml:space="preserve">new materials and structural concepts </w:t>
      </w:r>
      <w:r>
        <w:rPr>
          <w:szCs w:val="18"/>
        </w:rPr>
        <w:t>employed</w:t>
      </w:r>
      <w:r w:rsidRPr="00092D9C">
        <w:rPr>
          <w:szCs w:val="18"/>
        </w:rPr>
        <w:t xml:space="preserve"> to make a lighter and more efficient aircraft.</w:t>
      </w:r>
      <w:r>
        <w:rPr>
          <w:rStyle w:val="FootnoteReference"/>
          <w:szCs w:val="18"/>
        </w:rPr>
        <w:footnoteReference w:id="697"/>
      </w:r>
      <w:r w:rsidRPr="00092D9C">
        <w:rPr>
          <w:szCs w:val="18"/>
        </w:rPr>
        <w:t xml:space="preserve"> As noted above</w:t>
      </w:r>
      <w:r>
        <w:rPr>
          <w:rStyle w:val="FootnoteReference"/>
          <w:szCs w:val="18"/>
        </w:rPr>
        <w:footnoteReference w:id="698"/>
      </w:r>
      <w:r w:rsidRPr="00092D9C">
        <w:rPr>
          <w:szCs w:val="18"/>
        </w:rPr>
        <w:t>, the Panel conducted a comparative assessment of the development risks associated with the A350XWB and A380 projects, which included</w:t>
      </w:r>
      <w:r>
        <w:rPr>
          <w:szCs w:val="18"/>
        </w:rPr>
        <w:t xml:space="preserve"> examining</w:t>
      </w:r>
      <w:r w:rsidRPr="00092D9C">
        <w:rPr>
          <w:szCs w:val="18"/>
        </w:rPr>
        <w:t xml:space="preserve"> the use of new materials and the extent to which such use would have an impact on the development of each aircraft, and </w:t>
      </w:r>
      <w:r>
        <w:rPr>
          <w:szCs w:val="18"/>
        </w:rPr>
        <w:t xml:space="preserve">R&amp;D </w:t>
      </w:r>
      <w:r w:rsidRPr="00092D9C">
        <w:rPr>
          <w:szCs w:val="18"/>
        </w:rPr>
        <w:t>costs.</w:t>
      </w:r>
      <w:r>
        <w:rPr>
          <w:szCs w:val="18"/>
        </w:rPr>
        <w:t xml:space="preserve"> The Panel noted, in particular, that the A350XWB would involve </w:t>
      </w:r>
      <w:r>
        <w:t>higher R&amp;D costs, and that the new design and use of new materials would necessitate the development of specialized equipment, expertise, and testing.</w:t>
      </w:r>
      <w:r>
        <w:rPr>
          <w:rStyle w:val="FootnoteReference"/>
        </w:rPr>
        <w:footnoteReference w:id="699"/>
      </w:r>
      <w:r>
        <w:rPr>
          <w:szCs w:val="18"/>
        </w:rPr>
        <w:t xml:space="preserve"> On the basis of this examination</w:t>
      </w:r>
      <w:r>
        <w:t>,</w:t>
      </w:r>
      <w:r w:rsidRPr="00092D9C">
        <w:rPr>
          <w:szCs w:val="18"/>
        </w:rPr>
        <w:t xml:space="preserve"> </w:t>
      </w:r>
      <w:r w:rsidRPr="00AD360A">
        <w:t>the Panel found that "the A350XWB involved</w:t>
      </w:r>
      <w:r w:rsidRPr="00097064">
        <w:t xml:space="preserve"> significant novelty, greater cost, greater investment, and therefore technology-related development risks that were </w:t>
      </w:r>
      <w:r w:rsidRPr="00092D9C">
        <w:rPr>
          <w:i/>
        </w:rPr>
        <w:t>at least as high or higher</w:t>
      </w:r>
      <w:r w:rsidRPr="00097064">
        <w:t xml:space="preserve"> than the risk involved with the technology involved in the development of the A380</w:t>
      </w:r>
      <w:r>
        <w:t>.</w:t>
      </w:r>
      <w:r w:rsidRPr="00097064">
        <w:t>"</w:t>
      </w:r>
      <w:r w:rsidRPr="00097064">
        <w:rPr>
          <w:rStyle w:val="FootnoteReference"/>
        </w:rPr>
        <w:footnoteReference w:id="700"/>
      </w:r>
      <w:r>
        <w:t xml:space="preserve"> </w:t>
      </w:r>
    </w:p>
    <w:p w:rsidR="0007161B" w:rsidRDefault="0007161B" w:rsidP="009E6402">
      <w:pPr>
        <w:pStyle w:val="BodyText"/>
      </w:pPr>
      <w:r w:rsidRPr="00097064">
        <w:t xml:space="preserve">Having made this finding, the Panel turned to assess the two main factors that, in the </w:t>
      </w:r>
      <w:r w:rsidR="000A10EA">
        <w:t>European Union</w:t>
      </w:r>
      <w:r w:rsidRPr="00097064">
        <w:t>'s view, mitigated the A350XWB risks as compared to the A380 risks.</w:t>
      </w:r>
      <w:r w:rsidRPr="00AD360A">
        <w:t xml:space="preserve"> </w:t>
      </w:r>
      <w:r>
        <w:t xml:space="preserve">According to the </w:t>
      </w:r>
      <w:r w:rsidR="000A10EA">
        <w:t>European Union</w:t>
      </w:r>
      <w:r>
        <w:t xml:space="preserve">, the </w:t>
      </w:r>
      <w:r w:rsidRPr="00097064">
        <w:t>first risk mitigation factor</w:t>
      </w:r>
      <w:r>
        <w:t xml:space="preserve"> was that </w:t>
      </w:r>
      <w:r w:rsidRPr="00AD360A">
        <w:t>actions pursued by Airbus</w:t>
      </w:r>
      <w:r>
        <w:t>,</w:t>
      </w:r>
      <w:r w:rsidRPr="00AD360A">
        <w:t xml:space="preserve"> such as those taken under the </w:t>
      </w:r>
      <w:r w:rsidRPr="00580F2A">
        <w:t>DARE</w:t>
      </w:r>
      <w:r w:rsidRPr="00145443">
        <w:t xml:space="preserve"> programme</w:t>
      </w:r>
      <w:r>
        <w:t xml:space="preserve">, </w:t>
      </w:r>
      <w:r w:rsidRPr="00AD360A">
        <w:t>reduced the A350XWB development risks in comparison to the A380 project</w:t>
      </w:r>
      <w:r>
        <w:t>.</w:t>
      </w:r>
      <w:r w:rsidRPr="00AD360A">
        <w:rPr>
          <w:rStyle w:val="FootnoteReference"/>
        </w:rPr>
        <w:footnoteReference w:id="701"/>
      </w:r>
      <w:r>
        <w:t xml:space="preserve"> The Panel indicated that </w:t>
      </w:r>
      <w:r>
        <w:rPr>
          <w:szCs w:val="18"/>
        </w:rPr>
        <w:t>the DARE development process aimed "</w:t>
      </w:r>
      <w:r>
        <w:rPr>
          <w:rFonts w:cs="MinionPro-Regular"/>
          <w:szCs w:val="18"/>
        </w:rPr>
        <w:t xml:space="preserve">to reduce </w:t>
      </w:r>
      <w:r>
        <w:rPr>
          <w:rFonts w:cs="MinionPro-Regular"/>
          <w:szCs w:val="18"/>
        </w:rPr>
        <w:lastRenderedPageBreak/>
        <w:t>the time taken to design and build new aircraft from seven and a half years to less than six".</w:t>
      </w:r>
      <w:r>
        <w:rPr>
          <w:rStyle w:val="FootnoteReference"/>
          <w:rFonts w:cs="MinionPro-Regular"/>
          <w:szCs w:val="18"/>
        </w:rPr>
        <w:footnoteReference w:id="702"/>
      </w:r>
      <w:r>
        <w:rPr>
          <w:rFonts w:cs="MinionPro-Regular"/>
          <w:szCs w:val="18"/>
        </w:rPr>
        <w:t xml:space="preserve"> T</w:t>
      </w:r>
      <w:r>
        <w:rPr>
          <w:szCs w:val="18"/>
        </w:rPr>
        <w:t>his rapid pace of development would be achieved, in part, by outsourcing a large amount of the plane's development to suppliers from quite early on in the process</w:t>
      </w:r>
      <w:r w:rsidRPr="00D5543D">
        <w:rPr>
          <w:szCs w:val="18"/>
        </w:rPr>
        <w:t>.</w:t>
      </w:r>
      <w:r>
        <w:rPr>
          <w:rStyle w:val="FootnoteReference"/>
          <w:szCs w:val="18"/>
        </w:rPr>
        <w:footnoteReference w:id="703"/>
      </w:r>
      <w:r>
        <w:rPr>
          <w:szCs w:val="18"/>
        </w:rPr>
        <w:t xml:space="preserve"> The Panel also observed that the DARE programme also involved a high </w:t>
      </w:r>
      <w:r>
        <w:rPr>
          <w:i/>
          <w:szCs w:val="18"/>
        </w:rPr>
        <w:t>number</w:t>
      </w:r>
      <w:r>
        <w:rPr>
          <w:szCs w:val="18"/>
        </w:rPr>
        <w:t xml:space="preserve"> of risk-sharing suppliers to whom key components were outsourced, who were geographically widely distributed.</w:t>
      </w:r>
      <w:r>
        <w:rPr>
          <w:rStyle w:val="FootnoteReference"/>
          <w:szCs w:val="18"/>
        </w:rPr>
        <w:footnoteReference w:id="704"/>
      </w:r>
      <w:r>
        <w:rPr>
          <w:szCs w:val="18"/>
        </w:rPr>
        <w:t xml:space="preserve"> The Panel considered that, while certain financial risks of delay or failure to develop aspects of the A350XWB project might have been shifted to suppliers, this would not mitigate the likelihood of failure or delay.</w:t>
      </w:r>
      <w:r w:rsidR="001942DB">
        <w:rPr>
          <w:rStyle w:val="FootnoteReference"/>
          <w:szCs w:val="18"/>
        </w:rPr>
        <w:footnoteReference w:id="705"/>
      </w:r>
      <w:r w:rsidR="00A44458">
        <w:rPr>
          <w:szCs w:val="18"/>
        </w:rPr>
        <w:t xml:space="preserve"> In </w:t>
      </w:r>
      <w:r>
        <w:rPr>
          <w:szCs w:val="18"/>
        </w:rPr>
        <w:t xml:space="preserve">the Panel's view, the existence of a high number of suppliers working on a large share of the project </w:t>
      </w:r>
      <w:r w:rsidRPr="0072627E">
        <w:rPr>
          <w:i/>
          <w:szCs w:val="18"/>
        </w:rPr>
        <w:t>created</w:t>
      </w:r>
      <w:r>
        <w:rPr>
          <w:szCs w:val="18"/>
        </w:rPr>
        <w:t xml:space="preserve"> a development risk for Airbus.</w:t>
      </w:r>
      <w:r w:rsidR="001942DB">
        <w:rPr>
          <w:rStyle w:val="FootnoteReference"/>
          <w:szCs w:val="18"/>
        </w:rPr>
        <w:footnoteReference w:id="706"/>
      </w:r>
      <w:r>
        <w:rPr>
          <w:szCs w:val="18"/>
        </w:rPr>
        <w:t xml:space="preserve"> Therefore, the Panel considered that "the DARE process involved a very strong element of outsourcing, fragmentation of the supply-chain, and significant pressure to develop quickly, with potentially disastrous consequences for time schedules if one part of the supply chain were to experience problems."</w:t>
      </w:r>
      <w:r>
        <w:rPr>
          <w:rStyle w:val="FootnoteReference"/>
          <w:szCs w:val="18"/>
        </w:rPr>
        <w:footnoteReference w:id="707"/>
      </w:r>
      <w:r>
        <w:rPr>
          <w:szCs w:val="18"/>
        </w:rPr>
        <w:t xml:space="preserve"> The Panel pointed out that these aspects would have contributed to development risks associated with the A350XWB project and that this degree of risk did not exist with the A380 given that there were fewer suppliers and more of the work was completed by Airbus.</w:t>
      </w:r>
      <w:r>
        <w:rPr>
          <w:rStyle w:val="FootnoteReference"/>
          <w:szCs w:val="18"/>
        </w:rPr>
        <w:footnoteReference w:id="708"/>
      </w:r>
      <w:r>
        <w:t xml:space="preserve"> For the foregoing reasons, t</w:t>
      </w:r>
      <w:r w:rsidRPr="00097064">
        <w:t xml:space="preserve">he Panel rejected the </w:t>
      </w:r>
      <w:r w:rsidR="000A10EA">
        <w:t>European Union</w:t>
      </w:r>
      <w:r w:rsidRPr="00097064">
        <w:t>'s argument by finding that "the attempts to improve supply-chain integration do not appear to have cancelled out the enhanced risks from complexity and technological novelty involved with the A350XWB</w:t>
      </w:r>
      <w:r>
        <w:t>.</w:t>
      </w:r>
      <w:r w:rsidRPr="00097064">
        <w:t>"</w:t>
      </w:r>
      <w:r w:rsidRPr="00097064">
        <w:rPr>
          <w:rStyle w:val="FootnoteReference"/>
        </w:rPr>
        <w:footnoteReference w:id="709"/>
      </w:r>
    </w:p>
    <w:p w:rsidR="0007161B" w:rsidRDefault="0007161B" w:rsidP="009E6402">
      <w:pPr>
        <w:pStyle w:val="BodyText"/>
      </w:pPr>
      <w:r w:rsidRPr="00F17CD1">
        <w:t xml:space="preserve">Regarding the second risk mitigation factor, the </w:t>
      </w:r>
      <w:r w:rsidR="000A10EA">
        <w:t>European Union</w:t>
      </w:r>
      <w:r w:rsidRPr="00F17CD1">
        <w:t xml:space="preserve"> asserted that "much of the technology-related development risk had already been mitigated by the time that the A350XWB LA/MSF contracts were concluded more than </w:t>
      </w:r>
      <w:r w:rsidRPr="00F17CD1">
        <w:rPr>
          <w:b/>
        </w:rPr>
        <w:t>[</w:t>
      </w:r>
      <w:r w:rsidR="00C8434D" w:rsidRPr="00C8434D">
        <w:rPr>
          <w:b/>
          <w:szCs w:val="16"/>
        </w:rPr>
        <w:t>BCI</w:t>
      </w:r>
      <w:r w:rsidRPr="00F17CD1">
        <w:rPr>
          <w:b/>
        </w:rPr>
        <w:t xml:space="preserve">] </w:t>
      </w:r>
      <w:r w:rsidRPr="00F17CD1">
        <w:t>years into the development process of the A350XWB."</w:t>
      </w:r>
      <w:r w:rsidRPr="00F17CD1">
        <w:rPr>
          <w:rStyle w:val="FootnoteReference"/>
        </w:rPr>
        <w:footnoteReference w:id="710"/>
      </w:r>
      <w:r w:rsidRPr="00F17CD1">
        <w:t xml:space="preserve"> The </w:t>
      </w:r>
      <w:r w:rsidR="000A10EA">
        <w:t>European Union</w:t>
      </w:r>
      <w:r w:rsidRPr="00F17CD1">
        <w:t xml:space="preserve"> contrasted this with the A380 project: "</w:t>
      </w:r>
      <w:r>
        <w:t>A</w:t>
      </w:r>
      <w:r w:rsidRPr="00F17CD1">
        <w:t>t the time the</w:t>
      </w:r>
      <w:r w:rsidRPr="00AD360A">
        <w:t xml:space="preserve"> A380 financing agreements were concluded, Airbus was </w:t>
      </w:r>
      <w:r w:rsidRPr="00825FD3">
        <w:rPr>
          <w:b/>
        </w:rPr>
        <w:t>[</w:t>
      </w:r>
      <w:r w:rsidR="00C8434D" w:rsidRPr="00C8434D">
        <w:rPr>
          <w:b/>
          <w:szCs w:val="16"/>
        </w:rPr>
        <w:t>BCI</w:t>
      </w:r>
      <w:r w:rsidRPr="00825FD3">
        <w:rPr>
          <w:b/>
        </w:rPr>
        <w:t>]</w:t>
      </w:r>
      <w:r w:rsidRPr="00AD360A">
        <w:t xml:space="preserve"> the development process for the programme, with many technological challenges yet to be identified and addressed</w:t>
      </w:r>
      <w:r>
        <w:t>.</w:t>
      </w:r>
      <w:r w:rsidRPr="00AD360A">
        <w:t>"</w:t>
      </w:r>
      <w:r w:rsidRPr="00AD360A">
        <w:rPr>
          <w:rStyle w:val="FootnoteReference"/>
        </w:rPr>
        <w:footnoteReference w:id="711"/>
      </w:r>
      <w:r>
        <w:t xml:space="preserve"> The Panel considered that </w:t>
      </w:r>
      <w:r>
        <w:rPr>
          <w:szCs w:val="18"/>
        </w:rPr>
        <w:t>the question of whether technology risk had been mitigated because the A350XWB LA/MSF contracts were signed relatively later, compared to the A380 LA/MSF contracts, had to be examined in light of the materials novelty and the fact that multiple variants were in parallel development.</w:t>
      </w:r>
      <w:r>
        <w:rPr>
          <w:rStyle w:val="FootnoteReference"/>
          <w:szCs w:val="18"/>
        </w:rPr>
        <w:footnoteReference w:id="712"/>
      </w:r>
      <w:r>
        <w:rPr>
          <w:szCs w:val="18"/>
        </w:rPr>
        <w:t xml:space="preserve"> In this regard, the Panel observed that, "as the A350XWB LA/MSF contracts were </w:t>
      </w:r>
      <w:r>
        <w:rPr>
          <w:szCs w:val="18"/>
        </w:rPr>
        <w:lastRenderedPageBreak/>
        <w:t>being negotiated, significant development challenges remained."</w:t>
      </w:r>
      <w:r>
        <w:rPr>
          <w:rStyle w:val="FootnoteReference"/>
          <w:szCs w:val="18"/>
        </w:rPr>
        <w:footnoteReference w:id="713"/>
      </w:r>
      <w:r>
        <w:t xml:space="preserve"> T</w:t>
      </w:r>
      <w:r w:rsidRPr="00097064">
        <w:t xml:space="preserve">he Panel </w:t>
      </w:r>
      <w:r w:rsidR="001942DB">
        <w:t>found</w:t>
      </w:r>
      <w:r w:rsidRPr="00097064">
        <w:t xml:space="preserve"> that</w:t>
      </w:r>
      <w:r>
        <w:t>,</w:t>
      </w:r>
      <w:r w:rsidRPr="00097064">
        <w:t xml:space="preserve"> "when the {A350XWB} </w:t>
      </w:r>
      <w:r w:rsidRPr="00AD360A">
        <w:t>LA/MSF contracts were being negotiated, it appears that significant development tasks</w:t>
      </w:r>
      <w:r w:rsidRPr="00097064">
        <w:t xml:space="preserve"> were not only still yet to be resolved, but were also ambitious and time-critical."</w:t>
      </w:r>
      <w:r w:rsidRPr="00097064">
        <w:rPr>
          <w:rStyle w:val="FootnoteReference"/>
        </w:rPr>
        <w:footnoteReference w:id="714"/>
      </w:r>
      <w:r w:rsidRPr="00097064">
        <w:t xml:space="preserve"> For the Panel, this meant that "the picture </w:t>
      </w:r>
      <w:r>
        <w:t>{was}</w:t>
      </w:r>
      <w:r w:rsidRPr="00097064">
        <w:t xml:space="preserve"> more complicated than the </w:t>
      </w:r>
      <w:r w:rsidR="000A10EA">
        <w:t>European Union</w:t>
      </w:r>
      <w:r w:rsidRPr="00097064">
        <w:t>'s submission that A350XWB development risk was mitigated, as compared to the A380, by the comparatively later point after launch at which A350XWB LA/MSF was concluded</w:t>
      </w:r>
      <w:r>
        <w:t>.</w:t>
      </w:r>
      <w:r w:rsidRPr="00097064">
        <w:t>"</w:t>
      </w:r>
      <w:r w:rsidRPr="00097064">
        <w:rPr>
          <w:rStyle w:val="FootnoteReference"/>
        </w:rPr>
        <w:footnoteReference w:id="715"/>
      </w:r>
      <w:r w:rsidRPr="00097064">
        <w:t xml:space="preserve"> On this basis, the Panel </w:t>
      </w:r>
      <w:r>
        <w:t>found</w:t>
      </w:r>
      <w:r w:rsidRPr="00097064">
        <w:t xml:space="preserve"> that, "at least with respect to materials novelty, the </w:t>
      </w:r>
      <w:r w:rsidRPr="00AD360A">
        <w:t xml:space="preserve">fact that the A350XWB LA/MSF contracts were signed after the project's launch </w:t>
      </w:r>
      <w:r w:rsidRPr="00825FD3">
        <w:rPr>
          <w:i/>
        </w:rPr>
        <w:t>does not necessarily imply reduced development risk</w:t>
      </w:r>
      <w:r w:rsidRPr="00097064">
        <w:t xml:space="preserve"> compared to the A380</w:t>
      </w:r>
      <w:r>
        <w:t>.</w:t>
      </w:r>
      <w:r w:rsidRPr="00097064">
        <w:t>"</w:t>
      </w:r>
      <w:r w:rsidRPr="00097064">
        <w:rPr>
          <w:rStyle w:val="FootnoteReference"/>
        </w:rPr>
        <w:footnoteReference w:id="716"/>
      </w:r>
    </w:p>
    <w:p w:rsidR="0007161B" w:rsidRDefault="0007161B" w:rsidP="009E6402">
      <w:pPr>
        <w:pStyle w:val="BodyText"/>
      </w:pPr>
      <w:r>
        <w:t>In light of these considerations, t</w:t>
      </w:r>
      <w:r w:rsidRPr="00AD360A">
        <w:t xml:space="preserve">he Panel </w:t>
      </w:r>
      <w:r>
        <w:t>concluded</w:t>
      </w:r>
      <w:r w:rsidRPr="00AD360A">
        <w:t xml:space="preserve"> that "{</w:t>
      </w:r>
      <w:r w:rsidRPr="006F6B25">
        <w:t>t}he fact that the A350XWB LA/MSF contracts were concluded at a relatively later point during the development programme would have had some risk</w:t>
      </w:r>
      <w:r w:rsidRPr="006F6B25">
        <w:noBreakHyphen/>
        <w:t>mitigating effect when compared against the A380</w:t>
      </w:r>
      <w:r>
        <w:t>".</w:t>
      </w:r>
      <w:r w:rsidRPr="00097064">
        <w:rPr>
          <w:rStyle w:val="FootnoteReference"/>
        </w:rPr>
        <w:footnoteReference w:id="717"/>
      </w:r>
      <w:r>
        <w:t xml:space="preserve"> However, the Panel emphasized that "</w:t>
      </w:r>
      <w:r w:rsidRPr="00AD360A">
        <w:t>this must be viewed in the light of the extensive use of new materials used on the A350XWB</w:t>
      </w:r>
      <w:r w:rsidRPr="00097064">
        <w:t xml:space="preserve"> and the initial lower maturity of those materials compared to more traditional materials, and the increased outsourcing and faster </w:t>
      </w:r>
      <w:r w:rsidRPr="0050700F">
        <w:t>development programme</w:t>
      </w:r>
      <w:r w:rsidRPr="00097064">
        <w:t>."</w:t>
      </w:r>
      <w:r w:rsidRPr="00097064">
        <w:rPr>
          <w:rStyle w:val="FootnoteReference"/>
        </w:rPr>
        <w:footnoteReference w:id="718"/>
      </w:r>
      <w:r w:rsidRPr="00097064">
        <w:t xml:space="preserve"> Therefore, in the Panel's view, "the mitigation factors identified by the </w:t>
      </w:r>
      <w:r w:rsidR="000A10EA">
        <w:t>European Union</w:t>
      </w:r>
      <w:r w:rsidRPr="00097064">
        <w:t xml:space="preserve"> (i) would </w:t>
      </w:r>
      <w:r w:rsidRPr="00442482">
        <w:rPr>
          <w:i/>
        </w:rPr>
        <w:t>not</w:t>
      </w:r>
      <w:r w:rsidRPr="00097064">
        <w:t xml:space="preserve"> have fully offset the increased and better understood risks associated with the </w:t>
      </w:r>
      <w:r>
        <w:t xml:space="preserve">ramped-up </w:t>
      </w:r>
      <w:r w:rsidRPr="00097064">
        <w:t>DARE</w:t>
      </w:r>
      <w:r>
        <w:t xml:space="preserve"> development</w:t>
      </w:r>
      <w:r w:rsidRPr="00097064">
        <w:t xml:space="preserve"> </w:t>
      </w:r>
      <w:r w:rsidRPr="0050700F">
        <w:t>programme</w:t>
      </w:r>
      <w:r w:rsidRPr="00097064">
        <w:t xml:space="preserve"> and high level of outsourcing, and (ii) would </w:t>
      </w:r>
      <w:r w:rsidRPr="00442482">
        <w:rPr>
          <w:i/>
        </w:rPr>
        <w:t>not</w:t>
      </w:r>
      <w:r w:rsidRPr="00097064">
        <w:t xml:space="preserve"> have fully offset the technology risks associated with new materials and their lower </w:t>
      </w:r>
      <w:r w:rsidR="00D15139">
        <w:t>maturity levels at the start of </w:t>
      </w:r>
      <w:r w:rsidRPr="00097064">
        <w:t>development."</w:t>
      </w:r>
      <w:r w:rsidRPr="00097064">
        <w:rPr>
          <w:rStyle w:val="FootnoteReference"/>
        </w:rPr>
        <w:footnoteReference w:id="719"/>
      </w:r>
    </w:p>
    <w:p w:rsidR="0007161B" w:rsidRDefault="0007161B" w:rsidP="009E6402">
      <w:pPr>
        <w:pStyle w:val="BodyText"/>
      </w:pPr>
      <w:r>
        <w:t xml:space="preserve">Based on our review of the Panel's analysis, we do not consider that the Panel can be faulted for internally inconsistent reasoning, as the </w:t>
      </w:r>
      <w:r w:rsidR="000A10EA">
        <w:t>European Union</w:t>
      </w:r>
      <w:r>
        <w:t xml:space="preserve">'s suggests. </w:t>
      </w:r>
      <w:r w:rsidRPr="00D00650">
        <w:rPr>
          <w:szCs w:val="18"/>
        </w:rPr>
        <w:t xml:space="preserve">We recall that the Panel conducted a comparative assessment of the development risks associated with the A350XWB and A380 projects, which included examining the use of new materials and the extent to which such use would have an impact on the development of each aircraft, and </w:t>
      </w:r>
      <w:r>
        <w:rPr>
          <w:szCs w:val="18"/>
        </w:rPr>
        <w:t xml:space="preserve">R&amp;D </w:t>
      </w:r>
      <w:r w:rsidRPr="00D00650">
        <w:rPr>
          <w:szCs w:val="18"/>
        </w:rPr>
        <w:t>costs.</w:t>
      </w:r>
      <w:r>
        <w:rPr>
          <w:rStyle w:val="FootnoteReference"/>
          <w:szCs w:val="18"/>
        </w:rPr>
        <w:footnoteReference w:id="720"/>
      </w:r>
      <w:r w:rsidRPr="00D00650">
        <w:rPr>
          <w:szCs w:val="18"/>
        </w:rPr>
        <w:t xml:space="preserve"> The Panel noted, in particular, that the A350XWB would involve </w:t>
      </w:r>
      <w:r>
        <w:t>higher R&amp;D costs, and that the new design and use of new materials would necessitate the development of specialized equipment, expertise, and testing.</w:t>
      </w:r>
      <w:r>
        <w:rPr>
          <w:rStyle w:val="FootnoteReference"/>
        </w:rPr>
        <w:footnoteReference w:id="721"/>
      </w:r>
      <w:r w:rsidRPr="00D00650">
        <w:rPr>
          <w:szCs w:val="18"/>
        </w:rPr>
        <w:t xml:space="preserve"> On the basis of this examination</w:t>
      </w:r>
      <w:r>
        <w:t>,</w:t>
      </w:r>
      <w:r w:rsidRPr="00D00650">
        <w:rPr>
          <w:szCs w:val="18"/>
        </w:rPr>
        <w:t xml:space="preserve"> </w:t>
      </w:r>
      <w:r w:rsidRPr="00AD360A">
        <w:t>the Panel found that "the A350XWB involved</w:t>
      </w:r>
      <w:r w:rsidRPr="00097064">
        <w:t xml:space="preserve"> significant novelty, greater cost, greater investment, and therefore technology-related development risks that were </w:t>
      </w:r>
      <w:r w:rsidRPr="00D00650">
        <w:rPr>
          <w:i/>
        </w:rPr>
        <w:t>at least as high or higher</w:t>
      </w:r>
      <w:r w:rsidRPr="00097064">
        <w:t xml:space="preserve"> than the risk involved with the technology involved in the development of the A380</w:t>
      </w:r>
      <w:r>
        <w:t>.</w:t>
      </w:r>
      <w:r w:rsidRPr="00097064">
        <w:t>"</w:t>
      </w:r>
      <w:r w:rsidRPr="00097064">
        <w:rPr>
          <w:rStyle w:val="FootnoteReference"/>
        </w:rPr>
        <w:footnoteReference w:id="722"/>
      </w:r>
      <w:r>
        <w:t xml:space="preserve"> The Panel then addressed the </w:t>
      </w:r>
      <w:r w:rsidR="000A10EA">
        <w:t>European Union</w:t>
      </w:r>
      <w:r w:rsidRPr="00097064">
        <w:t xml:space="preserve">'s </w:t>
      </w:r>
      <w:r>
        <w:t xml:space="preserve">argument that certain factors </w:t>
      </w:r>
      <w:r w:rsidRPr="00D00650">
        <w:rPr>
          <w:i/>
        </w:rPr>
        <w:t>mitigated</w:t>
      </w:r>
      <w:r w:rsidRPr="00097064">
        <w:t xml:space="preserve"> the A350XWB risks as compared to the A380 risks</w:t>
      </w:r>
      <w:r w:rsidR="00A44458">
        <w:t>. As </w:t>
      </w:r>
      <w:r>
        <w:t xml:space="preserve">noted, the Panel </w:t>
      </w:r>
      <w:r w:rsidRPr="00D00650">
        <w:rPr>
          <w:i/>
        </w:rPr>
        <w:t>disagreed</w:t>
      </w:r>
      <w:r>
        <w:t xml:space="preserve"> that </w:t>
      </w:r>
      <w:r w:rsidRPr="00097064">
        <w:t xml:space="preserve">the mitigation factors identified by the </w:t>
      </w:r>
      <w:r w:rsidR="000A10EA">
        <w:t>European Union</w:t>
      </w:r>
      <w:r w:rsidRPr="00097064">
        <w:t xml:space="preserve"> would have fully offset the increased and better understood risks associated with the DARE </w:t>
      </w:r>
      <w:r w:rsidRPr="0050700F">
        <w:t>programme</w:t>
      </w:r>
      <w:r w:rsidRPr="00097064">
        <w:t xml:space="preserve"> and high level of outsourcing, and the technology risks associated with new materials and their lower maturity leve</w:t>
      </w:r>
      <w:r>
        <w:t>ls at the start of development.</w:t>
      </w:r>
      <w:r w:rsidRPr="00097064">
        <w:rPr>
          <w:rStyle w:val="FootnoteReference"/>
        </w:rPr>
        <w:footnoteReference w:id="723"/>
      </w:r>
      <w:r>
        <w:t xml:space="preserve"> </w:t>
      </w:r>
    </w:p>
    <w:p w:rsidR="0007161B" w:rsidRDefault="0007161B" w:rsidP="009E6402">
      <w:pPr>
        <w:pStyle w:val="BodyText"/>
      </w:pPr>
      <w:r>
        <w:t xml:space="preserve">In light of the Panel's analysis of the nature and extent of the risk-mitigating factors identified by the </w:t>
      </w:r>
      <w:r w:rsidR="000A10EA">
        <w:t>European Union</w:t>
      </w:r>
      <w:r>
        <w:t xml:space="preserve">, we see no incoherence in the Panel's initial assessment of the </w:t>
      </w:r>
      <w:r>
        <w:lastRenderedPageBreak/>
        <w:t xml:space="preserve">development risks associated with the two projects, its subsequent analysis of risk mitigation factors, and its final conclusion that "the development risks associated with the A350XWB were </w:t>
      </w:r>
      <w:r w:rsidR="00CE6586">
        <w:rPr>
          <w:i/>
        </w:rPr>
        <w:t>at </w:t>
      </w:r>
      <w:r w:rsidRPr="003A009B">
        <w:rPr>
          <w:i/>
        </w:rPr>
        <w:t>least as high as, or sufficiently similar to</w:t>
      </w:r>
      <w:r>
        <w:t>, those associated with the A380."</w:t>
      </w:r>
      <w:r>
        <w:rPr>
          <w:rStyle w:val="FootnoteReference"/>
        </w:rPr>
        <w:footnoteReference w:id="724"/>
      </w:r>
      <w:r>
        <w:t xml:space="preserve"> Thus, </w:t>
      </w:r>
      <w:r w:rsidRPr="00EE6F87">
        <w:t>we fail to see any</w:t>
      </w:r>
      <w:r>
        <w:t xml:space="preserve"> internal</w:t>
      </w:r>
      <w:r w:rsidRPr="00EE6F87">
        <w:t xml:space="preserve"> inconsistency in the Panel's </w:t>
      </w:r>
      <w:r>
        <w:t>assessment of development risks</w:t>
      </w:r>
      <w:r w:rsidRPr="00EE6F87">
        <w:t>, let alone one that would call the Panel's objectivity into question</w:t>
      </w:r>
      <w:r>
        <w:t>.</w:t>
      </w:r>
    </w:p>
    <w:p w:rsidR="0007161B" w:rsidRDefault="0007161B" w:rsidP="009E6402">
      <w:pPr>
        <w:pStyle w:val="BodyText"/>
      </w:pPr>
      <w:r w:rsidRPr="00097064">
        <w:t xml:space="preserve">Finally, in its third line of argumentation, the </w:t>
      </w:r>
      <w:r w:rsidR="000A10EA">
        <w:t>European Union</w:t>
      </w:r>
      <w:r w:rsidRPr="00097064">
        <w:t xml:space="preserve"> argues that, in the Panel's assessment of development risks, there is an inconsistency between its benefit findings and its subsequent adverse effects findings. The </w:t>
      </w:r>
      <w:r w:rsidR="000A10EA">
        <w:t>European Union</w:t>
      </w:r>
      <w:r w:rsidRPr="00097064">
        <w:t xml:space="preserve"> explains that, </w:t>
      </w:r>
      <w:r>
        <w:t>in support of its</w:t>
      </w:r>
      <w:r w:rsidRPr="00097064">
        <w:t xml:space="preserve"> find</w:t>
      </w:r>
      <w:r>
        <w:t>ing</w:t>
      </w:r>
      <w:r w:rsidRPr="00097064">
        <w:t xml:space="preserve"> that A350XWB LA/MSF constitutes a subsidy, the Panel emphasi</w:t>
      </w:r>
      <w:r>
        <w:t>z</w:t>
      </w:r>
      <w:r w:rsidRPr="00097064">
        <w:t xml:space="preserve">ed in the context of benefit how </w:t>
      </w:r>
      <w:r w:rsidRPr="00097064">
        <w:rPr>
          <w:i/>
        </w:rPr>
        <w:t>different</w:t>
      </w:r>
      <w:r w:rsidRPr="00097064">
        <w:t xml:space="preserve"> the A350XWB technologies were from those applied on the A380.</w:t>
      </w:r>
      <w:r w:rsidRPr="00097064">
        <w:rPr>
          <w:rStyle w:val="FootnoteReference"/>
        </w:rPr>
        <w:footnoteReference w:id="725"/>
      </w:r>
      <w:r w:rsidRPr="00097064">
        <w:t xml:space="preserve"> However, in its assessment of adverse effects, the Panel </w:t>
      </w:r>
      <w:r>
        <w:t>stressed</w:t>
      </w:r>
      <w:r w:rsidRPr="00097064">
        <w:t xml:space="preserve"> the extent to which the A350XWB technologies were </w:t>
      </w:r>
      <w:r w:rsidRPr="00097064">
        <w:rPr>
          <w:i/>
        </w:rPr>
        <w:t>derived from</w:t>
      </w:r>
      <w:r w:rsidRPr="00097064">
        <w:t xml:space="preserve"> the A380, such that A380 and earlier LA/MSF</w:t>
      </w:r>
      <w:r>
        <w:t xml:space="preserve"> measures</w:t>
      </w:r>
      <w:r w:rsidRPr="00097064">
        <w:t xml:space="preserve"> </w:t>
      </w:r>
      <w:r>
        <w:t>were</w:t>
      </w:r>
      <w:r w:rsidRPr="00097064">
        <w:t xml:space="preserve"> a substantial cause of the market presence of the A350XWB.</w:t>
      </w:r>
      <w:r w:rsidRPr="00097064">
        <w:rPr>
          <w:rStyle w:val="FootnoteReference"/>
        </w:rPr>
        <w:footnoteReference w:id="726"/>
      </w:r>
      <w:r w:rsidRPr="00097064">
        <w:t xml:space="preserve"> Thus, in the </w:t>
      </w:r>
      <w:r w:rsidR="000A10EA">
        <w:t>European Union</w:t>
      </w:r>
      <w:r w:rsidRPr="00097064">
        <w:t>'s view, in the "benefit" section</w:t>
      </w:r>
      <w:r>
        <w:t xml:space="preserve"> of its Report</w:t>
      </w:r>
      <w:r w:rsidRPr="00097064">
        <w:t xml:space="preserve">, the Panel </w:t>
      </w:r>
      <w:r>
        <w:t>highlighted</w:t>
      </w:r>
      <w:r w:rsidRPr="00AD360A">
        <w:t xml:space="preserve"> the </w:t>
      </w:r>
      <w:r w:rsidRPr="00AD360A">
        <w:rPr>
          <w:i/>
        </w:rPr>
        <w:t>novelty</w:t>
      </w:r>
      <w:r w:rsidRPr="00AD360A">
        <w:t xml:space="preserve"> of the A350XWB project, whereas, in the "</w:t>
      </w:r>
      <w:r>
        <w:t xml:space="preserve">adverse </w:t>
      </w:r>
      <w:r w:rsidRPr="00AD360A">
        <w:t>effects" section, the Panel emphasi</w:t>
      </w:r>
      <w:r>
        <w:t>z</w:t>
      </w:r>
      <w:r w:rsidRPr="00AD360A">
        <w:t xml:space="preserve">ed the </w:t>
      </w:r>
      <w:r w:rsidRPr="00AD360A">
        <w:rPr>
          <w:i/>
        </w:rPr>
        <w:t>continuity</w:t>
      </w:r>
      <w:r w:rsidRPr="00AD360A">
        <w:t xml:space="preserve"> of the A350XWB project in light of previous LCA projects, and especially the A380 project.</w:t>
      </w:r>
      <w:r w:rsidRPr="00AD360A">
        <w:rPr>
          <w:rStyle w:val="FootnoteReference"/>
        </w:rPr>
        <w:footnoteReference w:id="727"/>
      </w:r>
      <w:r w:rsidRPr="00AD360A">
        <w:t xml:space="preserve"> </w:t>
      </w:r>
      <w:r w:rsidRPr="00097064">
        <w:t xml:space="preserve">In the </w:t>
      </w:r>
      <w:r w:rsidR="000A10EA">
        <w:t>European Union</w:t>
      </w:r>
      <w:r w:rsidRPr="00097064">
        <w:t>'s view, these inconsistent findings reveal a lack of even-handedness on the part of the Panel.</w:t>
      </w:r>
      <w:r w:rsidRPr="00097064">
        <w:rPr>
          <w:rStyle w:val="FootnoteReference"/>
        </w:rPr>
        <w:footnoteReference w:id="728"/>
      </w:r>
      <w:r w:rsidRPr="00097064">
        <w:t xml:space="preserve"> </w:t>
      </w:r>
      <w:r w:rsidRPr="00AD360A">
        <w:t xml:space="preserve">Consequently, the </w:t>
      </w:r>
      <w:r w:rsidR="000A10EA">
        <w:t>European Union</w:t>
      </w:r>
      <w:r w:rsidRPr="00AD360A">
        <w:t xml:space="preserve"> contends that the Panel's treatment of the evidence </w:t>
      </w:r>
      <w:r>
        <w:t>was</w:t>
      </w:r>
      <w:r w:rsidRPr="00AD360A">
        <w:t xml:space="preserve"> not objective </w:t>
      </w:r>
      <w:r>
        <w:t xml:space="preserve">and </w:t>
      </w:r>
      <w:r w:rsidRPr="00AD360A">
        <w:t>is</w:t>
      </w:r>
      <w:r w:rsidRPr="00097064">
        <w:t xml:space="preserve"> th</w:t>
      </w:r>
      <w:r>
        <w:t xml:space="preserve">us </w:t>
      </w:r>
      <w:r w:rsidRPr="00097064">
        <w:t xml:space="preserve">inconsistent with </w:t>
      </w:r>
      <w:r w:rsidR="000A10EA">
        <w:t>Article </w:t>
      </w:r>
      <w:r w:rsidRPr="00097064">
        <w:t>11 of the DSU.</w:t>
      </w:r>
      <w:r w:rsidRPr="00097064">
        <w:rPr>
          <w:rStyle w:val="FootnoteReference"/>
        </w:rPr>
        <w:footnoteReference w:id="729"/>
      </w:r>
    </w:p>
    <w:p w:rsidR="0007161B" w:rsidRDefault="0007161B" w:rsidP="009E6402">
      <w:pPr>
        <w:pStyle w:val="BodyText"/>
      </w:pPr>
      <w:r w:rsidRPr="00097064">
        <w:t xml:space="preserve">We begin by noting that, before the Panel, the </w:t>
      </w:r>
      <w:r w:rsidR="000A10EA">
        <w:t>European Union</w:t>
      </w:r>
      <w:r w:rsidRPr="00097064">
        <w:t xml:space="preserve"> put forward a very similar argument to the one now raised on appeal. Indeed, the </w:t>
      </w:r>
      <w:r w:rsidR="000A10EA">
        <w:t>European Union</w:t>
      </w:r>
      <w:r w:rsidRPr="00097064">
        <w:t xml:space="preserve"> maintained before the Panel that it was difficult to reconcile the </w:t>
      </w:r>
      <w:r w:rsidR="000A10EA">
        <w:t>United States</w:t>
      </w:r>
      <w:r w:rsidRPr="00097064">
        <w:t xml:space="preserve">' arguments concerning the adverse effects of LA/MSF – </w:t>
      </w:r>
      <w:r>
        <w:t>e.g.</w:t>
      </w:r>
      <w:r w:rsidRPr="00097064">
        <w:t xml:space="preserve"> the </w:t>
      </w:r>
      <w:r w:rsidRPr="00097064">
        <w:rPr>
          <w:i/>
        </w:rPr>
        <w:t>indirect effects</w:t>
      </w:r>
      <w:r w:rsidRPr="00097064">
        <w:t xml:space="preserve"> of the A380 LA/MSF </w:t>
      </w:r>
      <w:r>
        <w:t>measures</w:t>
      </w:r>
      <w:r w:rsidRPr="00097064">
        <w:t xml:space="preserve"> on Airbus' ability to launch and develop the A350XWB – with the </w:t>
      </w:r>
      <w:r w:rsidR="000A10EA">
        <w:t>United States</w:t>
      </w:r>
      <w:r w:rsidRPr="00097064">
        <w:t xml:space="preserve">' contention, in the context of the proposed </w:t>
      </w:r>
      <w:r>
        <w:t xml:space="preserve">benefit </w:t>
      </w:r>
      <w:r w:rsidRPr="00097064">
        <w:t xml:space="preserve">benchmark for the A350XWB, that the A350XWB involved a greater technological risk compared with the A380 and other Airbus LCA. The </w:t>
      </w:r>
      <w:r w:rsidR="000A10EA">
        <w:t>European Union</w:t>
      </w:r>
      <w:r w:rsidRPr="00097064">
        <w:t xml:space="preserve"> submitted that "{a} neutral, even</w:t>
      </w:r>
      <w:r w:rsidRPr="00097064">
        <w:noBreakHyphen/>
        <w:t>handed review {could not} reconcile these two arguments</w:t>
      </w:r>
      <w:r>
        <w:t>.</w:t>
      </w:r>
      <w:r w:rsidRPr="00097064">
        <w:t>"</w:t>
      </w:r>
      <w:r w:rsidRPr="00097064">
        <w:rPr>
          <w:rStyle w:val="FootnoteReference"/>
        </w:rPr>
        <w:footnoteReference w:id="730"/>
      </w:r>
      <w:r w:rsidR="00D15139">
        <w:t xml:space="preserve"> In response, the </w:t>
      </w:r>
      <w:r w:rsidR="000A10EA">
        <w:t>United States</w:t>
      </w:r>
      <w:r w:rsidRPr="00097064">
        <w:t xml:space="preserve"> asserted that "'the fact that the A350XWB incorporates new applications of composites material' does not eliminate the 'valuable lessons learned' or 'critical technologies, processes and knowledge that Airbus applied' from its prior programme</w:t>
      </w:r>
      <w:r>
        <w:t>.</w:t>
      </w:r>
      <w:r w:rsidRPr="00097064">
        <w:t>"</w:t>
      </w:r>
      <w:r w:rsidRPr="00097064">
        <w:rPr>
          <w:rStyle w:val="FootnoteReference"/>
        </w:rPr>
        <w:footnoteReference w:id="731"/>
      </w:r>
    </w:p>
    <w:p w:rsidR="0007161B" w:rsidRDefault="0007161B" w:rsidP="009E6402">
      <w:pPr>
        <w:pStyle w:val="BodyText"/>
      </w:pPr>
      <w:r w:rsidRPr="00097064">
        <w:t xml:space="preserve">In the Panel's view, the </w:t>
      </w:r>
      <w:r w:rsidR="000A10EA">
        <w:t>United States</w:t>
      </w:r>
      <w:r w:rsidRPr="00097064">
        <w:t xml:space="preserve"> was not arguing that "the challenges involved with extensive use of composites mean that there were no significant learning effects from the A380, and indeed all earlier Airbus aircraft</w:t>
      </w:r>
      <w:r>
        <w:t>.</w:t>
      </w:r>
      <w:r w:rsidRPr="00097064">
        <w:t>"</w:t>
      </w:r>
      <w:r w:rsidRPr="00097064">
        <w:rPr>
          <w:rStyle w:val="FootnoteReference"/>
        </w:rPr>
        <w:footnoteReference w:id="732"/>
      </w:r>
      <w:r w:rsidRPr="00097064">
        <w:t xml:space="preserve"> The Panel specified that the </w:t>
      </w:r>
      <w:r w:rsidR="000A10EA">
        <w:t>United States</w:t>
      </w:r>
      <w:r w:rsidRPr="00097064">
        <w:t xml:space="preserve"> identified both general learning effects in aircraft manufacturing, and also carry-over of specific components that likely benefitted from Airbus' prior LCA experience.</w:t>
      </w:r>
      <w:r w:rsidRPr="00097064">
        <w:rPr>
          <w:rStyle w:val="FootnoteReference"/>
        </w:rPr>
        <w:footnoteReference w:id="733"/>
      </w:r>
      <w:r>
        <w:t xml:space="preserve"> </w:t>
      </w:r>
      <w:r w:rsidRPr="00097064">
        <w:t xml:space="preserve">On this basis, the Panel did </w:t>
      </w:r>
      <w:r w:rsidRPr="00F55962">
        <w:rPr>
          <w:i/>
        </w:rPr>
        <w:t>not</w:t>
      </w:r>
      <w:r w:rsidRPr="00097064">
        <w:t xml:space="preserve"> see any logical reason why there </w:t>
      </w:r>
      <w:r>
        <w:t>could not</w:t>
      </w:r>
      <w:r w:rsidRPr="00097064">
        <w:t xml:space="preserve"> be incremental improvements from one aircraft to t</w:t>
      </w:r>
      <w:r>
        <w:t>he next (e.g.</w:t>
      </w:r>
      <w:r w:rsidRPr="00097064">
        <w:t xml:space="preserve"> building on experience of the use of composites in various ways and in particular areas)</w:t>
      </w:r>
      <w:r>
        <w:t>,</w:t>
      </w:r>
      <w:r w:rsidR="00D15139">
        <w:t xml:space="preserve"> and </w:t>
      </w:r>
      <w:r w:rsidRPr="00097064">
        <w:t xml:space="preserve">also a technology jump </w:t>
      </w:r>
      <w:r>
        <w:t>(</w:t>
      </w:r>
      <w:r w:rsidRPr="00097064">
        <w:t xml:space="preserve">such as the use of composites for more than half the materials in the </w:t>
      </w:r>
      <w:r w:rsidRPr="00097064">
        <w:lastRenderedPageBreak/>
        <w:t>fuselage and wings</w:t>
      </w:r>
      <w:r>
        <w:t>)</w:t>
      </w:r>
      <w:r w:rsidRPr="00097064">
        <w:t>, with the enhanced risks s</w:t>
      </w:r>
      <w:r>
        <w:t xml:space="preserve">uch novelty </w:t>
      </w:r>
      <w:r w:rsidRPr="00097064">
        <w:t>presents. For instance, the Panel noted that Airbus stated that "it 'evolved' its 'step by step gain of composite experience' in previous aircraft and declare{d} … that the degree to which composites were used on the A350XWB aircraft involved very significant novelty</w:t>
      </w:r>
      <w:r>
        <w:t>.</w:t>
      </w:r>
      <w:r w:rsidRPr="00097064">
        <w:t>"</w:t>
      </w:r>
      <w:r w:rsidRPr="00097064">
        <w:rPr>
          <w:rStyle w:val="FootnoteReference"/>
        </w:rPr>
        <w:footnoteReference w:id="734"/>
      </w:r>
      <w:r w:rsidRPr="00097064">
        <w:t xml:space="preserve"> </w:t>
      </w:r>
      <w:r w:rsidRPr="006A34A3">
        <w:t xml:space="preserve">Therefore, the Panel did not consider that the </w:t>
      </w:r>
      <w:r w:rsidR="000A10EA">
        <w:t>United States</w:t>
      </w:r>
      <w:r w:rsidRPr="006A34A3">
        <w:t>' arguments were necessarily contradictory.</w:t>
      </w:r>
      <w:r w:rsidRPr="006A34A3">
        <w:rPr>
          <w:rStyle w:val="FootnoteReference"/>
        </w:rPr>
        <w:footnoteReference w:id="735"/>
      </w:r>
      <w:r w:rsidRPr="006A34A3">
        <w:t xml:space="preserve"> The Panel thus accepted that there were </w:t>
      </w:r>
      <w:r w:rsidRPr="006A34A3">
        <w:rPr>
          <w:i/>
        </w:rPr>
        <w:t>incremental</w:t>
      </w:r>
      <w:r w:rsidRPr="006A34A3">
        <w:t xml:space="preserve"> improvements from one aircraft to the next </w:t>
      </w:r>
      <w:r w:rsidRPr="006A34A3">
        <w:rPr>
          <w:i/>
        </w:rPr>
        <w:t xml:space="preserve">but found at the same time </w:t>
      </w:r>
      <w:r w:rsidRPr="006A34A3">
        <w:t xml:space="preserve">that the launch of the A350XWB involved </w:t>
      </w:r>
      <w:r w:rsidRPr="006A34A3">
        <w:rPr>
          <w:i/>
        </w:rPr>
        <w:t>novelty</w:t>
      </w:r>
      <w:r>
        <w:t>. In light of these considerations, we see no lack of even</w:t>
      </w:r>
      <w:r>
        <w:noBreakHyphen/>
      </w:r>
      <w:r w:rsidRPr="006A34A3">
        <w:t xml:space="preserve">handedness in this approach, or basis to fault the Panel under </w:t>
      </w:r>
      <w:r w:rsidR="000A10EA">
        <w:t>Article </w:t>
      </w:r>
      <w:r w:rsidRPr="006A34A3">
        <w:t>11 of the DSU</w:t>
      </w:r>
      <w:r>
        <w:t>.</w:t>
      </w:r>
    </w:p>
    <w:p w:rsidR="0007161B" w:rsidRDefault="0007161B" w:rsidP="009E6402">
      <w:pPr>
        <w:pStyle w:val="BodyText"/>
      </w:pPr>
      <w:r>
        <w:t>Furthermore, w</w:t>
      </w:r>
      <w:r w:rsidRPr="00097064">
        <w:t xml:space="preserve">e </w:t>
      </w:r>
      <w:r>
        <w:t>observe</w:t>
      </w:r>
      <w:r w:rsidRPr="00097064">
        <w:t xml:space="preserve"> that the Panel's analysis in the "benefit" and "adverse effects" sections </w:t>
      </w:r>
      <w:r>
        <w:t xml:space="preserve">of its Report </w:t>
      </w:r>
      <w:r w:rsidRPr="00097064">
        <w:t xml:space="preserve">actually appears to reflect a </w:t>
      </w:r>
      <w:r>
        <w:t xml:space="preserve">combination </w:t>
      </w:r>
      <w:r w:rsidRPr="00097064">
        <w:t xml:space="preserve">of both </w:t>
      </w:r>
      <w:r w:rsidRPr="00097064">
        <w:rPr>
          <w:i/>
        </w:rPr>
        <w:t>continuity</w:t>
      </w:r>
      <w:r w:rsidRPr="00097064">
        <w:t xml:space="preserve"> with previous Airbus models (reflecting incremental improvements) and </w:t>
      </w:r>
      <w:r w:rsidRPr="00097064">
        <w:rPr>
          <w:i/>
        </w:rPr>
        <w:t xml:space="preserve">novelty </w:t>
      </w:r>
      <w:r w:rsidRPr="00097064">
        <w:t xml:space="preserve">(representing "technological jump"). In other words, contrary to the </w:t>
      </w:r>
      <w:r w:rsidR="000A10EA">
        <w:t>European Union</w:t>
      </w:r>
      <w:r w:rsidRPr="00097064">
        <w:t xml:space="preserve">'s assertion, we do not consider that, on the one hand, the benefit analysis refers </w:t>
      </w:r>
      <w:r w:rsidRPr="00097064">
        <w:rPr>
          <w:i/>
        </w:rPr>
        <w:t>only</w:t>
      </w:r>
      <w:r w:rsidRPr="00097064">
        <w:t xml:space="preserve"> to novelty and, on the other hand, the adverse effects analysis mentions </w:t>
      </w:r>
      <w:r w:rsidRPr="00097064">
        <w:rPr>
          <w:i/>
        </w:rPr>
        <w:t>only</w:t>
      </w:r>
      <w:r w:rsidRPr="00097064">
        <w:t xml:space="preserve"> continuity. For instance, in the context of its benefit analysis, the Panel found that, while the A350XWB and A380 were technically very different to what had come before, both types of aircraft built on "certain expertise in aircraft construction and incorporating individual components that had been developed in relation to previous aircraft".</w:t>
      </w:r>
      <w:r w:rsidRPr="00097064">
        <w:rPr>
          <w:rStyle w:val="FootnoteReference"/>
        </w:rPr>
        <w:footnoteReference w:id="736"/>
      </w:r>
      <w:r w:rsidRPr="00097064">
        <w:t xml:space="preserve"> Similarly, in its adverse effects analysis, the Panel noted that</w:t>
      </w:r>
      <w:r>
        <w:t>,</w:t>
      </w:r>
      <w:r w:rsidRPr="00097064">
        <w:t xml:space="preserve"> "{c}ompared to the Original A350, the A350XWB was expected to have a wider and composite fuselage, larger composite wings, higher cruise speed, and more powerful engines"</w:t>
      </w:r>
      <w:r w:rsidRPr="00097064">
        <w:rPr>
          <w:rStyle w:val="FootnoteReference"/>
        </w:rPr>
        <w:footnoteReference w:id="737"/>
      </w:r>
      <w:r>
        <w:t>,</w:t>
      </w:r>
      <w:r w:rsidRPr="00097064">
        <w:t xml:space="preserve"> and that "{p}ress reports characterized the A350XWB as a 'major' and 'dramatic' redesign of the Original A350 that would prin</w:t>
      </w:r>
      <w:r w:rsidR="00E05F1C">
        <w:t>cipally compete with the Boeing </w:t>
      </w:r>
      <w:r w:rsidRPr="00097064">
        <w:t>777 and the 787".</w:t>
      </w:r>
      <w:r w:rsidRPr="00097064">
        <w:rPr>
          <w:rStyle w:val="FootnoteReference"/>
        </w:rPr>
        <w:footnoteReference w:id="738"/>
      </w:r>
      <w:r>
        <w:t xml:space="preserve"> Therefore, in our view, the Panel's reasoning in the "adverse effects" section of its Report accounts for, and is in consonance with, its reasoning in the "benefit" section of its Report.</w:t>
      </w:r>
    </w:p>
    <w:p w:rsidR="0007161B" w:rsidRDefault="0007161B" w:rsidP="009E6402">
      <w:pPr>
        <w:pStyle w:val="BodyText"/>
      </w:pPr>
      <w:r>
        <w:t xml:space="preserve">Consequently, we are not persuaded by the </w:t>
      </w:r>
      <w:r w:rsidR="000A10EA">
        <w:t>European Union</w:t>
      </w:r>
      <w:r>
        <w:t xml:space="preserve">'s third line of argumentation </w:t>
      </w:r>
      <w:r w:rsidR="00E90B11">
        <w:t xml:space="preserve">with regard to its claim </w:t>
      </w:r>
      <w:r w:rsidRPr="00097064">
        <w:t xml:space="preserve">that the Panel acted inconsistently with </w:t>
      </w:r>
      <w:r w:rsidR="000A10EA">
        <w:t>Article </w:t>
      </w:r>
      <w:r w:rsidRPr="00097064">
        <w:t>11 of the DSU.</w:t>
      </w:r>
    </w:p>
    <w:p w:rsidR="0007161B" w:rsidRDefault="0007161B" w:rsidP="009E6402">
      <w:pPr>
        <w:pStyle w:val="BodyText"/>
      </w:pPr>
      <w:r>
        <w:t xml:space="preserve">For the foregoing reasons, </w:t>
      </w:r>
      <w:r w:rsidRPr="00097064">
        <w:t xml:space="preserve">the </w:t>
      </w:r>
      <w:r w:rsidR="000A10EA">
        <w:t>European Union</w:t>
      </w:r>
      <w:r>
        <w:t xml:space="preserve"> has</w:t>
      </w:r>
      <w:r w:rsidRPr="00BD0494">
        <w:t xml:space="preserve"> </w:t>
      </w:r>
      <w:r>
        <w:t xml:space="preserve">not </w:t>
      </w:r>
      <w:r w:rsidRPr="00097064">
        <w:t>established</w:t>
      </w:r>
      <w:r>
        <w:t xml:space="preserve"> </w:t>
      </w:r>
      <w:r w:rsidRPr="00097064">
        <w:t>that the Panel acted inconsistent</w:t>
      </w:r>
      <w:r>
        <w:t xml:space="preserve">ly with </w:t>
      </w:r>
      <w:r w:rsidR="000A10EA">
        <w:t>Article </w:t>
      </w:r>
      <w:r>
        <w:t>11 of the </w:t>
      </w:r>
      <w:r w:rsidRPr="00097064">
        <w:t>DSU</w:t>
      </w:r>
      <w:r>
        <w:t xml:space="preserve"> in its assessment of development risk</w:t>
      </w:r>
      <w:r w:rsidRPr="00097064">
        <w:t>.</w:t>
      </w:r>
    </w:p>
    <w:p w:rsidR="0007161B" w:rsidRPr="005F3709" w:rsidRDefault="0007161B" w:rsidP="009E6402">
      <w:pPr>
        <w:pStyle w:val="Heading6"/>
      </w:pPr>
      <w:bookmarkStart w:id="95" w:name="_Toc514059234"/>
      <w:r w:rsidRPr="005F3709">
        <w:t>Market risk and comparison of development risk and market risk</w:t>
      </w:r>
      <w:bookmarkEnd w:id="95"/>
    </w:p>
    <w:p w:rsidR="0007161B" w:rsidRPr="005F3709" w:rsidRDefault="0007161B" w:rsidP="009E6402">
      <w:pPr>
        <w:pStyle w:val="BodyText"/>
      </w:pPr>
      <w:r w:rsidRPr="005F3709">
        <w:t xml:space="preserve">The </w:t>
      </w:r>
      <w:r w:rsidR="000A10EA">
        <w:t>European Union</w:t>
      </w:r>
      <w:r w:rsidRPr="005F3709">
        <w:t xml:space="preserve"> brings claims of inconsistency with </w:t>
      </w:r>
      <w:r w:rsidR="000A10EA">
        <w:t>Article </w:t>
      </w:r>
      <w:r w:rsidRPr="005F3709">
        <w:t xml:space="preserve">11 of the DSU in relation to the Panel's analysis of market risk and the Panel's comparison of development risk and market risk. These claims are based on the same premise, namely, that the Panel should have focused its assessment on the price that would be charged by a commercial lender for assuming the specific risks at issue. Given the interrelated nature of these claims, we address them together below. </w:t>
      </w:r>
    </w:p>
    <w:p w:rsidR="0007161B" w:rsidRDefault="0007161B" w:rsidP="009E6402">
      <w:pPr>
        <w:pStyle w:val="BodyText"/>
      </w:pPr>
      <w:r w:rsidRPr="005A3090">
        <w:t>With regard to market risk</w:t>
      </w:r>
      <w:r w:rsidRPr="005A3090">
        <w:rPr>
          <w:rStyle w:val="FootnoteReference"/>
        </w:rPr>
        <w:footnoteReference w:id="739"/>
      </w:r>
      <w:r w:rsidRPr="005A3090">
        <w:t xml:space="preserve">, the </w:t>
      </w:r>
      <w:r w:rsidR="000A10EA">
        <w:t>European Union</w:t>
      </w:r>
      <w:r w:rsidRPr="005A3090">
        <w:t xml:space="preserve"> argues that the Panel's findings suffer from flaws similar to those identified with respect to</w:t>
      </w:r>
      <w:r>
        <w:t xml:space="preserve"> the Panel's analysis of</w:t>
      </w:r>
      <w:r w:rsidRPr="005A3090">
        <w:t xml:space="preserve"> development risk. </w:t>
      </w:r>
      <w:r w:rsidR="00D15139">
        <w:t>The </w:t>
      </w:r>
      <w:r w:rsidR="000A10EA">
        <w:t>European Union</w:t>
      </w:r>
      <w:r w:rsidRPr="00EE6F87">
        <w:t xml:space="preserve"> maintains that the Panel again failed to state the differences regarding market risks </w:t>
      </w:r>
      <w:r>
        <w:t>associated with</w:t>
      </w:r>
      <w:r w:rsidRPr="00EE6F87">
        <w:t xml:space="preserve"> the A380 and the A350XWB projects in terms that are both relevant under </w:t>
      </w:r>
      <w:r w:rsidR="000A10EA">
        <w:t>Article </w:t>
      </w:r>
      <w:r w:rsidRPr="00EE6F87">
        <w:t xml:space="preserve">1.1(b) </w:t>
      </w:r>
      <w:r>
        <w:t xml:space="preserve">of the </w:t>
      </w:r>
      <w:r w:rsidR="000A10EA">
        <w:t>SCM Agreement</w:t>
      </w:r>
      <w:r>
        <w:t xml:space="preserve"> </w:t>
      </w:r>
      <w:r w:rsidRPr="00EE6F87">
        <w:t xml:space="preserve">and susceptible to comparison (i.e. </w:t>
      </w:r>
      <w:r>
        <w:t xml:space="preserve">in terms of </w:t>
      </w:r>
      <w:r w:rsidRPr="00EE6F87">
        <w:t xml:space="preserve">the impact that the particular market risks posed by each project would have on the project risk premium that </w:t>
      </w:r>
      <w:r w:rsidRPr="00EE6F87">
        <w:lastRenderedPageBreak/>
        <w:t>would be charged by a commercial lender for assuming that risk).</w:t>
      </w:r>
      <w:r w:rsidRPr="00EE6F87">
        <w:rPr>
          <w:rStyle w:val="FootnoteReference"/>
        </w:rPr>
        <w:footnoteReference w:id="740"/>
      </w:r>
      <w:r>
        <w:t xml:space="preserve"> In the </w:t>
      </w:r>
      <w:r w:rsidR="000A10EA">
        <w:t>European Union</w:t>
      </w:r>
      <w:r>
        <w:t xml:space="preserve">'s view, given that </w:t>
      </w:r>
      <w:r w:rsidRPr="00097064">
        <w:t xml:space="preserve">the Panel identified </w:t>
      </w:r>
      <w:r w:rsidRPr="00097064">
        <w:rPr>
          <w:i/>
        </w:rPr>
        <w:t>no</w:t>
      </w:r>
      <w:r w:rsidRPr="00097064">
        <w:t xml:space="preserve"> evidence showing that a commercial lender would price similarly the particular market risks fa</w:t>
      </w:r>
      <w:r>
        <w:t xml:space="preserve">ced by each of the two projects, </w:t>
      </w:r>
      <w:r w:rsidRPr="00097064">
        <w:t xml:space="preserve">the Panel identified </w:t>
      </w:r>
      <w:r w:rsidRPr="00097064">
        <w:rPr>
          <w:i/>
        </w:rPr>
        <w:t>no</w:t>
      </w:r>
      <w:r w:rsidRPr="00097064">
        <w:t xml:space="preserve"> basis </w:t>
      </w:r>
      <w:r>
        <w:t>on</w:t>
      </w:r>
      <w:r w:rsidRPr="00097064">
        <w:t xml:space="preserve"> the record for </w:t>
      </w:r>
      <w:r>
        <w:t>its</w:t>
      </w:r>
      <w:r w:rsidRPr="00097064">
        <w:t xml:space="preserve"> finding that, while the market risks experienced by the projects were </w:t>
      </w:r>
      <w:r w:rsidRPr="00097064">
        <w:rPr>
          <w:i/>
        </w:rPr>
        <w:t>different in nature</w:t>
      </w:r>
      <w:r w:rsidRPr="00097064">
        <w:t>, they were overall "comparable in importance".</w:t>
      </w:r>
      <w:r w:rsidRPr="00097064">
        <w:rPr>
          <w:rStyle w:val="FootnoteReference"/>
        </w:rPr>
        <w:footnoteReference w:id="741"/>
      </w:r>
      <w:r w:rsidRPr="00097064">
        <w:t xml:space="preserve"> </w:t>
      </w:r>
    </w:p>
    <w:p w:rsidR="0007161B" w:rsidRDefault="0007161B" w:rsidP="009E6402">
      <w:pPr>
        <w:pStyle w:val="BodyText"/>
      </w:pPr>
      <w:r>
        <w:t xml:space="preserve">Similarly, with respect to the Panel's </w:t>
      </w:r>
      <w:r w:rsidRPr="00097064">
        <w:t>overall comparison of development and market risk</w:t>
      </w:r>
      <w:r>
        <w:t>s, t</w:t>
      </w:r>
      <w:r w:rsidRPr="00097064">
        <w:t xml:space="preserve">he </w:t>
      </w:r>
      <w:r w:rsidR="000A10EA">
        <w:t>European Union</w:t>
      </w:r>
      <w:r w:rsidRPr="00097064">
        <w:t xml:space="preserve"> </w:t>
      </w:r>
      <w:r>
        <w:t>takes issue with</w:t>
      </w:r>
      <w:r w:rsidRPr="00097064">
        <w:t xml:space="preserve"> the following Panel finding regarding each component of programme risk:</w:t>
      </w:r>
    </w:p>
    <w:p w:rsidR="0007161B" w:rsidRDefault="0007161B" w:rsidP="00206326">
      <w:pPr>
        <w:pStyle w:val="Quotation"/>
      </w:pPr>
      <w:r w:rsidRPr="00097064">
        <w:t xml:space="preserve">With respect to </w:t>
      </w:r>
      <w:r w:rsidRPr="00097064">
        <w:rPr>
          <w:u w:val="single"/>
        </w:rPr>
        <w:t>development risks</w:t>
      </w:r>
      <w:r w:rsidRPr="00097064">
        <w:t xml:space="preserve"> (the risk that Airbus will not be able to deliver the planned aircraft as and when anticipated), we consider that the risks associated with the A350XWB were approximately </w:t>
      </w:r>
      <w:r w:rsidRPr="00097064">
        <w:rPr>
          <w:i/>
        </w:rPr>
        <w:t>similar to, if not slightly higher than</w:t>
      </w:r>
      <w:r w:rsidRPr="00097064">
        <w:t xml:space="preserve">, the A380. With respect to </w:t>
      </w:r>
      <w:r w:rsidRPr="00097064">
        <w:rPr>
          <w:u w:val="single"/>
        </w:rPr>
        <w:t>market risk</w:t>
      </w:r>
      <w:r w:rsidRPr="00097064">
        <w:t xml:space="preserve"> (the risk that the aircraft will not sell as well as anticipated), we consider that the A350XWB marketing risks would </w:t>
      </w:r>
      <w:r w:rsidRPr="00097064">
        <w:rPr>
          <w:i/>
        </w:rPr>
        <w:t>not have been much lower than A380 marketing risks</w:t>
      </w:r>
      <w:r w:rsidRPr="00097064">
        <w:t>.</w:t>
      </w:r>
      <w:r w:rsidRPr="00097064">
        <w:rPr>
          <w:rStyle w:val="FootnoteReference"/>
          <w:szCs w:val="20"/>
        </w:rPr>
        <w:footnoteReference w:id="742"/>
      </w:r>
    </w:p>
    <w:p w:rsidR="0007161B" w:rsidRDefault="0007161B" w:rsidP="009E6402">
      <w:pPr>
        <w:pStyle w:val="BodyText"/>
      </w:pPr>
      <w:r w:rsidRPr="00097064">
        <w:t xml:space="preserve">In the </w:t>
      </w:r>
      <w:r w:rsidR="000A10EA">
        <w:t>European Union</w:t>
      </w:r>
      <w:r w:rsidRPr="00097064">
        <w:t xml:space="preserve">'s view, this finding served as the basis for the Panel's conclusion that the </w:t>
      </w:r>
      <w:r>
        <w:t>project</w:t>
      </w:r>
      <w:r w:rsidRPr="00097064">
        <w:t xml:space="preserve"> risks </w:t>
      </w:r>
      <w:r>
        <w:t>were</w:t>
      </w:r>
      <w:r w:rsidRPr="00097064">
        <w:t xml:space="preserve"> sufficiently similar to apply the </w:t>
      </w:r>
      <w:r>
        <w:t>WRP</w:t>
      </w:r>
      <w:r w:rsidRPr="00097064">
        <w:t xml:space="preserve"> </w:t>
      </w:r>
      <w:r>
        <w:t xml:space="preserve">used in the A380 LA/MSF contracts </w:t>
      </w:r>
      <w:r w:rsidRPr="00097064">
        <w:t xml:space="preserve">to the </w:t>
      </w:r>
      <w:r w:rsidRPr="005F3709">
        <w:t xml:space="preserve">A350XWB LA/MSF </w:t>
      </w:r>
      <w:r>
        <w:t>contracts</w:t>
      </w:r>
      <w:r w:rsidRPr="00097064">
        <w:t xml:space="preserve">. </w:t>
      </w:r>
      <w:r>
        <w:t xml:space="preserve">As in the case of market risks, </w:t>
      </w:r>
      <w:r w:rsidRPr="00097064">
        <w:t xml:space="preserve">the </w:t>
      </w:r>
      <w:r w:rsidR="000A10EA">
        <w:t>European Union</w:t>
      </w:r>
      <w:r w:rsidRPr="00097064">
        <w:t xml:space="preserve"> emphasizes that, to reach this finding, the Panel should have assessed whether the development risks and market risks, while different for the A350XWB and A380</w:t>
      </w:r>
      <w:r>
        <w:t xml:space="preserve"> projects</w:t>
      </w:r>
      <w:r w:rsidRPr="00097064">
        <w:t>, would nonetheless lead a market lender to demand the same project risk premium for bearing those different risks.</w:t>
      </w:r>
      <w:r w:rsidRPr="00097064">
        <w:rPr>
          <w:rStyle w:val="FootnoteReference"/>
        </w:rPr>
        <w:footnoteReference w:id="743"/>
      </w:r>
    </w:p>
    <w:p w:rsidR="0007161B" w:rsidRDefault="0007161B" w:rsidP="009E6402">
      <w:pPr>
        <w:pStyle w:val="BodyText"/>
      </w:pPr>
      <w:r>
        <w:t xml:space="preserve">We begin by highlighting that the Panel had the obligation to engage in a rigorous and critical analysis of all relevant evidence and arguments to determine whether the four </w:t>
      </w:r>
      <w:r w:rsidRPr="005F3709">
        <w:t xml:space="preserve">A350XWB LA/MSF </w:t>
      </w:r>
      <w:r>
        <w:t xml:space="preserve">contracts confer a benefit. In particular, the Panel was required to avoid </w:t>
      </w:r>
      <w:r w:rsidRPr="00A20B2C">
        <w:t xml:space="preserve">imprecision in </w:t>
      </w:r>
      <w:r>
        <w:t xml:space="preserve">its </w:t>
      </w:r>
      <w:r w:rsidRPr="00A20B2C">
        <w:t>selection of the project-specific risk premium</w:t>
      </w:r>
      <w:r>
        <w:t xml:space="preserve"> and to ensure that it did not make a false finding of benefit when there was none. Moreover,</w:t>
      </w:r>
      <w:r w:rsidRPr="00951917">
        <w:t xml:space="preserve"> </w:t>
      </w:r>
      <w:r>
        <w:t>in the present case, the market benchmark chosen for purposes of the benefit comparison was required to be "comparable</w:t>
      </w:r>
      <w:r w:rsidRPr="00C06575">
        <w:t xml:space="preserve">" </w:t>
      </w:r>
      <w:r>
        <w:t>to the A350XWB LA/MSF financing at issue.</w:t>
      </w:r>
      <w:r w:rsidRPr="00097064">
        <w:rPr>
          <w:rStyle w:val="FootnoteReference"/>
        </w:rPr>
        <w:footnoteReference w:id="744"/>
      </w:r>
    </w:p>
    <w:p w:rsidR="0007161B" w:rsidRDefault="0007161B" w:rsidP="009E6402">
      <w:pPr>
        <w:pStyle w:val="BodyText"/>
      </w:pPr>
      <w:r>
        <w:t xml:space="preserve">As noted above, </w:t>
      </w:r>
      <w:r w:rsidRPr="00097064">
        <w:t xml:space="preserve">the </w:t>
      </w:r>
      <w:r w:rsidR="000A10EA">
        <w:t>European Union</w:t>
      </w:r>
      <w:r>
        <w:t xml:space="preserve">'s </w:t>
      </w:r>
      <w:r w:rsidRPr="00097064">
        <w:t>challenge</w:t>
      </w:r>
      <w:r>
        <w:t>s</w:t>
      </w:r>
      <w:r w:rsidRPr="00097064">
        <w:t xml:space="preserve"> to the Panel's </w:t>
      </w:r>
      <w:r>
        <w:t>analysis</w:t>
      </w:r>
      <w:r w:rsidRPr="00097064">
        <w:t xml:space="preserve"> </w:t>
      </w:r>
      <w:r>
        <w:t>on</w:t>
      </w:r>
      <w:r w:rsidRPr="00097064">
        <w:t xml:space="preserve"> market risks</w:t>
      </w:r>
      <w:r>
        <w:t>,</w:t>
      </w:r>
      <w:r w:rsidRPr="00097064">
        <w:t xml:space="preserve"> </w:t>
      </w:r>
      <w:r>
        <w:t xml:space="preserve">and the comparison of development and market risks, </w:t>
      </w:r>
      <w:r w:rsidRPr="00097064">
        <w:t xml:space="preserve">share the same premise </w:t>
      </w:r>
      <w:r w:rsidR="00E90B11">
        <w:t>as</w:t>
      </w:r>
      <w:r w:rsidRPr="00097064">
        <w:t xml:space="preserve"> its earlier claim </w:t>
      </w:r>
      <w:r>
        <w:t>against</w:t>
      </w:r>
      <w:r w:rsidRPr="00097064">
        <w:t xml:space="preserve"> the</w:t>
      </w:r>
      <w:r>
        <w:t xml:space="preserve"> Panel's</w:t>
      </w:r>
      <w:r w:rsidRPr="00097064">
        <w:t xml:space="preserve"> findings concerning development risk.</w:t>
      </w:r>
      <w:r w:rsidRPr="00097064">
        <w:rPr>
          <w:rStyle w:val="FootnoteReference"/>
        </w:rPr>
        <w:footnoteReference w:id="745"/>
      </w:r>
      <w:r w:rsidRPr="00097064">
        <w:t xml:space="preserve"> </w:t>
      </w:r>
      <w:r>
        <w:t xml:space="preserve">The common thread in all these claims is the </w:t>
      </w:r>
      <w:r w:rsidR="000A10EA">
        <w:t>European Union</w:t>
      </w:r>
      <w:r>
        <w:t xml:space="preserve">'s contention </w:t>
      </w:r>
      <w:r w:rsidRPr="00097064">
        <w:t xml:space="preserve">that the Panel </w:t>
      </w:r>
      <w:r w:rsidRPr="00182CE5">
        <w:rPr>
          <w:i/>
        </w:rPr>
        <w:t>should have</w:t>
      </w:r>
      <w:r w:rsidRPr="00097064">
        <w:t xml:space="preserve"> analysed the risk at issue (development or market) </w:t>
      </w:r>
      <w:r w:rsidRPr="00EE6F87">
        <w:t>associated with the A350XWB and A380 projects</w:t>
      </w:r>
      <w:r w:rsidRPr="00EE6F87" w:rsidDel="00294B85">
        <w:t xml:space="preserve"> </w:t>
      </w:r>
      <w:r w:rsidRPr="00EE6F87">
        <w:t xml:space="preserve">from the </w:t>
      </w:r>
      <w:r w:rsidRPr="008E536D">
        <w:t xml:space="preserve">perspective of </w:t>
      </w:r>
      <w:r w:rsidRPr="00951917">
        <w:rPr>
          <w:i/>
        </w:rPr>
        <w:t>the price that a commercial lender would have charged to assume each of these risks</w:t>
      </w:r>
      <w:r w:rsidRPr="008E536D">
        <w:t xml:space="preserve">. In light of the similar nature of these claims of inconsistency with </w:t>
      </w:r>
      <w:r w:rsidR="000A10EA">
        <w:t>Article </w:t>
      </w:r>
      <w:r w:rsidRPr="008E536D">
        <w:t>11, we consider that our earlier reasoning is</w:t>
      </w:r>
      <w:r>
        <w:t xml:space="preserve"> also applicable in this context. </w:t>
      </w:r>
    </w:p>
    <w:p w:rsidR="0007161B" w:rsidRDefault="0007161B" w:rsidP="009E6402">
      <w:pPr>
        <w:pStyle w:val="BodyText"/>
      </w:pPr>
      <w:r>
        <w:t xml:space="preserve">As indicated above, </w:t>
      </w:r>
      <w:r w:rsidRPr="00AD360A">
        <w:t xml:space="preserve">the </w:t>
      </w:r>
      <w:r w:rsidRPr="000E02DE">
        <w:rPr>
          <w:i/>
        </w:rPr>
        <w:t xml:space="preserve">main issue </w:t>
      </w:r>
      <w:r w:rsidRPr="00AD360A">
        <w:t xml:space="preserve">before the Panel was </w:t>
      </w:r>
      <w:r w:rsidRPr="000E02DE">
        <w:rPr>
          <w:i/>
        </w:rPr>
        <w:t>whether a commercial lender would have imposed similar terms for assuming the risk</w:t>
      </w:r>
      <w:r w:rsidRPr="00097064">
        <w:t xml:space="preserve"> associated with </w:t>
      </w:r>
      <w:r w:rsidRPr="00E8363A">
        <w:rPr>
          <w:i/>
        </w:rPr>
        <w:t>each</w:t>
      </w:r>
      <w:r w:rsidRPr="00097064">
        <w:t xml:space="preserve"> </w:t>
      </w:r>
      <w:r w:rsidRPr="000E02DE">
        <w:rPr>
          <w:i/>
        </w:rPr>
        <w:t>project</w:t>
      </w:r>
      <w:r w:rsidR="00D15139">
        <w:t xml:space="preserve"> (i.e. the </w:t>
      </w:r>
      <w:r>
        <w:t xml:space="preserve">A350XWB and the A380). To the extent that it would have been possible to quantify in the present case </w:t>
      </w:r>
      <w:r w:rsidRPr="00097064">
        <w:t xml:space="preserve">what a commercial lender would have charged </w:t>
      </w:r>
      <w:r>
        <w:t xml:space="preserve">as a risk premium to assume </w:t>
      </w:r>
      <w:r w:rsidRPr="006E6C0F">
        <w:t>each of the individual categories of risk e</w:t>
      </w:r>
      <w:r>
        <w:t>xamined by the Panel, this type of analysis would have provided a more robust basis</w:t>
      </w:r>
      <w:r w:rsidRPr="006E6C0F">
        <w:t xml:space="preserve"> </w:t>
      </w:r>
      <w:r>
        <w:t xml:space="preserve">for the Panel's </w:t>
      </w:r>
      <w:r w:rsidRPr="00AD360A">
        <w:t>conclusions</w:t>
      </w:r>
      <w:r>
        <w:t xml:space="preserve">. However, the Panel was not required </w:t>
      </w:r>
      <w:r w:rsidRPr="00097064">
        <w:t xml:space="preserve">to determine what a commercial lender would have charged with respect to </w:t>
      </w:r>
      <w:r w:rsidRPr="00785932">
        <w:rPr>
          <w:i/>
        </w:rPr>
        <w:t>each of the individual categories of risk</w:t>
      </w:r>
      <w:r w:rsidRPr="00097064">
        <w:t xml:space="preserve"> </w:t>
      </w:r>
      <w:r>
        <w:t>that it examined as long as the risk profiles of the A350XWB and A380 projects were overall sufficiently similar</w:t>
      </w:r>
      <w:r w:rsidRPr="00097064">
        <w:t xml:space="preserve">. </w:t>
      </w:r>
    </w:p>
    <w:p w:rsidR="0007161B" w:rsidRDefault="0007161B" w:rsidP="009E6402">
      <w:pPr>
        <w:pStyle w:val="BodyText"/>
      </w:pPr>
      <w:r w:rsidRPr="00097064">
        <w:lastRenderedPageBreak/>
        <w:t>As in the conte</w:t>
      </w:r>
      <w:r>
        <w:t>x</w:t>
      </w:r>
      <w:r w:rsidRPr="00097064">
        <w:t xml:space="preserve">t of development risks, we highlight that, before the Panel, the </w:t>
      </w:r>
      <w:r w:rsidR="000A10EA">
        <w:t>European Union</w:t>
      </w:r>
      <w:r w:rsidRPr="00097064">
        <w:t xml:space="preserve"> does </w:t>
      </w:r>
      <w:r w:rsidRPr="00097064">
        <w:rPr>
          <w:i/>
        </w:rPr>
        <w:t>not</w:t>
      </w:r>
      <w:r w:rsidRPr="00097064">
        <w:t xml:space="preserve"> appear to have argued that the Panel was required to undertake an assessment of </w:t>
      </w:r>
      <w:r w:rsidRPr="00097064">
        <w:rPr>
          <w:i/>
        </w:rPr>
        <w:t>market</w:t>
      </w:r>
      <w:r w:rsidRPr="00097064">
        <w:t xml:space="preserve"> risks in terms of "the price that </w:t>
      </w:r>
      <w:r>
        <w:t xml:space="preserve">a </w:t>
      </w:r>
      <w:r w:rsidRPr="00097064">
        <w:t xml:space="preserve">commercial lender would have charged" to assume </w:t>
      </w:r>
      <w:r w:rsidRPr="00097064">
        <w:rPr>
          <w:i/>
        </w:rPr>
        <w:t>this</w:t>
      </w:r>
      <w:r w:rsidRPr="00097064">
        <w:t xml:space="preserve"> </w:t>
      </w:r>
      <w:r w:rsidRPr="00097064">
        <w:rPr>
          <w:i/>
        </w:rPr>
        <w:t>specific</w:t>
      </w:r>
      <w:r w:rsidRPr="00097064">
        <w:t xml:space="preserve"> type of risk.</w:t>
      </w:r>
      <w:r w:rsidR="00E90B11">
        <w:rPr>
          <w:rStyle w:val="FootnoteReference"/>
        </w:rPr>
        <w:footnoteReference w:id="746"/>
      </w:r>
      <w:r w:rsidRPr="00097064">
        <w:t xml:space="preserve"> </w:t>
      </w:r>
      <w:r>
        <w:t xml:space="preserve">Nor does </w:t>
      </w:r>
      <w:r w:rsidRPr="00097064">
        <w:t xml:space="preserve">the </w:t>
      </w:r>
      <w:r w:rsidR="000A10EA">
        <w:t>European Union</w:t>
      </w:r>
      <w:r w:rsidRPr="00097064">
        <w:t xml:space="preserve"> appear to </w:t>
      </w:r>
      <w:r>
        <w:t xml:space="preserve">have </w:t>
      </w:r>
      <w:r w:rsidRPr="00097064">
        <w:t>argue</w:t>
      </w:r>
      <w:r>
        <w:t>d</w:t>
      </w:r>
      <w:r w:rsidRPr="00097064">
        <w:t xml:space="preserve"> that the Panel was required to undertake the</w:t>
      </w:r>
      <w:r>
        <w:t xml:space="preserve"> </w:t>
      </w:r>
      <w:r w:rsidRPr="00A9006B">
        <w:rPr>
          <w:i/>
        </w:rPr>
        <w:t>comparison</w:t>
      </w:r>
      <w:r>
        <w:t xml:space="preserve"> of the</w:t>
      </w:r>
      <w:r w:rsidRPr="00097064">
        <w:t xml:space="preserve"> specific risks at issue in terms of "the </w:t>
      </w:r>
      <w:r w:rsidRPr="000166A5">
        <w:rPr>
          <w:i/>
        </w:rPr>
        <w:t xml:space="preserve">price that </w:t>
      </w:r>
      <w:r>
        <w:rPr>
          <w:i/>
        </w:rPr>
        <w:t xml:space="preserve">a </w:t>
      </w:r>
      <w:r w:rsidRPr="000166A5">
        <w:rPr>
          <w:i/>
        </w:rPr>
        <w:t>commercial lender would have charged</w:t>
      </w:r>
      <w:r w:rsidRPr="00097064">
        <w:t>".</w:t>
      </w:r>
      <w:r w:rsidRPr="00097064">
        <w:rPr>
          <w:rStyle w:val="FootnoteReference"/>
        </w:rPr>
        <w:footnoteReference w:id="747"/>
      </w:r>
      <w:r>
        <w:t xml:space="preserve"> </w:t>
      </w:r>
      <w:r w:rsidRPr="00097064">
        <w:t xml:space="preserve">Rather, the </w:t>
      </w:r>
      <w:r w:rsidR="000A10EA">
        <w:t>European Union</w:t>
      </w:r>
      <w:r w:rsidRPr="00097064">
        <w:t>'s argumentation more broadly addressed the differences in the various risks at issue, including</w:t>
      </w:r>
      <w:r>
        <w:t xml:space="preserve"> development and</w:t>
      </w:r>
      <w:r w:rsidRPr="00097064">
        <w:t xml:space="preserve"> market risks, </w:t>
      </w:r>
      <w:r>
        <w:t>to demonstrate</w:t>
      </w:r>
      <w:r w:rsidRPr="00097064">
        <w:t xml:space="preserve"> that the </w:t>
      </w:r>
      <w:r w:rsidR="000A10EA">
        <w:t>United States</w:t>
      </w:r>
      <w:r w:rsidRPr="00097064">
        <w:t xml:space="preserve"> had failed to show that </w:t>
      </w:r>
      <w:r w:rsidRPr="00EE6F87">
        <w:t>the risks of the A350XWB project</w:t>
      </w:r>
      <w:r w:rsidRPr="00EE6F87" w:rsidDel="00294B85">
        <w:t xml:space="preserve"> </w:t>
      </w:r>
      <w:r>
        <w:t>were</w:t>
      </w:r>
      <w:r w:rsidRPr="00EE6F87">
        <w:t xml:space="preserve"> "likely" to be higher than those of the </w:t>
      </w:r>
      <w:r>
        <w:t>A380 </w:t>
      </w:r>
      <w:r w:rsidRPr="00EE6F87">
        <w:t>project.</w:t>
      </w:r>
    </w:p>
    <w:p w:rsidR="0007161B" w:rsidRDefault="0007161B" w:rsidP="009E6402">
      <w:pPr>
        <w:pStyle w:val="BodyText"/>
      </w:pPr>
      <w:r>
        <w:t xml:space="preserve">In any event, we note that, in assessing programme risk, the Panel provided a detailed examination of the parties' arguments and evidence regarding </w:t>
      </w:r>
      <w:r w:rsidRPr="002F5CA1">
        <w:t>development</w:t>
      </w:r>
      <w:r>
        <w:t xml:space="preserve"> risk</w:t>
      </w:r>
      <w:r w:rsidRPr="002F5CA1">
        <w:t xml:space="preserve"> </w:t>
      </w:r>
      <w:r>
        <w:t xml:space="preserve">and market risk. </w:t>
      </w:r>
      <w:r w:rsidRPr="006E52BA">
        <w:t>As noted above</w:t>
      </w:r>
      <w:r w:rsidRPr="006E52BA">
        <w:rPr>
          <w:rStyle w:val="FootnoteReference"/>
          <w:szCs w:val="18"/>
        </w:rPr>
        <w:footnoteReference w:id="748"/>
      </w:r>
      <w:r w:rsidRPr="006E52BA">
        <w:t xml:space="preserve">, </w:t>
      </w:r>
      <w:r w:rsidRPr="006E52BA">
        <w:rPr>
          <w:szCs w:val="18"/>
        </w:rPr>
        <w:t>the Panel conducted a comparative assessment of the development risks</w:t>
      </w:r>
      <w:r w:rsidRPr="00FF7F34">
        <w:rPr>
          <w:szCs w:val="18"/>
        </w:rPr>
        <w:t xml:space="preserve"> associated with the A350XWB and A380 projects, which included examining the use of new materials and the extent to which such use would have an impact on the development of each aircraft, and </w:t>
      </w:r>
      <w:r>
        <w:rPr>
          <w:szCs w:val="18"/>
        </w:rPr>
        <w:t xml:space="preserve">R&amp;D </w:t>
      </w:r>
      <w:r w:rsidRPr="00FF7F34">
        <w:rPr>
          <w:szCs w:val="18"/>
        </w:rPr>
        <w:t xml:space="preserve">costs. The Panel noted, in particular, that the A350XWB would involve </w:t>
      </w:r>
      <w:r>
        <w:t>higher R&amp;D costs, and that the new design and use of new materials would necessitate the development of specialized equipment, expertise, and testing.</w:t>
      </w:r>
      <w:r>
        <w:rPr>
          <w:rStyle w:val="FootnoteReference"/>
        </w:rPr>
        <w:footnoteReference w:id="749"/>
      </w:r>
      <w:r w:rsidRPr="00FF7F34">
        <w:rPr>
          <w:szCs w:val="18"/>
        </w:rPr>
        <w:t xml:space="preserve"> On the basis of this examination</w:t>
      </w:r>
      <w:r>
        <w:t>,</w:t>
      </w:r>
      <w:r w:rsidRPr="00FF7F34">
        <w:rPr>
          <w:szCs w:val="18"/>
        </w:rPr>
        <w:t xml:space="preserve"> </w:t>
      </w:r>
      <w:r w:rsidRPr="00AD360A">
        <w:t>the Panel found that "the A350XWB involved</w:t>
      </w:r>
      <w:r w:rsidRPr="00097064">
        <w:t xml:space="preserve"> significant novelty, greate</w:t>
      </w:r>
      <w:r w:rsidR="00D15139">
        <w:t>r cost, greater investment, and </w:t>
      </w:r>
      <w:r w:rsidRPr="00097064">
        <w:t xml:space="preserve">therefore technology-related development risks that were </w:t>
      </w:r>
      <w:r w:rsidRPr="00FF7F34">
        <w:rPr>
          <w:i/>
        </w:rPr>
        <w:t>at least as high or higher</w:t>
      </w:r>
      <w:r w:rsidRPr="00097064">
        <w:t xml:space="preserve"> than the risk involved with the technology involved in the development of the A380</w:t>
      </w:r>
      <w:r>
        <w:t>.</w:t>
      </w:r>
      <w:r w:rsidRPr="00097064">
        <w:t>"</w:t>
      </w:r>
      <w:r w:rsidRPr="00097064">
        <w:rPr>
          <w:rStyle w:val="FootnoteReference"/>
        </w:rPr>
        <w:footnoteReference w:id="750"/>
      </w:r>
      <w:r>
        <w:t xml:space="preserve"> </w:t>
      </w:r>
    </w:p>
    <w:p w:rsidR="0007161B" w:rsidRDefault="0007161B" w:rsidP="009E6402">
      <w:pPr>
        <w:pStyle w:val="BodyText"/>
      </w:pPr>
      <w:r>
        <w:t xml:space="preserve">With regard to market risk, the Panel also conducted a comparative assessment of the market risk associated with the A350XWB and A380 projects. The Panel began its analysis with the risk related to market forecasts. In this context, the </w:t>
      </w:r>
      <w:r w:rsidR="000A10EA">
        <w:t>European Union</w:t>
      </w:r>
      <w:r>
        <w:t xml:space="preserve"> argued before the Panel that the aerospace industry has considerably more experience in forecasting demand for the middle to large wide-body aircraft market segment than for the </w:t>
      </w:r>
      <w:r w:rsidR="002E0F1D">
        <w:t>VLA</w:t>
      </w:r>
      <w:r>
        <w:t xml:space="preserve"> market.</w:t>
      </w:r>
      <w:r>
        <w:rPr>
          <w:rStyle w:val="FootnoteReference"/>
        </w:rPr>
        <w:footnoteReference w:id="751"/>
      </w:r>
      <w:r>
        <w:t xml:space="preserve"> In light of this argument, the Panel decided to compare the market predictions for the A380 and the A350XWB at the time of the respective LA/MSF contracts. After examining considerable evidence, the Panel noted that, at the time of the A350XWB LA/MSF contracts, there were significant predictions that client airlines, and therefore the market, would be affected by a negative financial and economic environment.</w:t>
      </w:r>
      <w:r>
        <w:rPr>
          <w:rStyle w:val="FootnoteReference"/>
        </w:rPr>
        <w:footnoteReference w:id="752"/>
      </w:r>
      <w:r w:rsidR="00A44458">
        <w:t xml:space="preserve"> The </w:t>
      </w:r>
      <w:r>
        <w:t xml:space="preserve">Panel additionally found that downward trends in demand </w:t>
      </w:r>
      <w:r w:rsidR="00A44458">
        <w:t>were also evident when the A380 </w:t>
      </w:r>
      <w:r>
        <w:t>LA/MSF contracts were being concluded.</w:t>
      </w:r>
      <w:r>
        <w:rPr>
          <w:rStyle w:val="FootnoteReference"/>
        </w:rPr>
        <w:footnoteReference w:id="753"/>
      </w:r>
      <w:r>
        <w:t xml:space="preserve"> In comparing the two projects, the Panel observed that "the economic environment appears to have been taken into account in predictions of market demand at the time the A380 LA/MSF contracts were concluded."</w:t>
      </w:r>
      <w:r>
        <w:rPr>
          <w:rStyle w:val="FootnoteReference"/>
        </w:rPr>
        <w:footnoteReference w:id="754"/>
      </w:r>
      <w:r>
        <w:t xml:space="preserve"> By contrast, the Panel found that, while the A350XWB market demand predictions were likely to be subject to a negative economic environment that would affect Airbus' clients, that negative economic environment was </w:t>
      </w:r>
      <w:r w:rsidRPr="002E6B88">
        <w:rPr>
          <w:i/>
        </w:rPr>
        <w:t>not</w:t>
      </w:r>
      <w:r>
        <w:t xml:space="preserve"> taken into account in the market demand predictions on which the A350XWB LA/MSF contracts appear to have been based.</w:t>
      </w:r>
      <w:r>
        <w:rPr>
          <w:rStyle w:val="FootnoteReference"/>
        </w:rPr>
        <w:footnoteReference w:id="755"/>
      </w:r>
      <w:r>
        <w:t xml:space="preserve"> The Panel specified that demand predictions used in the </w:t>
      </w:r>
      <w:r w:rsidRPr="00343143">
        <w:t xml:space="preserve">A350XWB </w:t>
      </w:r>
      <w:r w:rsidR="007D1D27">
        <w:t>B</w:t>
      </w:r>
      <w:r w:rsidRPr="00343143">
        <w:t xml:space="preserve">usiness </w:t>
      </w:r>
      <w:r w:rsidR="007D1D27">
        <w:t>C</w:t>
      </w:r>
      <w:r w:rsidRPr="00343143">
        <w:t>ase</w:t>
      </w:r>
      <w:r>
        <w:t xml:space="preserve"> appear to be those prepared for the industrial launch of the A350XWB in</w:t>
      </w:r>
      <w:r w:rsidR="000A10EA">
        <w:t> 20</w:t>
      </w:r>
      <w:r>
        <w:t>06 – i.e. predictions that predate the</w:t>
      </w:r>
      <w:r w:rsidR="000A10EA">
        <w:t> 20</w:t>
      </w:r>
      <w:r>
        <w:t>07-2009 financial and economic crisis.</w:t>
      </w:r>
      <w:r>
        <w:rPr>
          <w:rStyle w:val="FootnoteReference"/>
        </w:rPr>
        <w:footnoteReference w:id="756"/>
      </w:r>
      <w:r>
        <w:t xml:space="preserve"> The Panel considered that a market lender would have taken this into account in establishing a market lending rate.</w:t>
      </w:r>
    </w:p>
    <w:p w:rsidR="0007161B" w:rsidRDefault="0007161B" w:rsidP="009E6402">
      <w:pPr>
        <w:pStyle w:val="BodyText"/>
      </w:pPr>
      <w:r>
        <w:t xml:space="preserve">The Panel then turned to examine the risk related to conditions of competition within the relevant market segment. In this context, the </w:t>
      </w:r>
      <w:r w:rsidR="000A10EA">
        <w:t>European Union</w:t>
      </w:r>
      <w:r>
        <w:t xml:space="preserve"> argued that conditions of </w:t>
      </w:r>
      <w:r>
        <w:lastRenderedPageBreak/>
        <w:t>competition between Airbus and Boeing were more favourable to Airbus for the A350XWB project than for the A380 project.</w:t>
      </w:r>
      <w:r>
        <w:rPr>
          <w:rStyle w:val="FootnoteReference"/>
        </w:rPr>
        <w:footnoteReference w:id="757"/>
      </w:r>
      <w:r>
        <w:t xml:space="preserve"> The Panel was not persuaded by the </w:t>
      </w:r>
      <w:r w:rsidR="000A10EA">
        <w:t>European Union</w:t>
      </w:r>
      <w:r w:rsidR="00A44458">
        <w:t>'s argument. On </w:t>
      </w:r>
      <w:r>
        <w:t>the one hand, the Panel observed that "{t}he A380 was far larger than any existing aircraft, and its clearest competitor was the Boeing 747, a model near the end of its programme life which would likely need to be redesigned in order to improve its competitiveness."</w:t>
      </w:r>
      <w:r>
        <w:rPr>
          <w:rStyle w:val="FootnoteReference"/>
        </w:rPr>
        <w:footnoteReference w:id="758"/>
      </w:r>
      <w:r>
        <w:t xml:space="preserve"> On the other hand, the Panel pointed out that the A350XWB family was launched to compete directly in a market segment that already comprised several modern, successful competitor models: the already successful Boeing 777 and the new 787, as well as Airbus' own existing twin-aisle aircraft, the A330 and A340.</w:t>
      </w:r>
      <w:r>
        <w:rPr>
          <w:rStyle w:val="FootnoteReference"/>
        </w:rPr>
        <w:footnoteReference w:id="759"/>
      </w:r>
      <w:r>
        <w:t xml:space="preserve"> Therefore, the Panel was of the view that "the existence of several modern, already successful competitor aircraft in the A350XWB's market segment would mean that, even if market demand forecasts were accurate, Airbus would have more difficulty achieving its hoped-for market share in the case of the A350XWB than … in the case of the A380."</w:t>
      </w:r>
      <w:r>
        <w:rPr>
          <w:rStyle w:val="FootnoteReference"/>
        </w:rPr>
        <w:footnoteReference w:id="760"/>
      </w:r>
      <w:r>
        <w:t xml:space="preserve"> Moreover, the Panel added that "any A350XWB </w:t>
      </w:r>
      <w:r w:rsidRPr="00934FEA">
        <w:rPr>
          <w:i/>
        </w:rPr>
        <w:t>development</w:t>
      </w:r>
      <w:r>
        <w:t xml:space="preserve"> risks would have had serious consequences in relation to market demand in view of the competition in the segment."</w:t>
      </w:r>
      <w:r>
        <w:rPr>
          <w:rStyle w:val="FootnoteReference"/>
        </w:rPr>
        <w:footnoteReference w:id="761"/>
      </w:r>
      <w:r>
        <w:t xml:space="preserve"> Therefore, for the Panel, "at the time of the conclusion of the respective LA/MSF contracts, this competition was a factor that would have increased the market risks for the A350XWB relative to the A380's market risks."</w:t>
      </w:r>
      <w:r>
        <w:rPr>
          <w:rStyle w:val="FootnoteReference"/>
        </w:rPr>
        <w:footnoteReference w:id="762"/>
      </w:r>
    </w:p>
    <w:p w:rsidR="0007161B" w:rsidRPr="002A4CC3" w:rsidRDefault="0007161B" w:rsidP="009E6402">
      <w:pPr>
        <w:pStyle w:val="BodyText"/>
      </w:pPr>
      <w:r>
        <w:rPr>
          <w:szCs w:val="18"/>
        </w:rPr>
        <w:t>On this basis, the Panel reached the following conclusion:</w:t>
      </w:r>
    </w:p>
    <w:p w:rsidR="0007161B" w:rsidRDefault="0007161B" w:rsidP="00206326">
      <w:pPr>
        <w:pStyle w:val="Quotation"/>
      </w:pPr>
      <w:r>
        <w:t>{T}he A380 and A350XWB experienced market risks that were of a different nature. At the relevant points in time, the A380's market success or failure rested in large part on the correct identification of the existence and size of the market segment, whereas the A350XWB's success or failure would depend upon how it would be received by customers in a market segment that was already relatively well known and served by existing aircraft, including the 787. Moreover, the A350XWB would need to be competitive not only in terms of innovation but, crucially, in terms of timing. Competition within the sector would mean that the consequences of any delays could be very detrimental to market success. For these reasons, we consider that while the "market" or "marketing" risks experienced by the A380 and A350XWB were different in nature, they were overall comparable in importance.</w:t>
      </w:r>
      <w:r>
        <w:rPr>
          <w:rStyle w:val="FootnoteReference"/>
        </w:rPr>
        <w:footnoteReference w:id="763"/>
      </w:r>
    </w:p>
    <w:p w:rsidR="0007161B" w:rsidRDefault="0007161B" w:rsidP="009E6402">
      <w:pPr>
        <w:pStyle w:val="BodyText"/>
      </w:pPr>
      <w:r w:rsidRPr="002A4CC3">
        <w:t xml:space="preserve">In light of the above, we consider that the Panel had a sufficient basis for its finding that </w:t>
      </w:r>
      <w:r w:rsidRPr="00EE6F87">
        <w:t>the A350XWB project involved market risks</w:t>
      </w:r>
      <w:r w:rsidRPr="00097064">
        <w:t xml:space="preserve"> that, while different in nature</w:t>
      </w:r>
      <w:r>
        <w:t xml:space="preserve"> from those of the A380 project</w:t>
      </w:r>
      <w:r w:rsidRPr="00097064">
        <w:t>, were "overall comparable in importance".</w:t>
      </w:r>
      <w:r w:rsidRPr="00097064">
        <w:rPr>
          <w:rStyle w:val="FootnoteReference"/>
        </w:rPr>
        <w:footnoteReference w:id="764"/>
      </w:r>
      <w:r w:rsidRPr="00097064">
        <w:t xml:space="preserve"> </w:t>
      </w:r>
      <w:r>
        <w:t xml:space="preserve">Thus, </w:t>
      </w:r>
      <w:r w:rsidRPr="00097064">
        <w:t xml:space="preserve">the </w:t>
      </w:r>
      <w:r w:rsidR="000A10EA">
        <w:t>European Union</w:t>
      </w:r>
      <w:r>
        <w:t xml:space="preserve"> has not established that the </w:t>
      </w:r>
      <w:r w:rsidRPr="00097064">
        <w:t xml:space="preserve">Panel acted inconsistently with </w:t>
      </w:r>
      <w:r w:rsidR="000A10EA">
        <w:t>Article </w:t>
      </w:r>
      <w:r w:rsidRPr="00097064">
        <w:t>11 of the DSU because there is</w:t>
      </w:r>
      <w:r>
        <w:t xml:space="preserve"> allegedly</w:t>
      </w:r>
      <w:r w:rsidR="00E05F1C">
        <w:t xml:space="preserve"> "no </w:t>
      </w:r>
      <w:r w:rsidRPr="00097064">
        <w:t>evidence to support its finding that a commercial lender would price similarly the differences in development risks and market risks posed by each project".</w:t>
      </w:r>
      <w:r w:rsidRPr="00097064">
        <w:rPr>
          <w:rStyle w:val="FootnoteReference"/>
        </w:rPr>
        <w:footnoteReference w:id="765"/>
      </w:r>
      <w:r>
        <w:t xml:space="preserve"> </w:t>
      </w:r>
      <w:r w:rsidRPr="00097064">
        <w:t xml:space="preserve">Consequently, we </w:t>
      </w:r>
      <w:r>
        <w:t xml:space="preserve">disagree </w:t>
      </w:r>
      <w:r w:rsidRPr="00097064">
        <w:t xml:space="preserve">with </w:t>
      </w:r>
      <w:r>
        <w:t xml:space="preserve">the </w:t>
      </w:r>
      <w:r w:rsidR="000A10EA">
        <w:t>European Union</w:t>
      </w:r>
      <w:r>
        <w:t xml:space="preserve"> </w:t>
      </w:r>
      <w:r w:rsidRPr="00097064">
        <w:t xml:space="preserve">that the Panel acted inconsistently with </w:t>
      </w:r>
      <w:r w:rsidR="000A10EA">
        <w:t>Article </w:t>
      </w:r>
      <w:r w:rsidRPr="00097064">
        <w:t>11 of the DSU</w:t>
      </w:r>
      <w:r>
        <w:t xml:space="preserve"> in its assessment of market risk or in its comparison of development and market risks</w:t>
      </w:r>
      <w:r w:rsidRPr="00097064">
        <w:t>.</w:t>
      </w:r>
    </w:p>
    <w:p w:rsidR="0007161B" w:rsidRDefault="0007161B" w:rsidP="009E6402">
      <w:pPr>
        <w:pStyle w:val="Heading6"/>
      </w:pPr>
      <w:bookmarkStart w:id="96" w:name="_Toc514059235"/>
      <w:r>
        <w:t>Overall conclusion on programme risk</w:t>
      </w:r>
      <w:bookmarkEnd w:id="96"/>
    </w:p>
    <w:p w:rsidR="0007161B" w:rsidRDefault="0007161B" w:rsidP="009E6402">
      <w:pPr>
        <w:pStyle w:val="BodyText"/>
      </w:pPr>
      <w:r w:rsidRPr="00097064">
        <w:t xml:space="preserve">The </w:t>
      </w:r>
      <w:r w:rsidR="000A10EA">
        <w:t>European Union</w:t>
      </w:r>
      <w:r w:rsidRPr="00097064">
        <w:t xml:space="preserve"> </w:t>
      </w:r>
      <w:r>
        <w:t xml:space="preserve">has raised several </w:t>
      </w:r>
      <w:r w:rsidRPr="00DA525D">
        <w:t xml:space="preserve">lines of argumentation </w:t>
      </w:r>
      <w:r>
        <w:t xml:space="preserve">under </w:t>
      </w:r>
      <w:r w:rsidR="000A10EA">
        <w:t>Article </w:t>
      </w:r>
      <w:r>
        <w:t xml:space="preserve">11 of the DSU </w:t>
      </w:r>
      <w:r w:rsidRPr="00DA525D">
        <w:t>challenging the Panel's analysis of programme risk.</w:t>
      </w:r>
      <w:r w:rsidRPr="006D42FC">
        <w:t xml:space="preserve"> </w:t>
      </w:r>
      <w:r>
        <w:t xml:space="preserve">In particular, the </w:t>
      </w:r>
      <w:r w:rsidR="000A10EA">
        <w:t>European Union</w:t>
      </w:r>
      <w:r>
        <w:t xml:space="preserve"> has criticized </w:t>
      </w:r>
      <w:r w:rsidRPr="00AD360A">
        <w:t>the analysis of development risk</w:t>
      </w:r>
      <w:r>
        <w:t>,</w:t>
      </w:r>
      <w:r w:rsidRPr="00AD360A">
        <w:t xml:space="preserve"> the analysis of market risk</w:t>
      </w:r>
      <w:r>
        <w:t>,</w:t>
      </w:r>
      <w:r w:rsidRPr="00AD360A">
        <w:t xml:space="preserve"> and the comparison of the development and market risks posed by the A350XWB and A380 projects</w:t>
      </w:r>
      <w:r>
        <w:t xml:space="preserve">. </w:t>
      </w:r>
    </w:p>
    <w:p w:rsidR="0007161B" w:rsidRDefault="0007161B" w:rsidP="009E6402">
      <w:pPr>
        <w:pStyle w:val="BodyText"/>
      </w:pPr>
      <w:r>
        <w:lastRenderedPageBreak/>
        <w:t xml:space="preserve">The overarching criticism raised by the </w:t>
      </w:r>
      <w:r w:rsidR="000A10EA">
        <w:t>European Union</w:t>
      </w:r>
      <w:r>
        <w:t xml:space="preserve"> relates to the Panel's</w:t>
      </w:r>
      <w:r w:rsidR="002A79B9">
        <w:t xml:space="preserve"> alleged</w:t>
      </w:r>
      <w:r>
        <w:t xml:space="preserve"> failure to conduct the examination of development risk, market risk, and the comparison of development and market risks </w:t>
      </w:r>
      <w:r w:rsidRPr="00097064">
        <w:t xml:space="preserve">in terms of the price that would </w:t>
      </w:r>
      <w:r>
        <w:t xml:space="preserve">have </w:t>
      </w:r>
      <w:r w:rsidRPr="00097064">
        <w:t>be</w:t>
      </w:r>
      <w:r>
        <w:t>en</w:t>
      </w:r>
      <w:r w:rsidRPr="00097064">
        <w:t xml:space="preserve"> demanded by a commercial lender as a risk premium to </w:t>
      </w:r>
      <w:r>
        <w:t>assume</w:t>
      </w:r>
      <w:r w:rsidRPr="00097064">
        <w:t xml:space="preserve"> each of the</w:t>
      </w:r>
      <w:r>
        <w:t>se</w:t>
      </w:r>
      <w:r w:rsidRPr="00097064">
        <w:t xml:space="preserve"> </w:t>
      </w:r>
      <w:r>
        <w:t>types of</w:t>
      </w:r>
      <w:r w:rsidRPr="00097064">
        <w:t xml:space="preserve"> risks</w:t>
      </w:r>
      <w:r>
        <w:t>. W</w:t>
      </w:r>
      <w:r w:rsidRPr="00AD360A">
        <w:t xml:space="preserve">hile we </w:t>
      </w:r>
      <w:r>
        <w:t xml:space="preserve">agree </w:t>
      </w:r>
      <w:r w:rsidRPr="00AD360A">
        <w:t xml:space="preserve">that the </w:t>
      </w:r>
      <w:r w:rsidRPr="00B3243D">
        <w:rPr>
          <w:i/>
        </w:rPr>
        <w:t xml:space="preserve">main issue </w:t>
      </w:r>
      <w:r w:rsidRPr="00AD360A">
        <w:t xml:space="preserve">before the Panel was </w:t>
      </w:r>
      <w:r w:rsidRPr="00B3243D">
        <w:rPr>
          <w:i/>
        </w:rPr>
        <w:t>whether a commercial lender would have imposed similar terms for assuming the risk</w:t>
      </w:r>
      <w:r w:rsidRPr="00097064">
        <w:t xml:space="preserve"> associated with </w:t>
      </w:r>
      <w:r w:rsidRPr="00E8363A">
        <w:rPr>
          <w:i/>
        </w:rPr>
        <w:t>each</w:t>
      </w:r>
      <w:r w:rsidRPr="00097064">
        <w:t xml:space="preserve"> </w:t>
      </w:r>
      <w:r w:rsidRPr="00B3243D">
        <w:rPr>
          <w:i/>
        </w:rPr>
        <w:t>project</w:t>
      </w:r>
      <w:r>
        <w:t xml:space="preserve"> (i.e. the A350XWB and the A380)</w:t>
      </w:r>
      <w:r w:rsidRPr="00097064">
        <w:t xml:space="preserve">, we </w:t>
      </w:r>
      <w:r>
        <w:t xml:space="preserve">do </w:t>
      </w:r>
      <w:r w:rsidRPr="00097064">
        <w:t>not consider that the Panel was required to</w:t>
      </w:r>
      <w:r>
        <w:t xml:space="preserve"> reach a "simil</w:t>
      </w:r>
      <w:r w:rsidR="00E90B11">
        <w:t xml:space="preserve">arity finding" on the basis of </w:t>
      </w:r>
      <w:r>
        <w:t xml:space="preserve">what </w:t>
      </w:r>
      <w:r w:rsidR="00E90B11">
        <w:t>"</w:t>
      </w:r>
      <w:r w:rsidRPr="00AD360A">
        <w:t>a</w:t>
      </w:r>
      <w:r w:rsidR="00E90B11">
        <w:t> </w:t>
      </w:r>
      <w:r w:rsidRPr="00AD360A">
        <w:t>commercial lender</w:t>
      </w:r>
      <w:r w:rsidRPr="00097064">
        <w:t xml:space="preserve"> would have</w:t>
      </w:r>
      <w:r>
        <w:t xml:space="preserve"> charged"</w:t>
      </w:r>
      <w:r w:rsidRPr="00097064">
        <w:t xml:space="preserve"> with respect to </w:t>
      </w:r>
      <w:r w:rsidRPr="00B3243D">
        <w:rPr>
          <w:i/>
        </w:rPr>
        <w:t>each of the individual categories of risk</w:t>
      </w:r>
      <w:r w:rsidRPr="00097064">
        <w:t xml:space="preserve"> that the parties </w:t>
      </w:r>
      <w:r>
        <w:t xml:space="preserve">had </w:t>
      </w:r>
      <w:r w:rsidRPr="00097064">
        <w:t>presented</w:t>
      </w:r>
      <w:r>
        <w:t xml:space="preserve"> as long as the risk profiles of the A350XWB and A380 projects were overall sufficiently similar</w:t>
      </w:r>
      <w:r w:rsidRPr="00097064">
        <w:t xml:space="preserve">. </w:t>
      </w:r>
      <w:r>
        <w:t>Therefore</w:t>
      </w:r>
      <w:r w:rsidRPr="00AD360A">
        <w:t>,</w:t>
      </w:r>
      <w:r>
        <w:t xml:space="preserve"> we do not consider that </w:t>
      </w:r>
      <w:r w:rsidRPr="00AD360A">
        <w:t xml:space="preserve">the Panel was required to conduct </w:t>
      </w:r>
      <w:r>
        <w:t xml:space="preserve">the kind of analysis suggested by the </w:t>
      </w:r>
      <w:r w:rsidR="000A10EA">
        <w:t>European Union</w:t>
      </w:r>
      <w:r>
        <w:t>.</w:t>
      </w:r>
    </w:p>
    <w:p w:rsidR="0007161B" w:rsidRDefault="0007161B" w:rsidP="009E6402">
      <w:pPr>
        <w:pStyle w:val="BodyText"/>
      </w:pPr>
      <w:r>
        <w:t xml:space="preserve">The </w:t>
      </w:r>
      <w:r w:rsidR="000A10EA">
        <w:t>European Union</w:t>
      </w:r>
      <w:r>
        <w:t xml:space="preserve"> has raised two additional lines of argumentation in relation to the Panel's analysis of development risk. First, the </w:t>
      </w:r>
      <w:r w:rsidR="000A10EA">
        <w:t>European Union</w:t>
      </w:r>
      <w:r>
        <w:t xml:space="preserve"> maintains that</w:t>
      </w:r>
      <w:r w:rsidRPr="00AD360A">
        <w:t xml:space="preserve">, in finding that the development risks posed by the A380 and A350XWB projects were sufficiently similar, the Panel acted inconsistently with </w:t>
      </w:r>
      <w:r w:rsidR="000A10EA">
        <w:t>Article </w:t>
      </w:r>
      <w:r w:rsidRPr="00AD360A">
        <w:t xml:space="preserve">11 of the DSU because </w:t>
      </w:r>
      <w:r>
        <w:t>this finding</w:t>
      </w:r>
      <w:r w:rsidRPr="00AD360A">
        <w:t xml:space="preserve"> </w:t>
      </w:r>
      <w:r>
        <w:t>was</w:t>
      </w:r>
      <w:r w:rsidRPr="00AD360A">
        <w:t xml:space="preserve"> based on internally inconsistent reasoning.</w:t>
      </w:r>
      <w:r>
        <w:t xml:space="preserve"> Given that the Panel disagreed with the natu</w:t>
      </w:r>
      <w:r w:rsidR="00E90B11">
        <w:t>re and extent of the risk</w:t>
      </w:r>
      <w:r w:rsidR="00E90B11">
        <w:noBreakHyphen/>
      </w:r>
      <w:r>
        <w:t xml:space="preserve">mitigating factors identified by the </w:t>
      </w:r>
      <w:r w:rsidR="000A10EA">
        <w:t>European Union</w:t>
      </w:r>
      <w:r>
        <w:t xml:space="preserve">, we see </w:t>
      </w:r>
      <w:r w:rsidRPr="00064564">
        <w:rPr>
          <w:i/>
        </w:rPr>
        <w:t>no incoherency</w:t>
      </w:r>
      <w:r>
        <w:t xml:space="preserve"> in the Panel's initial assessment of the development risks associated with the two projects, its subsequent analysis of risk mitigation factors and its final conclusion that "the development risks associated with the A350XWB were </w:t>
      </w:r>
      <w:r w:rsidRPr="00064564">
        <w:rPr>
          <w:i/>
        </w:rPr>
        <w:t>at least as high as, or sufficiently similar to</w:t>
      </w:r>
      <w:r>
        <w:t>, those associated with the A380."</w:t>
      </w:r>
      <w:r>
        <w:rPr>
          <w:rStyle w:val="FootnoteReference"/>
        </w:rPr>
        <w:footnoteReference w:id="766"/>
      </w:r>
      <w:r>
        <w:t xml:space="preserve"> In addition, the </w:t>
      </w:r>
      <w:r w:rsidR="000A10EA">
        <w:t>European Union</w:t>
      </w:r>
      <w:r>
        <w:t xml:space="preserve"> has argued </w:t>
      </w:r>
      <w:r w:rsidR="00E90B11">
        <w:t xml:space="preserve">that </w:t>
      </w:r>
      <w:r>
        <w:t>the Panel's</w:t>
      </w:r>
      <w:r w:rsidRPr="00097064">
        <w:t xml:space="preserve"> benefit findings and its subsequent adverse effects findings</w:t>
      </w:r>
      <w:r>
        <w:t xml:space="preserve"> </w:t>
      </w:r>
      <w:r w:rsidRPr="00097064">
        <w:t>reveal a lack of even-handedness on the part of the Panel</w:t>
      </w:r>
      <w:r>
        <w:t xml:space="preserve"> contrary to </w:t>
      </w:r>
      <w:r w:rsidR="000A10EA">
        <w:t>Article </w:t>
      </w:r>
      <w:r w:rsidRPr="00097064">
        <w:t xml:space="preserve">11 of the DSU. </w:t>
      </w:r>
      <w:r>
        <w:t>In particular, t</w:t>
      </w:r>
      <w:r w:rsidRPr="00097064">
        <w:t xml:space="preserve">he </w:t>
      </w:r>
      <w:r w:rsidR="000A10EA">
        <w:t>European Union</w:t>
      </w:r>
      <w:r w:rsidRPr="00097064">
        <w:t xml:space="preserve"> </w:t>
      </w:r>
      <w:r>
        <w:t>asserts</w:t>
      </w:r>
      <w:r w:rsidRPr="00097064">
        <w:t xml:space="preserve"> that</w:t>
      </w:r>
      <w:r>
        <w:t xml:space="preserve">, </w:t>
      </w:r>
      <w:r w:rsidRPr="00097064">
        <w:t>in the "benefit" section</w:t>
      </w:r>
      <w:r>
        <w:t xml:space="preserve"> of its Report</w:t>
      </w:r>
      <w:r w:rsidRPr="00097064">
        <w:t xml:space="preserve">, the Panel </w:t>
      </w:r>
      <w:r>
        <w:t>highlighted</w:t>
      </w:r>
      <w:r w:rsidRPr="00AD360A">
        <w:t xml:space="preserve"> the </w:t>
      </w:r>
      <w:r w:rsidRPr="00064564">
        <w:rPr>
          <w:i/>
        </w:rPr>
        <w:t>novelty</w:t>
      </w:r>
      <w:r w:rsidRPr="00AD360A">
        <w:t xml:space="preserve"> of the A350XWB project, whereas, in the "</w:t>
      </w:r>
      <w:r>
        <w:t xml:space="preserve">adverse </w:t>
      </w:r>
      <w:r w:rsidRPr="00AD360A">
        <w:t>effects" section</w:t>
      </w:r>
      <w:r>
        <w:t xml:space="preserve"> of its Report</w:t>
      </w:r>
      <w:r w:rsidRPr="00AD360A">
        <w:t>, the Panel emphasi</w:t>
      </w:r>
      <w:r>
        <w:t>z</w:t>
      </w:r>
      <w:r w:rsidRPr="00AD360A">
        <w:t xml:space="preserve">ed the </w:t>
      </w:r>
      <w:r w:rsidRPr="00064564">
        <w:rPr>
          <w:i/>
        </w:rPr>
        <w:t>continuity</w:t>
      </w:r>
      <w:r w:rsidRPr="00AD360A">
        <w:t xml:space="preserve"> of the A350XWB project in light of previous LCA projects, and especially the A380 project.</w:t>
      </w:r>
      <w:r w:rsidRPr="00AD360A">
        <w:rPr>
          <w:rStyle w:val="FootnoteReference"/>
        </w:rPr>
        <w:footnoteReference w:id="767"/>
      </w:r>
      <w:r w:rsidRPr="00AD360A">
        <w:t xml:space="preserve"> </w:t>
      </w:r>
      <w:r>
        <w:t xml:space="preserve">We are not persuaded that the </w:t>
      </w:r>
      <w:r w:rsidRPr="006A34A3">
        <w:t>Panel</w:t>
      </w:r>
      <w:r>
        <w:t>'s finding</w:t>
      </w:r>
      <w:r w:rsidRPr="006A34A3">
        <w:t xml:space="preserve"> that there were </w:t>
      </w:r>
      <w:r w:rsidRPr="00064564">
        <w:rPr>
          <w:i/>
        </w:rPr>
        <w:t>incremental</w:t>
      </w:r>
      <w:r w:rsidRPr="006A34A3">
        <w:t xml:space="preserve"> improvements from one aircraft to the next</w:t>
      </w:r>
      <w:r>
        <w:t>,</w:t>
      </w:r>
      <w:r w:rsidRPr="006A34A3">
        <w:t xml:space="preserve"> </w:t>
      </w:r>
      <w:r>
        <w:t xml:space="preserve">while also finding </w:t>
      </w:r>
      <w:r w:rsidRPr="006A34A3">
        <w:t xml:space="preserve">that the launch of the A350XWB involved </w:t>
      </w:r>
      <w:r w:rsidRPr="00064564">
        <w:rPr>
          <w:i/>
        </w:rPr>
        <w:t>novelty</w:t>
      </w:r>
      <w:r>
        <w:t>, reflected a lack</w:t>
      </w:r>
      <w:r w:rsidR="00E05F1C">
        <w:t xml:space="preserve"> of even</w:t>
      </w:r>
      <w:r w:rsidR="00E05F1C">
        <w:noBreakHyphen/>
      </w:r>
      <w:r w:rsidRPr="006A34A3">
        <w:t>handedness</w:t>
      </w:r>
      <w:r>
        <w:t xml:space="preserve"> contrary to </w:t>
      </w:r>
      <w:r w:rsidR="000A10EA">
        <w:t>Article </w:t>
      </w:r>
      <w:r w:rsidRPr="006A34A3">
        <w:t>11 of the DSU</w:t>
      </w:r>
      <w:r>
        <w:t>.</w:t>
      </w:r>
    </w:p>
    <w:p w:rsidR="0007161B" w:rsidRDefault="0007161B" w:rsidP="009E6402">
      <w:pPr>
        <w:pStyle w:val="BodyText"/>
      </w:pPr>
      <w:r w:rsidRPr="008A3A3A">
        <w:t xml:space="preserve">For the foregoing reasons, we </w:t>
      </w:r>
      <w:r w:rsidRPr="00CA25E4">
        <w:rPr>
          <w:u w:val="single"/>
        </w:rPr>
        <w:t>find</w:t>
      </w:r>
      <w:r w:rsidRPr="008A3A3A">
        <w:t xml:space="preserve"> that the </w:t>
      </w:r>
      <w:r w:rsidR="000A10EA">
        <w:t>European Union</w:t>
      </w:r>
      <w:r w:rsidRPr="008A3A3A">
        <w:t xml:space="preserve"> has failed to establish that the Panel acted inconsistently with its obligations under </w:t>
      </w:r>
      <w:r w:rsidR="000A10EA">
        <w:t>Article </w:t>
      </w:r>
      <w:r w:rsidRPr="008A3A3A">
        <w:t>11 of the DSU in its analysis of programme risk</w:t>
      </w:r>
      <w:r w:rsidR="00E05F1C">
        <w:t>, in particular, in its analysis of development risk, market risk, and in its comparison of the development and market risks.</w:t>
      </w:r>
    </w:p>
    <w:p w:rsidR="0007161B" w:rsidRPr="00C61343" w:rsidRDefault="0007161B" w:rsidP="009E6402">
      <w:pPr>
        <w:pStyle w:val="Heading5"/>
      </w:pPr>
      <w:bookmarkStart w:id="97" w:name="_Toc514059236"/>
      <w:r w:rsidRPr="00C61343">
        <w:t>Contract risk</w:t>
      </w:r>
      <w:bookmarkEnd w:id="97"/>
    </w:p>
    <w:p w:rsidR="0007161B" w:rsidRDefault="0007161B" w:rsidP="009E6402">
      <w:pPr>
        <w:pStyle w:val="BodyText"/>
      </w:pPr>
      <w:r w:rsidRPr="00C61343">
        <w:t xml:space="preserve">The </w:t>
      </w:r>
      <w:r w:rsidR="000A10EA">
        <w:t>European Union</w:t>
      </w:r>
      <w:r w:rsidRPr="00C61343">
        <w:t xml:space="preserve"> argues that, in rejecting its argument that there are differences</w:t>
      </w:r>
      <w:r w:rsidRPr="003C0130">
        <w:t xml:space="preserve"> arising from the terms of </w:t>
      </w:r>
      <w:r w:rsidRPr="00C61343">
        <w:t>certain</w:t>
      </w:r>
      <w:r w:rsidRPr="003C0130">
        <w:t xml:space="preserve"> </w:t>
      </w:r>
      <w:r>
        <w:t xml:space="preserve">of the </w:t>
      </w:r>
      <w:r w:rsidRPr="003C0130">
        <w:t xml:space="preserve">A350XWB LA/MSF contracts compared to the A380 LA/MSF contracts, the Panel committed </w:t>
      </w:r>
      <w:r w:rsidRPr="003C0130">
        <w:rPr>
          <w:i/>
        </w:rPr>
        <w:t>two</w:t>
      </w:r>
      <w:r w:rsidRPr="003C0130">
        <w:t xml:space="preserve"> distinct errors under </w:t>
      </w:r>
      <w:r w:rsidR="000A10EA">
        <w:t>Article </w:t>
      </w:r>
      <w:r w:rsidRPr="003C0130">
        <w:t xml:space="preserve">11 of the DSU. </w:t>
      </w:r>
      <w:r>
        <w:t>F</w:t>
      </w:r>
      <w:r w:rsidRPr="003C0130">
        <w:t>irst</w:t>
      </w:r>
      <w:r>
        <w:t xml:space="preserve">, the </w:t>
      </w:r>
      <w:r w:rsidR="000A10EA">
        <w:t>European Union</w:t>
      </w:r>
      <w:r>
        <w:t xml:space="preserve"> contends that</w:t>
      </w:r>
      <w:r w:rsidRPr="003C0130">
        <w:t xml:space="preserve"> the Panel failed to compare properly the risk-reducing terms of the A350XWB LA/MSF contracts to the risk-reducing terms of the </w:t>
      </w:r>
      <w:r w:rsidRPr="003C0130">
        <w:rPr>
          <w:i/>
        </w:rPr>
        <w:t>A380 LA/MSF contracts</w:t>
      </w:r>
      <w:r w:rsidRPr="003C0130">
        <w:t>. Second,</w:t>
      </w:r>
      <w:r w:rsidR="00D15139">
        <w:t> </w:t>
      </w:r>
      <w:r>
        <w:t xml:space="preserve">according to the </w:t>
      </w:r>
      <w:r w:rsidR="000A10EA">
        <w:t>European Union</w:t>
      </w:r>
      <w:r>
        <w:t>,</w:t>
      </w:r>
      <w:r w:rsidRPr="003C0130">
        <w:t xml:space="preserve"> the Panel failed to compare the terms of the A350XWB LA/MSF contracts to the terms of the </w:t>
      </w:r>
      <w:r w:rsidRPr="003C0130">
        <w:rPr>
          <w:i/>
        </w:rPr>
        <w:t>A380 risk-sharing supplier contracts</w:t>
      </w:r>
      <w:r w:rsidRPr="003C0130">
        <w:t>, which were used in the original proceedings to derive the risk premium for the A380 LA/MSF contract</w:t>
      </w:r>
      <w:r>
        <w:t>s (i.e. the WRP)</w:t>
      </w:r>
      <w:r w:rsidRPr="003C0130">
        <w:t>.</w:t>
      </w:r>
      <w:r w:rsidRPr="003C0130">
        <w:rPr>
          <w:rStyle w:val="FootnoteReference"/>
        </w:rPr>
        <w:footnoteReference w:id="768"/>
      </w:r>
      <w:r w:rsidR="00A44458">
        <w:t xml:space="preserve"> We </w:t>
      </w:r>
      <w:r>
        <w:t>address each of these claims below.</w:t>
      </w:r>
    </w:p>
    <w:p w:rsidR="0007161B" w:rsidRDefault="0007161B" w:rsidP="009E6402">
      <w:pPr>
        <w:pStyle w:val="Heading6"/>
        <w:numPr>
          <w:ilvl w:val="5"/>
          <w:numId w:val="17"/>
        </w:numPr>
      </w:pPr>
      <w:bookmarkStart w:id="98" w:name="_Toc514059237"/>
      <w:r>
        <w:t>Whether t</w:t>
      </w:r>
      <w:r w:rsidRPr="00EE6F87">
        <w:t>he Panel failed to compare properly the terms of the A350XWB LA/MSF contracts to the terms of the A380 LA/MSF contracts</w:t>
      </w:r>
      <w:bookmarkEnd w:id="98"/>
    </w:p>
    <w:p w:rsidR="0007161B" w:rsidRDefault="0007161B" w:rsidP="009E6402">
      <w:pPr>
        <w:pStyle w:val="BodyText"/>
      </w:pPr>
      <w:r w:rsidRPr="00097064">
        <w:t xml:space="preserve">The </w:t>
      </w:r>
      <w:r w:rsidR="000A10EA">
        <w:t>European Union</w:t>
      </w:r>
      <w:r w:rsidRPr="00097064">
        <w:t xml:space="preserve"> contends that the Panel's comparison </w:t>
      </w:r>
      <w:r>
        <w:t>of</w:t>
      </w:r>
      <w:r w:rsidRPr="00097064">
        <w:t xml:space="preserve"> the </w:t>
      </w:r>
      <w:r>
        <w:t xml:space="preserve">four </w:t>
      </w:r>
      <w:r w:rsidRPr="00EE6F87">
        <w:t xml:space="preserve">A350XWB </w:t>
      </w:r>
      <w:r>
        <w:t>LA/MSF contracts with the</w:t>
      </w:r>
      <w:r w:rsidRPr="00EE6F87">
        <w:t xml:space="preserve"> A380 LA/MSF contracts does not comply with the requirements of </w:t>
      </w:r>
      <w:r w:rsidR="000A10EA">
        <w:t>Article </w:t>
      </w:r>
      <w:r w:rsidRPr="00EE6F87">
        <w:t>11 of the DSU because such comparison lacks a sufficient evidentiary basis.</w:t>
      </w:r>
      <w:r>
        <w:t xml:space="preserve"> </w:t>
      </w:r>
      <w:r w:rsidR="00A44458">
        <w:t>In particular, the </w:t>
      </w:r>
      <w:r w:rsidR="000A10EA">
        <w:t>European Union</w:t>
      </w:r>
      <w:r w:rsidRPr="00EE6F87">
        <w:t xml:space="preserve"> requests </w:t>
      </w:r>
      <w:r>
        <w:t>us</w:t>
      </w:r>
      <w:r w:rsidRPr="00EE6F87">
        <w:t xml:space="preserve"> "to reverse the Panel's findings, at paragraphs 6.595 and 6.609</w:t>
      </w:r>
      <w:r w:rsidR="00D15139">
        <w:t xml:space="preserve"> of </w:t>
      </w:r>
      <w:r w:rsidR="00E90B11">
        <w:t>its Report</w:t>
      </w:r>
      <w:r w:rsidRPr="00EE6F87">
        <w:t xml:space="preserve">, that 'the A350XWB LA/MSF contracts containing such </w:t>
      </w:r>
      <w:r>
        <w:t>'</w:t>
      </w:r>
      <w:r w:rsidRPr="00EE6F87">
        <w:t>risk-reducing</w:t>
      </w:r>
      <w:r>
        <w:t>'</w:t>
      </w:r>
      <w:r w:rsidRPr="00EE6F87">
        <w:t xml:space="preserve"> terms are </w:t>
      </w:r>
      <w:r w:rsidR="00D15139">
        <w:rPr>
          <w:i/>
        </w:rPr>
        <w:lastRenderedPageBreak/>
        <w:t>no </w:t>
      </w:r>
      <w:r w:rsidRPr="00EE6F87">
        <w:rPr>
          <w:i/>
        </w:rPr>
        <w:t>less risky</w:t>
      </w:r>
      <w:r w:rsidRPr="00EE6F87">
        <w:t xml:space="preserve"> than at least </w:t>
      </w:r>
      <w:r w:rsidRPr="00EE6F87">
        <w:rPr>
          <w:b/>
        </w:rPr>
        <w:t>[</w:t>
      </w:r>
      <w:r w:rsidR="00C8434D" w:rsidRPr="00C8434D">
        <w:rPr>
          <w:b/>
          <w:szCs w:val="16"/>
        </w:rPr>
        <w:t>BCI</w:t>
      </w:r>
      <w:r w:rsidRPr="00EE6F87">
        <w:rPr>
          <w:b/>
        </w:rPr>
        <w:t>]</w:t>
      </w:r>
      <w:r w:rsidRPr="00EE6F87">
        <w:t xml:space="preserve"> </w:t>
      </w:r>
      <w:r w:rsidR="00C77C98">
        <w:t xml:space="preserve">for </w:t>
      </w:r>
      <w:r w:rsidRPr="00EE6F87">
        <w:t>A380 LA/MSF that also contained similar terms in the original proceeding', such that there was '</w:t>
      </w:r>
      <w:r>
        <w:rPr>
          <w:i/>
        </w:rPr>
        <w:t>no </w:t>
      </w:r>
      <w:r w:rsidRPr="00EE6F87">
        <w:rPr>
          <w:i/>
        </w:rPr>
        <w:t>reason</w:t>
      </w:r>
      <w:r w:rsidRPr="00EE6F87">
        <w:t xml:space="preserve"> why the same risk premium </w:t>
      </w:r>
      <w:r>
        <w:t>{could not}</w:t>
      </w:r>
      <w:r w:rsidRPr="00EE6F87">
        <w:t xml:space="preserve"> also apply to the </w:t>
      </w:r>
      <w:r w:rsidRPr="00C61343">
        <w:t>A350XWB LA/MSF measures'</w:t>
      </w:r>
      <w:r w:rsidRPr="00EE6F87">
        <w:t>"</w:t>
      </w:r>
      <w:r w:rsidR="00E90B11">
        <w:t>.</w:t>
      </w:r>
      <w:r w:rsidRPr="00EE6F87">
        <w:rPr>
          <w:rStyle w:val="FootnoteReference"/>
        </w:rPr>
        <w:footnoteReference w:id="769"/>
      </w:r>
      <w:r>
        <w:t xml:space="preserve"> </w:t>
      </w:r>
      <w:r w:rsidRPr="00EE6F87">
        <w:t xml:space="preserve">The </w:t>
      </w:r>
      <w:r w:rsidR="000A10EA">
        <w:t>European Union</w:t>
      </w:r>
      <w:r w:rsidRPr="00EE6F87">
        <w:t xml:space="preserve"> provides </w:t>
      </w:r>
      <w:r w:rsidRPr="00EE6F87">
        <w:rPr>
          <w:i/>
        </w:rPr>
        <w:t>three</w:t>
      </w:r>
      <w:r w:rsidRPr="00EE6F87">
        <w:t xml:space="preserve"> main arguments in support of its claim.</w:t>
      </w:r>
    </w:p>
    <w:p w:rsidR="0007161B" w:rsidRDefault="0007161B" w:rsidP="009E6402">
      <w:pPr>
        <w:pStyle w:val="BodyText"/>
      </w:pPr>
      <w:r w:rsidRPr="00EE6F87">
        <w:t xml:space="preserve">First, according to the </w:t>
      </w:r>
      <w:r w:rsidR="000A10EA">
        <w:t>European Union</w:t>
      </w:r>
      <w:r w:rsidRPr="00EE6F87">
        <w:t xml:space="preserve">, "the evidence shows that </w:t>
      </w:r>
      <w:r w:rsidRPr="00EE6F87">
        <w:rPr>
          <w:i/>
        </w:rPr>
        <w:t>no</w:t>
      </w:r>
      <w:r>
        <w:t xml:space="preserve"> A380 </w:t>
      </w:r>
      <w:r w:rsidRPr="00EE6F87">
        <w:t>contract contained risk</w:t>
      </w:r>
      <w:r w:rsidRPr="00EE6F87">
        <w:noBreakHyphen/>
        <w:t xml:space="preserve">reducing terms as extensive as those included in the </w:t>
      </w:r>
      <w:r w:rsidRPr="00EE6F87">
        <w:rPr>
          <w:b/>
        </w:rPr>
        <w:t>[</w:t>
      </w:r>
      <w:r w:rsidR="00C8434D" w:rsidRPr="00C8434D">
        <w:rPr>
          <w:b/>
          <w:szCs w:val="16"/>
        </w:rPr>
        <w:t>BCI</w:t>
      </w:r>
      <w:r w:rsidRPr="00EE6F87">
        <w:rPr>
          <w:b/>
        </w:rPr>
        <w:t>]</w:t>
      </w:r>
      <w:r w:rsidRPr="00EE6F87">
        <w:t xml:space="preserve"> A350XWB contract."</w:t>
      </w:r>
      <w:r w:rsidRPr="00EE6F87">
        <w:rPr>
          <w:rStyle w:val="FootnoteReference"/>
        </w:rPr>
        <w:footnoteReference w:id="770"/>
      </w:r>
      <w:r w:rsidRPr="00EE6F87">
        <w:t xml:space="preserve"> The </w:t>
      </w:r>
      <w:r w:rsidR="000A10EA">
        <w:t>European Union</w:t>
      </w:r>
      <w:r w:rsidRPr="00EE6F87">
        <w:t xml:space="preserve"> elaborates:</w:t>
      </w:r>
    </w:p>
    <w:p w:rsidR="0007161B" w:rsidRDefault="0007161B" w:rsidP="00206326">
      <w:pPr>
        <w:pStyle w:val="Quotation"/>
      </w:pPr>
      <w:r w:rsidRPr="00EE6F87">
        <w:t xml:space="preserve">Under the </w:t>
      </w:r>
      <w:r w:rsidRPr="00EE6F87">
        <w:rPr>
          <w:b/>
        </w:rPr>
        <w:t>[</w:t>
      </w:r>
      <w:r w:rsidR="00C8434D" w:rsidRPr="00C8434D">
        <w:rPr>
          <w:b/>
          <w:szCs w:val="16"/>
        </w:rPr>
        <w:t>BCI</w:t>
      </w:r>
      <w:r w:rsidRPr="00EE6F87">
        <w:rPr>
          <w:b/>
        </w:rPr>
        <w:t>]</w:t>
      </w:r>
      <w:r w:rsidRPr="00EE6F87">
        <w:t xml:space="preserve"> A350XWB LA/MSF contract, </w:t>
      </w:r>
      <w:r w:rsidRPr="00EE6F87">
        <w:rPr>
          <w:b/>
        </w:rPr>
        <w:t>[</w:t>
      </w:r>
      <w:r w:rsidR="00C8434D" w:rsidRPr="00C8434D">
        <w:rPr>
          <w:b/>
          <w:szCs w:val="16"/>
        </w:rPr>
        <w:t>BCI</w:t>
      </w:r>
      <w:r w:rsidRPr="00EE6F87">
        <w:rPr>
          <w:b/>
        </w:rPr>
        <w:t>]</w:t>
      </w:r>
      <w:r w:rsidRPr="00EE6F87">
        <w:t xml:space="preserve">. No such mechanism was present in any of the A380 LA/MSF contracts. The </w:t>
      </w:r>
      <w:r w:rsidRPr="00EE6F87">
        <w:rPr>
          <w:b/>
        </w:rPr>
        <w:t>[</w:t>
      </w:r>
      <w:r w:rsidR="00C8434D" w:rsidRPr="00C8434D">
        <w:rPr>
          <w:b/>
          <w:szCs w:val="16"/>
        </w:rPr>
        <w:t>BCI</w:t>
      </w:r>
      <w:r w:rsidRPr="00EE6F87">
        <w:rPr>
          <w:b/>
        </w:rPr>
        <w:t>]</w:t>
      </w:r>
      <w:r w:rsidRPr="00EE6F87">
        <w:t xml:space="preserve"> A380 contract </w:t>
      </w:r>
      <w:r w:rsidRPr="00670C1F">
        <w:t>included</w:t>
      </w:r>
      <w:r w:rsidRPr="00EE6F87">
        <w:t xml:space="preserve"> a mechanism that </w:t>
      </w:r>
      <w:r w:rsidRPr="00EE6F87">
        <w:rPr>
          <w:b/>
        </w:rPr>
        <w:t>[</w:t>
      </w:r>
      <w:r w:rsidR="00C8434D" w:rsidRPr="00C8434D">
        <w:rPr>
          <w:b/>
          <w:szCs w:val="16"/>
        </w:rPr>
        <w:t>BCI</w:t>
      </w:r>
      <w:r w:rsidRPr="00EE6F87">
        <w:rPr>
          <w:b/>
        </w:rPr>
        <w:t>]</w:t>
      </w:r>
      <w:r w:rsidRPr="00EE6F87">
        <w:t>.</w:t>
      </w:r>
      <w:r w:rsidRPr="00EE6F87">
        <w:rPr>
          <w:rStyle w:val="FootnoteReference"/>
          <w:szCs w:val="20"/>
        </w:rPr>
        <w:footnoteReference w:id="771"/>
      </w:r>
    </w:p>
    <w:p w:rsidR="0007161B" w:rsidRDefault="0007161B" w:rsidP="009E6402">
      <w:pPr>
        <w:pStyle w:val="BodyText"/>
      </w:pPr>
      <w:r>
        <w:t>T</w:t>
      </w:r>
      <w:r w:rsidRPr="00EE6F87">
        <w:t xml:space="preserve">he </w:t>
      </w:r>
      <w:r w:rsidR="000A10EA">
        <w:t>European Union</w:t>
      </w:r>
      <w:r w:rsidRPr="00EE6F87">
        <w:t xml:space="preserve"> contends that the evidence shows that, as a result of more extensive risk-reducing terms, </w:t>
      </w:r>
      <w:r w:rsidRPr="00EE6F87">
        <w:rPr>
          <w:b/>
        </w:rPr>
        <w:t>[</w:t>
      </w:r>
      <w:r w:rsidR="00C8434D" w:rsidRPr="00C8434D">
        <w:rPr>
          <w:b/>
          <w:szCs w:val="16"/>
        </w:rPr>
        <w:t>BCI</w:t>
      </w:r>
      <w:r w:rsidRPr="00EE6F87">
        <w:rPr>
          <w:b/>
        </w:rPr>
        <w:t>]</w:t>
      </w:r>
      <w:r w:rsidRPr="00EE6F87">
        <w:t xml:space="preserve"> of the A350XWB LA/MSF contracts </w:t>
      </w:r>
      <w:r>
        <w:t>"</w:t>
      </w:r>
      <w:r w:rsidRPr="00EE6F87">
        <w:rPr>
          <w:b/>
        </w:rPr>
        <w:t>[</w:t>
      </w:r>
      <w:r w:rsidR="00C8434D" w:rsidRPr="00C8434D">
        <w:rPr>
          <w:b/>
          <w:szCs w:val="16"/>
        </w:rPr>
        <w:t>BCI</w:t>
      </w:r>
      <w:r w:rsidRPr="00EE6F87">
        <w:rPr>
          <w:b/>
        </w:rPr>
        <w:t>]</w:t>
      </w:r>
      <w:r>
        <w:t xml:space="preserve"> than any of the A380 </w:t>
      </w:r>
      <w:r w:rsidRPr="00EE6F87">
        <w:t>LA/MSF contracts</w:t>
      </w:r>
      <w:r>
        <w:t>"</w:t>
      </w:r>
      <w:r w:rsidRPr="00EE6F87">
        <w:t xml:space="preserve">, including the </w:t>
      </w:r>
      <w:r w:rsidRPr="00EE6F87">
        <w:rPr>
          <w:b/>
        </w:rPr>
        <w:t>[</w:t>
      </w:r>
      <w:r w:rsidR="00C8434D" w:rsidRPr="00C8434D">
        <w:rPr>
          <w:b/>
          <w:szCs w:val="16"/>
        </w:rPr>
        <w:t>BCI</w:t>
      </w:r>
      <w:r w:rsidRPr="00EE6F87">
        <w:rPr>
          <w:b/>
        </w:rPr>
        <w:t>]</w:t>
      </w:r>
      <w:r w:rsidRPr="00EE6F87">
        <w:t xml:space="preserve"> A380 LA/MSF contract.</w:t>
      </w:r>
      <w:r w:rsidRPr="00EE6F87">
        <w:rPr>
          <w:rStyle w:val="FootnoteReference"/>
        </w:rPr>
        <w:footnoteReference w:id="772"/>
      </w:r>
      <w:r w:rsidRPr="00EE6F87">
        <w:t xml:space="preserve"> Therefore, in the </w:t>
      </w:r>
      <w:r w:rsidR="000A10EA">
        <w:t>European Union</w:t>
      </w:r>
      <w:r w:rsidRPr="00EE6F87">
        <w:t>'s view, the Panel lacked a sufficient evidentiary ba</w:t>
      </w:r>
      <w:r>
        <w:t>sis to find that "similar" risk</w:t>
      </w:r>
      <w:r>
        <w:noBreakHyphen/>
      </w:r>
      <w:r w:rsidRPr="00EE6F87">
        <w:t xml:space="preserve">reducing terms were present in certain A350XWB LA/MSF contracts, compared to the </w:t>
      </w:r>
      <w:r w:rsidRPr="00EE6F87">
        <w:rPr>
          <w:b/>
        </w:rPr>
        <w:t>[</w:t>
      </w:r>
      <w:r w:rsidR="00C8434D" w:rsidRPr="00C8434D">
        <w:rPr>
          <w:b/>
          <w:szCs w:val="16"/>
        </w:rPr>
        <w:t>BCI</w:t>
      </w:r>
      <w:r w:rsidRPr="00EE6F87">
        <w:rPr>
          <w:b/>
        </w:rPr>
        <w:t>]</w:t>
      </w:r>
      <w:r w:rsidRPr="00EE6F87">
        <w:t xml:space="preserve"> A380 LA/MSF contract.</w:t>
      </w:r>
      <w:r w:rsidRPr="00EE6F87">
        <w:rPr>
          <w:rStyle w:val="FootnoteReference"/>
        </w:rPr>
        <w:footnoteReference w:id="773"/>
      </w:r>
    </w:p>
    <w:p w:rsidR="0007161B" w:rsidRDefault="0007161B" w:rsidP="009E6402">
      <w:pPr>
        <w:pStyle w:val="BodyText"/>
      </w:pPr>
      <w:r w:rsidRPr="00097064">
        <w:t xml:space="preserve">In order to assess the </w:t>
      </w:r>
      <w:r w:rsidR="000A10EA">
        <w:t>European Union</w:t>
      </w:r>
      <w:r w:rsidRPr="00097064">
        <w:t>'s claim, we</w:t>
      </w:r>
      <w:r>
        <w:t xml:space="preserve"> </w:t>
      </w:r>
      <w:r w:rsidRPr="00097064">
        <w:t>describe below key aspects of the Panel's analysis</w:t>
      </w:r>
      <w:r>
        <w:t xml:space="preserve">. </w:t>
      </w:r>
      <w:r w:rsidRPr="00097064">
        <w:t xml:space="preserve">Before the Panel, the </w:t>
      </w:r>
      <w:r w:rsidR="000A10EA">
        <w:t>European Union</w:t>
      </w:r>
      <w:r w:rsidRPr="00097064">
        <w:t xml:space="preserve"> argued that "differences in the terms of the LA/MSF agreements for the A380 and the A350XWB reduce the risk for the A350XWB and, hence, the benchmark</w:t>
      </w:r>
      <w:r>
        <w:t>.</w:t>
      </w:r>
      <w:r w:rsidRPr="00097064">
        <w:t>"</w:t>
      </w:r>
      <w:r w:rsidRPr="00097064">
        <w:rPr>
          <w:rStyle w:val="FootnoteReference"/>
        </w:rPr>
        <w:footnoteReference w:id="774"/>
      </w:r>
      <w:r w:rsidRPr="00097064">
        <w:t xml:space="preserve"> </w:t>
      </w:r>
      <w:r>
        <w:t>T</w:t>
      </w:r>
      <w:r w:rsidRPr="00097064">
        <w:t xml:space="preserve">he </w:t>
      </w:r>
      <w:r w:rsidR="000A10EA">
        <w:t>European Union</w:t>
      </w:r>
      <w:r w:rsidRPr="00097064">
        <w:t xml:space="preserve"> focused its </w:t>
      </w:r>
      <w:r w:rsidRPr="00EE6F87">
        <w:t xml:space="preserve">argumentation on a comparison between the </w:t>
      </w:r>
      <w:r w:rsidRPr="00250B0F">
        <w:rPr>
          <w:b/>
        </w:rPr>
        <w:t>[</w:t>
      </w:r>
      <w:r w:rsidR="00C8434D" w:rsidRPr="00C8434D">
        <w:rPr>
          <w:b/>
          <w:szCs w:val="16"/>
        </w:rPr>
        <w:t>BCI</w:t>
      </w:r>
      <w:r w:rsidRPr="00250B0F">
        <w:rPr>
          <w:b/>
        </w:rPr>
        <w:t>]</w:t>
      </w:r>
      <w:r w:rsidRPr="00EE6F87">
        <w:t xml:space="preserve"> and the </w:t>
      </w:r>
      <w:r w:rsidRPr="00250B0F">
        <w:rPr>
          <w:b/>
        </w:rPr>
        <w:t>[</w:t>
      </w:r>
      <w:r w:rsidR="00C8434D" w:rsidRPr="00C8434D">
        <w:rPr>
          <w:b/>
          <w:szCs w:val="16"/>
        </w:rPr>
        <w:t>BCI</w:t>
      </w:r>
      <w:r w:rsidRPr="00250B0F">
        <w:rPr>
          <w:b/>
        </w:rPr>
        <w:t>]</w:t>
      </w:r>
      <w:r w:rsidR="00D15139">
        <w:t xml:space="preserve"> by arguing that, "{f}or </w:t>
      </w:r>
      <w:r w:rsidRPr="00EE6F87">
        <w:t xml:space="preserve">example, the </w:t>
      </w:r>
      <w:r w:rsidRPr="00250B0F">
        <w:rPr>
          <w:b/>
        </w:rPr>
        <w:t>[</w:t>
      </w:r>
      <w:r w:rsidR="00C8434D" w:rsidRPr="00C8434D">
        <w:rPr>
          <w:b/>
          <w:szCs w:val="16"/>
        </w:rPr>
        <w:t>BCI</w:t>
      </w:r>
      <w:r w:rsidRPr="00250B0F">
        <w:rPr>
          <w:b/>
        </w:rPr>
        <w:t>]</w:t>
      </w:r>
      <w:r w:rsidRPr="00EE6F87">
        <w:t xml:space="preserve">, whereas the </w:t>
      </w:r>
      <w:r w:rsidRPr="00250B0F">
        <w:rPr>
          <w:b/>
        </w:rPr>
        <w:t>[</w:t>
      </w:r>
      <w:r w:rsidR="00E8168B" w:rsidRPr="00C8434D">
        <w:rPr>
          <w:b/>
          <w:szCs w:val="16"/>
        </w:rPr>
        <w:t>BCI</w:t>
      </w:r>
      <w:r w:rsidRPr="00250B0F">
        <w:rPr>
          <w:b/>
        </w:rPr>
        <w:t>]</w:t>
      </w:r>
      <w:r w:rsidRPr="00EE6F87">
        <w:t>".</w:t>
      </w:r>
      <w:r w:rsidRPr="00EE6F87">
        <w:rPr>
          <w:rStyle w:val="FootnoteReference"/>
        </w:rPr>
        <w:footnoteReference w:id="775"/>
      </w:r>
      <w:r w:rsidR="00D15139">
        <w:t xml:space="preserve"> In </w:t>
      </w:r>
      <w:r w:rsidRPr="00EE6F87">
        <w:t xml:space="preserve">response, the </w:t>
      </w:r>
      <w:r w:rsidR="000A10EA">
        <w:t>United States</w:t>
      </w:r>
      <w:r w:rsidRPr="00EE6F87">
        <w:t xml:space="preserve"> asserted that "</w:t>
      </w:r>
      <w:r w:rsidRPr="00250B0F">
        <w:rPr>
          <w:b/>
        </w:rPr>
        <w:t>[</w:t>
      </w:r>
      <w:r w:rsidR="00E8168B" w:rsidRPr="00C8434D">
        <w:rPr>
          <w:b/>
          <w:szCs w:val="16"/>
        </w:rPr>
        <w:t>BCI</w:t>
      </w:r>
      <w:r w:rsidRPr="00250B0F">
        <w:rPr>
          <w:b/>
        </w:rPr>
        <w:t>]</w:t>
      </w:r>
      <w:r>
        <w:t>.</w:t>
      </w:r>
      <w:r w:rsidRPr="00EE6F87">
        <w:t>"</w:t>
      </w:r>
      <w:r w:rsidRPr="00EE6F87">
        <w:rPr>
          <w:rStyle w:val="FootnoteReference"/>
        </w:rPr>
        <w:footnoteReference w:id="776"/>
      </w:r>
      <w:r w:rsidRPr="00EE6F87">
        <w:t xml:space="preserve"> The </w:t>
      </w:r>
      <w:r w:rsidR="000A10EA">
        <w:t>United States</w:t>
      </w:r>
      <w:r w:rsidRPr="00EE6F87">
        <w:t xml:space="preserve"> added that "there is</w:t>
      </w:r>
      <w:r w:rsidRPr="00097064">
        <w:t xml:space="preserve"> no basis for the </w:t>
      </w:r>
      <w:r w:rsidR="000A10EA">
        <w:t>European Union</w:t>
      </w:r>
      <w:r w:rsidRPr="00097064">
        <w:t xml:space="preserve"> to conclude that the existence of </w:t>
      </w:r>
      <w:r w:rsidRPr="00250B0F">
        <w:rPr>
          <w:b/>
        </w:rPr>
        <w:t>[</w:t>
      </w:r>
      <w:r w:rsidR="00E8168B" w:rsidRPr="00C8434D">
        <w:rPr>
          <w:b/>
          <w:szCs w:val="16"/>
        </w:rPr>
        <w:t>BCI</w:t>
      </w:r>
      <w:r w:rsidRPr="00250B0F">
        <w:rPr>
          <w:b/>
        </w:rPr>
        <w:t>]</w:t>
      </w:r>
      <w:r w:rsidRPr="00EE6F87">
        <w:t xml:space="preserve"> 'may justify a significantly lower risk premium for the A350XWB financing agreements</w:t>
      </w:r>
      <w:r>
        <w:t>, as a whole, than for the A380 </w:t>
      </w:r>
      <w:r w:rsidRPr="00EE6F87">
        <w:t>financing agr</w:t>
      </w:r>
      <w:r w:rsidR="00D15139">
        <w:t xml:space="preserve">eements, as a </w:t>
      </w:r>
      <w:r w:rsidRPr="00EE6F87">
        <w:t>whole'".</w:t>
      </w:r>
      <w:r w:rsidRPr="00EE6F87">
        <w:rPr>
          <w:rStyle w:val="FootnoteReference"/>
        </w:rPr>
        <w:footnoteReference w:id="777"/>
      </w:r>
      <w:r w:rsidRPr="00EE6F87">
        <w:t xml:space="preserve"> Consequently, in the </w:t>
      </w:r>
      <w:r w:rsidR="000A10EA">
        <w:t>United States</w:t>
      </w:r>
      <w:r w:rsidRPr="00EE6F87">
        <w:t>' view, "in respect of '</w:t>
      </w:r>
      <w:r w:rsidRPr="00250B0F">
        <w:rPr>
          <w:b/>
        </w:rPr>
        <w:t>[</w:t>
      </w:r>
      <w:r w:rsidR="00E8168B" w:rsidRPr="00C8434D">
        <w:rPr>
          <w:b/>
          <w:szCs w:val="16"/>
        </w:rPr>
        <w:t>BCI</w:t>
      </w:r>
      <w:r w:rsidRPr="00250B0F">
        <w:rPr>
          <w:b/>
        </w:rPr>
        <w:t>]</w:t>
      </w:r>
      <w:r w:rsidRPr="00EE6F87">
        <w:t xml:space="preserve">', the A380 LA/MSF contracts and the A350XWB LA/MSF contracts are, as a whole, </w:t>
      </w:r>
      <w:r w:rsidRPr="00250B0F">
        <w:rPr>
          <w:b/>
        </w:rPr>
        <w:t>[</w:t>
      </w:r>
      <w:r w:rsidR="00E8168B" w:rsidRPr="00C8434D">
        <w:rPr>
          <w:b/>
          <w:szCs w:val="16"/>
        </w:rPr>
        <w:t>BCI</w:t>
      </w:r>
      <w:r w:rsidRPr="00250B0F">
        <w:rPr>
          <w:b/>
        </w:rPr>
        <w:t>]</w:t>
      </w:r>
      <w:r w:rsidRPr="00EE6F87">
        <w:t>."</w:t>
      </w:r>
      <w:r w:rsidRPr="00EE6F87">
        <w:rPr>
          <w:rStyle w:val="FootnoteReference"/>
        </w:rPr>
        <w:footnoteReference w:id="778"/>
      </w:r>
    </w:p>
    <w:p w:rsidR="0007161B" w:rsidRDefault="0007161B" w:rsidP="009E6402">
      <w:pPr>
        <w:pStyle w:val="BodyText"/>
      </w:pPr>
      <w:r w:rsidRPr="00EE6F87">
        <w:t xml:space="preserve">In light of these arguments, the Panel acknowledged that, "under the </w:t>
      </w:r>
      <w:r w:rsidRPr="00EE6F87">
        <w:rPr>
          <w:b/>
        </w:rPr>
        <w:t>[</w:t>
      </w:r>
      <w:r w:rsidR="00E8168B" w:rsidRPr="00C8434D">
        <w:rPr>
          <w:b/>
          <w:szCs w:val="16"/>
        </w:rPr>
        <w:t>BCI</w:t>
      </w:r>
      <w:r w:rsidRPr="00EE6F87">
        <w:rPr>
          <w:b/>
        </w:rPr>
        <w:t>]</w:t>
      </w:r>
      <w:r w:rsidRPr="00EE6F87">
        <w:t xml:space="preserve"> LA/MSF contracts for the A350XWB, </w:t>
      </w:r>
      <w:r w:rsidRPr="00EE6F87">
        <w:rPr>
          <w:b/>
        </w:rPr>
        <w:t>[</w:t>
      </w:r>
      <w:r w:rsidR="00E8168B" w:rsidRPr="00C8434D">
        <w:rPr>
          <w:b/>
          <w:szCs w:val="16"/>
        </w:rPr>
        <w:t>BCI</w:t>
      </w:r>
      <w:r w:rsidRPr="00EE6F87">
        <w:rPr>
          <w:b/>
        </w:rPr>
        <w:t>]</w:t>
      </w:r>
      <w:r w:rsidRPr="00EE6F87">
        <w:t xml:space="preserve"> in the event that deliveries are not made (unless </w:t>
      </w:r>
      <w:r w:rsidRPr="00EE6F87">
        <w:rPr>
          <w:b/>
        </w:rPr>
        <w:t>[</w:t>
      </w:r>
      <w:r w:rsidR="00E8168B" w:rsidRPr="00C8434D">
        <w:rPr>
          <w:b/>
          <w:szCs w:val="16"/>
        </w:rPr>
        <w:t>BCI</w:t>
      </w:r>
      <w:r w:rsidRPr="00EE6F87">
        <w:rPr>
          <w:b/>
        </w:rPr>
        <w:t>]</w:t>
      </w:r>
      <w:r w:rsidRPr="00052C38">
        <w:t>)</w:t>
      </w:r>
      <w:r w:rsidRPr="00EE6F87">
        <w:t>".</w:t>
      </w:r>
      <w:r w:rsidRPr="00EE6F87">
        <w:rPr>
          <w:rStyle w:val="FootnoteReference"/>
        </w:rPr>
        <w:footnoteReference w:id="779"/>
      </w:r>
      <w:r w:rsidR="00D15139">
        <w:t xml:space="preserve"> At </w:t>
      </w:r>
      <w:r w:rsidRPr="00EE6F87">
        <w:t>the same time, the Panel pointed out that, in the original proceedings, "</w:t>
      </w:r>
      <w:r w:rsidRPr="00EE6F87">
        <w:rPr>
          <w:b/>
        </w:rPr>
        <w:t>[</w:t>
      </w:r>
      <w:r w:rsidR="00E8168B" w:rsidRPr="00C8434D">
        <w:rPr>
          <w:b/>
          <w:szCs w:val="16"/>
        </w:rPr>
        <w:t>BCI</w:t>
      </w:r>
      <w:r w:rsidRPr="00EE6F87">
        <w:rPr>
          <w:b/>
        </w:rPr>
        <w:t>]</w:t>
      </w:r>
      <w:r w:rsidRPr="00EE6F87">
        <w:t xml:space="preserve">, which would likewise constitute 'risk-reducing' terms, existed with respect to </w:t>
      </w:r>
      <w:r w:rsidRPr="00EE6F87">
        <w:rPr>
          <w:b/>
        </w:rPr>
        <w:t>[</w:t>
      </w:r>
      <w:r w:rsidR="00E8168B" w:rsidRPr="00C8434D">
        <w:rPr>
          <w:b/>
          <w:szCs w:val="16"/>
        </w:rPr>
        <w:t>BCI</w:t>
      </w:r>
      <w:r w:rsidRPr="00EE6F87">
        <w:rPr>
          <w:b/>
        </w:rPr>
        <w:t>]</w:t>
      </w:r>
      <w:r w:rsidRPr="00EE6F87">
        <w:t xml:space="preserve"> LA/MSF at issue in that proceeding".</w:t>
      </w:r>
      <w:r w:rsidRPr="00EE6F87">
        <w:rPr>
          <w:rStyle w:val="FootnoteReference"/>
        </w:rPr>
        <w:footnoteReference w:id="780"/>
      </w:r>
      <w:r w:rsidRPr="00EE6F87">
        <w:t xml:space="preserve"> We highlight that, on this basis, the Panel held that </w:t>
      </w:r>
      <w:r w:rsidR="00D15139">
        <w:t>"{a}t </w:t>
      </w:r>
      <w:r w:rsidRPr="00EE6F87">
        <w:t xml:space="preserve">least </w:t>
      </w:r>
      <w:r w:rsidRPr="005C4334">
        <w:rPr>
          <w:b/>
        </w:rPr>
        <w:t>[</w:t>
      </w:r>
      <w:r w:rsidR="00E8168B" w:rsidRPr="00C8434D">
        <w:rPr>
          <w:b/>
          <w:szCs w:val="16"/>
        </w:rPr>
        <w:t>BCI</w:t>
      </w:r>
      <w:r w:rsidRPr="005C4334">
        <w:rPr>
          <w:b/>
        </w:rPr>
        <w:t>]</w:t>
      </w:r>
      <w:r w:rsidRPr="00EE6F87">
        <w:t xml:space="preserve"> of the A380 contracts considered in the original proceeding – </w:t>
      </w:r>
      <w:r w:rsidRPr="005C4334">
        <w:rPr>
          <w:b/>
        </w:rPr>
        <w:t>[</w:t>
      </w:r>
      <w:r w:rsidR="00E8168B" w:rsidRPr="00C8434D">
        <w:rPr>
          <w:b/>
          <w:szCs w:val="16"/>
        </w:rPr>
        <w:t>BCI</w:t>
      </w:r>
      <w:r w:rsidRPr="005C4334">
        <w:rPr>
          <w:b/>
        </w:rPr>
        <w:t>]</w:t>
      </w:r>
      <w:r w:rsidRPr="00EE6F87">
        <w:t xml:space="preserve"> – contained a mechanism that </w:t>
      </w:r>
      <w:r w:rsidRPr="00EE6F87">
        <w:rPr>
          <w:i/>
        </w:rPr>
        <w:t>similarly 'protected' returns</w:t>
      </w:r>
      <w:r w:rsidRPr="00EE6F87">
        <w:t>."</w:t>
      </w:r>
      <w:r w:rsidRPr="00EE6F87">
        <w:rPr>
          <w:rStyle w:val="FootnoteReference"/>
        </w:rPr>
        <w:footnoteReference w:id="781"/>
      </w:r>
      <w:r w:rsidRPr="00EE6F87">
        <w:t xml:space="preserve"> </w:t>
      </w:r>
    </w:p>
    <w:p w:rsidR="0007161B" w:rsidRDefault="0007161B" w:rsidP="009E6402">
      <w:pPr>
        <w:pStyle w:val="BodyText"/>
      </w:pPr>
      <w:r w:rsidRPr="00EE6F87">
        <w:lastRenderedPageBreak/>
        <w:t xml:space="preserve">At this point, we </w:t>
      </w:r>
      <w:r>
        <w:t>point out</w:t>
      </w:r>
      <w:r w:rsidRPr="00EE6F87">
        <w:t xml:space="preserve"> that the Panel used broad language when comparing the </w:t>
      </w:r>
      <w:r w:rsidRPr="00E77CD6">
        <w:rPr>
          <w:b/>
        </w:rPr>
        <w:t>[</w:t>
      </w:r>
      <w:r w:rsidR="00E8168B" w:rsidRPr="00C8434D">
        <w:rPr>
          <w:b/>
          <w:szCs w:val="16"/>
        </w:rPr>
        <w:t>BCI</w:t>
      </w:r>
      <w:r w:rsidRPr="00E77CD6">
        <w:rPr>
          <w:b/>
        </w:rPr>
        <w:t>]</w:t>
      </w:r>
      <w:r w:rsidRPr="00EE6F87">
        <w:t xml:space="preserve"> A350XWB and </w:t>
      </w:r>
      <w:r w:rsidRPr="00E77CD6">
        <w:rPr>
          <w:b/>
        </w:rPr>
        <w:t>[</w:t>
      </w:r>
      <w:r w:rsidR="00E8168B" w:rsidRPr="00C8434D">
        <w:rPr>
          <w:b/>
          <w:szCs w:val="16"/>
        </w:rPr>
        <w:t>BCI</w:t>
      </w:r>
      <w:r w:rsidRPr="00E77CD6">
        <w:rPr>
          <w:b/>
        </w:rPr>
        <w:t>]</w:t>
      </w:r>
      <w:r w:rsidRPr="00EE6F87">
        <w:t xml:space="preserve"> A380 LA/MSF contracts. Contrary to the </w:t>
      </w:r>
      <w:r w:rsidR="000A10EA">
        <w:t>European Union</w:t>
      </w:r>
      <w:r w:rsidRPr="00EE6F87">
        <w:t xml:space="preserve">'s characterization of the Panel's findings, the Panel did not find that the </w:t>
      </w:r>
      <w:r w:rsidRPr="00E77CD6">
        <w:rPr>
          <w:b/>
        </w:rPr>
        <w:t>[</w:t>
      </w:r>
      <w:r w:rsidR="00E8168B" w:rsidRPr="00C8434D">
        <w:rPr>
          <w:b/>
          <w:szCs w:val="16"/>
        </w:rPr>
        <w:t>BCI</w:t>
      </w:r>
      <w:r w:rsidRPr="00E77CD6">
        <w:rPr>
          <w:b/>
        </w:rPr>
        <w:t>]</w:t>
      </w:r>
      <w:r w:rsidRPr="00EE6F87">
        <w:t xml:space="preserve"> "</w:t>
      </w:r>
      <w:r w:rsidRPr="00E77CD6">
        <w:rPr>
          <w:i/>
        </w:rPr>
        <w:t>contained risk-reducing terms as extensive as</w:t>
      </w:r>
      <w:r w:rsidRPr="00EE6F87">
        <w:t xml:space="preserve"> those included in the </w:t>
      </w:r>
      <w:r w:rsidRPr="00E77CD6">
        <w:rPr>
          <w:b/>
        </w:rPr>
        <w:t>[</w:t>
      </w:r>
      <w:r w:rsidR="00E8168B" w:rsidRPr="00C8434D">
        <w:rPr>
          <w:b/>
          <w:szCs w:val="16"/>
        </w:rPr>
        <w:t>BCI</w:t>
      </w:r>
      <w:r w:rsidRPr="00E77CD6">
        <w:rPr>
          <w:b/>
        </w:rPr>
        <w:t>]</w:t>
      </w:r>
      <w:r w:rsidRPr="00EE6F87">
        <w:t xml:space="preserve"> A350XWB contract".</w:t>
      </w:r>
      <w:r w:rsidRPr="00EE6F87">
        <w:rPr>
          <w:rStyle w:val="FootnoteReference"/>
        </w:rPr>
        <w:footnoteReference w:id="782"/>
      </w:r>
      <w:r w:rsidRPr="00EE6F87">
        <w:t xml:space="preserve"> Rather, the Panel made the broader finding that "the </w:t>
      </w:r>
      <w:r w:rsidRPr="00E77CD6">
        <w:rPr>
          <w:b/>
        </w:rPr>
        <w:t>[</w:t>
      </w:r>
      <w:r w:rsidR="00E8168B" w:rsidRPr="00C8434D">
        <w:rPr>
          <w:b/>
          <w:szCs w:val="16"/>
        </w:rPr>
        <w:t>BCI</w:t>
      </w:r>
      <w:r w:rsidRPr="00E77CD6">
        <w:rPr>
          <w:b/>
        </w:rPr>
        <w:t>]</w:t>
      </w:r>
      <w:r w:rsidRPr="00EE6F87">
        <w:t xml:space="preserve"> A380 contract – contained a mechanism that </w:t>
      </w:r>
      <w:r w:rsidRPr="00E77CD6">
        <w:rPr>
          <w:i/>
        </w:rPr>
        <w:t>similarly 'protected' returns</w:t>
      </w:r>
      <w:r w:rsidRPr="00EE6F87">
        <w:t>."</w:t>
      </w:r>
      <w:r w:rsidRPr="00EE6F87">
        <w:rPr>
          <w:rStyle w:val="FootnoteReference"/>
        </w:rPr>
        <w:footnoteReference w:id="783"/>
      </w:r>
      <w:r>
        <w:t xml:space="preserve"> Having made this </w:t>
      </w:r>
      <w:r w:rsidRPr="00097064">
        <w:t xml:space="preserve">comparative assessment, the Panel noted that "Professor Whitelaw's risk premium was nevertheless applied in </w:t>
      </w:r>
      <w:r w:rsidR="00E90B11">
        <w:t>that</w:t>
      </w:r>
      <w:r w:rsidRPr="00097064">
        <w:t xml:space="preserve"> proceeding and, moreover, on the understanding that it was a minimum risk premium and would be understated for </w:t>
      </w:r>
      <w:r w:rsidRPr="00EE6F87">
        <w:t>that contract."</w:t>
      </w:r>
      <w:r w:rsidRPr="00EE6F87">
        <w:rPr>
          <w:rStyle w:val="FootnoteReference"/>
        </w:rPr>
        <w:footnoteReference w:id="784"/>
      </w:r>
      <w:r w:rsidRPr="00EE6F87">
        <w:t xml:space="preserve"> On this basis, the Panel did not "consider that such features in this</w:t>
      </w:r>
      <w:r w:rsidRPr="00097064">
        <w:t xml:space="preserve"> proceeding should in and of {themselves} render the WRP inapplicable".</w:t>
      </w:r>
      <w:r w:rsidRPr="00097064">
        <w:rPr>
          <w:rStyle w:val="FootnoteReference"/>
        </w:rPr>
        <w:footnoteReference w:id="785"/>
      </w:r>
    </w:p>
    <w:p w:rsidR="0007161B" w:rsidRDefault="0007161B" w:rsidP="009E6402">
      <w:pPr>
        <w:pStyle w:val="BodyText"/>
      </w:pPr>
      <w:r>
        <w:t>Having examined key aspects of the Panel's analysis, we highlight</w:t>
      </w:r>
      <w:r w:rsidRPr="00097064">
        <w:t xml:space="preserve"> that the </w:t>
      </w:r>
      <w:r w:rsidR="000A10EA">
        <w:t>European Union</w:t>
      </w:r>
      <w:r w:rsidRPr="00097064">
        <w:t xml:space="preserve"> </w:t>
      </w:r>
      <w:r w:rsidRPr="00097064">
        <w:rPr>
          <w:i/>
        </w:rPr>
        <w:t>fails</w:t>
      </w:r>
      <w:r w:rsidRPr="00097064">
        <w:t xml:space="preserve"> to point </w:t>
      </w:r>
      <w:r>
        <w:t>to</w:t>
      </w:r>
      <w:r w:rsidRPr="00097064">
        <w:t xml:space="preserve"> any specific error regarding the objectivity of the </w:t>
      </w:r>
      <w:r>
        <w:t>P</w:t>
      </w:r>
      <w:r w:rsidRPr="00097064">
        <w:t xml:space="preserve">anel's assessment, a requirement that an appellant must fulfil to make out </w:t>
      </w:r>
      <w:r>
        <w:t>a</w:t>
      </w:r>
      <w:r w:rsidRPr="00097064">
        <w:t xml:space="preserve"> claim successfully under </w:t>
      </w:r>
      <w:r w:rsidR="000A10EA">
        <w:t>Article </w:t>
      </w:r>
      <w:r w:rsidRPr="00097064">
        <w:t>11</w:t>
      </w:r>
      <w:r>
        <w:t xml:space="preserve"> of the DSU</w:t>
      </w:r>
      <w:r w:rsidRPr="00097064">
        <w:t>.</w:t>
      </w:r>
      <w:r w:rsidRPr="00097064">
        <w:rPr>
          <w:rStyle w:val="FootnoteReference"/>
        </w:rPr>
        <w:footnoteReference w:id="786"/>
      </w:r>
      <w:r w:rsidRPr="00097064">
        <w:t xml:space="preserve"> The </w:t>
      </w:r>
      <w:r w:rsidR="000A10EA">
        <w:t>European Union</w:t>
      </w:r>
      <w:r w:rsidRPr="00097064">
        <w:t xml:space="preserve"> simply states that "the Panel lacked a sufficient evidentiary basis to find that 'similar' risk-reducing terms were present in certain </w:t>
      </w:r>
      <w:r w:rsidRPr="00EE6F87">
        <w:t xml:space="preserve">A350XWB </w:t>
      </w:r>
      <w:r>
        <w:t xml:space="preserve">{LA/MSF} </w:t>
      </w:r>
      <w:r w:rsidRPr="00EE6F87">
        <w:t xml:space="preserve">contracts, compared to the </w:t>
      </w:r>
      <w:r w:rsidRPr="00EE6F87">
        <w:rPr>
          <w:b/>
        </w:rPr>
        <w:t>[</w:t>
      </w:r>
      <w:r w:rsidR="00E8168B" w:rsidRPr="00C8434D">
        <w:rPr>
          <w:b/>
          <w:szCs w:val="16"/>
        </w:rPr>
        <w:t>BCI</w:t>
      </w:r>
      <w:r w:rsidRPr="00EE6F87">
        <w:rPr>
          <w:b/>
        </w:rPr>
        <w:t>]</w:t>
      </w:r>
      <w:r w:rsidRPr="00EE6F87">
        <w:t xml:space="preserve"> A380 </w:t>
      </w:r>
      <w:r>
        <w:t xml:space="preserve">{LA/MSF} </w:t>
      </w:r>
      <w:r w:rsidRPr="00EE6F87">
        <w:t>contract</w:t>
      </w:r>
      <w:r>
        <w:t>.</w:t>
      </w:r>
      <w:r w:rsidRPr="00EE6F87">
        <w:t>"</w:t>
      </w:r>
      <w:r w:rsidRPr="00EE6F87">
        <w:rPr>
          <w:rStyle w:val="FootnoteReference"/>
        </w:rPr>
        <w:footnoteReference w:id="787"/>
      </w:r>
      <w:r w:rsidRPr="00EE6F87">
        <w:t xml:space="preserve"> However, </w:t>
      </w:r>
      <w:r>
        <w:t xml:space="preserve">a determination as to </w:t>
      </w:r>
      <w:r w:rsidRPr="00EE6F87">
        <w:t xml:space="preserve">whether the Panel had enough evidence on the record </w:t>
      </w:r>
      <w:r>
        <w:t xml:space="preserve">to support its </w:t>
      </w:r>
      <w:r w:rsidRPr="00EE6F87">
        <w:t>finding</w:t>
      </w:r>
      <w:r>
        <w:t xml:space="preserve">s depends on how one understands the finding that </w:t>
      </w:r>
      <w:r w:rsidRPr="00097064">
        <w:t xml:space="preserve">risk-reducing terms present in certain </w:t>
      </w:r>
      <w:r w:rsidRPr="00EE6F87">
        <w:t xml:space="preserve">A350XWB </w:t>
      </w:r>
      <w:r>
        <w:t xml:space="preserve">LA/MSF </w:t>
      </w:r>
      <w:r w:rsidRPr="00EE6F87">
        <w:t xml:space="preserve">contracts </w:t>
      </w:r>
      <w:r>
        <w:t xml:space="preserve">and </w:t>
      </w:r>
      <w:r w:rsidRPr="00EE6F87">
        <w:t xml:space="preserve">the </w:t>
      </w:r>
      <w:r w:rsidRPr="00EE6F87">
        <w:rPr>
          <w:b/>
        </w:rPr>
        <w:t>[</w:t>
      </w:r>
      <w:r w:rsidR="00E8168B" w:rsidRPr="00C8434D">
        <w:rPr>
          <w:b/>
          <w:szCs w:val="16"/>
        </w:rPr>
        <w:t>BCI</w:t>
      </w:r>
      <w:r w:rsidRPr="00EE6F87">
        <w:rPr>
          <w:b/>
        </w:rPr>
        <w:t>]</w:t>
      </w:r>
      <w:r w:rsidRPr="00EE6F87">
        <w:t xml:space="preserve"> A380 </w:t>
      </w:r>
      <w:r>
        <w:t xml:space="preserve">LA/MSF </w:t>
      </w:r>
      <w:r w:rsidRPr="00EE6F87">
        <w:t xml:space="preserve">contract </w:t>
      </w:r>
      <w:r>
        <w:t>similarly "protected" returns.</w:t>
      </w:r>
      <w:r>
        <w:rPr>
          <w:rStyle w:val="FootnoteReference"/>
        </w:rPr>
        <w:footnoteReference w:id="788"/>
      </w:r>
      <w:r>
        <w:t xml:space="preserve"> O</w:t>
      </w:r>
      <w:r w:rsidRPr="00EE6F87">
        <w:t xml:space="preserve">n appeal, the </w:t>
      </w:r>
      <w:r w:rsidR="000A10EA">
        <w:t>European Union</w:t>
      </w:r>
      <w:r w:rsidRPr="00EE6F87">
        <w:t xml:space="preserve"> attributes a very specific meaning to the </w:t>
      </w:r>
      <w:r>
        <w:t>notion of</w:t>
      </w:r>
      <w:r w:rsidRPr="00EE6F87">
        <w:t xml:space="preserve"> "similar</w:t>
      </w:r>
      <w:r>
        <w:t xml:space="preserve"> risk reducing terms</w:t>
      </w:r>
      <w:r w:rsidRPr="00EE6F87">
        <w:t xml:space="preserve">", namely, one </w:t>
      </w:r>
      <w:r>
        <w:t>in which</w:t>
      </w:r>
      <w:r w:rsidRPr="00EE6F87">
        <w:t xml:space="preserve"> both contracts </w:t>
      </w:r>
      <w:r>
        <w:t>establish that</w:t>
      </w:r>
      <w:r w:rsidRPr="00EE6F87">
        <w:t xml:space="preserve"> "</w:t>
      </w:r>
      <w:r w:rsidRPr="00EE6F87">
        <w:rPr>
          <w:b/>
        </w:rPr>
        <w:t>[</w:t>
      </w:r>
      <w:r w:rsidR="00E8168B" w:rsidRPr="00C8434D">
        <w:rPr>
          <w:b/>
          <w:szCs w:val="16"/>
        </w:rPr>
        <w:t>BCI</w:t>
      </w:r>
      <w:r w:rsidRPr="00097064">
        <w:rPr>
          <w:b/>
        </w:rPr>
        <w:t>]</w:t>
      </w:r>
      <w:r>
        <w:t>.</w:t>
      </w:r>
      <w:r w:rsidRPr="00097064">
        <w:t>"</w:t>
      </w:r>
      <w:r w:rsidRPr="00097064">
        <w:rPr>
          <w:rStyle w:val="FootnoteReference"/>
        </w:rPr>
        <w:footnoteReference w:id="789"/>
      </w:r>
      <w:r w:rsidRPr="00097064">
        <w:t xml:space="preserve"> </w:t>
      </w:r>
      <w:r w:rsidRPr="00EE6F87">
        <w:t>In contrast, in comparing the contracts at issue, the Panel did not focus on</w:t>
      </w:r>
      <w:r>
        <w:t xml:space="preserve"> contract </w:t>
      </w:r>
      <w:r w:rsidRPr="00EE6F87">
        <w:t xml:space="preserve">terms as specific as the ones referred to by the </w:t>
      </w:r>
      <w:r w:rsidR="000A10EA">
        <w:t>European Union</w:t>
      </w:r>
      <w:r w:rsidRPr="00EE6F87">
        <w:t>.</w:t>
      </w:r>
      <w:r>
        <w:t xml:space="preserve"> </w:t>
      </w:r>
      <w:r w:rsidRPr="00EE6F87">
        <w:t xml:space="preserve">Rather, </w:t>
      </w:r>
      <w:r>
        <w:t>given the existence of a clause concerning</w:t>
      </w:r>
      <w:r w:rsidRPr="00EE6F87">
        <w:t xml:space="preserve"> "</w:t>
      </w:r>
      <w:r w:rsidRPr="00EE6F87">
        <w:rPr>
          <w:b/>
        </w:rPr>
        <w:t>[</w:t>
      </w:r>
      <w:r w:rsidR="00E8168B" w:rsidRPr="00C8434D">
        <w:rPr>
          <w:b/>
          <w:szCs w:val="16"/>
        </w:rPr>
        <w:t>BCI</w:t>
      </w:r>
      <w:r w:rsidRPr="00EE6F87">
        <w:rPr>
          <w:b/>
        </w:rPr>
        <w:t>]</w:t>
      </w:r>
      <w:r w:rsidRPr="00EE6F87">
        <w:t>", which in the Panel's view would likewise constitute "risk-reducing" terms</w:t>
      </w:r>
      <w:r>
        <w:t>, the Panel concluded that "the </w:t>
      </w:r>
      <w:r w:rsidRPr="005C4334">
        <w:rPr>
          <w:b/>
        </w:rPr>
        <w:t>[</w:t>
      </w:r>
      <w:r w:rsidR="00E8168B" w:rsidRPr="00C8434D">
        <w:rPr>
          <w:b/>
          <w:szCs w:val="16"/>
        </w:rPr>
        <w:t>BCI</w:t>
      </w:r>
      <w:r w:rsidRPr="005C4334">
        <w:rPr>
          <w:b/>
        </w:rPr>
        <w:t>]</w:t>
      </w:r>
      <w:r>
        <w:t xml:space="preserve"> A380 {LA/MSF} </w:t>
      </w:r>
      <w:r w:rsidRPr="00EE6F87">
        <w:t xml:space="preserve">contract – contained a mechanism that </w:t>
      </w:r>
      <w:r w:rsidRPr="00EE6F87">
        <w:rPr>
          <w:i/>
        </w:rPr>
        <w:t>similarly 'protected' returns</w:t>
      </w:r>
      <w:r w:rsidRPr="00EE6F87">
        <w:t>."</w:t>
      </w:r>
      <w:r w:rsidRPr="00EE6F87">
        <w:rPr>
          <w:rStyle w:val="FootnoteReference"/>
        </w:rPr>
        <w:footnoteReference w:id="790"/>
      </w:r>
      <w:r>
        <w:t xml:space="preserve"> A</w:t>
      </w:r>
      <w:r w:rsidR="000F4E37">
        <w:t>s will be elaborated below, the </w:t>
      </w:r>
      <w:r>
        <w:t xml:space="preserve">Panel's approach to comparing the risk-reducing terms in the relevant </w:t>
      </w:r>
      <w:r w:rsidRPr="00181457">
        <w:t>LA/MSF</w:t>
      </w:r>
      <w:r>
        <w:t xml:space="preserve"> contracts may well be a reflection of the arguments advanced by the parties during the Panel proceedings.</w:t>
      </w:r>
    </w:p>
    <w:p w:rsidR="0007161B" w:rsidRPr="00097064" w:rsidRDefault="0007161B" w:rsidP="009E6402">
      <w:pPr>
        <w:pStyle w:val="BodyText"/>
        <w:keepNext/>
      </w:pPr>
      <w:r>
        <w:t>O</w:t>
      </w:r>
      <w:r w:rsidRPr="00097064">
        <w:t xml:space="preserve">n appeal, the </w:t>
      </w:r>
      <w:r w:rsidR="000A10EA">
        <w:t>European Union</w:t>
      </w:r>
      <w:r w:rsidRPr="00097064">
        <w:t xml:space="preserve"> attaches significant weight to the fact that:</w:t>
      </w:r>
    </w:p>
    <w:p w:rsidR="0007161B" w:rsidRDefault="0007161B" w:rsidP="00206326">
      <w:pPr>
        <w:pStyle w:val="Quotation"/>
      </w:pPr>
      <w:r>
        <w:t>{u}</w:t>
      </w:r>
      <w:r w:rsidRPr="00EE6F87">
        <w:t xml:space="preserve">nder the </w:t>
      </w:r>
      <w:r w:rsidRPr="00EE6F87">
        <w:rPr>
          <w:b/>
        </w:rPr>
        <w:t>[</w:t>
      </w:r>
      <w:r w:rsidR="00E8168B" w:rsidRPr="00C8434D">
        <w:rPr>
          <w:b/>
          <w:szCs w:val="16"/>
        </w:rPr>
        <w:t>BCI</w:t>
      </w:r>
      <w:r w:rsidRPr="00EE6F87">
        <w:rPr>
          <w:b/>
        </w:rPr>
        <w:t>]</w:t>
      </w:r>
      <w:r w:rsidRPr="00EE6F87">
        <w:t xml:space="preserve"> A350XWB LA/MSF contract, </w:t>
      </w:r>
      <w:r w:rsidRPr="00EE6F87">
        <w:rPr>
          <w:b/>
        </w:rPr>
        <w:t>[</w:t>
      </w:r>
      <w:r w:rsidR="00E8168B" w:rsidRPr="00C8434D">
        <w:rPr>
          <w:b/>
          <w:szCs w:val="16"/>
        </w:rPr>
        <w:t>BCI</w:t>
      </w:r>
      <w:r w:rsidRPr="00EE6F87">
        <w:rPr>
          <w:b/>
        </w:rPr>
        <w:t>]</w:t>
      </w:r>
      <w:r w:rsidRPr="00EE6F87">
        <w:t xml:space="preserve">. No such </w:t>
      </w:r>
      <w:r w:rsidRPr="00670C1F">
        <w:t>mechanism</w:t>
      </w:r>
      <w:r w:rsidRPr="00EE6F87">
        <w:t xml:space="preserve"> was present in any of the A380 LA/MSF contracts. The </w:t>
      </w:r>
      <w:r w:rsidRPr="00EE6F87">
        <w:rPr>
          <w:b/>
        </w:rPr>
        <w:t>[</w:t>
      </w:r>
      <w:r w:rsidR="00E8168B" w:rsidRPr="00C8434D">
        <w:rPr>
          <w:b/>
          <w:szCs w:val="16"/>
        </w:rPr>
        <w:t>BCI</w:t>
      </w:r>
      <w:r w:rsidRPr="00EE6F87">
        <w:rPr>
          <w:b/>
        </w:rPr>
        <w:t>]</w:t>
      </w:r>
      <w:r w:rsidRPr="00EE6F87">
        <w:t xml:space="preserve"> A380 contract included a mechanism that </w:t>
      </w:r>
      <w:r w:rsidRPr="00EE6F87">
        <w:rPr>
          <w:b/>
        </w:rPr>
        <w:t>[</w:t>
      </w:r>
      <w:r w:rsidR="00E8168B" w:rsidRPr="00C8434D">
        <w:rPr>
          <w:b/>
          <w:szCs w:val="16"/>
        </w:rPr>
        <w:t>BCI</w:t>
      </w:r>
      <w:r w:rsidRPr="00EE6F87">
        <w:rPr>
          <w:b/>
        </w:rPr>
        <w:t>]</w:t>
      </w:r>
      <w:r w:rsidRPr="00EE6F87">
        <w:t>.</w:t>
      </w:r>
      <w:r w:rsidRPr="00EE6F87">
        <w:rPr>
          <w:rStyle w:val="FootnoteReference"/>
          <w:szCs w:val="20"/>
        </w:rPr>
        <w:footnoteReference w:id="791"/>
      </w:r>
    </w:p>
    <w:p w:rsidR="0007161B" w:rsidRDefault="0007161B" w:rsidP="009E6402">
      <w:pPr>
        <w:pStyle w:val="BodyText"/>
      </w:pPr>
      <w:r w:rsidRPr="00EE6F87">
        <w:t xml:space="preserve">While, in principle, this may seem like a valid distinction, we highlight that these subtle nuances regarding the terms of the contracts on which the </w:t>
      </w:r>
      <w:r w:rsidR="000A10EA">
        <w:t>European Union</w:t>
      </w:r>
      <w:r w:rsidRPr="00EE6F87">
        <w:t xml:space="preserve"> is currently basing its claim of inconsistency under </w:t>
      </w:r>
      <w:r w:rsidR="000A10EA">
        <w:t>Article </w:t>
      </w:r>
      <w:r w:rsidRPr="00EE6F87">
        <w:t xml:space="preserve">11 do </w:t>
      </w:r>
      <w:r w:rsidRPr="00EE6F87">
        <w:rPr>
          <w:i/>
        </w:rPr>
        <w:t>not</w:t>
      </w:r>
      <w:r w:rsidRPr="00EE6F87">
        <w:t xml:space="preserve"> seem to have been sufficiently developed before the Panel. For instance, </w:t>
      </w:r>
      <w:r>
        <w:t>whereas</w:t>
      </w:r>
      <w:r w:rsidRPr="00EE6F87">
        <w:t xml:space="preserve"> the </w:t>
      </w:r>
      <w:r w:rsidR="000A10EA">
        <w:t>European Union</w:t>
      </w:r>
      <w:r w:rsidRPr="00EE6F87">
        <w:t xml:space="preserve"> did argue that the </w:t>
      </w:r>
      <w:r w:rsidRPr="00EE6F87">
        <w:rPr>
          <w:b/>
        </w:rPr>
        <w:t>[</w:t>
      </w:r>
      <w:r w:rsidR="00E8168B" w:rsidRPr="00C8434D">
        <w:rPr>
          <w:b/>
          <w:szCs w:val="16"/>
        </w:rPr>
        <w:t>BCI</w:t>
      </w:r>
      <w:r w:rsidRPr="00EE6F87">
        <w:rPr>
          <w:b/>
        </w:rPr>
        <w:t>]</w:t>
      </w:r>
      <w:r w:rsidRPr="00EE6F87">
        <w:t xml:space="preserve"> A350XWB LA/MSF contract's clause on </w:t>
      </w:r>
      <w:r w:rsidRPr="00EE6F87">
        <w:rPr>
          <w:b/>
        </w:rPr>
        <w:t>[</w:t>
      </w:r>
      <w:r w:rsidR="00E8168B" w:rsidRPr="00C8434D">
        <w:rPr>
          <w:b/>
          <w:szCs w:val="16"/>
        </w:rPr>
        <w:t>BCI</w:t>
      </w:r>
      <w:r w:rsidRPr="00EE6F87">
        <w:rPr>
          <w:b/>
        </w:rPr>
        <w:t>]</w:t>
      </w:r>
      <w:r w:rsidRPr="00EE6F87">
        <w:t xml:space="preserve"> should be taken into account when assessing the differences between</w:t>
      </w:r>
      <w:r>
        <w:t xml:space="preserve"> the</w:t>
      </w:r>
      <w:r w:rsidRPr="00EE6F87">
        <w:t xml:space="preserve"> A350XWB LA/MSF contracts and </w:t>
      </w:r>
      <w:r>
        <w:t xml:space="preserve">the </w:t>
      </w:r>
      <w:r w:rsidRPr="00EE6F87">
        <w:t>A380 LA/MSF contracts</w:t>
      </w:r>
      <w:r w:rsidRPr="00EE6F87">
        <w:rPr>
          <w:rStyle w:val="FootnoteReference"/>
        </w:rPr>
        <w:footnoteReference w:id="792"/>
      </w:r>
      <w:r w:rsidRPr="00EE6F87">
        <w:t xml:space="preserve">, the </w:t>
      </w:r>
      <w:r w:rsidR="000A10EA">
        <w:t>European Union</w:t>
      </w:r>
      <w:r w:rsidRPr="00EE6F87">
        <w:t xml:space="preserve"> did not compare the </w:t>
      </w:r>
      <w:r w:rsidRPr="00EE6F87">
        <w:rPr>
          <w:b/>
        </w:rPr>
        <w:t>[</w:t>
      </w:r>
      <w:r w:rsidR="00E8168B" w:rsidRPr="00C8434D">
        <w:rPr>
          <w:b/>
          <w:szCs w:val="16"/>
        </w:rPr>
        <w:t>BCI</w:t>
      </w:r>
      <w:r w:rsidRPr="00EE6F87">
        <w:rPr>
          <w:b/>
        </w:rPr>
        <w:t>]</w:t>
      </w:r>
      <w:r w:rsidRPr="00EE6F87">
        <w:t xml:space="preserve"> A350XWB LA/MSF </w:t>
      </w:r>
      <w:r>
        <w:t xml:space="preserve">contract </w:t>
      </w:r>
      <w:r w:rsidRPr="00EE6F87">
        <w:t xml:space="preserve">with the </w:t>
      </w:r>
      <w:r w:rsidRPr="00EE6F87">
        <w:rPr>
          <w:b/>
        </w:rPr>
        <w:t>[</w:t>
      </w:r>
      <w:r w:rsidR="00E8168B" w:rsidRPr="00C8434D">
        <w:rPr>
          <w:b/>
          <w:szCs w:val="16"/>
        </w:rPr>
        <w:t>BCI</w:t>
      </w:r>
      <w:r w:rsidRPr="00EE6F87">
        <w:rPr>
          <w:b/>
        </w:rPr>
        <w:t>]</w:t>
      </w:r>
      <w:r w:rsidRPr="00EE6F87">
        <w:t xml:space="preserve"> A380 LA/MSF contract</w:t>
      </w:r>
      <w:r>
        <w:t>, which contrasts with its position on appeal</w:t>
      </w:r>
      <w:r w:rsidRPr="00EE6F87">
        <w:t xml:space="preserve">. Rather, </w:t>
      </w:r>
      <w:r>
        <w:t xml:space="preserve">before the Panel, </w:t>
      </w:r>
      <w:r w:rsidRPr="00EE6F87">
        <w:t xml:space="preserve">the </w:t>
      </w:r>
      <w:r w:rsidR="000A10EA">
        <w:t>European Union</w:t>
      </w:r>
      <w:r w:rsidRPr="00EE6F87">
        <w:t xml:space="preserve"> made a comparison between </w:t>
      </w:r>
      <w:r w:rsidRPr="00EE6F87">
        <w:rPr>
          <w:b/>
        </w:rPr>
        <w:t>[</w:t>
      </w:r>
      <w:r w:rsidR="00E8168B" w:rsidRPr="00C8434D">
        <w:rPr>
          <w:b/>
          <w:szCs w:val="16"/>
        </w:rPr>
        <w:t>BCI</w:t>
      </w:r>
      <w:r w:rsidRPr="00EE6F87">
        <w:rPr>
          <w:b/>
        </w:rPr>
        <w:t>]</w:t>
      </w:r>
      <w:r w:rsidRPr="00EE6F87">
        <w:t>.</w:t>
      </w:r>
      <w:r w:rsidRPr="00EE6F87">
        <w:rPr>
          <w:rStyle w:val="FootnoteReference"/>
        </w:rPr>
        <w:footnoteReference w:id="793"/>
      </w:r>
      <w:r w:rsidRPr="00EE6F87">
        <w:t xml:space="preserve"> </w:t>
      </w:r>
      <w:r>
        <w:t>Moreover</w:t>
      </w:r>
      <w:r w:rsidRPr="00EE6F87">
        <w:t>,</w:t>
      </w:r>
      <w:r>
        <w:t xml:space="preserve"> </w:t>
      </w:r>
      <w:r w:rsidRPr="00EE6F87">
        <w:t xml:space="preserve">it appears that, before the Panel, the </w:t>
      </w:r>
      <w:r w:rsidR="000A10EA">
        <w:t>European Union</w:t>
      </w:r>
      <w:r>
        <w:t xml:space="preserve"> did </w:t>
      </w:r>
      <w:r>
        <w:lastRenderedPageBreak/>
        <w:t xml:space="preserve">not </w:t>
      </w:r>
      <w:r w:rsidRPr="00EE6F87">
        <w:t xml:space="preserve">make the distinction between </w:t>
      </w:r>
      <w:r w:rsidRPr="00EE6F87">
        <w:rPr>
          <w:b/>
        </w:rPr>
        <w:t>[</w:t>
      </w:r>
      <w:r w:rsidR="00E8168B" w:rsidRPr="00C8434D">
        <w:rPr>
          <w:b/>
          <w:szCs w:val="16"/>
        </w:rPr>
        <w:t>BCI</w:t>
      </w:r>
      <w:r w:rsidRPr="00EE6F87">
        <w:rPr>
          <w:b/>
        </w:rPr>
        <w:t>]</w:t>
      </w:r>
      <w:r w:rsidRPr="00EE6F87">
        <w:t xml:space="preserve"> and </w:t>
      </w:r>
      <w:r w:rsidRPr="00EE6F87">
        <w:rPr>
          <w:b/>
        </w:rPr>
        <w:t>[</w:t>
      </w:r>
      <w:r w:rsidR="00E8168B" w:rsidRPr="00C8434D">
        <w:rPr>
          <w:b/>
          <w:szCs w:val="16"/>
        </w:rPr>
        <w:t>BCI</w:t>
      </w:r>
      <w:r w:rsidRPr="00EE6F87">
        <w:rPr>
          <w:b/>
        </w:rPr>
        <w:t>]</w:t>
      </w:r>
      <w:r w:rsidRPr="00EE6F87">
        <w:t>, as it now do</w:t>
      </w:r>
      <w:r>
        <w:t>es</w:t>
      </w:r>
      <w:r w:rsidRPr="00EE6F87">
        <w:t xml:space="preserve"> on appeal.</w:t>
      </w:r>
      <w:r w:rsidRPr="00EE6F87">
        <w:rPr>
          <w:rStyle w:val="FootnoteReference"/>
        </w:rPr>
        <w:footnoteReference w:id="794"/>
      </w:r>
      <w:r w:rsidRPr="00EE6F87">
        <w:t xml:space="preserve"> The </w:t>
      </w:r>
      <w:r w:rsidR="000A10EA">
        <w:t>European Union</w:t>
      </w:r>
      <w:r w:rsidRPr="00EE6F87">
        <w:t xml:space="preserve">'s arguments were more general in nature. For instance, the </w:t>
      </w:r>
      <w:r w:rsidR="000A10EA">
        <w:t>European Union</w:t>
      </w:r>
      <w:r w:rsidRPr="00EE6F87">
        <w:t xml:space="preserve"> maintained that a "rigorous assessment of the provisions of the financing agreements overall" may "justify a significantly lower risk premium for the A350XWB financing agreements, as a whole, than for the A380 financing agreements, as</w:t>
      </w:r>
      <w:r w:rsidR="000F4E37">
        <w:t> </w:t>
      </w:r>
      <w:r w:rsidR="000F4E37" w:rsidRPr="000F4E37">
        <w:t>a</w:t>
      </w:r>
      <w:r w:rsidR="000F4E37">
        <w:t> </w:t>
      </w:r>
      <w:r w:rsidRPr="000F4E37">
        <w:t>whole</w:t>
      </w:r>
      <w:r w:rsidRPr="00097064">
        <w:t>"</w:t>
      </w:r>
      <w:r>
        <w:t>.</w:t>
      </w:r>
      <w:r w:rsidRPr="00097064">
        <w:rPr>
          <w:rStyle w:val="FootnoteReference"/>
        </w:rPr>
        <w:footnoteReference w:id="795"/>
      </w:r>
    </w:p>
    <w:p w:rsidR="0007161B" w:rsidRDefault="0007161B" w:rsidP="009E6402">
      <w:pPr>
        <w:pStyle w:val="BodyText"/>
      </w:pPr>
      <w:r w:rsidRPr="00C94691">
        <w:t>A claim that a panel has failed to conduct an objective assessment of the matter before it is "a very serious allegation"</w:t>
      </w:r>
      <w:r w:rsidRPr="00C94691">
        <w:rPr>
          <w:rStyle w:val="FootnoteReference"/>
        </w:rPr>
        <w:footnoteReference w:id="796"/>
      </w:r>
      <w:r w:rsidRPr="00C94691">
        <w:t xml:space="preserve">, and the </w:t>
      </w:r>
      <w:r w:rsidR="000A10EA">
        <w:t>Appellate Body</w:t>
      </w:r>
      <w:r w:rsidRPr="00C94691">
        <w:t xml:space="preserve"> will not "interfere lightly" with a panel's fact</w:t>
      </w:r>
      <w:r w:rsidRPr="00C94691">
        <w:noBreakHyphen/>
        <w:t>finding authority.</w:t>
      </w:r>
      <w:r w:rsidRPr="00C94691">
        <w:rPr>
          <w:rStyle w:val="FootnoteReference"/>
        </w:rPr>
        <w:footnoteReference w:id="797"/>
      </w:r>
      <w:r w:rsidRPr="00C94691">
        <w:t xml:space="preserve"> We do not consider that the </w:t>
      </w:r>
      <w:r w:rsidR="000A10EA">
        <w:t>European Union</w:t>
      </w:r>
      <w:r w:rsidRPr="00C94691">
        <w:t xml:space="preserve"> has successfully established that the Panel's assessment lacks objectivity. To establish that the Panel acted inconsistently with</w:t>
      </w:r>
      <w:r w:rsidRPr="00F53DF0">
        <w:t xml:space="preserve"> </w:t>
      </w:r>
      <w:r w:rsidR="000A10EA">
        <w:t>Article </w:t>
      </w:r>
      <w:r w:rsidRPr="00F53DF0">
        <w:t xml:space="preserve">11, the </w:t>
      </w:r>
      <w:r w:rsidR="000A10EA">
        <w:t>European Union</w:t>
      </w:r>
      <w:r w:rsidRPr="00F53DF0">
        <w:t xml:space="preserve"> must demonstrate that the Panel exceeded the bounds of its discretion as the trier of </w:t>
      </w:r>
      <w:r>
        <w:t>facts</w:t>
      </w:r>
      <w:r w:rsidRPr="00F53DF0">
        <w:t>, including in its treatment of the evidence.</w:t>
      </w:r>
      <w:r>
        <w:rPr>
          <w:rStyle w:val="FootnoteReference"/>
        </w:rPr>
        <w:footnoteReference w:id="798"/>
      </w:r>
      <w:r w:rsidRPr="00F53DF0">
        <w:t xml:space="preserve"> We</w:t>
      </w:r>
      <w:r>
        <w:t xml:space="preserve"> consider that</w:t>
      </w:r>
      <w:r w:rsidRPr="00F53DF0">
        <w:t xml:space="preserve"> the </w:t>
      </w:r>
      <w:r w:rsidR="000A10EA">
        <w:t>European Union</w:t>
      </w:r>
      <w:r w:rsidRPr="00F53DF0">
        <w:t xml:space="preserve"> has </w:t>
      </w:r>
      <w:r>
        <w:t xml:space="preserve">not </w:t>
      </w:r>
      <w:r w:rsidRPr="00F53DF0">
        <w:t>done so in the present case</w:t>
      </w:r>
      <w:r>
        <w:t>, particularly given that the Panel examined in detail the limited argumentation and evidence put forward by the parties, as discussed above</w:t>
      </w:r>
      <w:r w:rsidRPr="00F53DF0">
        <w:t>.</w:t>
      </w:r>
    </w:p>
    <w:p w:rsidR="0007161B" w:rsidRDefault="0007161B" w:rsidP="009E6402">
      <w:pPr>
        <w:pStyle w:val="BodyText"/>
      </w:pPr>
      <w:r w:rsidRPr="00097064">
        <w:t xml:space="preserve">For the foregoing reasons, we </w:t>
      </w:r>
      <w:r>
        <w:t>do</w:t>
      </w:r>
      <w:r w:rsidRPr="00097064">
        <w:t xml:space="preserve"> not </w:t>
      </w:r>
      <w:r>
        <w:t xml:space="preserve">consider </w:t>
      </w:r>
      <w:r w:rsidRPr="00097064">
        <w:t xml:space="preserve">that the </w:t>
      </w:r>
      <w:r w:rsidR="000A10EA">
        <w:t>European Union</w:t>
      </w:r>
      <w:r w:rsidRPr="00097064">
        <w:t xml:space="preserve"> has made out its </w:t>
      </w:r>
      <w:r w:rsidR="000A10EA">
        <w:t>Article </w:t>
      </w:r>
      <w:r w:rsidRPr="00097064">
        <w:t xml:space="preserve">11 claim by arguing that "the Panel lacked a sufficient evidentiary basis to find that 'similar' risk-reducing terms were present in certain A350XWB </w:t>
      </w:r>
      <w:r>
        <w:t xml:space="preserve">{LA/MSF} </w:t>
      </w:r>
      <w:r w:rsidRPr="00EE6F87">
        <w:t xml:space="preserve">contracts, compared to the </w:t>
      </w:r>
      <w:r w:rsidRPr="00EE6F87">
        <w:rPr>
          <w:b/>
        </w:rPr>
        <w:t>[</w:t>
      </w:r>
      <w:r w:rsidR="00E8168B" w:rsidRPr="00C8434D">
        <w:rPr>
          <w:b/>
          <w:szCs w:val="16"/>
        </w:rPr>
        <w:t>BCI</w:t>
      </w:r>
      <w:r w:rsidRPr="00EE6F87">
        <w:rPr>
          <w:b/>
        </w:rPr>
        <w:t>]</w:t>
      </w:r>
      <w:r w:rsidRPr="00EE6F87">
        <w:t xml:space="preserve"> A380 </w:t>
      </w:r>
      <w:r>
        <w:t xml:space="preserve">{LA/MSF} </w:t>
      </w:r>
      <w:r w:rsidRPr="00EE6F87">
        <w:t>contract</w:t>
      </w:r>
      <w:r>
        <w:t>.</w:t>
      </w:r>
      <w:r w:rsidRPr="00EE6F87">
        <w:t>"</w:t>
      </w:r>
      <w:r w:rsidRPr="00EE6F87">
        <w:rPr>
          <w:rStyle w:val="FootnoteReference"/>
        </w:rPr>
        <w:footnoteReference w:id="799"/>
      </w:r>
    </w:p>
    <w:p w:rsidR="0007161B" w:rsidRDefault="0007161B" w:rsidP="009E6402">
      <w:pPr>
        <w:pStyle w:val="BodyText"/>
      </w:pPr>
      <w:r w:rsidRPr="00F9149B">
        <w:t xml:space="preserve">In its second line of argumentation, the </w:t>
      </w:r>
      <w:r w:rsidR="000A10EA">
        <w:t>European Union</w:t>
      </w:r>
      <w:r w:rsidRPr="00F9149B">
        <w:t xml:space="preserve"> contends that the Panel's reasoning ignores the undisputed fact that a higher number of A350XWB LA/MSF contracts contain certa</w:t>
      </w:r>
      <w:r w:rsidRPr="00452C30">
        <w:t xml:space="preserve">in risk-reducing terms than do the A380 LA/MSF contracts. </w:t>
      </w:r>
      <w:r w:rsidRPr="000F08A4">
        <w:t xml:space="preserve">According to the </w:t>
      </w:r>
      <w:r w:rsidR="000A10EA">
        <w:t>European Union</w:t>
      </w:r>
      <w:r w:rsidRPr="00F9149B">
        <w:t xml:space="preserve">, </w:t>
      </w:r>
      <w:r w:rsidRPr="00452C30">
        <w:t xml:space="preserve">it is undisputed that </w:t>
      </w:r>
      <w:r w:rsidRPr="000F08A4">
        <w:rPr>
          <w:b/>
        </w:rPr>
        <w:t>[</w:t>
      </w:r>
      <w:r w:rsidR="00E8168B" w:rsidRPr="00C8434D">
        <w:rPr>
          <w:b/>
          <w:szCs w:val="16"/>
        </w:rPr>
        <w:t>BCI</w:t>
      </w:r>
      <w:r w:rsidRPr="000F08A4">
        <w:rPr>
          <w:b/>
        </w:rPr>
        <w:t>]</w:t>
      </w:r>
      <w:r w:rsidRPr="000F08A4">
        <w:t xml:space="preserve"> A350XWB LA/MSF contracts contain certain risk-reducing</w:t>
      </w:r>
      <w:r w:rsidRPr="00F9149B">
        <w:t xml:space="preserve"> terms (the </w:t>
      </w:r>
      <w:r w:rsidRPr="00F9149B">
        <w:rPr>
          <w:b/>
        </w:rPr>
        <w:t>[</w:t>
      </w:r>
      <w:r w:rsidR="00E8168B" w:rsidRPr="00C8434D">
        <w:rPr>
          <w:b/>
          <w:szCs w:val="16"/>
        </w:rPr>
        <w:t>BCI</w:t>
      </w:r>
      <w:r w:rsidRPr="00F9149B">
        <w:rPr>
          <w:b/>
        </w:rPr>
        <w:t>]</w:t>
      </w:r>
      <w:r w:rsidRPr="00F9149B">
        <w:t xml:space="preserve"> contracts).</w:t>
      </w:r>
      <w:r w:rsidRPr="00F9149B">
        <w:rPr>
          <w:rStyle w:val="FootnoteReference"/>
        </w:rPr>
        <w:footnoteReference w:id="800"/>
      </w:r>
      <w:r w:rsidRPr="00F9149B">
        <w:t xml:space="preserve"> Together, these</w:t>
      </w:r>
      <w:r w:rsidRPr="00EE6F87">
        <w:t xml:space="preserve"> contracts account for approximately </w:t>
      </w:r>
      <w:r w:rsidRPr="00EE6F87">
        <w:rPr>
          <w:b/>
        </w:rPr>
        <w:t>[</w:t>
      </w:r>
      <w:r w:rsidR="00E8168B" w:rsidRPr="00C8434D">
        <w:rPr>
          <w:b/>
          <w:szCs w:val="16"/>
        </w:rPr>
        <w:t>BCI</w:t>
      </w:r>
      <w:r w:rsidRPr="00EE6F87">
        <w:rPr>
          <w:b/>
        </w:rPr>
        <w:t>]</w:t>
      </w:r>
      <w:r w:rsidRPr="00EE6F87">
        <w:t>% of all LA/MSF for the A350XWB project.</w:t>
      </w:r>
      <w:r w:rsidRPr="00EE6F87">
        <w:rPr>
          <w:rStyle w:val="FootnoteReference"/>
        </w:rPr>
        <w:footnoteReference w:id="801"/>
      </w:r>
      <w:r w:rsidRPr="00EE6F87">
        <w:t xml:space="preserve"> In contrast, under the A380 project, it is undisputed that only </w:t>
      </w:r>
      <w:r w:rsidRPr="00EE6F87">
        <w:rPr>
          <w:b/>
        </w:rPr>
        <w:t>[</w:t>
      </w:r>
      <w:r w:rsidR="00E8168B" w:rsidRPr="00C8434D">
        <w:rPr>
          <w:b/>
          <w:szCs w:val="16"/>
        </w:rPr>
        <w:t>BCI</w:t>
      </w:r>
      <w:r w:rsidRPr="00EE6F87">
        <w:rPr>
          <w:b/>
        </w:rPr>
        <w:t>]</w:t>
      </w:r>
      <w:r w:rsidRPr="00EE6F87">
        <w:t xml:space="preserve"> of the LA/MSF </w:t>
      </w:r>
      <w:r w:rsidR="009343AF" w:rsidRPr="009343AF">
        <w:rPr>
          <w:b/>
        </w:rPr>
        <w:t>[</w:t>
      </w:r>
      <w:r w:rsidR="00E8168B" w:rsidRPr="00C8434D">
        <w:rPr>
          <w:b/>
          <w:szCs w:val="16"/>
        </w:rPr>
        <w:t>BCI</w:t>
      </w:r>
      <w:r w:rsidR="009343AF" w:rsidRPr="009343AF">
        <w:rPr>
          <w:b/>
        </w:rPr>
        <w:t>]</w:t>
      </w:r>
      <w:r w:rsidRPr="00EE6F87">
        <w:t xml:space="preserve"> contained certain risk-reducing terms (the </w:t>
      </w:r>
      <w:r w:rsidRPr="00EE6F87">
        <w:rPr>
          <w:b/>
        </w:rPr>
        <w:t>[</w:t>
      </w:r>
      <w:r w:rsidR="00E8168B" w:rsidRPr="00C8434D">
        <w:rPr>
          <w:b/>
          <w:szCs w:val="16"/>
        </w:rPr>
        <w:t>BCI</w:t>
      </w:r>
      <w:r w:rsidR="009343AF" w:rsidRPr="009343AF">
        <w:rPr>
          <w:b/>
        </w:rPr>
        <w:t>]</w:t>
      </w:r>
      <w:r w:rsidRPr="00EE6F87">
        <w:t xml:space="preserve">), which accounted for approximately </w:t>
      </w:r>
      <w:r w:rsidRPr="00EE6F87">
        <w:rPr>
          <w:b/>
        </w:rPr>
        <w:t>[</w:t>
      </w:r>
      <w:r w:rsidR="00E8168B" w:rsidRPr="00C8434D">
        <w:rPr>
          <w:b/>
          <w:szCs w:val="16"/>
        </w:rPr>
        <w:t>BCI</w:t>
      </w:r>
      <w:r w:rsidRPr="00EE6F87">
        <w:rPr>
          <w:b/>
        </w:rPr>
        <w:t>]</w:t>
      </w:r>
      <w:r w:rsidRPr="00EE6F87">
        <w:t>% of all LA/MSF for the A380.</w:t>
      </w:r>
      <w:r w:rsidRPr="00EE6F87">
        <w:rPr>
          <w:rStyle w:val="FootnoteReference"/>
        </w:rPr>
        <w:footnoteReference w:id="802"/>
      </w:r>
      <w:r w:rsidRPr="00EE6F87">
        <w:t xml:space="preserve"> In the </w:t>
      </w:r>
      <w:r w:rsidR="000A10EA">
        <w:t>European Union</w:t>
      </w:r>
      <w:r w:rsidRPr="00EE6F87">
        <w:t>'s view, the fact that significantly more LA/MSF for the A350XWB project is provided through contracts containing risk-reducing terms implies</w:t>
      </w:r>
      <w:r w:rsidRPr="00097064">
        <w:t xml:space="preserve"> </w:t>
      </w:r>
      <w:r w:rsidRPr="00EE6F87">
        <w:t>that, relative to the A380 project, it has become more important to take into account risk-reducing terms when establishing the risk premium for the A350XWB.</w:t>
      </w:r>
      <w:r w:rsidRPr="00EE6F87">
        <w:rPr>
          <w:rStyle w:val="FootnoteReference"/>
        </w:rPr>
        <w:footnoteReference w:id="803"/>
      </w:r>
      <w:r w:rsidRPr="00EE6F87">
        <w:t xml:space="preserve"> The </w:t>
      </w:r>
      <w:r w:rsidR="000A10EA">
        <w:t>European Union</w:t>
      </w:r>
      <w:r w:rsidRPr="00EE6F87">
        <w:t xml:space="preserve"> contends that the Panel acted inconsistently with </w:t>
      </w:r>
      <w:r w:rsidR="000A10EA">
        <w:t>Article </w:t>
      </w:r>
      <w:r w:rsidRPr="00EE6F87">
        <w:t>11 because it failed to take this objec</w:t>
      </w:r>
      <w:r w:rsidR="000F4E37">
        <w:t>tive factor into </w:t>
      </w:r>
      <w:r w:rsidRPr="00EE6F87">
        <w:t>account.</w:t>
      </w:r>
    </w:p>
    <w:p w:rsidR="0007161B" w:rsidRPr="00495475" w:rsidRDefault="0007161B" w:rsidP="009E6402">
      <w:pPr>
        <w:pStyle w:val="BodyText"/>
      </w:pPr>
      <w:r w:rsidRPr="00EE6F87">
        <w:t xml:space="preserve">Having reviewed the Panel record, we observe that the </w:t>
      </w:r>
      <w:r w:rsidR="000A10EA">
        <w:t>European Union</w:t>
      </w:r>
      <w:r w:rsidRPr="00EE6F87">
        <w:t xml:space="preserve"> does </w:t>
      </w:r>
      <w:r w:rsidRPr="00EE6F87">
        <w:rPr>
          <w:i/>
        </w:rPr>
        <w:t>not</w:t>
      </w:r>
      <w:r w:rsidRPr="00EE6F87">
        <w:t xml:space="preserve"> appear to have argued before the Panel that the fact that significantly more A350XWB LA/MSF is provided through contracts containing risk-reducing terms implies that, relative to the A380 project, it </w:t>
      </w:r>
      <w:r>
        <w:t xml:space="preserve">is </w:t>
      </w:r>
      <w:r w:rsidRPr="00EE6F87">
        <w:t>more important to take into account risk</w:t>
      </w:r>
      <w:r w:rsidRPr="00EE6F87">
        <w:noBreakHyphen/>
        <w:t xml:space="preserve">reducing terms when establishing the risk premium for the A350XWB, as </w:t>
      </w:r>
      <w:r>
        <w:t xml:space="preserve">the </w:t>
      </w:r>
      <w:r w:rsidR="000A10EA">
        <w:t>European Union</w:t>
      </w:r>
      <w:r w:rsidRPr="00EE6F87">
        <w:t xml:space="preserve"> now contends on appeal. </w:t>
      </w:r>
      <w:r>
        <w:t>I</w:t>
      </w:r>
      <w:r w:rsidRPr="00EE6F87">
        <w:t>t may possibly be correct that, relative to the A380, more LA/MSF for the A350XWB project is provided through contracts containing risk-reducing terms</w:t>
      </w:r>
      <w:r>
        <w:t>. However, w</w:t>
      </w:r>
      <w:r w:rsidRPr="00097064">
        <w:t>e do not consider</w:t>
      </w:r>
      <w:r>
        <w:t xml:space="preserve"> that the </w:t>
      </w:r>
      <w:r w:rsidR="000A10EA">
        <w:t>European Union</w:t>
      </w:r>
      <w:r>
        <w:t xml:space="preserve"> has established its claim of inconsistency with </w:t>
      </w:r>
      <w:r w:rsidR="000A10EA">
        <w:t>Article </w:t>
      </w:r>
      <w:r>
        <w:t>11, given that the Panel properly assessed the arguments and evidence that the parties had presented</w:t>
      </w:r>
      <w:r w:rsidRPr="00097064">
        <w:t xml:space="preserve">. </w:t>
      </w:r>
      <w:r>
        <w:t xml:space="preserve">In any </w:t>
      </w:r>
      <w:r w:rsidRPr="004820A8">
        <w:t xml:space="preserve">event, even assuming that more A350XWB LA/MSF may have been provided through contracts containing risk-reducing terms than was the case in the context of the A380 project, we understand the Panel to have taken this into account in its overall consideration of whether the </w:t>
      </w:r>
      <w:r w:rsidRPr="004820A8">
        <w:rPr>
          <w:i/>
        </w:rPr>
        <w:t>overall</w:t>
      </w:r>
      <w:r w:rsidRPr="004820A8">
        <w:t xml:space="preserve"> project</w:t>
      </w:r>
      <w:r w:rsidR="00AC2FB9">
        <w:t xml:space="preserve">-specific risks between the </w:t>
      </w:r>
      <w:r w:rsidR="00AC2FB9">
        <w:lastRenderedPageBreak/>
        <w:t>two </w:t>
      </w:r>
      <w:r w:rsidRPr="004820A8">
        <w:t>projects were sufficiently similar, "such that</w:t>
      </w:r>
      <w:r w:rsidRPr="00AD360A">
        <w:t xml:space="preserve"> it would be reasonable to conclude that the WRP could be used as the project-specific risk premium</w:t>
      </w:r>
      <w:r w:rsidRPr="00097064">
        <w:t xml:space="preserve"> for the A350XWB</w:t>
      </w:r>
      <w:r>
        <w:t>.</w:t>
      </w:r>
      <w:r w:rsidRPr="00097064">
        <w:t>"</w:t>
      </w:r>
      <w:r w:rsidRPr="00097064">
        <w:rPr>
          <w:rStyle w:val="FootnoteReference"/>
        </w:rPr>
        <w:footnoteReference w:id="804"/>
      </w:r>
    </w:p>
    <w:p w:rsidR="0007161B" w:rsidRDefault="0007161B" w:rsidP="009E6402">
      <w:pPr>
        <w:pStyle w:val="BodyText"/>
      </w:pPr>
      <w:r>
        <w:t>In its</w:t>
      </w:r>
      <w:r w:rsidRPr="00097064">
        <w:t xml:space="preserve"> third line of argumentation, the </w:t>
      </w:r>
      <w:r w:rsidR="000A10EA">
        <w:t>European Union</w:t>
      </w:r>
      <w:r w:rsidRPr="00EE6F87">
        <w:t xml:space="preserve"> argues that, in its comparison of the risk-reducing terms in the LA/MSF contracts for the A350XWB and A380 projects, the Panel ignored the </w:t>
      </w:r>
      <w:r w:rsidRPr="00EE6F87">
        <w:rPr>
          <w:i/>
        </w:rPr>
        <w:t>relative</w:t>
      </w:r>
      <w:r w:rsidRPr="00EE6F87">
        <w:t xml:space="preserve"> importance of these risk-reducing terms </w:t>
      </w:r>
      <w:r w:rsidRPr="0072627E">
        <w:rPr>
          <w:i/>
        </w:rPr>
        <w:t>i</w:t>
      </w:r>
      <w:r w:rsidRPr="00805E60">
        <w:rPr>
          <w:i/>
        </w:rPr>
        <w:t>n light of the particular risks to which each project was considered to be exposed</w:t>
      </w:r>
      <w:r w:rsidRPr="00EE6F87">
        <w:t xml:space="preserve">. </w:t>
      </w:r>
      <w:r>
        <w:t xml:space="preserve">According to the </w:t>
      </w:r>
      <w:r w:rsidR="000A10EA">
        <w:t>European Union</w:t>
      </w:r>
      <w:r>
        <w:t>, t</w:t>
      </w:r>
      <w:r w:rsidRPr="00EE6F87">
        <w:t>he Panel failed to consider that, in comparison with the A380 LA/MSF contracts, the lenders' (slightly) higher exposure to "development risk" under the A350XWB LA/MSF contracts is reduced precisely as a result of the risk</w:t>
      </w:r>
      <w:r w:rsidRPr="00EE6F87">
        <w:noBreakHyphen/>
        <w:t xml:space="preserve">reducing terms in those A350XWB LA/MSF contracts. Thus, for the </w:t>
      </w:r>
      <w:r w:rsidR="000A10EA">
        <w:t>European Union</w:t>
      </w:r>
      <w:r w:rsidRPr="00EE6F87">
        <w:t>,</w:t>
      </w:r>
      <w:r w:rsidRPr="00097064">
        <w:t xml:space="preserve"> </w:t>
      </w:r>
      <w:r w:rsidRPr="00EE6F87">
        <w:t xml:space="preserve">the risk-reducing terms in the A350XWB LA/MSF contracts are more consequential than </w:t>
      </w:r>
      <w:r>
        <w:t xml:space="preserve">the </w:t>
      </w:r>
      <w:r w:rsidRPr="00EE6F87">
        <w:t>risk-reducing terms in the A380 LA/MSF contracts.</w:t>
      </w:r>
      <w:r w:rsidRPr="00EE6F87">
        <w:rPr>
          <w:rStyle w:val="FootnoteReference"/>
        </w:rPr>
        <w:footnoteReference w:id="805"/>
      </w:r>
    </w:p>
    <w:p w:rsidR="0007161B" w:rsidRDefault="0007161B" w:rsidP="009E6402">
      <w:pPr>
        <w:pStyle w:val="BodyText"/>
      </w:pPr>
      <w:r w:rsidRPr="00EE6F87">
        <w:t xml:space="preserve">Again, </w:t>
      </w:r>
      <w:r>
        <w:t xml:space="preserve">we note that </w:t>
      </w:r>
      <w:r w:rsidRPr="00EE6F87">
        <w:t xml:space="preserve">the </w:t>
      </w:r>
      <w:r w:rsidR="000A10EA">
        <w:t>European Union</w:t>
      </w:r>
      <w:r w:rsidRPr="00EE6F87">
        <w:t xml:space="preserve"> did </w:t>
      </w:r>
      <w:r w:rsidRPr="002473FA">
        <w:rPr>
          <w:i/>
        </w:rPr>
        <w:t>not</w:t>
      </w:r>
      <w:r w:rsidRPr="00EE6F87">
        <w:t xml:space="preserve"> argue before the Panel that the r</w:t>
      </w:r>
      <w:r>
        <w:t>isk</w:t>
      </w:r>
      <w:r>
        <w:noBreakHyphen/>
      </w:r>
      <w:r w:rsidRPr="00EE6F87">
        <w:t>reducing terms in the A350XWB LA/MSF contracts are more consequential than those in the A380 LA/MSF contracts because the lenders' (slightly) higher exposure to "development risk" under the A350XWB LA/MSF contracts is reduced precisely as a result of the risk-reducing terms.</w:t>
      </w:r>
      <w:r w:rsidRPr="00097064">
        <w:t xml:space="preserve"> </w:t>
      </w:r>
      <w:r>
        <w:t>W</w:t>
      </w:r>
      <w:r w:rsidRPr="00097064">
        <w:t>e</w:t>
      </w:r>
      <w:r>
        <w:t xml:space="preserve"> </w:t>
      </w:r>
      <w:r w:rsidRPr="00097064">
        <w:t>do not consider</w:t>
      </w:r>
      <w:r>
        <w:t xml:space="preserve"> that the </w:t>
      </w:r>
      <w:r w:rsidR="000A10EA">
        <w:t>European Union</w:t>
      </w:r>
      <w:r>
        <w:t xml:space="preserve"> has established its claim of inconsistency with</w:t>
      </w:r>
      <w:r w:rsidRPr="00097064">
        <w:t xml:space="preserve"> </w:t>
      </w:r>
      <w:r w:rsidR="000A10EA">
        <w:t>Article </w:t>
      </w:r>
      <w:r>
        <w:t xml:space="preserve">11 given that the Panel properly assessed the arguments and evidence that were put before </w:t>
      </w:r>
      <w:r w:rsidRPr="0056588D">
        <w:t>it</w:t>
      </w:r>
      <w:r>
        <w:t xml:space="preserve"> by the parties</w:t>
      </w:r>
      <w:r w:rsidRPr="00097064">
        <w:t>.</w:t>
      </w:r>
      <w:r w:rsidRPr="00097064">
        <w:rPr>
          <w:rStyle w:val="FootnoteReference"/>
        </w:rPr>
        <w:footnoteReference w:id="806"/>
      </w:r>
      <w:r>
        <w:t xml:space="preserve"> </w:t>
      </w:r>
    </w:p>
    <w:p w:rsidR="0007161B" w:rsidRDefault="0007161B" w:rsidP="009E6402">
      <w:pPr>
        <w:pStyle w:val="BodyText"/>
      </w:pPr>
      <w:r w:rsidRPr="00EE6F87">
        <w:t>For the foregoing reasons,</w:t>
      </w:r>
      <w:r>
        <w:t xml:space="preserve"> we </w:t>
      </w:r>
      <w:r w:rsidRPr="00CA25E4">
        <w:rPr>
          <w:u w:val="single"/>
        </w:rPr>
        <w:t>find</w:t>
      </w:r>
      <w:r>
        <w:rPr>
          <w:i/>
        </w:rPr>
        <w:t xml:space="preserve"> </w:t>
      </w:r>
      <w:r>
        <w:t xml:space="preserve">that the </w:t>
      </w:r>
      <w:r w:rsidR="000A10EA">
        <w:t>European Union</w:t>
      </w:r>
      <w:r>
        <w:t xml:space="preserve"> has failed to establish that the Panel's comparison of</w:t>
      </w:r>
      <w:r w:rsidRPr="00097064">
        <w:t xml:space="preserve"> the </w:t>
      </w:r>
      <w:r w:rsidRPr="00EE6F87">
        <w:t xml:space="preserve">A350XWB </w:t>
      </w:r>
      <w:r>
        <w:t xml:space="preserve">LA/MSF contracts with the </w:t>
      </w:r>
      <w:r w:rsidRPr="00EE6F87">
        <w:t>A380 LA/MSF contracts</w:t>
      </w:r>
      <w:r>
        <w:t xml:space="preserve"> </w:t>
      </w:r>
      <w:r w:rsidRPr="00EE6F87">
        <w:t>lacks a sufficient evidentiary basis</w:t>
      </w:r>
      <w:r>
        <w:t xml:space="preserve"> in a manner inconsistent with the requirements of</w:t>
      </w:r>
      <w:r w:rsidRPr="00EE6F87">
        <w:t xml:space="preserve"> </w:t>
      </w:r>
      <w:r w:rsidR="000A10EA">
        <w:t>Article </w:t>
      </w:r>
      <w:r w:rsidR="000F4E37">
        <w:t>11 of </w:t>
      </w:r>
      <w:r w:rsidR="002E2B33">
        <w:t>the </w:t>
      </w:r>
      <w:r w:rsidRPr="00EE6F87">
        <w:t>DSU</w:t>
      </w:r>
      <w:r>
        <w:t>.</w:t>
      </w:r>
    </w:p>
    <w:p w:rsidR="0007161B" w:rsidRPr="00452C30" w:rsidRDefault="0007161B" w:rsidP="009E6402">
      <w:pPr>
        <w:pStyle w:val="Heading6"/>
      </w:pPr>
      <w:bookmarkStart w:id="99" w:name="_Toc514059238"/>
      <w:r w:rsidRPr="00452C30">
        <w:t>Whether the Panel failed to compare the terms of the A350XWB LA/MSF contracts to the terms of the A380 risk-sharing supplier contracts</w:t>
      </w:r>
      <w:bookmarkEnd w:id="99"/>
    </w:p>
    <w:p w:rsidR="0007161B" w:rsidRDefault="0007161B" w:rsidP="009E6402">
      <w:pPr>
        <w:pStyle w:val="BodyText"/>
      </w:pPr>
      <w:r w:rsidRPr="00EE6F87">
        <w:t xml:space="preserve">The </w:t>
      </w:r>
      <w:r w:rsidR="000A10EA">
        <w:t>European Union</w:t>
      </w:r>
      <w:r w:rsidRPr="00EE6F87">
        <w:t xml:space="preserve"> submits that the Panel </w:t>
      </w:r>
      <w:r>
        <w:t>also acted inconsistently with</w:t>
      </w:r>
      <w:r w:rsidRPr="00EE6F87">
        <w:t xml:space="preserve"> </w:t>
      </w:r>
      <w:r w:rsidR="000A10EA">
        <w:t>Article </w:t>
      </w:r>
      <w:r w:rsidRPr="00EE6F87">
        <w:t xml:space="preserve">11 of the DSU </w:t>
      </w:r>
      <w:r>
        <w:t>by</w:t>
      </w:r>
      <w:r w:rsidRPr="00EE6F87">
        <w:t xml:space="preserve"> fail</w:t>
      </w:r>
      <w:r>
        <w:t>ing</w:t>
      </w:r>
      <w:r w:rsidRPr="00EE6F87">
        <w:t xml:space="preserve"> to compare the terms of the A350XWB LA/MSF contracts to </w:t>
      </w:r>
      <w:r w:rsidRPr="00627703">
        <w:t>the terms of the A380 risk-sharing supplier contracts, which were used in the original proceedings to derive the project risk premium for the A380 LA/MSF contracts</w:t>
      </w:r>
      <w:r>
        <w:t xml:space="preserve"> (i.e. the WRP)</w:t>
      </w:r>
      <w:r w:rsidRPr="00627703">
        <w:t xml:space="preserve">. </w:t>
      </w:r>
      <w:r w:rsidRPr="00EE6F87">
        <w:t xml:space="preserve">According to the </w:t>
      </w:r>
      <w:r w:rsidR="000A10EA">
        <w:t>European Union</w:t>
      </w:r>
      <w:r w:rsidRPr="00EE6F87">
        <w:t xml:space="preserve">, the problem with the Panel's approach is that, without a proper examination of the terms of the A380 </w:t>
      </w:r>
      <w:r w:rsidRPr="00627703">
        <w:t xml:space="preserve">risk-sharing supplier </w:t>
      </w:r>
      <w:r w:rsidRPr="00EE6F87">
        <w:t xml:space="preserve">contracts, the Panel could not </w:t>
      </w:r>
      <w:r>
        <w:t xml:space="preserve">have </w:t>
      </w:r>
      <w:r w:rsidRPr="00EE6F87">
        <w:t>know</w:t>
      </w:r>
      <w:r>
        <w:t>n</w:t>
      </w:r>
      <w:r w:rsidRPr="00EE6F87">
        <w:t xml:space="preserve"> whether</w:t>
      </w:r>
      <w:r>
        <w:t xml:space="preserve"> they were "</w:t>
      </w:r>
      <w:r w:rsidRPr="00EE6F87">
        <w:t>dissimilar</w:t>
      </w:r>
      <w:r>
        <w:t>"</w:t>
      </w:r>
      <w:r w:rsidRPr="00EE6F87">
        <w:t xml:space="preserve"> to the terms of the A350XWB LA/MSF contracts.</w:t>
      </w:r>
      <w:r>
        <w:rPr>
          <w:rStyle w:val="FootnoteReference"/>
        </w:rPr>
        <w:footnoteReference w:id="807"/>
      </w:r>
      <w:r>
        <w:t xml:space="preserve"> </w:t>
      </w:r>
      <w:r w:rsidRPr="00AA1A3C">
        <w:t xml:space="preserve">The </w:t>
      </w:r>
      <w:r w:rsidR="000A10EA">
        <w:t>European Union</w:t>
      </w:r>
      <w:r w:rsidRPr="00AA1A3C">
        <w:t xml:space="preserve"> highlights that, since the</w:t>
      </w:r>
      <w:r w:rsidR="000F4E37">
        <w:t> </w:t>
      </w:r>
      <w:r w:rsidRPr="00AA1A3C">
        <w:t xml:space="preserve">A380 risk-sharing supplier contracts do not form part of the record, the Panel evidently failed to compare the terms of the A350XWB LA/MSF contracts to those of the A380 risk-sharing supplier </w:t>
      </w:r>
      <w:r w:rsidRPr="00EE6F87">
        <w:t>contracts.</w:t>
      </w:r>
      <w:r w:rsidRPr="00EE6F87">
        <w:rPr>
          <w:rStyle w:val="FootnoteReference"/>
        </w:rPr>
        <w:footnoteReference w:id="808"/>
      </w:r>
      <w:r w:rsidRPr="00EE6F87">
        <w:t xml:space="preserve"> </w:t>
      </w:r>
    </w:p>
    <w:p w:rsidR="0007161B" w:rsidRDefault="0007161B" w:rsidP="009E6402">
      <w:pPr>
        <w:pStyle w:val="BodyText"/>
      </w:pPr>
      <w:r>
        <w:t>T</w:t>
      </w:r>
      <w:r w:rsidRPr="00EE6F87">
        <w:t xml:space="preserve">he </w:t>
      </w:r>
      <w:r w:rsidR="000A10EA">
        <w:t>United States</w:t>
      </w:r>
      <w:r w:rsidRPr="00EE6F87">
        <w:t xml:space="preserve"> disagrees with the </w:t>
      </w:r>
      <w:r w:rsidR="000A10EA">
        <w:t>European Union</w:t>
      </w:r>
      <w:r w:rsidRPr="00EE6F87">
        <w:t xml:space="preserve">'s claim that the Panel acted inconsistently with </w:t>
      </w:r>
      <w:r w:rsidR="000A10EA">
        <w:t>Article </w:t>
      </w:r>
      <w:r w:rsidRPr="00EE6F87">
        <w:t>11 of the DSU.</w:t>
      </w:r>
      <w:r w:rsidRPr="00EE6F87">
        <w:rPr>
          <w:rStyle w:val="FootnoteReference"/>
        </w:rPr>
        <w:footnoteReference w:id="809"/>
      </w:r>
      <w:r w:rsidRPr="00EE6F87">
        <w:t xml:space="preserve"> </w:t>
      </w:r>
      <w:r>
        <w:t xml:space="preserve">According to the </w:t>
      </w:r>
      <w:r w:rsidR="000A10EA">
        <w:t>United States</w:t>
      </w:r>
      <w:r>
        <w:t>, t</w:t>
      </w:r>
      <w:r w:rsidRPr="00EE6F87">
        <w:t>he Panel assessed whether the relevant risks for the A350</w:t>
      </w:r>
      <w:r>
        <w:t>XWB</w:t>
      </w:r>
      <w:r w:rsidRPr="00EE6F87">
        <w:t xml:space="preserve"> </w:t>
      </w:r>
      <w:r>
        <w:t xml:space="preserve">project </w:t>
      </w:r>
      <w:r w:rsidRPr="00EE6F87">
        <w:t>were comparable to those for the A380</w:t>
      </w:r>
      <w:r>
        <w:t xml:space="preserve"> project</w:t>
      </w:r>
      <w:r w:rsidRPr="00EE6F87">
        <w:t xml:space="preserve">. In doing so, it was </w:t>
      </w:r>
      <w:r>
        <w:t>unnecessary for the Panel to re</w:t>
      </w:r>
      <w:r>
        <w:noBreakHyphen/>
      </w:r>
      <w:r w:rsidRPr="00EE6F87">
        <w:t>examine the</w:t>
      </w:r>
      <w:r>
        <w:t xml:space="preserve"> basis for the</w:t>
      </w:r>
      <w:r w:rsidRPr="00EE6F87">
        <w:t xml:space="preserve"> A380 risk premium </w:t>
      </w:r>
      <w:r>
        <w:t>from</w:t>
      </w:r>
      <w:r w:rsidRPr="00EE6F87">
        <w:t xml:space="preserve"> the original panel proceedings.</w:t>
      </w:r>
      <w:r w:rsidRPr="00EE6F87">
        <w:rPr>
          <w:rStyle w:val="FootnoteReference"/>
        </w:rPr>
        <w:footnoteReference w:id="810"/>
      </w:r>
    </w:p>
    <w:p w:rsidR="0007161B" w:rsidRDefault="0007161B" w:rsidP="009E6402">
      <w:pPr>
        <w:pStyle w:val="BodyText"/>
      </w:pPr>
      <w:r>
        <w:lastRenderedPageBreak/>
        <w:t>Based on o</w:t>
      </w:r>
      <w:r w:rsidRPr="00EE6F87">
        <w:t>ur review of the Panel record</w:t>
      </w:r>
      <w:r>
        <w:t>, it appears</w:t>
      </w:r>
      <w:r w:rsidRPr="00EE6F87">
        <w:t xml:space="preserve"> that, before the Panel, the </w:t>
      </w:r>
      <w:r w:rsidR="000A10EA">
        <w:t>European Union</w:t>
      </w:r>
      <w:r w:rsidRPr="00EE6F87">
        <w:t xml:space="preserve"> did </w:t>
      </w:r>
      <w:r w:rsidRPr="00F2056E">
        <w:rPr>
          <w:i/>
        </w:rPr>
        <w:t>not</w:t>
      </w:r>
      <w:r w:rsidRPr="00EE6F87">
        <w:t xml:space="preserve"> request the Panel to compare the A350XWB LA/MSF contracts with the A380 </w:t>
      </w:r>
      <w:r w:rsidRPr="00627703">
        <w:t xml:space="preserve">risk-sharing supplier </w:t>
      </w:r>
      <w:r w:rsidRPr="00EE6F87">
        <w:t>contracts. Moreover, as acknowledged by</w:t>
      </w:r>
      <w:r w:rsidRPr="00097064">
        <w:t xml:space="preserve"> </w:t>
      </w:r>
      <w:r w:rsidRPr="00EE6F87">
        <w:t xml:space="preserve">the </w:t>
      </w:r>
      <w:r w:rsidR="000A10EA">
        <w:t>European Union</w:t>
      </w:r>
      <w:r w:rsidRPr="00EE6F87">
        <w:t xml:space="preserve"> itself, "the A380 </w:t>
      </w:r>
      <w:r>
        <w:t>{</w:t>
      </w:r>
      <w:r w:rsidRPr="00627703">
        <w:t>risk-sharing supplier</w:t>
      </w:r>
      <w:r>
        <w:t>}</w:t>
      </w:r>
      <w:r w:rsidRPr="00627703">
        <w:t xml:space="preserve"> </w:t>
      </w:r>
      <w:r w:rsidRPr="00EE6F87">
        <w:t>contracts do not form part of the record</w:t>
      </w:r>
      <w:r>
        <w:t>.</w:t>
      </w:r>
      <w:r w:rsidRPr="00EE6F87">
        <w:t>"</w:t>
      </w:r>
      <w:r w:rsidRPr="00EE6F87">
        <w:rPr>
          <w:rStyle w:val="FootnoteReference"/>
        </w:rPr>
        <w:footnoteReference w:id="811"/>
      </w:r>
      <w:r w:rsidRPr="00EE6F87">
        <w:t xml:space="preserve"> </w:t>
      </w:r>
      <w:r>
        <w:t>T</w:t>
      </w:r>
      <w:r w:rsidRPr="00EE6F87">
        <w:t xml:space="preserve">he </w:t>
      </w:r>
      <w:r w:rsidR="000A10EA">
        <w:t>European Union</w:t>
      </w:r>
      <w:r w:rsidRPr="00EE6F87">
        <w:t xml:space="preserve"> did not provide these A380 </w:t>
      </w:r>
      <w:r w:rsidRPr="00627703">
        <w:t xml:space="preserve">risk-sharing supplier </w:t>
      </w:r>
      <w:r w:rsidRPr="00EE6F87">
        <w:t xml:space="preserve">contracts to the Panel. It appears that, even though in the original proceedings Professor Whitelaw derived the WRP from the A380 </w:t>
      </w:r>
      <w:r w:rsidRPr="00627703">
        <w:t xml:space="preserve">risk-sharing supplier </w:t>
      </w:r>
      <w:r w:rsidRPr="00EE6F87">
        <w:t>contracts</w:t>
      </w:r>
      <w:r w:rsidRPr="00EE6F87">
        <w:rPr>
          <w:rStyle w:val="FootnoteReference"/>
        </w:rPr>
        <w:footnoteReference w:id="812"/>
      </w:r>
      <w:r w:rsidRPr="00EE6F87">
        <w:t xml:space="preserve">, the </w:t>
      </w:r>
      <w:r w:rsidR="000A10EA">
        <w:t>European Union</w:t>
      </w:r>
      <w:r w:rsidRPr="00EE6F87">
        <w:t xml:space="preserve"> had only submitted </w:t>
      </w:r>
      <w:r w:rsidRPr="00F2056E">
        <w:rPr>
          <w:i/>
        </w:rPr>
        <w:t>one</w:t>
      </w:r>
      <w:r w:rsidRPr="00EE6F87">
        <w:t xml:space="preserve"> of these contracts to the original panel.</w:t>
      </w:r>
      <w:r w:rsidRPr="00EE6F87">
        <w:rPr>
          <w:rStyle w:val="FootnoteReference"/>
        </w:rPr>
        <w:footnoteReference w:id="813"/>
      </w:r>
      <w:r w:rsidRPr="00EE6F87">
        <w:t xml:space="preserve"> </w:t>
      </w:r>
      <w:r>
        <w:t>Had</w:t>
      </w:r>
      <w:r w:rsidRPr="00EE6F87">
        <w:t xml:space="preserve"> the </w:t>
      </w:r>
      <w:r w:rsidR="000A10EA">
        <w:t>European Union</w:t>
      </w:r>
      <w:r w:rsidRPr="00EE6F87">
        <w:t xml:space="preserve"> considered that this inquiry was </w:t>
      </w:r>
      <w:r>
        <w:t>required</w:t>
      </w:r>
      <w:r w:rsidRPr="00EE6F87">
        <w:t xml:space="preserve"> to ensure the proper determination of the A350XWB project-specific risk premium</w:t>
      </w:r>
      <w:r>
        <w:t xml:space="preserve">, it should have </w:t>
      </w:r>
      <w:r w:rsidRPr="00EE6F87">
        <w:t>pursue</w:t>
      </w:r>
      <w:r>
        <w:t>d</w:t>
      </w:r>
      <w:r w:rsidRPr="00EE6F87">
        <w:t xml:space="preserve"> this line of argumentation before the Panel, including by providing the necessary evidence.</w:t>
      </w:r>
      <w:r w:rsidR="000F4E37">
        <w:t xml:space="preserve"> The </w:t>
      </w:r>
      <w:r w:rsidR="000A10EA">
        <w:t>European Union</w:t>
      </w:r>
      <w:r>
        <w:t xml:space="preserve"> did not do so.</w:t>
      </w:r>
      <w:r w:rsidRPr="00EE6F87">
        <w:t xml:space="preserve"> </w:t>
      </w:r>
      <w:r>
        <w:t xml:space="preserve">In light of this fact, we do not consider that the Panel's analysis would reflect a lack of objectivity contrary to </w:t>
      </w:r>
      <w:r w:rsidR="000A10EA">
        <w:t>Article </w:t>
      </w:r>
      <w:r>
        <w:t>11.</w:t>
      </w:r>
    </w:p>
    <w:p w:rsidR="0007161B" w:rsidRDefault="0007161B" w:rsidP="009E6402">
      <w:pPr>
        <w:pStyle w:val="BodyText"/>
      </w:pPr>
      <w:r w:rsidRPr="00EE6F87">
        <w:t xml:space="preserve">For the foregoing reasons, we </w:t>
      </w:r>
      <w:r w:rsidRPr="00CA25E4">
        <w:rPr>
          <w:u w:val="single"/>
        </w:rPr>
        <w:t>find</w:t>
      </w:r>
      <w:r w:rsidRPr="006B3E15">
        <w:rPr>
          <w:i/>
        </w:rPr>
        <w:t xml:space="preserve"> </w:t>
      </w:r>
      <w:r>
        <w:t xml:space="preserve">that </w:t>
      </w:r>
      <w:r w:rsidRPr="00EE6F87">
        <w:t xml:space="preserve">the </w:t>
      </w:r>
      <w:r w:rsidR="000A10EA">
        <w:t>European Union</w:t>
      </w:r>
      <w:r>
        <w:t xml:space="preserve"> has failed to establish that </w:t>
      </w:r>
      <w:r w:rsidRPr="00EE6F87">
        <w:t xml:space="preserve">the Panel </w:t>
      </w:r>
      <w:r>
        <w:t>acted inconsistently with</w:t>
      </w:r>
      <w:r w:rsidRPr="00EE6F87">
        <w:t xml:space="preserve"> </w:t>
      </w:r>
      <w:r w:rsidR="000A10EA">
        <w:t>Article </w:t>
      </w:r>
      <w:r w:rsidRPr="00EE6F87">
        <w:t xml:space="preserve">11 of the DSU </w:t>
      </w:r>
      <w:r>
        <w:t xml:space="preserve">by failing to </w:t>
      </w:r>
      <w:r w:rsidRPr="00EE6F87">
        <w:t xml:space="preserve">compare the terms of the A350XWB LA/MSF contracts to </w:t>
      </w:r>
      <w:r w:rsidRPr="00627703">
        <w:t>the terms of the A380 risk-sharing supplier contracts</w:t>
      </w:r>
      <w:r>
        <w:t>.</w:t>
      </w:r>
    </w:p>
    <w:p w:rsidR="0007161B" w:rsidRPr="00250B2F" w:rsidRDefault="0007161B" w:rsidP="009E6402">
      <w:pPr>
        <w:pStyle w:val="Heading5"/>
      </w:pPr>
      <w:bookmarkStart w:id="100" w:name="_Toc514059239"/>
      <w:r w:rsidRPr="00250B2F">
        <w:t>The price of risk</w:t>
      </w:r>
      <w:bookmarkEnd w:id="100"/>
    </w:p>
    <w:p w:rsidR="0007161B" w:rsidRDefault="0007161B" w:rsidP="009E6402">
      <w:pPr>
        <w:pStyle w:val="BodyText"/>
      </w:pPr>
      <w:r>
        <w:t xml:space="preserve">The </w:t>
      </w:r>
      <w:r w:rsidR="000A10EA">
        <w:t>European Union</w:t>
      </w:r>
      <w:r>
        <w:t xml:space="preserve"> argues that, given its analysis of the price of risk</w:t>
      </w:r>
      <w:r w:rsidRPr="00097064">
        <w:rPr>
          <w:rStyle w:val="FootnoteReference"/>
        </w:rPr>
        <w:footnoteReference w:id="814"/>
      </w:r>
      <w:r w:rsidRPr="00097064">
        <w:t>, the Panel</w:t>
      </w:r>
      <w:r>
        <w:t xml:space="preserve"> acted inconsistently with </w:t>
      </w:r>
      <w:r w:rsidR="000A10EA">
        <w:t>Article </w:t>
      </w:r>
      <w:r>
        <w:t>11 of the DSU in</w:t>
      </w:r>
      <w:r w:rsidRPr="00097064">
        <w:t xml:space="preserve"> finding that "the overall project-specific risks </w:t>
      </w:r>
      <w:r>
        <w:t>{were}</w:t>
      </w:r>
      <w:r w:rsidRPr="00AD360A">
        <w:t xml:space="preserve"> </w:t>
      </w:r>
      <w:r w:rsidRPr="00097064">
        <w:t>sufficiently similar to allow the risk premium applied for A380 LA/MSF in the original proceeding to be applied to A350XWB LA/MSF</w:t>
      </w:r>
      <w:r>
        <w:t>.</w:t>
      </w:r>
      <w:r w:rsidRPr="00097064">
        <w:t>"</w:t>
      </w:r>
      <w:r w:rsidRPr="00097064">
        <w:rPr>
          <w:rStyle w:val="FootnoteReference"/>
        </w:rPr>
        <w:footnoteReference w:id="815"/>
      </w:r>
      <w:r>
        <w:t xml:space="preserve"> </w:t>
      </w:r>
      <w:r w:rsidRPr="00097064">
        <w:t xml:space="preserve">First, the </w:t>
      </w:r>
      <w:r w:rsidR="000A10EA">
        <w:t>European Union</w:t>
      </w:r>
      <w:r w:rsidRPr="00097064">
        <w:t xml:space="preserve"> submits that the Panel's finding </w:t>
      </w:r>
      <w:r>
        <w:t xml:space="preserve">that the risks associated with the A350XWB and A380 projects were overall </w:t>
      </w:r>
      <w:r w:rsidRPr="00097064">
        <w:t>sufficient</w:t>
      </w:r>
      <w:r>
        <w:t>ly</w:t>
      </w:r>
      <w:r w:rsidRPr="00097064">
        <w:t xml:space="preserve"> similar </w:t>
      </w:r>
      <w:r>
        <w:t>was</w:t>
      </w:r>
      <w:r w:rsidRPr="00097064">
        <w:t xml:space="preserve"> based on </w:t>
      </w:r>
      <w:r w:rsidRPr="00433F83">
        <w:rPr>
          <w:i/>
        </w:rPr>
        <w:t>incoherent reasoning</w:t>
      </w:r>
      <w:r w:rsidRPr="00097064">
        <w:t xml:space="preserve">. </w:t>
      </w:r>
      <w:r>
        <w:t>This is because,</w:t>
      </w:r>
      <w:r w:rsidRPr="00097064">
        <w:t xml:space="preserve"> with respect to the price of risk</w:t>
      </w:r>
      <w:r>
        <w:t>,</w:t>
      </w:r>
      <w:r w:rsidRPr="00097064">
        <w:t xml:space="preserve"> the Panel found that the </w:t>
      </w:r>
      <w:r w:rsidR="000A10EA">
        <w:t>United States</w:t>
      </w:r>
      <w:r w:rsidRPr="00097064">
        <w:t xml:space="preserve"> "did not discharge its evidentiary burden"</w:t>
      </w:r>
      <w:r w:rsidRPr="00097064">
        <w:rPr>
          <w:rStyle w:val="FootnoteReference"/>
        </w:rPr>
        <w:footnoteReference w:id="816"/>
      </w:r>
      <w:r w:rsidRPr="00097064">
        <w:t xml:space="preserve">, such that the </w:t>
      </w:r>
      <w:r w:rsidR="000A10EA">
        <w:t>United States</w:t>
      </w:r>
      <w:r w:rsidRPr="00097064">
        <w:t xml:space="preserve"> had not </w:t>
      </w:r>
      <w:r w:rsidRPr="00AD360A">
        <w:t xml:space="preserve">established that the price of risk in the context of the A380 project was sufficiently similar to the price of risk in the context of the A350XWB project. </w:t>
      </w:r>
      <w:r>
        <w:t>According to</w:t>
      </w:r>
      <w:r w:rsidRPr="00AD360A">
        <w:t xml:space="preserve"> the</w:t>
      </w:r>
      <w:r w:rsidRPr="00097064">
        <w:t xml:space="preserve"> </w:t>
      </w:r>
      <w:r w:rsidR="000A10EA">
        <w:t>European Union</w:t>
      </w:r>
      <w:r w:rsidRPr="00097064">
        <w:t>, "{t}his finding simply does not support, and is left by the Panel unreconciled with, the Panel's finding, in the very next sentence of its Report, that the</w:t>
      </w:r>
      <w:r>
        <w:t xml:space="preserve"> {overall}</w:t>
      </w:r>
      <w:r w:rsidRPr="00097064">
        <w:t xml:space="preserve"> risks posed by the two projects '</w:t>
      </w:r>
      <w:r>
        <w:t>{were}</w:t>
      </w:r>
      <w:r w:rsidRPr="00097064">
        <w:t xml:space="preserve"> sufficiently similar'."</w:t>
      </w:r>
      <w:r w:rsidRPr="00097064">
        <w:rPr>
          <w:rStyle w:val="FootnoteReference"/>
        </w:rPr>
        <w:footnoteReference w:id="817"/>
      </w:r>
      <w:r>
        <w:t xml:space="preserve"> </w:t>
      </w:r>
      <w:r w:rsidRPr="00097064">
        <w:t xml:space="preserve">Second, the </w:t>
      </w:r>
      <w:r w:rsidR="000A10EA">
        <w:t>European Union</w:t>
      </w:r>
      <w:r w:rsidRPr="00097064">
        <w:t xml:space="preserve"> asserts that the Panel's </w:t>
      </w:r>
      <w:r>
        <w:t>overall</w:t>
      </w:r>
      <w:r w:rsidRPr="00097064">
        <w:t xml:space="preserve"> finding of "sufficient similarity"</w:t>
      </w:r>
      <w:r>
        <w:t xml:space="preserve"> in relation to the A350XWB and A380 projects</w:t>
      </w:r>
      <w:r w:rsidRPr="00097064">
        <w:t xml:space="preserve"> does </w:t>
      </w:r>
      <w:r w:rsidRPr="00433F83">
        <w:rPr>
          <w:i/>
        </w:rPr>
        <w:t>not</w:t>
      </w:r>
      <w:r w:rsidRPr="00097064">
        <w:t xml:space="preserve"> </w:t>
      </w:r>
      <w:r>
        <w:t>have</w:t>
      </w:r>
      <w:r w:rsidRPr="00097064">
        <w:t xml:space="preserve"> an </w:t>
      </w:r>
      <w:r w:rsidRPr="00433F83">
        <w:rPr>
          <w:i/>
        </w:rPr>
        <w:t>evidentiary basis</w:t>
      </w:r>
      <w:r w:rsidRPr="00097064">
        <w:t>.</w:t>
      </w:r>
      <w:r w:rsidR="00E90B11">
        <w:rPr>
          <w:rStyle w:val="FootnoteReference"/>
        </w:rPr>
        <w:footnoteReference w:id="818"/>
      </w:r>
      <w:r w:rsidRPr="00097064">
        <w:t xml:space="preserve"> </w:t>
      </w:r>
      <w:r>
        <w:t>T</w:t>
      </w:r>
      <w:r w:rsidRPr="00097064">
        <w:t xml:space="preserve">he </w:t>
      </w:r>
      <w:r w:rsidR="000A10EA">
        <w:t>European Union</w:t>
      </w:r>
      <w:r w:rsidRPr="00097064">
        <w:t xml:space="preserve"> considers that</w:t>
      </w:r>
      <w:r>
        <w:t>,</w:t>
      </w:r>
      <w:r w:rsidRPr="00097064">
        <w:t xml:space="preserve"> </w:t>
      </w:r>
      <w:r>
        <w:t>g</w:t>
      </w:r>
      <w:r w:rsidRPr="00097064">
        <w:t xml:space="preserve">iven the Panel's own factual finding that the </w:t>
      </w:r>
      <w:r w:rsidR="000A10EA">
        <w:t>United States</w:t>
      </w:r>
      <w:r w:rsidRPr="00097064">
        <w:t xml:space="preserve"> had failed to demonstrate the similarity of the price of risk at the time of the provision of A380 and A350XWB LA/MSF, "there was no basis for the Panel to find that the A380 and A350XWB risks </w:t>
      </w:r>
      <w:r>
        <w:t>{were}</w:t>
      </w:r>
      <w:r w:rsidRPr="00097064">
        <w:t xml:space="preserve"> '</w:t>
      </w:r>
      <w:r w:rsidRPr="00433F83">
        <w:rPr>
          <w:i/>
        </w:rPr>
        <w:t>sufficiently similar</w:t>
      </w:r>
      <w:r>
        <w:t>' for the A380</w:t>
      </w:r>
      <w:r>
        <w:noBreakHyphen/>
      </w:r>
      <w:r w:rsidRPr="00097064">
        <w:t>based project risk premium to apply to the A350XWB</w:t>
      </w:r>
      <w:r>
        <w:t>.</w:t>
      </w:r>
      <w:r w:rsidRPr="00097064">
        <w:t>"</w:t>
      </w:r>
      <w:r w:rsidRPr="00097064">
        <w:rPr>
          <w:rStyle w:val="FootnoteReference"/>
        </w:rPr>
        <w:footnoteReference w:id="819"/>
      </w:r>
    </w:p>
    <w:p w:rsidR="0007161B" w:rsidRDefault="0007161B" w:rsidP="009E6402">
      <w:pPr>
        <w:pStyle w:val="BodyText"/>
      </w:pPr>
      <w:r w:rsidRPr="00097064">
        <w:t xml:space="preserve">In response, the </w:t>
      </w:r>
      <w:r w:rsidR="000A10EA">
        <w:t>United States</w:t>
      </w:r>
      <w:r w:rsidRPr="00097064">
        <w:t xml:space="preserve"> maintains that the </w:t>
      </w:r>
      <w:r w:rsidR="000A10EA">
        <w:t>European Union</w:t>
      </w:r>
      <w:r w:rsidRPr="00097064">
        <w:t xml:space="preserve"> "mischaracterizes" the Panel's findings by stating that the Panel found that the </w:t>
      </w:r>
      <w:r w:rsidR="000A10EA">
        <w:t>United States</w:t>
      </w:r>
      <w:r w:rsidRPr="00097064">
        <w:t xml:space="preserve"> </w:t>
      </w:r>
      <w:r>
        <w:t>had</w:t>
      </w:r>
      <w:r w:rsidRPr="00097064">
        <w:t xml:space="preserve"> not demonstrate</w:t>
      </w:r>
      <w:r>
        <w:t>d</w:t>
      </w:r>
      <w:r w:rsidRPr="00097064">
        <w:t xml:space="preserve"> the similarity of the price of risk</w:t>
      </w:r>
      <w:r>
        <w:t xml:space="preserve"> between the two LCA projects</w:t>
      </w:r>
      <w:r w:rsidRPr="00097064">
        <w:t xml:space="preserve">. Rather, according to the </w:t>
      </w:r>
      <w:r w:rsidR="000A10EA">
        <w:t>United States</w:t>
      </w:r>
      <w:r w:rsidRPr="00097064">
        <w:t xml:space="preserve">, </w:t>
      </w:r>
      <w:r w:rsidRPr="00097064">
        <w:lastRenderedPageBreak/>
        <w:t xml:space="preserve">the Panel found that the risks for </w:t>
      </w:r>
      <w:r>
        <w:t xml:space="preserve">the </w:t>
      </w:r>
      <w:r w:rsidRPr="00097064">
        <w:t xml:space="preserve">A380 and A350XWB </w:t>
      </w:r>
      <w:r>
        <w:t>projects</w:t>
      </w:r>
      <w:r w:rsidRPr="00097064">
        <w:t xml:space="preserve"> were </w:t>
      </w:r>
      <w:r>
        <w:t xml:space="preserve">overall </w:t>
      </w:r>
      <w:r w:rsidRPr="00097064">
        <w:t>sufficiently similar on the basis of types of risk other than price risk.</w:t>
      </w:r>
      <w:r w:rsidRPr="00097064">
        <w:rPr>
          <w:rStyle w:val="FootnoteReference"/>
        </w:rPr>
        <w:footnoteReference w:id="820"/>
      </w:r>
    </w:p>
    <w:p w:rsidR="0007161B" w:rsidRDefault="0007161B" w:rsidP="009E6402">
      <w:pPr>
        <w:pStyle w:val="BodyText"/>
      </w:pPr>
      <w:r>
        <w:t xml:space="preserve">As we see it, both lines of argumentation brought by the </w:t>
      </w:r>
      <w:r w:rsidR="000A10EA">
        <w:t>European Union</w:t>
      </w:r>
      <w:r>
        <w:t xml:space="preserve"> are based on very similar grounds. In essence, the </w:t>
      </w:r>
      <w:r w:rsidR="000A10EA">
        <w:t>European Union</w:t>
      </w:r>
      <w:r>
        <w:t xml:space="preserve"> is challenging under </w:t>
      </w:r>
      <w:r w:rsidR="000A10EA">
        <w:t>Article </w:t>
      </w:r>
      <w:r>
        <w:t xml:space="preserve">11 the Panel's ultimate finding that the risks associated with the A350XWB and A380 projects were overall </w:t>
      </w:r>
      <w:r w:rsidRPr="00097064">
        <w:t>sufficient</w:t>
      </w:r>
      <w:r>
        <w:t>ly </w:t>
      </w:r>
      <w:r w:rsidRPr="00097064">
        <w:t>similar</w:t>
      </w:r>
      <w:r>
        <w:t xml:space="preserve"> given that the Panel did not make a finding that th</w:t>
      </w:r>
      <w:r w:rsidR="000F4E37">
        <w:t>e individual category of "price </w:t>
      </w:r>
      <w:r>
        <w:t xml:space="preserve">of risk" was "similar" at the time of the provision of LA/MSF to the A350XWB and A380 projects, respectively. In its first line of argumentation, the </w:t>
      </w:r>
      <w:r w:rsidR="000A10EA">
        <w:t>European Union</w:t>
      </w:r>
      <w:r>
        <w:t xml:space="preserve"> takes issue with </w:t>
      </w:r>
      <w:r w:rsidRPr="00097064">
        <w:t xml:space="preserve">the Panel's </w:t>
      </w:r>
      <w:r>
        <w:t xml:space="preserve">ultimate </w:t>
      </w:r>
      <w:r w:rsidRPr="00097064">
        <w:t xml:space="preserve">finding of "sufficient similarity" </w:t>
      </w:r>
      <w:r>
        <w:t>by contending that such finding was</w:t>
      </w:r>
      <w:r w:rsidRPr="00097064">
        <w:t xml:space="preserve"> based on </w:t>
      </w:r>
      <w:r w:rsidRPr="004E7088">
        <w:rPr>
          <w:i/>
        </w:rPr>
        <w:t>incoherent reasoning</w:t>
      </w:r>
      <w:r w:rsidRPr="00097064">
        <w:t>.</w:t>
      </w:r>
      <w:r>
        <w:t xml:space="preserve"> I</w:t>
      </w:r>
      <w:r w:rsidRPr="00097064">
        <w:t xml:space="preserve">n the </w:t>
      </w:r>
      <w:r w:rsidR="000A10EA">
        <w:t>European Union</w:t>
      </w:r>
      <w:r w:rsidRPr="00097064">
        <w:t xml:space="preserve">'s </w:t>
      </w:r>
      <w:r>
        <w:t>view, t</w:t>
      </w:r>
      <w:r w:rsidRPr="00097064">
        <w:t>his is eviden</w:t>
      </w:r>
      <w:r w:rsidR="000F4E37">
        <w:t>ced in that the Panel found, on </w:t>
      </w:r>
      <w:r w:rsidRPr="00097064">
        <w:t xml:space="preserve">the one hand, that the </w:t>
      </w:r>
      <w:r w:rsidR="000A10EA">
        <w:t>United States</w:t>
      </w:r>
      <w:r w:rsidRPr="00097064">
        <w:t xml:space="preserve"> "did not discharge its evidentiary burden"</w:t>
      </w:r>
      <w:r w:rsidRPr="00097064">
        <w:rPr>
          <w:rStyle w:val="FootnoteReference"/>
        </w:rPr>
        <w:footnoteReference w:id="821"/>
      </w:r>
      <w:r w:rsidRPr="00097064">
        <w:t xml:space="preserve"> with respect to the price of risk and, on the other hand, "that the risks posed by the two projects '</w:t>
      </w:r>
      <w:r>
        <w:t xml:space="preserve">{were} </w:t>
      </w:r>
      <w:r w:rsidRPr="00097064">
        <w:t>sufficiently similar'."</w:t>
      </w:r>
      <w:r w:rsidRPr="00097064">
        <w:rPr>
          <w:rStyle w:val="FootnoteReference"/>
        </w:rPr>
        <w:footnoteReference w:id="822"/>
      </w:r>
      <w:r w:rsidRPr="00097064">
        <w:t xml:space="preserve"> </w:t>
      </w:r>
      <w:r>
        <w:t xml:space="preserve">In its </w:t>
      </w:r>
      <w:r w:rsidRPr="00097064">
        <w:t>second line of argumentation</w:t>
      </w:r>
      <w:r>
        <w:t>,</w:t>
      </w:r>
      <w:r w:rsidRPr="00097064">
        <w:t xml:space="preserve"> the </w:t>
      </w:r>
      <w:r w:rsidR="000A10EA">
        <w:t>European Union</w:t>
      </w:r>
      <w:r>
        <w:t xml:space="preserve"> contends </w:t>
      </w:r>
      <w:r w:rsidRPr="00097064">
        <w:t>that the Panel</w:t>
      </w:r>
      <w:r>
        <w:t>'s</w:t>
      </w:r>
      <w:r w:rsidRPr="00097064">
        <w:t xml:space="preserve"> ultimate finding of "sufficient similarity" does not </w:t>
      </w:r>
      <w:r>
        <w:t>have</w:t>
      </w:r>
      <w:r w:rsidRPr="00097064">
        <w:t xml:space="preserve"> an </w:t>
      </w:r>
      <w:r w:rsidRPr="004E7088">
        <w:rPr>
          <w:i/>
        </w:rPr>
        <w:t xml:space="preserve">evidentiary </w:t>
      </w:r>
      <w:r w:rsidRPr="00097064">
        <w:t>basis.</w:t>
      </w:r>
      <w:r>
        <w:t xml:space="preserve"> In particular, </w:t>
      </w:r>
      <w:r w:rsidRPr="00097064">
        <w:t xml:space="preserve">the </w:t>
      </w:r>
      <w:r w:rsidR="000A10EA">
        <w:t>European Union</w:t>
      </w:r>
      <w:r w:rsidRPr="00097064">
        <w:t xml:space="preserve"> </w:t>
      </w:r>
      <w:r>
        <w:t>assert</w:t>
      </w:r>
      <w:r w:rsidRPr="00097064">
        <w:t xml:space="preserve">s that, given the Panel's own factual finding that the </w:t>
      </w:r>
      <w:r w:rsidR="000A10EA">
        <w:t>United States</w:t>
      </w:r>
      <w:r w:rsidR="000F4E37">
        <w:t xml:space="preserve"> "had </w:t>
      </w:r>
      <w:r w:rsidRPr="00097064">
        <w:t xml:space="preserve">failed to demonstrate the similarity of the price of risk" at the time of the provision of A380 and A350XWB LA/MSF, "there was no basis for the Panel to find that the A380 and A350XWB risks </w:t>
      </w:r>
      <w:r>
        <w:t>{were}</w:t>
      </w:r>
      <w:r w:rsidRPr="00097064">
        <w:t xml:space="preserve"> '</w:t>
      </w:r>
      <w:r w:rsidRPr="004E7088">
        <w:rPr>
          <w:i/>
        </w:rPr>
        <w:t>sufficiently similar</w:t>
      </w:r>
      <w:r w:rsidRPr="00097064">
        <w:t>' for the A380</w:t>
      </w:r>
      <w:r w:rsidRPr="00097064">
        <w:noBreakHyphen/>
        <w:t>based project risk premium to apply to the A350XWB</w:t>
      </w:r>
      <w:r>
        <w:t>.</w:t>
      </w:r>
      <w:r w:rsidRPr="00097064">
        <w:t>"</w:t>
      </w:r>
      <w:r w:rsidRPr="00097064">
        <w:rPr>
          <w:rStyle w:val="FootnoteReference"/>
        </w:rPr>
        <w:footnoteReference w:id="823"/>
      </w:r>
      <w:r>
        <w:t xml:space="preserve"> Since both lines of argumentation are based on essentially the same grounds, we address them together below.</w:t>
      </w:r>
    </w:p>
    <w:p w:rsidR="0007161B" w:rsidRDefault="0007161B" w:rsidP="009E6402">
      <w:pPr>
        <w:pStyle w:val="BodyText"/>
      </w:pPr>
      <w:r>
        <w:t>We recall that, in this part of its benefit analysis, t</w:t>
      </w:r>
      <w:r w:rsidRPr="00097064">
        <w:t xml:space="preserve">he Panel understood the </w:t>
      </w:r>
      <w:r>
        <w:t xml:space="preserve">main </w:t>
      </w:r>
      <w:r w:rsidRPr="00097064">
        <w:t>question before it</w:t>
      </w:r>
      <w:r>
        <w:t xml:space="preserve"> </w:t>
      </w:r>
      <w:r w:rsidRPr="00097064">
        <w:t xml:space="preserve">to be "whether the </w:t>
      </w:r>
      <w:r w:rsidR="000A10EA">
        <w:t>United States</w:t>
      </w:r>
      <w:r w:rsidRPr="00097064">
        <w:t xml:space="preserve"> ha</w:t>
      </w:r>
      <w:r>
        <w:t>{d}</w:t>
      </w:r>
      <w:r w:rsidRPr="00097064">
        <w:t xml:space="preserve"> </w:t>
      </w:r>
      <w:r w:rsidRPr="00AD360A">
        <w:t xml:space="preserve">demonstrated that the project-specific risks of the A350XWB programme </w:t>
      </w:r>
      <w:r>
        <w:t>{were}</w:t>
      </w:r>
      <w:r w:rsidRPr="00AD360A">
        <w:t xml:space="preserve"> sufficiently similar to those of the A380 programme such that it would be reasonable to conclude that the WRP could be used as the project-specific risk premium for the A350XWB</w:t>
      </w:r>
      <w:r>
        <w:t>.</w:t>
      </w:r>
      <w:r w:rsidRPr="00AD360A">
        <w:t>"</w:t>
      </w:r>
      <w:r w:rsidRPr="00AD360A">
        <w:rPr>
          <w:rStyle w:val="FootnoteReference"/>
        </w:rPr>
        <w:footnoteReference w:id="824"/>
      </w:r>
      <w:r w:rsidRPr="00AD360A">
        <w:t xml:space="preserve"> The parties' arguments</w:t>
      </w:r>
      <w:r>
        <w:t xml:space="preserve"> before the Panel</w:t>
      </w:r>
      <w:r w:rsidRPr="00AD360A">
        <w:t xml:space="preserve"> concerning the</w:t>
      </w:r>
      <w:r>
        <w:t xml:space="preserve"> differences in the</w:t>
      </w:r>
      <w:r w:rsidRPr="00AD360A">
        <w:t xml:space="preserve"> </w:t>
      </w:r>
      <w:r>
        <w:t xml:space="preserve">risk profiles of </w:t>
      </w:r>
      <w:r w:rsidRPr="00AD360A">
        <w:t>the A380 and A350XWB projects</w:t>
      </w:r>
      <w:r w:rsidRPr="00AD360A" w:rsidDel="00294B85">
        <w:t xml:space="preserve"> </w:t>
      </w:r>
      <w:r w:rsidRPr="00AD360A">
        <w:t>focused on the following issues: (i) programme risk; (ii) contra</w:t>
      </w:r>
      <w:r w:rsidRPr="000B583D">
        <w:t>ct risk</w:t>
      </w:r>
      <w:r w:rsidRPr="00AD360A">
        <w:t>; and (</w:t>
      </w:r>
      <w:r>
        <w:t>iii)</w:t>
      </w:r>
      <w:r w:rsidRPr="00802959">
        <w:t xml:space="preserve"> </w:t>
      </w:r>
      <w:r w:rsidRPr="00AD360A">
        <w:t>the price of risk</w:t>
      </w:r>
      <w:r w:rsidRPr="000B583D">
        <w:t>.</w:t>
      </w:r>
      <w:r w:rsidRPr="000B583D">
        <w:rPr>
          <w:rStyle w:val="FootnoteReference"/>
        </w:rPr>
        <w:footnoteReference w:id="825"/>
      </w:r>
      <w:r w:rsidRPr="000B583D">
        <w:t xml:space="preserve"> </w:t>
      </w:r>
    </w:p>
    <w:p w:rsidR="0007161B" w:rsidRDefault="0007161B" w:rsidP="009E6402">
      <w:pPr>
        <w:pStyle w:val="BodyText"/>
      </w:pPr>
      <w:r>
        <w:t>T</w:t>
      </w:r>
      <w:r w:rsidRPr="00097064">
        <w:t>urn</w:t>
      </w:r>
      <w:r>
        <w:t>ing</w:t>
      </w:r>
      <w:r w:rsidRPr="00097064">
        <w:t xml:space="preserve"> to examine the Panel's findings regarding the price of risk</w:t>
      </w:r>
      <w:r>
        <w:t>, we begin by noting that</w:t>
      </w:r>
      <w:r w:rsidRPr="00097064">
        <w:t xml:space="preserve"> </w:t>
      </w:r>
      <w:r>
        <w:t>the Panel did not make a finding that the category of "price of risk" was similar in relation to the A350XWB and A380 projects. In this regard, t</w:t>
      </w:r>
      <w:r w:rsidRPr="00097064">
        <w:t xml:space="preserve">he </w:t>
      </w:r>
      <w:r w:rsidR="000A10EA">
        <w:t>European Union</w:t>
      </w:r>
      <w:r w:rsidRPr="00097064">
        <w:t xml:space="preserve"> correct</w:t>
      </w:r>
      <w:r>
        <w:t>ly</w:t>
      </w:r>
      <w:r w:rsidRPr="00097064">
        <w:t xml:space="preserve"> </w:t>
      </w:r>
      <w:r>
        <w:t xml:space="preserve">indicates that </w:t>
      </w:r>
      <w:r w:rsidRPr="00097064">
        <w:t>the Panel</w:t>
      </w:r>
      <w:r>
        <w:t>'s actual finding was</w:t>
      </w:r>
      <w:r w:rsidRPr="00097064">
        <w:t xml:space="preserve"> that, "{w}ith respect to the price of risk … {it was} unable to accept the </w:t>
      </w:r>
      <w:r w:rsidR="000A10EA">
        <w:t>United States</w:t>
      </w:r>
      <w:r w:rsidRPr="00097064">
        <w:t>' arguments because it did not discharge its evidentiary burden</w:t>
      </w:r>
      <w:r>
        <w:t>.</w:t>
      </w:r>
      <w:r w:rsidRPr="00097064">
        <w:t>"</w:t>
      </w:r>
      <w:r w:rsidRPr="00097064">
        <w:rPr>
          <w:rStyle w:val="FootnoteReference"/>
        </w:rPr>
        <w:footnoteReference w:id="826"/>
      </w:r>
      <w:r w:rsidR="000F4E37">
        <w:t xml:space="preserve"> However, the </w:t>
      </w:r>
      <w:r w:rsidR="000A10EA">
        <w:t>European Union</w:t>
      </w:r>
      <w:r>
        <w:t xml:space="preserve"> </w:t>
      </w:r>
      <w:r w:rsidRPr="00D47537">
        <w:rPr>
          <w:i/>
        </w:rPr>
        <w:t>fails to mention</w:t>
      </w:r>
      <w:r w:rsidRPr="00097064">
        <w:t xml:space="preserve"> </w:t>
      </w:r>
      <w:r>
        <w:t>other</w:t>
      </w:r>
      <w:r w:rsidRPr="00097064">
        <w:t xml:space="preserve"> important aspects of the Panel's analysis related to this conclusion. In particular, the </w:t>
      </w:r>
      <w:r w:rsidR="000A10EA">
        <w:t>European Union</w:t>
      </w:r>
      <w:r w:rsidRPr="00097064">
        <w:t xml:space="preserve"> overlooks the legal question that the Panel set</w:t>
      </w:r>
      <w:r>
        <w:t xml:space="preserve"> out</w:t>
      </w:r>
      <w:r w:rsidRPr="00097064">
        <w:t xml:space="preserve"> to examine, namely, "whether</w:t>
      </w:r>
      <w:r>
        <w:t xml:space="preserve"> the financial environment – in </w:t>
      </w:r>
      <w:r w:rsidRPr="00097064">
        <w:t xml:space="preserve">particular the global financial and economic crisis prevailing at the time – meant that a market lender would have </w:t>
      </w:r>
      <w:r w:rsidRPr="00AD360A">
        <w:t>demanded a higher return at the time financing was being sought for the A350XWB than</w:t>
      </w:r>
      <w:r w:rsidRPr="00097064">
        <w:t xml:space="preserve"> at the time it would have been sought for the A380, even if the aircraft development and marketing risks were similar</w:t>
      </w:r>
      <w:r>
        <w:t>.</w:t>
      </w:r>
      <w:r w:rsidRPr="00097064">
        <w:t>"</w:t>
      </w:r>
      <w:r w:rsidRPr="00097064">
        <w:rPr>
          <w:rStyle w:val="FootnoteReference"/>
        </w:rPr>
        <w:footnoteReference w:id="827"/>
      </w:r>
      <w:r w:rsidRPr="00097064">
        <w:t xml:space="preserve"> The Panel examined this issue </w:t>
      </w:r>
      <w:r>
        <w:t>in addressing</w:t>
      </w:r>
      <w:r w:rsidRPr="00097064">
        <w:t xml:space="preserve"> the </w:t>
      </w:r>
      <w:r w:rsidR="000A10EA">
        <w:t>United States</w:t>
      </w:r>
      <w:r w:rsidRPr="00097064">
        <w:t>' argument that "LA/M</w:t>
      </w:r>
      <w:r w:rsidR="000F4E37">
        <w:t>SF </w:t>
      </w:r>
      <w:r w:rsidRPr="00097064">
        <w:t xml:space="preserve">for the A350XWB 'was finalised at a point in time when lending conditions were historically tight' with the implication that 'the true A350XWB risk premium </w:t>
      </w:r>
      <w:r w:rsidRPr="007B547F">
        <w:rPr>
          <w:i/>
        </w:rPr>
        <w:t>should likely be higher</w:t>
      </w:r>
      <w:r w:rsidRPr="00097064">
        <w:t xml:space="preserve"> than the A380 risk premium'."</w:t>
      </w:r>
      <w:r w:rsidRPr="00097064">
        <w:rPr>
          <w:rStyle w:val="FootnoteReference"/>
        </w:rPr>
        <w:footnoteReference w:id="828"/>
      </w:r>
      <w:r>
        <w:t xml:space="preserve"> In particular, the </w:t>
      </w:r>
      <w:r w:rsidR="000A10EA">
        <w:t>United States</w:t>
      </w:r>
      <w:r>
        <w:t xml:space="preserve"> argued be</w:t>
      </w:r>
      <w:r w:rsidR="000F4E37">
        <w:t>fore the Panel that, "at </w:t>
      </w:r>
      <w:r>
        <w:t>the time of the A350XWB {LA/MSF} contracts, the effects of the</w:t>
      </w:r>
      <w:r w:rsidR="000A10EA">
        <w:t> 20</w:t>
      </w:r>
      <w:r>
        <w:t xml:space="preserve">08 global financial and </w:t>
      </w:r>
      <w:r>
        <w:lastRenderedPageBreak/>
        <w:t>economic crisis continued to linger and constrain the availability of credit, which would have affected lending conditions for the A350XWB project."</w:t>
      </w:r>
      <w:r>
        <w:rPr>
          <w:rStyle w:val="FootnoteReference"/>
        </w:rPr>
        <w:footnoteReference w:id="829"/>
      </w:r>
      <w:r>
        <w:t xml:space="preserve"> </w:t>
      </w:r>
    </w:p>
    <w:p w:rsidR="0007161B" w:rsidRPr="002B0732" w:rsidRDefault="0007161B" w:rsidP="009E6402">
      <w:pPr>
        <w:pStyle w:val="BodyText"/>
      </w:pPr>
      <w:r>
        <w:t xml:space="preserve">In addressing this argument by the </w:t>
      </w:r>
      <w:r w:rsidR="000A10EA">
        <w:t>United States</w:t>
      </w:r>
      <w:r>
        <w:t xml:space="preserve">, the Panel agreed with the </w:t>
      </w:r>
      <w:r w:rsidR="000A10EA">
        <w:t>European Union</w:t>
      </w:r>
      <w:r>
        <w:t xml:space="preserve"> that "the high yield spread between </w:t>
      </w:r>
      <w:r w:rsidRPr="00B409A2">
        <w:t>investment-grade and below-investment grade</w:t>
      </w:r>
      <w:r>
        <w:t xml:space="preserve"> debt in </w:t>
      </w:r>
      <w:r w:rsidRPr="00D51718">
        <w:rPr>
          <w:b/>
        </w:rPr>
        <w:t>[</w:t>
      </w:r>
      <w:r w:rsidR="00E8168B" w:rsidRPr="00C8434D">
        <w:rPr>
          <w:b/>
          <w:szCs w:val="16"/>
        </w:rPr>
        <w:t>BCI</w:t>
      </w:r>
      <w:r w:rsidRPr="00D51718">
        <w:rPr>
          <w:b/>
        </w:rPr>
        <w:t>]</w:t>
      </w:r>
      <w:r>
        <w:t xml:space="preserve"> when the A350XWB LA/MSF agreements were finalised, relative to levels in</w:t>
      </w:r>
      <w:r w:rsidR="000A10EA">
        <w:t> 20</w:t>
      </w:r>
      <w:r>
        <w:t xml:space="preserve">06/2007, does not show the price of risk was 'at least' as expensive, or 'more' expensive than it was at the time the A380 LA/MSF agreements were finalised in </w:t>
      </w:r>
      <w:r w:rsidRPr="00D51718">
        <w:rPr>
          <w:b/>
        </w:rPr>
        <w:t>[</w:t>
      </w:r>
      <w:r w:rsidR="00E8168B" w:rsidRPr="00C8434D">
        <w:rPr>
          <w:b/>
          <w:szCs w:val="16"/>
        </w:rPr>
        <w:t>BCI</w:t>
      </w:r>
      <w:r w:rsidRPr="00D51718">
        <w:rPr>
          <w:b/>
        </w:rPr>
        <w:t>]</w:t>
      </w:r>
      <w:r>
        <w:t>."</w:t>
      </w:r>
      <w:r>
        <w:rPr>
          <w:rStyle w:val="FootnoteReference"/>
        </w:rPr>
        <w:footnoteReference w:id="830"/>
      </w:r>
      <w:r>
        <w:t xml:space="preserve"> The Panel then elaborated that "{t}he peak in the spread at the time of the A350XWB LA/MSF contracts provides information about how risk was priced at that point, but d{id} not enable {it} to judge whether the spread was more marked than that existing at the time of the A380 LA/MSF contracts."</w:t>
      </w:r>
      <w:r>
        <w:rPr>
          <w:rStyle w:val="FootnoteReference"/>
        </w:rPr>
        <w:footnoteReference w:id="831"/>
      </w:r>
      <w:r>
        <w:t xml:space="preserve"> On the basis of the above considerations, the Panel concluded </w:t>
      </w:r>
      <w:r w:rsidRPr="00097064">
        <w:t xml:space="preserve">that, "{g}iven the </w:t>
      </w:r>
      <w:r w:rsidR="000A10EA">
        <w:t>United States</w:t>
      </w:r>
      <w:r w:rsidRPr="00097064">
        <w:t xml:space="preserve"> ha</w:t>
      </w:r>
      <w:r>
        <w:t>{d}</w:t>
      </w:r>
      <w:r w:rsidRPr="00097064">
        <w:t xml:space="preserve"> not provided the yield spreads that would allow </w:t>
      </w:r>
      <w:r>
        <w:t>{it}</w:t>
      </w:r>
      <w:r w:rsidRPr="00097064">
        <w:t xml:space="preserve"> to make a full evaluation of the merits of its submission, {it was} unable to accept its argument that a </w:t>
      </w:r>
      <w:r w:rsidRPr="00AD360A">
        <w:t>market lender would have demanded a higher return at the time financing was being sought for the A350XWB than at the time it would have been sought for the A380</w:t>
      </w:r>
      <w:r>
        <w:t>.</w:t>
      </w:r>
      <w:r w:rsidRPr="00AD360A">
        <w:t>"</w:t>
      </w:r>
      <w:r w:rsidRPr="00AD360A">
        <w:rPr>
          <w:rStyle w:val="FootnoteReference"/>
        </w:rPr>
        <w:footnoteReference w:id="832"/>
      </w:r>
    </w:p>
    <w:p w:rsidR="0007161B" w:rsidRDefault="0007161B" w:rsidP="009E6402">
      <w:pPr>
        <w:pStyle w:val="BodyText"/>
      </w:pPr>
      <w:r>
        <w:t>On appeal, t</w:t>
      </w:r>
      <w:r w:rsidRPr="00AD360A">
        <w:t xml:space="preserve">he </w:t>
      </w:r>
      <w:r w:rsidR="000A10EA">
        <w:t>European Union</w:t>
      </w:r>
      <w:r w:rsidRPr="00AD360A">
        <w:t xml:space="preserve"> </w:t>
      </w:r>
      <w:r>
        <w:t>contends</w:t>
      </w:r>
      <w:r w:rsidRPr="00AD360A">
        <w:t xml:space="preserve"> that the Panel found that "the </w:t>
      </w:r>
      <w:r w:rsidR="000A10EA">
        <w:t>United States</w:t>
      </w:r>
      <w:r w:rsidRPr="00AD360A">
        <w:t xml:space="preserve"> had </w:t>
      </w:r>
      <w:r w:rsidRPr="00AD360A">
        <w:rPr>
          <w:i/>
        </w:rPr>
        <w:t>not</w:t>
      </w:r>
      <w:r w:rsidRPr="00AD360A">
        <w:t xml:space="preserve"> established that the price of risk in the context of the A380 project was sufficiently similar to the price of risk in the context of the A350XWB project</w:t>
      </w:r>
      <w:r>
        <w:t>.</w:t>
      </w:r>
      <w:r w:rsidRPr="00AD360A">
        <w:t>"</w:t>
      </w:r>
      <w:r w:rsidRPr="00AD360A">
        <w:rPr>
          <w:rStyle w:val="FootnoteReference"/>
        </w:rPr>
        <w:footnoteReference w:id="833"/>
      </w:r>
      <w:r w:rsidRPr="00AD360A">
        <w:t xml:space="preserve"> However, the Panel did </w:t>
      </w:r>
      <w:r w:rsidRPr="00AD360A">
        <w:rPr>
          <w:i/>
        </w:rPr>
        <w:t>not</w:t>
      </w:r>
      <w:r w:rsidRPr="00AD360A">
        <w:t xml:space="preserve"> find that, with respect to the price of risk, the </w:t>
      </w:r>
      <w:r w:rsidR="000A10EA">
        <w:t>United States</w:t>
      </w:r>
      <w:r w:rsidRPr="00AD360A">
        <w:t xml:space="preserve"> had </w:t>
      </w:r>
      <w:r w:rsidRPr="009F3292">
        <w:t>failed to establish "sufficient similarity</w:t>
      </w:r>
      <w:r w:rsidRPr="007E0DDC">
        <w:t>"</w:t>
      </w:r>
      <w:r w:rsidRPr="00AD6D33">
        <w:t xml:space="preserve"> </w:t>
      </w:r>
      <w:r w:rsidRPr="00AD360A">
        <w:t xml:space="preserve">between the A350XWB and A380 projects. Rather, the Panel addressed and </w:t>
      </w:r>
      <w:r w:rsidRPr="00AD360A">
        <w:rPr>
          <w:i/>
        </w:rPr>
        <w:t>dismissed</w:t>
      </w:r>
      <w:r w:rsidRPr="00AD360A">
        <w:t xml:space="preserve"> the </w:t>
      </w:r>
      <w:r w:rsidR="000A10EA">
        <w:t>United States</w:t>
      </w:r>
      <w:r w:rsidRPr="00AD360A">
        <w:t xml:space="preserve">' argument that, due to the financial environment existing at the time of the conclusion of the A350XWB LA/MSF, the price of risk was </w:t>
      </w:r>
      <w:r w:rsidRPr="00CE5F9A">
        <w:rPr>
          <w:i/>
        </w:rPr>
        <w:t>higher</w:t>
      </w:r>
      <w:r w:rsidRPr="00AD360A">
        <w:t xml:space="preserve"> because "a market lender would have demanded a higher return at the time financing was being sought for the A350XWB than at the time it would have been sought for the A380</w:t>
      </w:r>
      <w:r>
        <w:t>.</w:t>
      </w:r>
      <w:r w:rsidRPr="00AD360A">
        <w:t>"</w:t>
      </w:r>
      <w:r w:rsidRPr="00AD360A">
        <w:rPr>
          <w:rStyle w:val="FootnoteReference"/>
        </w:rPr>
        <w:footnoteReference w:id="834"/>
      </w:r>
      <w:r w:rsidRPr="00AD360A">
        <w:t xml:space="preserve"> </w:t>
      </w:r>
      <w:r>
        <w:t xml:space="preserve">In other words, the Panel's analysis was mainly devoted to rejecting the </w:t>
      </w:r>
      <w:r w:rsidR="000A10EA">
        <w:t>United States</w:t>
      </w:r>
      <w:r>
        <w:t xml:space="preserve">' contention that the project-specific risk premium applicable to the A350XWB LA/MSF </w:t>
      </w:r>
      <w:r w:rsidRPr="00F06733">
        <w:t xml:space="preserve">should be </w:t>
      </w:r>
      <w:r w:rsidRPr="00F06733">
        <w:rPr>
          <w:i/>
        </w:rPr>
        <w:t>higher</w:t>
      </w:r>
      <w:r w:rsidRPr="00F06733">
        <w:t>.</w:t>
      </w:r>
      <w:r>
        <w:t xml:space="preserve"> </w:t>
      </w:r>
    </w:p>
    <w:p w:rsidR="0007161B" w:rsidRDefault="0007161B" w:rsidP="009E6402">
      <w:pPr>
        <w:pStyle w:val="BodyText"/>
      </w:pPr>
      <w:r w:rsidRPr="008A242C">
        <w:t xml:space="preserve">On the basis of the </w:t>
      </w:r>
      <w:r w:rsidRPr="00D47537">
        <w:t>actual findings made by the Panel</w:t>
      </w:r>
      <w:r w:rsidRPr="008A242C">
        <w:t xml:space="preserve">, we fail to see any incoherence between, on the one hand, the Panel's rejection of the </w:t>
      </w:r>
      <w:r w:rsidR="000A10EA">
        <w:t>United States</w:t>
      </w:r>
      <w:r>
        <w:t>' argument that the project</w:t>
      </w:r>
      <w:r>
        <w:noBreakHyphen/>
      </w:r>
      <w:r w:rsidRPr="008A242C">
        <w:t xml:space="preserve">specific risk premium applicable to the A350XWB LA/MSF should be </w:t>
      </w:r>
      <w:r w:rsidRPr="008A242C">
        <w:rPr>
          <w:i/>
        </w:rPr>
        <w:t>higher</w:t>
      </w:r>
      <w:r w:rsidRPr="008A242C">
        <w:t xml:space="preserve"> because LA/MSF for the A350XWB was finali</w:t>
      </w:r>
      <w:r>
        <w:t>z</w:t>
      </w:r>
      <w:r w:rsidRPr="008A242C">
        <w:t xml:space="preserve">ed at a time when lending conditions </w:t>
      </w:r>
      <w:r w:rsidR="000F4E37">
        <w:t>were historically tight and, on </w:t>
      </w:r>
      <w:r w:rsidRPr="008A242C">
        <w:t xml:space="preserve">the other hand, the Panel's ultimate conclusion that "the overall project-specific risks </w:t>
      </w:r>
      <w:r>
        <w:t>{were}</w:t>
      </w:r>
      <w:r w:rsidRPr="008A242C">
        <w:t xml:space="preserve"> sufficiently similar to allow the risk premium applied for A380 LA/MSF in the original proceeding to be applied to A350XWB LA/MSF</w:t>
      </w:r>
      <w:r>
        <w:t>.</w:t>
      </w:r>
      <w:r w:rsidRPr="008A242C">
        <w:t>"</w:t>
      </w:r>
      <w:r w:rsidRPr="008A242C">
        <w:rPr>
          <w:rStyle w:val="FootnoteReference"/>
        </w:rPr>
        <w:footnoteReference w:id="835"/>
      </w:r>
      <w:r>
        <w:t xml:space="preserve"> In other words, the fact that the Panel rejected the </w:t>
      </w:r>
      <w:r w:rsidR="000A10EA">
        <w:t>United States</w:t>
      </w:r>
      <w:r>
        <w:t>' argument that project</w:t>
      </w:r>
      <w:r>
        <w:noBreakHyphen/>
      </w:r>
      <w:r w:rsidRPr="008A242C">
        <w:t xml:space="preserve">specific risk premium applicable to the A350XWB LA/MSF should be </w:t>
      </w:r>
      <w:r w:rsidRPr="008A242C">
        <w:rPr>
          <w:i/>
        </w:rPr>
        <w:t>higher</w:t>
      </w:r>
      <w:r>
        <w:t xml:space="preserve"> in the context of its analysis of price of risk does not undermine the Panel's </w:t>
      </w:r>
      <w:r w:rsidRPr="008A242C">
        <w:t xml:space="preserve">ultimate conclusion that the overall project-specific risks </w:t>
      </w:r>
      <w:r>
        <w:t>were</w:t>
      </w:r>
      <w:r w:rsidRPr="008A242C">
        <w:t xml:space="preserve"> sufficiently similar</w:t>
      </w:r>
      <w:r>
        <w:t>.</w:t>
      </w:r>
      <w:r w:rsidR="000F4E37">
        <w:t xml:space="preserve"> This </w:t>
      </w:r>
      <w:r w:rsidRPr="008A242C">
        <w:t xml:space="preserve">understanding contradicts the </w:t>
      </w:r>
      <w:r w:rsidR="000A10EA">
        <w:t>European Union</w:t>
      </w:r>
      <w:r w:rsidRPr="008A242C">
        <w:t>'s assertion that the Panel's findings regarding the price of risk do not support the Panel's ultimate conclusion th</w:t>
      </w:r>
      <w:r w:rsidR="000F4E37">
        <w:t xml:space="preserve">at the risks of the A350XWB </w:t>
      </w:r>
      <w:r w:rsidR="000F4E37">
        <w:lastRenderedPageBreak/>
        <w:t>and </w:t>
      </w:r>
      <w:r w:rsidRPr="008A242C">
        <w:t>A380 projects</w:t>
      </w:r>
      <w:r w:rsidRPr="008A242C" w:rsidDel="00294B85">
        <w:t xml:space="preserve"> </w:t>
      </w:r>
      <w:r w:rsidRPr="008A242C">
        <w:t xml:space="preserve">were sufficiently similar. We therefore see </w:t>
      </w:r>
      <w:r w:rsidRPr="008A242C">
        <w:rPr>
          <w:i/>
        </w:rPr>
        <w:t>no</w:t>
      </w:r>
      <w:r w:rsidRPr="008A242C">
        <w:t xml:space="preserve"> incoherenc</w:t>
      </w:r>
      <w:r>
        <w:t>e</w:t>
      </w:r>
      <w:r w:rsidRPr="008A242C">
        <w:t xml:space="preserve"> in the Panel's reasoning, </w:t>
      </w:r>
      <w:r>
        <w:t xml:space="preserve">let alone one that rises to the level of an inconsistency with </w:t>
      </w:r>
      <w:r w:rsidR="000A10EA">
        <w:t>Article </w:t>
      </w:r>
      <w:r>
        <w:t>11 of the DSU</w:t>
      </w:r>
      <w:r w:rsidRPr="008A242C">
        <w:t xml:space="preserve">. </w:t>
      </w:r>
    </w:p>
    <w:p w:rsidR="0007161B" w:rsidRDefault="0007161B" w:rsidP="009E6402">
      <w:pPr>
        <w:pStyle w:val="BodyText"/>
      </w:pPr>
      <w:r>
        <w:t xml:space="preserve">Similarly, the above </w:t>
      </w:r>
      <w:r w:rsidRPr="00097064">
        <w:t>misgivings</w:t>
      </w:r>
      <w:r>
        <w:t xml:space="preserve"> regarding the </w:t>
      </w:r>
      <w:r w:rsidR="000A10EA">
        <w:t>European Union</w:t>
      </w:r>
      <w:r>
        <w:t>'s understanding of the Panel's analysis</w:t>
      </w:r>
      <w:r w:rsidRPr="00097064">
        <w:t xml:space="preserve"> are also relevant in </w:t>
      </w:r>
      <w:r w:rsidRPr="004C263E">
        <w:t xml:space="preserve">relation to the </w:t>
      </w:r>
      <w:r w:rsidR="000A10EA">
        <w:t>European Union</w:t>
      </w:r>
      <w:r w:rsidRPr="004C263E">
        <w:t xml:space="preserve">'s second line of argumentation that the Panel's ultimate finding of "sufficient similarity" does not enjoy an </w:t>
      </w:r>
      <w:r w:rsidRPr="004C263E">
        <w:rPr>
          <w:i/>
        </w:rPr>
        <w:t xml:space="preserve">evidentiary </w:t>
      </w:r>
      <w:r w:rsidR="000F4E37">
        <w:t>basis. As </w:t>
      </w:r>
      <w:r w:rsidRPr="004C263E">
        <w:t xml:space="preserve">noted, contrary to the </w:t>
      </w:r>
      <w:r w:rsidR="000A10EA">
        <w:t>European Union</w:t>
      </w:r>
      <w:r w:rsidRPr="004C263E">
        <w:t xml:space="preserve">'s assertion, the Panel never found that the </w:t>
      </w:r>
      <w:r w:rsidR="000A10EA">
        <w:t>United States</w:t>
      </w:r>
      <w:r w:rsidRPr="004C263E">
        <w:t xml:space="preserve"> "had failed to demonstrate the similarity of the price of risk".</w:t>
      </w:r>
      <w:r w:rsidR="00E90B11">
        <w:rPr>
          <w:rStyle w:val="FootnoteReference"/>
        </w:rPr>
        <w:footnoteReference w:id="836"/>
      </w:r>
      <w:r w:rsidRPr="004C263E">
        <w:t xml:space="preserve"> Rather, the Panel's analysis focused on dismissing the </w:t>
      </w:r>
      <w:r w:rsidR="000A10EA">
        <w:t>United States</w:t>
      </w:r>
      <w:r w:rsidRPr="004C263E">
        <w:t xml:space="preserve">' argument that, due to the financial environment existing at the time of the conclusion of the A350XWB LA/MSF, the "price of risk" was </w:t>
      </w:r>
      <w:r w:rsidRPr="004C263E">
        <w:rPr>
          <w:i/>
        </w:rPr>
        <w:t>higher</w:t>
      </w:r>
      <w:r w:rsidR="000F4E37">
        <w:t xml:space="preserve"> because "a </w:t>
      </w:r>
      <w:r w:rsidRPr="004C263E">
        <w:t>market lender would have demanded a higher return at the time financing was being sought for the A350XWB than at the time it would have been sought for the A380"</w:t>
      </w:r>
      <w:r w:rsidR="00373D41">
        <w:t>.</w:t>
      </w:r>
      <w:r w:rsidRPr="004C263E">
        <w:rPr>
          <w:rStyle w:val="FootnoteReference"/>
        </w:rPr>
        <w:footnoteReference w:id="837"/>
      </w:r>
      <w:r>
        <w:t xml:space="preserve"> Moreover, we recall that, </w:t>
      </w:r>
      <w:r w:rsidRPr="00097064">
        <w:t xml:space="preserve">the Panel did </w:t>
      </w:r>
      <w:r w:rsidRPr="00097064">
        <w:rPr>
          <w:i/>
        </w:rPr>
        <w:t>not</w:t>
      </w:r>
      <w:r w:rsidRPr="00097064">
        <w:t xml:space="preserve"> actually seek to make </w:t>
      </w:r>
      <w:r w:rsidRPr="00097064">
        <w:rPr>
          <w:i/>
        </w:rPr>
        <w:t>individual</w:t>
      </w:r>
      <w:r w:rsidRPr="00097064">
        <w:t xml:space="preserve"> findings of "similarity" </w:t>
      </w:r>
      <w:r w:rsidRPr="00AD360A">
        <w:t xml:space="preserve">between the A350XWB and A380 projects </w:t>
      </w:r>
      <w:r w:rsidRPr="00097064">
        <w:t xml:space="preserve">with respect to </w:t>
      </w:r>
      <w:r>
        <w:t xml:space="preserve">each of </w:t>
      </w:r>
      <w:r w:rsidRPr="00097064">
        <w:t xml:space="preserve">the three </w:t>
      </w:r>
      <w:r>
        <w:t xml:space="preserve">risk categories </w:t>
      </w:r>
      <w:r w:rsidRPr="00097064">
        <w:t xml:space="preserve">it examined. Rather, the Panel sought to make </w:t>
      </w:r>
      <w:r w:rsidRPr="00AD360A">
        <w:t xml:space="preserve">an </w:t>
      </w:r>
      <w:r w:rsidRPr="00AD360A">
        <w:rPr>
          <w:i/>
        </w:rPr>
        <w:t>overall</w:t>
      </w:r>
      <w:r w:rsidRPr="00AD360A">
        <w:t xml:space="preserve"> assessment of the relative risks between the A350XWB and A380 projects </w:t>
      </w:r>
      <w:r>
        <w:t xml:space="preserve">to </w:t>
      </w:r>
      <w:r w:rsidRPr="00AD360A">
        <w:t>determin</w:t>
      </w:r>
      <w:r>
        <w:t>e</w:t>
      </w:r>
      <w:r w:rsidRPr="00AD360A">
        <w:t xml:space="preserve"> whether "the project-specific risks of the A350XWB programme </w:t>
      </w:r>
      <w:r>
        <w:t xml:space="preserve">{were} </w:t>
      </w:r>
      <w:r w:rsidRPr="00AD360A">
        <w:rPr>
          <w:i/>
        </w:rPr>
        <w:t>sufficiently similar</w:t>
      </w:r>
      <w:r w:rsidRPr="00AD360A">
        <w:t xml:space="preserve"> to those of the A380 programme </w:t>
      </w:r>
      <w:r w:rsidRPr="00AD360A">
        <w:rPr>
          <w:i/>
        </w:rPr>
        <w:t>such that it would be reasonable to conclude that the WRP could be used as the project</w:t>
      </w:r>
      <w:r w:rsidRPr="00AD360A">
        <w:rPr>
          <w:i/>
        </w:rPr>
        <w:noBreakHyphen/>
        <w:t>specific risk premium for the A350XWB</w:t>
      </w:r>
      <w:r>
        <w:rPr>
          <w:i/>
        </w:rPr>
        <w:t>.</w:t>
      </w:r>
      <w:r w:rsidRPr="00AD360A">
        <w:t>"</w:t>
      </w:r>
      <w:r>
        <w:rPr>
          <w:rStyle w:val="FootnoteReference"/>
        </w:rPr>
        <w:footnoteReference w:id="838"/>
      </w:r>
      <w:r>
        <w:t xml:space="preserve"> </w:t>
      </w:r>
      <w:r w:rsidRPr="004C263E">
        <w:t>Given the focus of the Panel's analysis in relation to the price of risk</w:t>
      </w:r>
      <w:r>
        <w:t xml:space="preserve"> and the nature of the Panel's overall assessment</w:t>
      </w:r>
      <w:r w:rsidRPr="004C263E">
        <w:t>, we disagree that, as a result of the Panel's findings in that context, there is no evidentiary basis for the Panel's ultimate conclusion that "the</w:t>
      </w:r>
      <w:r>
        <w:t> </w:t>
      </w:r>
      <w:r w:rsidRPr="004C263E">
        <w:t>overall project-specific risks {were} sufficiently similar to allow the risk premium applied for A380 LA/MSF in the original proceeding to be applied to A350XWB LA/MSF</w:t>
      </w:r>
      <w:r>
        <w:t>.</w:t>
      </w:r>
      <w:r w:rsidRPr="004C263E">
        <w:t>"</w:t>
      </w:r>
      <w:r w:rsidRPr="004C263E">
        <w:rPr>
          <w:rStyle w:val="FootnoteReference"/>
        </w:rPr>
        <w:footnoteReference w:id="839"/>
      </w:r>
    </w:p>
    <w:p w:rsidR="0007161B" w:rsidRDefault="0007161B" w:rsidP="009E6402">
      <w:pPr>
        <w:pStyle w:val="BodyText"/>
      </w:pPr>
      <w:r w:rsidRPr="003A39D5">
        <w:t xml:space="preserve">For the foregoing reasons, we </w:t>
      </w:r>
      <w:r w:rsidRPr="00CA25E4">
        <w:rPr>
          <w:u w:val="single"/>
        </w:rPr>
        <w:t>find</w:t>
      </w:r>
      <w:r w:rsidRPr="003A39D5">
        <w:rPr>
          <w:i/>
        </w:rPr>
        <w:t xml:space="preserve"> </w:t>
      </w:r>
      <w:r w:rsidRPr="003A39D5">
        <w:t xml:space="preserve">that the </w:t>
      </w:r>
      <w:r w:rsidR="000A10EA">
        <w:t>European Union</w:t>
      </w:r>
      <w:r w:rsidRPr="003A39D5">
        <w:t xml:space="preserve"> h</w:t>
      </w:r>
      <w:r w:rsidR="000F4E37">
        <w:t>as failed to establish that the </w:t>
      </w:r>
      <w:r w:rsidRPr="003A39D5">
        <w:t xml:space="preserve">Panel acted inconsistently with </w:t>
      </w:r>
      <w:r w:rsidR="000A10EA">
        <w:t>Article </w:t>
      </w:r>
      <w:r w:rsidRPr="003A39D5">
        <w:t>11 of the DSU in its analysis of the price</w:t>
      </w:r>
      <w:r w:rsidRPr="00097064">
        <w:t xml:space="preserve"> of risk</w:t>
      </w:r>
      <w:r>
        <w:t xml:space="preserve">. </w:t>
      </w:r>
    </w:p>
    <w:p w:rsidR="0007161B" w:rsidRDefault="0007161B" w:rsidP="009E6402">
      <w:pPr>
        <w:pStyle w:val="Heading5"/>
      </w:pPr>
      <w:bookmarkStart w:id="101" w:name="_Toc514059240"/>
      <w:r>
        <w:t xml:space="preserve">Overall conclusion on </w:t>
      </w:r>
      <w:r w:rsidRPr="00B67EE5">
        <w:t>the</w:t>
      </w:r>
      <w:r>
        <w:t xml:space="preserve"> </w:t>
      </w:r>
      <w:r w:rsidR="000A10EA">
        <w:t>European Union</w:t>
      </w:r>
      <w:r>
        <w:t>'s claim that the</w:t>
      </w:r>
      <w:r w:rsidRPr="00B67EE5">
        <w:t xml:space="preserve"> Panel acted inconsistently with </w:t>
      </w:r>
      <w:r w:rsidR="000A10EA">
        <w:t>Article </w:t>
      </w:r>
      <w:r w:rsidRPr="00B67EE5">
        <w:t>11 of the DSU in its assessment of the risk differences that may affect the project-specific risk premium</w:t>
      </w:r>
      <w:bookmarkEnd w:id="101"/>
    </w:p>
    <w:p w:rsidR="0007161B" w:rsidRDefault="0007161B" w:rsidP="009E6402">
      <w:pPr>
        <w:pStyle w:val="BodyText"/>
      </w:pPr>
      <w:r>
        <w:t>T</w:t>
      </w:r>
      <w:r w:rsidRPr="00097064">
        <w:t xml:space="preserve">he </w:t>
      </w:r>
      <w:r w:rsidR="000A10EA">
        <w:t>European Union</w:t>
      </w:r>
      <w:r w:rsidRPr="00097064">
        <w:t xml:space="preserve"> </w:t>
      </w:r>
      <w:r>
        <w:t xml:space="preserve">has brought multiple claims of </w:t>
      </w:r>
      <w:r w:rsidRPr="00097064">
        <w:t>inconsisten</w:t>
      </w:r>
      <w:r>
        <w:t>cy</w:t>
      </w:r>
      <w:r w:rsidRPr="00097064">
        <w:t xml:space="preserve"> with </w:t>
      </w:r>
      <w:r w:rsidR="000A10EA">
        <w:t>Article </w:t>
      </w:r>
      <w:r w:rsidR="000F4E37">
        <w:t>11 of the </w:t>
      </w:r>
      <w:r w:rsidRPr="00097064">
        <w:t>DSU</w:t>
      </w:r>
      <w:r w:rsidR="00373D41">
        <w:t>,</w:t>
      </w:r>
      <w:r w:rsidRPr="00097064">
        <w:t xml:space="preserve"> </w:t>
      </w:r>
      <w:r>
        <w:t xml:space="preserve">challenging the Panel's </w:t>
      </w:r>
      <w:r w:rsidRPr="00097064">
        <w:t xml:space="preserve">assessment of </w:t>
      </w:r>
      <w:r w:rsidRPr="0019760E">
        <w:t>three</w:t>
      </w:r>
      <w:r w:rsidRPr="00097064">
        <w:t xml:space="preserve"> aspects of risk </w:t>
      </w:r>
      <w:r>
        <w:t xml:space="preserve">related to </w:t>
      </w:r>
      <w:r w:rsidRPr="00AD360A">
        <w:t>the risk profiles of the A380 and A350XWB projects</w:t>
      </w:r>
      <w:r>
        <w:t>: (i) </w:t>
      </w:r>
      <w:r w:rsidRPr="00AD360A">
        <w:t>programme risk; (i</w:t>
      </w:r>
      <w:r>
        <w:t xml:space="preserve">i) </w:t>
      </w:r>
      <w:r w:rsidRPr="00AD360A">
        <w:t>contract risk</w:t>
      </w:r>
      <w:r>
        <w:t>; and (iii) the price of risk</w:t>
      </w:r>
      <w:r w:rsidRPr="00AD360A">
        <w:t>.</w:t>
      </w:r>
      <w:r w:rsidRPr="00FB2532">
        <w:t xml:space="preserve"> </w:t>
      </w:r>
    </w:p>
    <w:p w:rsidR="0007161B" w:rsidRPr="0069635B" w:rsidRDefault="0007161B" w:rsidP="009E6402">
      <w:pPr>
        <w:pStyle w:val="BodyText"/>
      </w:pPr>
      <w:r>
        <w:t xml:space="preserve">In the context of programme risk, </w:t>
      </w:r>
      <w:r w:rsidRPr="008A3A3A">
        <w:t xml:space="preserve">we </w:t>
      </w:r>
      <w:r w:rsidR="00E05F1C">
        <w:rPr>
          <w:u w:val="single"/>
        </w:rPr>
        <w:t>find</w:t>
      </w:r>
      <w:r w:rsidR="00E05F1C">
        <w:t xml:space="preserve"> that the European Union has failed to establish</w:t>
      </w:r>
      <w:r>
        <w:t xml:space="preserve"> that </w:t>
      </w:r>
      <w:r w:rsidRPr="008A3A3A">
        <w:t xml:space="preserve">the Panel acted inconsistently with its obligations under </w:t>
      </w:r>
      <w:r w:rsidR="000A10EA">
        <w:t>Article </w:t>
      </w:r>
      <w:r w:rsidRPr="008A3A3A">
        <w:t>11 of the DSU</w:t>
      </w:r>
      <w:r>
        <w:t xml:space="preserve"> in its </w:t>
      </w:r>
      <w:r w:rsidRPr="00AD360A">
        <w:t>analysis of development risk</w:t>
      </w:r>
      <w:r>
        <w:t>,</w:t>
      </w:r>
      <w:r w:rsidRPr="00AD360A">
        <w:t xml:space="preserve"> market risk</w:t>
      </w:r>
      <w:r>
        <w:t>,</w:t>
      </w:r>
      <w:r w:rsidRPr="00AD360A">
        <w:t xml:space="preserve"> </w:t>
      </w:r>
      <w:r>
        <w:t>or in</w:t>
      </w:r>
      <w:r w:rsidRPr="00AD360A">
        <w:t xml:space="preserve"> </w:t>
      </w:r>
      <w:r>
        <w:t xml:space="preserve">its </w:t>
      </w:r>
      <w:r w:rsidRPr="00AD360A">
        <w:t>comparison of the development and market risks</w:t>
      </w:r>
      <w:r w:rsidR="000F4E37">
        <w:t>. With </w:t>
      </w:r>
      <w:r>
        <w:t xml:space="preserve">regard to contract risk, we </w:t>
      </w:r>
      <w:r w:rsidRPr="00373D41">
        <w:rPr>
          <w:u w:val="single"/>
        </w:rPr>
        <w:t>find</w:t>
      </w:r>
      <w:r>
        <w:t xml:space="preserve"> that the </w:t>
      </w:r>
      <w:r w:rsidR="000A10EA">
        <w:t>European Union</w:t>
      </w:r>
      <w:r>
        <w:t xml:space="preserve"> has failed to establish that the Panel's comparison of</w:t>
      </w:r>
      <w:r w:rsidRPr="00097064">
        <w:t xml:space="preserve"> the </w:t>
      </w:r>
      <w:r w:rsidRPr="00EE6F87">
        <w:t>A350XWB and A380 LA/MSF contracts</w:t>
      </w:r>
      <w:r>
        <w:t xml:space="preserve"> </w:t>
      </w:r>
      <w:r w:rsidRPr="00EE6F87">
        <w:t>lacks a sufficient evidentiary basis</w:t>
      </w:r>
      <w:r>
        <w:t xml:space="preserve"> in a manner inconsistent with the requirements of</w:t>
      </w:r>
      <w:r w:rsidRPr="00EE6F87">
        <w:t xml:space="preserve"> </w:t>
      </w:r>
      <w:r w:rsidR="000A10EA">
        <w:t>Article </w:t>
      </w:r>
      <w:r w:rsidRPr="00EE6F87">
        <w:t>11 of the DSU</w:t>
      </w:r>
      <w:r>
        <w:t xml:space="preserve">. We also </w:t>
      </w:r>
      <w:r w:rsidRPr="00E05F1C">
        <w:rPr>
          <w:u w:val="single"/>
        </w:rPr>
        <w:t>find</w:t>
      </w:r>
      <w:r>
        <w:t xml:space="preserve"> that </w:t>
      </w:r>
      <w:r w:rsidRPr="00EE6F87">
        <w:t xml:space="preserve">the </w:t>
      </w:r>
      <w:r w:rsidR="000A10EA">
        <w:t>European Union</w:t>
      </w:r>
      <w:r>
        <w:t xml:space="preserve"> has failed to establish that </w:t>
      </w:r>
      <w:r w:rsidRPr="00EE6F87">
        <w:t xml:space="preserve">the Panel </w:t>
      </w:r>
      <w:r>
        <w:t>acted inconsistently with</w:t>
      </w:r>
      <w:r w:rsidRPr="00EE6F87">
        <w:t xml:space="preserve"> </w:t>
      </w:r>
      <w:r w:rsidR="000A10EA">
        <w:t>Article </w:t>
      </w:r>
      <w:r w:rsidRPr="00EE6F87">
        <w:t xml:space="preserve">11 </w:t>
      </w:r>
      <w:r>
        <w:t xml:space="preserve">of the DSU by failing to </w:t>
      </w:r>
      <w:r w:rsidRPr="00EE6F87">
        <w:t xml:space="preserve">compare the terms of the A350XWB LA/MSF contracts to </w:t>
      </w:r>
      <w:r w:rsidRPr="00627703">
        <w:t>the terms of the A380 risk-sharing supplier contracts</w:t>
      </w:r>
      <w:r>
        <w:t xml:space="preserve">. Finally, we </w:t>
      </w:r>
      <w:r w:rsidR="00E05F1C" w:rsidRPr="00E05F1C">
        <w:rPr>
          <w:u w:val="single"/>
        </w:rPr>
        <w:t>find</w:t>
      </w:r>
      <w:r w:rsidR="00E05F1C">
        <w:t xml:space="preserve"> that</w:t>
      </w:r>
      <w:r>
        <w:t xml:space="preserve"> the </w:t>
      </w:r>
      <w:r w:rsidR="00E05F1C">
        <w:t>European Union has failed to establish</w:t>
      </w:r>
      <w:r>
        <w:t xml:space="preserve"> </w:t>
      </w:r>
      <w:r w:rsidRPr="003A39D5">
        <w:t xml:space="preserve">that the Panel acted inconsistently with </w:t>
      </w:r>
      <w:r w:rsidR="000A10EA">
        <w:t>Article </w:t>
      </w:r>
      <w:r w:rsidRPr="003A39D5">
        <w:t>11 of the DSU in its analysis of the price</w:t>
      </w:r>
      <w:r w:rsidRPr="00097064">
        <w:t xml:space="preserve"> of risk</w:t>
      </w:r>
      <w:r>
        <w:t>.</w:t>
      </w:r>
    </w:p>
    <w:p w:rsidR="0007161B" w:rsidRPr="00CB3550" w:rsidRDefault="0007161B" w:rsidP="009E6402">
      <w:pPr>
        <w:pStyle w:val="Heading4"/>
      </w:pPr>
      <w:bookmarkStart w:id="102" w:name="_Toc514059241"/>
      <w:r w:rsidRPr="009D60B2">
        <w:t xml:space="preserve">Whether the Panel erroneously adopted a </w:t>
      </w:r>
      <w:r w:rsidRPr="00CB3550">
        <w:t>single, undifferentiated project risk premium to benchmark all four of the A350XWB LA/MSF contracts</w:t>
      </w:r>
      <w:bookmarkEnd w:id="102"/>
    </w:p>
    <w:p w:rsidR="0007161B" w:rsidRDefault="0007161B" w:rsidP="009E6402">
      <w:pPr>
        <w:pStyle w:val="BodyText"/>
      </w:pPr>
      <w:r w:rsidRPr="00CB3550">
        <w:t xml:space="preserve">In this section, we address the </w:t>
      </w:r>
      <w:r w:rsidRPr="00CB3550">
        <w:rPr>
          <w:i/>
        </w:rPr>
        <w:t>third</w:t>
      </w:r>
      <w:r w:rsidRPr="00CB3550">
        <w:t xml:space="preserve"> and final set of claims brought by the </w:t>
      </w:r>
      <w:r w:rsidR="000A10EA">
        <w:t>European Union</w:t>
      </w:r>
      <w:r w:rsidRPr="00CB3550">
        <w:t xml:space="preserve"> against the Panel's findings related to the project-specific risk premium. In this context, the </w:t>
      </w:r>
      <w:r w:rsidR="000A10EA">
        <w:t>European Union</w:t>
      </w:r>
      <w:r w:rsidRPr="00CB3550">
        <w:t xml:space="preserve"> argues that the Panel erroneously adopted a single, undifferentiated project risk premium (i.e. the WRP) as a benchmark for all four of the A350XWB LA/MSF contracts</w:t>
      </w:r>
      <w:r w:rsidRPr="009D60B2">
        <w:t>. According to the</w:t>
      </w:r>
      <w:r w:rsidRPr="00EE6F87">
        <w:t xml:space="preserve"> </w:t>
      </w:r>
      <w:r w:rsidR="000A10EA">
        <w:t>European Union</w:t>
      </w:r>
      <w:r w:rsidRPr="00EE6F87">
        <w:t xml:space="preserve">, the terms of the four </w:t>
      </w:r>
      <w:r w:rsidRPr="00EC58D0">
        <w:t xml:space="preserve">A350XWB LA/MSF </w:t>
      </w:r>
      <w:r w:rsidRPr="00EE6F87">
        <w:t xml:space="preserve">contracts are similar in some ways, but also differ in other ways. Thus, the </w:t>
      </w:r>
      <w:r w:rsidR="000A10EA">
        <w:t>European Union</w:t>
      </w:r>
      <w:r w:rsidRPr="00EE6F87">
        <w:t xml:space="preserve"> asserts that, in adopting a single, </w:t>
      </w:r>
      <w:r w:rsidRPr="00EE6F87">
        <w:lastRenderedPageBreak/>
        <w:t xml:space="preserve">undifferentiated </w:t>
      </w:r>
      <w:r>
        <w:t xml:space="preserve">project-specific </w:t>
      </w:r>
      <w:r w:rsidRPr="00EE6F87">
        <w:t xml:space="preserve">risk premium that did not account for the differing allocation of risk flowing from the differing contract terms, the Panel erred in </w:t>
      </w:r>
      <w:r>
        <w:t>its</w:t>
      </w:r>
      <w:r w:rsidRPr="00EE6F87">
        <w:t xml:space="preserve"> application of</w:t>
      </w:r>
      <w:r w:rsidRPr="00097064">
        <w:t xml:space="preserve"> </w:t>
      </w:r>
      <w:r w:rsidR="000A10EA">
        <w:t>Article </w:t>
      </w:r>
      <w:r w:rsidRPr="00097064">
        <w:t xml:space="preserve">1.1(b) of the </w:t>
      </w:r>
      <w:r w:rsidR="000A10EA">
        <w:t>SCM Agreement</w:t>
      </w:r>
      <w:r w:rsidRPr="00097064">
        <w:t xml:space="preserve">, and also failed to make an objective assessment of the matter as required by </w:t>
      </w:r>
      <w:r w:rsidR="000A10EA">
        <w:t>Article </w:t>
      </w:r>
      <w:r w:rsidRPr="00097064">
        <w:t>11 of the DSU.</w:t>
      </w:r>
      <w:r w:rsidRPr="00097064">
        <w:rPr>
          <w:rStyle w:val="FootnoteReference"/>
        </w:rPr>
        <w:footnoteReference w:id="840"/>
      </w:r>
      <w:r w:rsidRPr="00097064">
        <w:t xml:space="preserve"> We address each of these claims in turn.</w:t>
      </w:r>
    </w:p>
    <w:p w:rsidR="0007161B" w:rsidRDefault="0007161B" w:rsidP="009E6402">
      <w:pPr>
        <w:pStyle w:val="Heading5"/>
        <w:numPr>
          <w:ilvl w:val="4"/>
          <w:numId w:val="16"/>
        </w:numPr>
      </w:pPr>
      <w:bookmarkStart w:id="103" w:name="_Toc514059242"/>
      <w:r>
        <w:t xml:space="preserve">Whether </w:t>
      </w:r>
      <w:r w:rsidRPr="00097064">
        <w:t xml:space="preserve">the Panel erred in </w:t>
      </w:r>
      <w:r>
        <w:t>its</w:t>
      </w:r>
      <w:r w:rsidRPr="00097064">
        <w:t xml:space="preserve"> application of </w:t>
      </w:r>
      <w:r w:rsidR="000A10EA">
        <w:t>Article </w:t>
      </w:r>
      <w:r w:rsidRPr="00097064">
        <w:t>1.1(b)</w:t>
      </w:r>
      <w:r>
        <w:t xml:space="preserve"> of the </w:t>
      </w:r>
      <w:r w:rsidR="000A10EA">
        <w:t>SCM Agreement</w:t>
      </w:r>
      <w:r>
        <w:t xml:space="preserve"> by adopting </w:t>
      </w:r>
      <w:r w:rsidRPr="00097064">
        <w:t xml:space="preserve">a </w:t>
      </w:r>
      <w:r w:rsidRPr="00CB3550">
        <w:t>single, undifferentiated project</w:t>
      </w:r>
      <w:r w:rsidRPr="00097064">
        <w:t xml:space="preserve"> risk premium to benchmark all four of the </w:t>
      </w:r>
      <w:r w:rsidRPr="00EC58D0">
        <w:t>A350XWB LA/MSF contracts</w:t>
      </w:r>
      <w:bookmarkEnd w:id="103"/>
    </w:p>
    <w:p w:rsidR="0007161B" w:rsidRDefault="0007161B" w:rsidP="009E6402">
      <w:pPr>
        <w:pStyle w:val="BodyText"/>
      </w:pPr>
      <w:r w:rsidRPr="00097064">
        <w:t xml:space="preserve">The </w:t>
      </w:r>
      <w:r w:rsidR="000A10EA">
        <w:t>European Union</w:t>
      </w:r>
      <w:r w:rsidRPr="00097064">
        <w:t xml:space="preserve"> </w:t>
      </w:r>
      <w:r>
        <w:t>observes</w:t>
      </w:r>
      <w:r w:rsidRPr="00097064">
        <w:t xml:space="preserve"> that </w:t>
      </w:r>
      <w:r w:rsidR="000A10EA">
        <w:t>Article </w:t>
      </w:r>
      <w:r w:rsidRPr="00097064">
        <w:t xml:space="preserve">1.1(b) </w:t>
      </w:r>
      <w:r>
        <w:t xml:space="preserve">of the </w:t>
      </w:r>
      <w:r w:rsidR="000A10EA">
        <w:t>SCM Agreement</w:t>
      </w:r>
      <w:r>
        <w:t xml:space="preserve"> </w:t>
      </w:r>
      <w:r w:rsidRPr="00097064">
        <w:t xml:space="preserve">requires the selection of a benchmark loan that </w:t>
      </w:r>
      <w:r>
        <w:t>has</w:t>
      </w:r>
      <w:r w:rsidRPr="00097064">
        <w:t xml:space="preserve"> as many elements as possible in common with the investigated loan, with adjustments made in every instance to account for any differences.</w:t>
      </w:r>
      <w:r w:rsidRPr="00097064">
        <w:rPr>
          <w:rStyle w:val="FootnoteReference"/>
        </w:rPr>
        <w:footnoteReference w:id="841"/>
      </w:r>
      <w:r w:rsidR="000F4E37">
        <w:t xml:space="preserve"> In </w:t>
      </w:r>
      <w:r w:rsidRPr="00097064">
        <w:t xml:space="preserve">light of this legal standard, the </w:t>
      </w:r>
      <w:r w:rsidR="000A10EA">
        <w:t>European Union</w:t>
      </w:r>
      <w:r w:rsidRPr="00097064">
        <w:t xml:space="preserve"> points out that the Panel's own factual findings reveal that there are important differences in the terms of the government loans at issue that affect the risk profile – and hence the market price – </w:t>
      </w:r>
      <w:r w:rsidRPr="00EE6F87">
        <w:t>of each loan.</w:t>
      </w:r>
      <w:r w:rsidRPr="00EE6F87">
        <w:rPr>
          <w:rStyle w:val="FootnoteReference"/>
        </w:rPr>
        <w:footnoteReference w:id="842"/>
      </w:r>
      <w:r w:rsidRPr="00EE6F87">
        <w:t xml:space="preserve"> For the </w:t>
      </w:r>
      <w:r w:rsidR="000A10EA">
        <w:t>European Union</w:t>
      </w:r>
      <w:r w:rsidRPr="00EE6F87">
        <w:t xml:space="preserve">, the </w:t>
      </w:r>
      <w:r>
        <w:t xml:space="preserve">four A350XWB </w:t>
      </w:r>
      <w:r w:rsidRPr="00EE6F87">
        <w:t>LA/MSF contracts themselves are not similar in terms of their risk profile</w:t>
      </w:r>
      <w:r>
        <w:t>s</w:t>
      </w:r>
      <w:r w:rsidRPr="00EE6F87">
        <w:t xml:space="preserve">. Consequently, a </w:t>
      </w:r>
      <w:r>
        <w:t xml:space="preserve">market </w:t>
      </w:r>
      <w:r w:rsidRPr="00EE6F87">
        <w:t xml:space="preserve">benchmark that matches the risk profile of one A350XWB LA/MSF </w:t>
      </w:r>
      <w:r>
        <w:t>contract</w:t>
      </w:r>
      <w:r w:rsidRPr="00EE6F87">
        <w:t xml:space="preserve"> might not match the risk profile of another, at least without adjustments to account for differences that impact</w:t>
      </w:r>
      <w:r>
        <w:t xml:space="preserve"> the market price of each </w:t>
      </w:r>
      <w:r w:rsidRPr="00EE6F87">
        <w:t>A350XWB</w:t>
      </w:r>
      <w:r>
        <w:t xml:space="preserve"> LA/MSF contract</w:t>
      </w:r>
      <w:r w:rsidRPr="00EE6F87">
        <w:t>.</w:t>
      </w:r>
      <w:r w:rsidRPr="00EE6F87">
        <w:rPr>
          <w:rStyle w:val="FootnoteReference"/>
        </w:rPr>
        <w:footnoteReference w:id="843"/>
      </w:r>
    </w:p>
    <w:p w:rsidR="0007161B" w:rsidRDefault="0007161B" w:rsidP="009E6402">
      <w:pPr>
        <w:pStyle w:val="BodyText"/>
      </w:pPr>
      <w:r w:rsidRPr="00EE6F87">
        <w:t xml:space="preserve">According to the </w:t>
      </w:r>
      <w:r w:rsidR="000A10EA">
        <w:t>European Union</w:t>
      </w:r>
      <w:r w:rsidRPr="00EE6F87">
        <w:t xml:space="preserve">, the Panel acknowledged that differences in risk profiles </w:t>
      </w:r>
      <w:r>
        <w:t>among</w:t>
      </w:r>
      <w:r w:rsidRPr="00EE6F87">
        <w:t xml:space="preserve"> the </w:t>
      </w:r>
      <w:r>
        <w:t xml:space="preserve">four </w:t>
      </w:r>
      <w:r w:rsidRPr="00EE6F87">
        <w:t xml:space="preserve">A350XWB LA/MSF contracts exist, and that these differences could affect the risk premium demanded by a market lender. However, the Panel decided that these differences could be ignored </w:t>
      </w:r>
      <w:r>
        <w:t>because</w:t>
      </w:r>
      <w:r w:rsidRPr="00EE6F87">
        <w:t xml:space="preserve"> the original panel had allegedly ignored differences in the risk profiles of the A380 LA/MSF contracts at issue</w:t>
      </w:r>
      <w:r>
        <w:t xml:space="preserve"> in the original proceedings</w:t>
      </w:r>
      <w:r w:rsidRPr="00EE6F87">
        <w:t xml:space="preserve">. In the </w:t>
      </w:r>
      <w:r w:rsidR="000A10EA">
        <w:t>European Union</w:t>
      </w:r>
      <w:r w:rsidR="000F4E37">
        <w:t>'s view, in </w:t>
      </w:r>
      <w:r w:rsidRPr="00EE6F87">
        <w:t>applying a single, undifferentiated project risk premium, the Pan</w:t>
      </w:r>
      <w:r w:rsidR="000F4E37">
        <w:t>el failed even to consider, let </w:t>
      </w:r>
      <w:r w:rsidRPr="00EE6F87">
        <w:t xml:space="preserve">alone adjust for, differences </w:t>
      </w:r>
      <w:r>
        <w:t>among</w:t>
      </w:r>
      <w:r w:rsidRPr="00EE6F87">
        <w:t xml:space="preserve"> the risk profiles of the </w:t>
      </w:r>
      <w:r>
        <w:t xml:space="preserve">four </w:t>
      </w:r>
      <w:r w:rsidRPr="00EE6F87">
        <w:t>A350XWB LA/MSF contracts that could affect the</w:t>
      </w:r>
      <w:r>
        <w:t>ir</w:t>
      </w:r>
      <w:r w:rsidRPr="00EE6F87">
        <w:t xml:space="preserve"> market price, which amounts to an erroneous application of </w:t>
      </w:r>
      <w:r w:rsidR="000A10EA">
        <w:t>Article </w:t>
      </w:r>
      <w:r w:rsidRPr="00EE6F87">
        <w:t>1.1(b).</w:t>
      </w:r>
      <w:r w:rsidRPr="00EE6F87">
        <w:rPr>
          <w:rStyle w:val="FootnoteReference"/>
        </w:rPr>
        <w:footnoteReference w:id="844"/>
      </w:r>
    </w:p>
    <w:p w:rsidR="0007161B" w:rsidRDefault="0007161B" w:rsidP="009E6402">
      <w:pPr>
        <w:pStyle w:val="BodyText"/>
      </w:pPr>
      <w:r>
        <w:t>T</w:t>
      </w:r>
      <w:r w:rsidRPr="00097064">
        <w:t xml:space="preserve">he </w:t>
      </w:r>
      <w:r w:rsidR="000A10EA">
        <w:t>United States</w:t>
      </w:r>
      <w:r w:rsidRPr="00097064">
        <w:t xml:space="preserve"> </w:t>
      </w:r>
      <w:r>
        <w:t xml:space="preserve">rejects </w:t>
      </w:r>
      <w:r w:rsidRPr="00097064">
        <w:t xml:space="preserve">the </w:t>
      </w:r>
      <w:r w:rsidR="000A10EA">
        <w:t>European Union</w:t>
      </w:r>
      <w:r>
        <w:t>'s claim</w:t>
      </w:r>
      <w:r w:rsidRPr="00097064">
        <w:t xml:space="preserve"> that the Panel err</w:t>
      </w:r>
      <w:r>
        <w:t xml:space="preserve">ed under </w:t>
      </w:r>
      <w:r w:rsidR="000A10EA">
        <w:t>Article </w:t>
      </w:r>
      <w:r w:rsidRPr="00097064">
        <w:t xml:space="preserve">1.1(b) </w:t>
      </w:r>
      <w:r>
        <w:t xml:space="preserve">by </w:t>
      </w:r>
      <w:r w:rsidRPr="00097064">
        <w:t>adopt</w:t>
      </w:r>
      <w:r>
        <w:t>ing</w:t>
      </w:r>
      <w:r w:rsidRPr="00097064">
        <w:t xml:space="preserve"> a single project-specific risk premium as a benchmark for all four of the A350XWB LA/MSF </w:t>
      </w:r>
      <w:r>
        <w:t>contracts</w:t>
      </w:r>
      <w:r w:rsidRPr="00097064">
        <w:t xml:space="preserve">. </w:t>
      </w:r>
      <w:r>
        <w:t xml:space="preserve">According to the </w:t>
      </w:r>
      <w:r w:rsidR="000A10EA">
        <w:t>United States</w:t>
      </w:r>
      <w:r>
        <w:t>, t</w:t>
      </w:r>
      <w:r w:rsidRPr="00097064">
        <w:t xml:space="preserve">he </w:t>
      </w:r>
      <w:r w:rsidR="000A10EA">
        <w:t>European Union</w:t>
      </w:r>
      <w:r w:rsidRPr="00097064">
        <w:t xml:space="preserve">'s claim is premised on an incorrect </w:t>
      </w:r>
      <w:r>
        <w:t xml:space="preserve">understanding </w:t>
      </w:r>
      <w:r w:rsidRPr="00097064">
        <w:t xml:space="preserve">of the legal standard. </w:t>
      </w:r>
      <w:r w:rsidR="000A10EA">
        <w:t>Article </w:t>
      </w:r>
      <w:r w:rsidRPr="00097064">
        <w:t xml:space="preserve">14(b) of the </w:t>
      </w:r>
      <w:r w:rsidR="000A10EA">
        <w:t>SCM Agreement</w:t>
      </w:r>
      <w:r w:rsidRPr="00097064">
        <w:t xml:space="preserve"> requires that the benchmark be "comparable</w:t>
      </w:r>
      <w:r>
        <w:t>"</w:t>
      </w:r>
      <w:r w:rsidRPr="00097064">
        <w:t>, rather than "identical</w:t>
      </w:r>
      <w:r>
        <w:t>"</w:t>
      </w:r>
      <w:r w:rsidR="00267BCB">
        <w:t xml:space="preserve"> </w:t>
      </w:r>
      <w:r w:rsidRPr="00097064">
        <w:t>or "as close as possible"</w:t>
      </w:r>
      <w:r>
        <w:t xml:space="preserve">, </w:t>
      </w:r>
      <w:r w:rsidR="000F4E37">
        <w:t>to </w:t>
      </w:r>
      <w:r w:rsidRPr="00097064">
        <w:t>the government loan at issu</w:t>
      </w:r>
      <w:r>
        <w:t>e</w:t>
      </w:r>
      <w:r w:rsidRPr="00097064">
        <w:t xml:space="preserve">. </w:t>
      </w:r>
      <w:r>
        <w:t xml:space="preserve">For </w:t>
      </w:r>
      <w:r w:rsidRPr="00097064">
        <w:t xml:space="preserve">the </w:t>
      </w:r>
      <w:r w:rsidR="000A10EA">
        <w:t>United States</w:t>
      </w:r>
      <w:r>
        <w:t>,</w:t>
      </w:r>
      <w:r w:rsidRPr="00097064">
        <w:t xml:space="preserve"> </w:t>
      </w:r>
      <w:r>
        <w:t>g</w:t>
      </w:r>
      <w:r w:rsidRPr="00097064">
        <w:t xml:space="preserve">iven that the </w:t>
      </w:r>
      <w:r w:rsidR="000A10EA">
        <w:t>European Union</w:t>
      </w:r>
      <w:r w:rsidRPr="00097064">
        <w:t xml:space="preserve"> </w:t>
      </w:r>
      <w:r>
        <w:t>has</w:t>
      </w:r>
      <w:r w:rsidRPr="00097064">
        <w:t xml:space="preserve"> not </w:t>
      </w:r>
      <w:r>
        <w:t>substantiated</w:t>
      </w:r>
      <w:r w:rsidRPr="00097064">
        <w:t xml:space="preserve"> that the benchmark adopted by the Panel is not "comparable</w:t>
      </w:r>
      <w:r>
        <w:t>"</w:t>
      </w:r>
      <w:r w:rsidR="007F7CF2">
        <w:t xml:space="preserve"> to any of the four </w:t>
      </w:r>
      <w:r w:rsidRPr="00097064">
        <w:t xml:space="preserve">instances of LA/MSF for the A350XWB, </w:t>
      </w:r>
      <w:r>
        <w:t>this</w:t>
      </w:r>
      <w:r w:rsidRPr="00097064">
        <w:t xml:space="preserve"> claim of error must fail.</w:t>
      </w:r>
      <w:r w:rsidRPr="00097064">
        <w:rPr>
          <w:rStyle w:val="FootnoteReference"/>
        </w:rPr>
        <w:footnoteReference w:id="845"/>
      </w:r>
    </w:p>
    <w:p w:rsidR="0007161B" w:rsidRDefault="0007161B" w:rsidP="009E6402">
      <w:pPr>
        <w:pStyle w:val="BodyText"/>
      </w:pPr>
      <w:r>
        <w:t>The</w:t>
      </w:r>
      <w:r w:rsidRPr="00097064">
        <w:t xml:space="preserve"> </w:t>
      </w:r>
      <w:r w:rsidR="000A10EA">
        <w:t>European Union</w:t>
      </w:r>
      <w:r w:rsidRPr="00097064">
        <w:t xml:space="preserve">'s </w:t>
      </w:r>
      <w:r>
        <w:t>claim of error appears to be based on the assumption</w:t>
      </w:r>
      <w:r w:rsidRPr="00097064">
        <w:t xml:space="preserve"> that the </w:t>
      </w:r>
      <w:r w:rsidRPr="005E1145">
        <w:t>mere</w:t>
      </w:r>
      <w:r w:rsidRPr="00097064">
        <w:t xml:space="preserve"> fact that the Panel applied the "single, undifferentiated project risk premium" </w:t>
      </w:r>
      <w:r w:rsidRPr="00DA2E86">
        <w:rPr>
          <w:i/>
        </w:rPr>
        <w:t>without making adjustments</w:t>
      </w:r>
      <w:r>
        <w:t xml:space="preserve"> necessarily constitutes error in the application of </w:t>
      </w:r>
      <w:r w:rsidR="000A10EA">
        <w:t>Article </w:t>
      </w:r>
      <w:r>
        <w:t>1.1(b)</w:t>
      </w:r>
      <w:r w:rsidRPr="00097064">
        <w:t>.</w:t>
      </w:r>
      <w:r w:rsidRPr="00097064">
        <w:rPr>
          <w:rStyle w:val="FootnoteReference"/>
        </w:rPr>
        <w:footnoteReference w:id="846"/>
      </w:r>
      <w:r>
        <w:t xml:space="preserve"> We recall that the fact that </w:t>
      </w:r>
      <w:r w:rsidRPr="00097064">
        <w:t xml:space="preserve">the Panel did not make </w:t>
      </w:r>
      <w:r>
        <w:t xml:space="preserve">any such </w:t>
      </w:r>
      <w:r w:rsidRPr="00097064">
        <w:t xml:space="preserve">adjustments does not, in and of itself, constitute legal error under </w:t>
      </w:r>
      <w:r w:rsidR="000A10EA">
        <w:t>Article </w:t>
      </w:r>
      <w:r w:rsidRPr="00097064">
        <w:t>1.1(b</w:t>
      </w:r>
      <w:r>
        <w:t>)</w:t>
      </w:r>
      <w:r w:rsidRPr="00097064">
        <w:t>.</w:t>
      </w:r>
      <w:r>
        <w:rPr>
          <w:rStyle w:val="FootnoteReference"/>
        </w:rPr>
        <w:footnoteReference w:id="847"/>
      </w:r>
      <w:r>
        <w:t xml:space="preserve"> Indeed, c</w:t>
      </w:r>
      <w:r w:rsidRPr="00097064">
        <w:t xml:space="preserve">ontrary to the </w:t>
      </w:r>
      <w:r w:rsidR="000A10EA">
        <w:t>European Union</w:t>
      </w:r>
      <w:r w:rsidRPr="00097064">
        <w:t xml:space="preserve">'s suggestion, it is not possible to determine </w:t>
      </w:r>
      <w:r w:rsidRPr="00DA2E86">
        <w:rPr>
          <w:i/>
        </w:rPr>
        <w:t>in the abstract</w:t>
      </w:r>
      <w:r w:rsidRPr="00097064">
        <w:t xml:space="preserve"> whether the Panel ought to have made </w:t>
      </w:r>
      <w:r w:rsidRPr="00DA2E86">
        <w:rPr>
          <w:i/>
        </w:rPr>
        <w:t>adjustments</w:t>
      </w:r>
      <w:r w:rsidRPr="00097064">
        <w:t xml:space="preserve"> to the WRP to ensure that it ha</w:t>
      </w:r>
      <w:r>
        <w:t>d</w:t>
      </w:r>
      <w:r w:rsidRPr="00097064">
        <w:t xml:space="preserve"> as many elements as possible in common with each of the </w:t>
      </w:r>
      <w:r w:rsidR="00AC2FB9">
        <w:t>four </w:t>
      </w:r>
      <w:r w:rsidRPr="00863BFA">
        <w:t>A350XWB LA/MSF contracts</w:t>
      </w:r>
      <w:r w:rsidRPr="00097064">
        <w:t>.</w:t>
      </w:r>
    </w:p>
    <w:p w:rsidR="0007161B" w:rsidRDefault="0007161B" w:rsidP="009E6402">
      <w:pPr>
        <w:pStyle w:val="BodyText"/>
      </w:pPr>
      <w:r>
        <w:lastRenderedPageBreak/>
        <w:t xml:space="preserve">As we see it, the key </w:t>
      </w:r>
      <w:r w:rsidRPr="00097064">
        <w:t xml:space="preserve">premise underlying the </w:t>
      </w:r>
      <w:r w:rsidR="000A10EA">
        <w:t>European Union</w:t>
      </w:r>
      <w:r w:rsidRPr="00097064">
        <w:t>'s claim</w:t>
      </w:r>
      <w:r>
        <w:t xml:space="preserve"> is that</w:t>
      </w:r>
      <w:r w:rsidRPr="00EE6F87">
        <w:t xml:space="preserve"> the Panel acknowledged that "differences in risk profiles </w:t>
      </w:r>
      <w:r>
        <w:t>{among}</w:t>
      </w:r>
      <w:r w:rsidRPr="00EE6F87">
        <w:t xml:space="preserve"> the A350XWB LA/MSF contracts exist" and that "these differences </w:t>
      </w:r>
      <w:r w:rsidRPr="0081294A">
        <w:rPr>
          <w:i/>
        </w:rPr>
        <w:t>could affect the risk premium</w:t>
      </w:r>
      <w:r w:rsidRPr="00EE6F87">
        <w:t>".</w:t>
      </w:r>
      <w:r>
        <w:rPr>
          <w:rStyle w:val="FootnoteReference"/>
        </w:rPr>
        <w:footnoteReference w:id="848"/>
      </w:r>
      <w:r w:rsidRPr="0081294A">
        <w:t xml:space="preserve"> </w:t>
      </w:r>
      <w:r w:rsidRPr="00EE6F87">
        <w:t>In or</w:t>
      </w:r>
      <w:r w:rsidR="000F4E37">
        <w:t>der to examine this premise, we </w:t>
      </w:r>
      <w:r w:rsidRPr="00EE6F87">
        <w:t>analyse</w:t>
      </w:r>
      <w:r>
        <w:t xml:space="preserve"> below</w:t>
      </w:r>
      <w:r w:rsidRPr="00EE6F87">
        <w:t xml:space="preserve"> </w:t>
      </w:r>
      <w:r>
        <w:t>relevant</w:t>
      </w:r>
      <w:r w:rsidRPr="00EE6F87">
        <w:t xml:space="preserve"> aspects of the Panel Report.</w:t>
      </w:r>
    </w:p>
    <w:p w:rsidR="0007161B" w:rsidRPr="00EE6F87" w:rsidRDefault="0007161B" w:rsidP="009E6402">
      <w:pPr>
        <w:pStyle w:val="BodyText"/>
      </w:pPr>
      <w:r>
        <w:t>I</w:t>
      </w:r>
      <w:r w:rsidRPr="00EE6F87">
        <w:t>n response to</w:t>
      </w:r>
      <w:r>
        <w:t xml:space="preserve"> arguments by</w:t>
      </w:r>
      <w:r w:rsidRPr="00EE6F87">
        <w:t xml:space="preserve"> the </w:t>
      </w:r>
      <w:r w:rsidR="000A10EA">
        <w:t>European Union</w:t>
      </w:r>
      <w:r w:rsidRPr="00EE6F87">
        <w:t xml:space="preserve">, the Panel </w:t>
      </w:r>
      <w:r>
        <w:t xml:space="preserve">actually </w:t>
      </w:r>
      <w:r w:rsidRPr="00EE6F87">
        <w:t xml:space="preserve">examined whether the </w:t>
      </w:r>
      <w:r>
        <w:t>four</w:t>
      </w:r>
      <w:r w:rsidRPr="00EE6F87">
        <w:t xml:space="preserve"> A350XWB LA/MSF contracts should have different risk premia. In particular, the </w:t>
      </w:r>
      <w:r w:rsidR="000A10EA">
        <w:t>European Union</w:t>
      </w:r>
      <w:r w:rsidRPr="00EE6F87">
        <w:t xml:space="preserve"> argued before the Panel that "the four individual A350XWB</w:t>
      </w:r>
      <w:r>
        <w:t xml:space="preserve"> {LA/MSF}</w:t>
      </w:r>
      <w:r w:rsidRPr="00EE6F87">
        <w:t xml:space="preserve"> contracts involve different amounts of risk because the </w:t>
      </w:r>
      <w:r w:rsidRPr="00EE6F87">
        <w:rPr>
          <w:b/>
        </w:rPr>
        <w:t>[</w:t>
      </w:r>
      <w:r w:rsidR="00E8168B" w:rsidRPr="00C8434D">
        <w:rPr>
          <w:b/>
          <w:szCs w:val="16"/>
        </w:rPr>
        <w:t>BCI</w:t>
      </w:r>
      <w:r w:rsidRPr="00EE6F87">
        <w:rPr>
          <w:b/>
        </w:rPr>
        <w:t>]</w:t>
      </w:r>
      <w:r w:rsidRPr="00EE6F87">
        <w:t xml:space="preserve"> contracts protect against risks related to </w:t>
      </w:r>
      <w:r w:rsidRPr="00EE6F87">
        <w:rPr>
          <w:b/>
        </w:rPr>
        <w:t>[</w:t>
      </w:r>
      <w:r w:rsidR="00E8168B" w:rsidRPr="00C8434D">
        <w:rPr>
          <w:b/>
          <w:szCs w:val="16"/>
        </w:rPr>
        <w:t>BCI</w:t>
      </w:r>
      <w:r w:rsidRPr="00EE6F87">
        <w:rPr>
          <w:b/>
        </w:rPr>
        <w:t>]</w:t>
      </w:r>
      <w:r w:rsidRPr="00EE6F87">
        <w:t xml:space="preserve">, whereas the </w:t>
      </w:r>
      <w:r w:rsidRPr="00EE6F87">
        <w:rPr>
          <w:b/>
        </w:rPr>
        <w:t>[</w:t>
      </w:r>
      <w:r w:rsidR="00E8168B" w:rsidRPr="00C8434D">
        <w:rPr>
          <w:b/>
          <w:szCs w:val="16"/>
        </w:rPr>
        <w:t>BCI</w:t>
      </w:r>
      <w:r w:rsidRPr="00EE6F87">
        <w:rPr>
          <w:b/>
        </w:rPr>
        <w:t>]</w:t>
      </w:r>
      <w:r w:rsidRPr="00EE6F87">
        <w:t xml:space="preserve"> contract does not."</w:t>
      </w:r>
      <w:r w:rsidRPr="00EE6F87">
        <w:rPr>
          <w:rStyle w:val="FootnoteReference"/>
        </w:rPr>
        <w:footnoteReference w:id="849"/>
      </w:r>
      <w:r w:rsidRPr="00EE6F87">
        <w:t xml:space="preserve"> </w:t>
      </w:r>
    </w:p>
    <w:p w:rsidR="0007161B" w:rsidRDefault="0007161B" w:rsidP="009E6402">
      <w:pPr>
        <w:pStyle w:val="BodyText"/>
      </w:pPr>
      <w:r w:rsidRPr="00EE6F87">
        <w:t xml:space="preserve">As </w:t>
      </w:r>
      <w:r>
        <w:t>noted</w:t>
      </w:r>
      <w:r w:rsidRPr="00EE6F87">
        <w:t xml:space="preserve"> by the </w:t>
      </w:r>
      <w:r w:rsidR="000A10EA">
        <w:t>European Union</w:t>
      </w:r>
      <w:r w:rsidRPr="00EE6F87">
        <w:t xml:space="preserve">, the Panel did "recognise that there are some differences </w:t>
      </w:r>
      <w:r>
        <w:t>{among}</w:t>
      </w:r>
      <w:r w:rsidRPr="00EE6F87">
        <w:t xml:space="preserve"> the risk profiles of the four A350XWB </w:t>
      </w:r>
      <w:r>
        <w:t xml:space="preserve">{LA/MSF} </w:t>
      </w:r>
      <w:r w:rsidRPr="00EE6F87">
        <w:t>contracts".</w:t>
      </w:r>
      <w:r w:rsidRPr="00EE6F87">
        <w:rPr>
          <w:rStyle w:val="FootnoteReference"/>
        </w:rPr>
        <w:footnoteReference w:id="850"/>
      </w:r>
      <w:r w:rsidRPr="00EE6F87">
        <w:t xml:space="preserve"> However, the Panel </w:t>
      </w:r>
      <w:r>
        <w:t>went on to examine and</w:t>
      </w:r>
      <w:r w:rsidRPr="00EE6F87">
        <w:t xml:space="preserve"> to explain why, despite some differences </w:t>
      </w:r>
      <w:r>
        <w:t>among</w:t>
      </w:r>
      <w:r w:rsidR="00875B43">
        <w:t xml:space="preserve"> the risk profiles of the four </w:t>
      </w:r>
      <w:r w:rsidRPr="00EE6F87">
        <w:t xml:space="preserve">A350XWB </w:t>
      </w:r>
      <w:r>
        <w:t xml:space="preserve">LA/MSF </w:t>
      </w:r>
      <w:r w:rsidRPr="00EE6F87">
        <w:t xml:space="preserve">contracts, it would not </w:t>
      </w:r>
      <w:r w:rsidRPr="009E12D1">
        <w:t>be</w:t>
      </w:r>
      <w:r>
        <w:t xml:space="preserve"> necessary</w:t>
      </w:r>
      <w:r w:rsidRPr="00EE6F87">
        <w:t xml:space="preserve"> to apply two or more project-specific risk premia. </w:t>
      </w:r>
      <w:r>
        <w:t>The Panel noted, for example,</w:t>
      </w:r>
      <w:r w:rsidRPr="00EE6F87">
        <w:t xml:space="preserve"> that in the original proceedings there were also differences </w:t>
      </w:r>
      <w:r>
        <w:t>among</w:t>
      </w:r>
      <w:r w:rsidRPr="00EE6F87">
        <w:t xml:space="preserve"> the four A380 LA/MSF contracts for which the same premium was used</w:t>
      </w:r>
      <w:r>
        <w:t xml:space="preserve"> </w:t>
      </w:r>
      <w:r w:rsidRPr="00EE6F87">
        <w:t>(</w:t>
      </w:r>
      <w:r>
        <w:t xml:space="preserve">i.e. </w:t>
      </w:r>
      <w:r w:rsidRPr="00EE6F87">
        <w:t>the WRP).</w:t>
      </w:r>
      <w:r w:rsidR="000F4E37">
        <w:t xml:space="preserve"> In </w:t>
      </w:r>
      <w:r>
        <w:t>particular, t</w:t>
      </w:r>
      <w:r w:rsidRPr="00EE6F87">
        <w:t xml:space="preserve">he Panel </w:t>
      </w:r>
      <w:r>
        <w:t>explained</w:t>
      </w:r>
      <w:r w:rsidRPr="00EE6F87">
        <w:t xml:space="preserve"> that, although in the original proceedings </w:t>
      </w:r>
      <w:r w:rsidRPr="00411BB4">
        <w:rPr>
          <w:b/>
        </w:rPr>
        <w:t>[</w:t>
      </w:r>
      <w:r w:rsidR="00E8168B" w:rsidRPr="00C8434D">
        <w:rPr>
          <w:b/>
          <w:szCs w:val="16"/>
        </w:rPr>
        <w:t>BCI</w:t>
      </w:r>
      <w:r w:rsidRPr="00411BB4">
        <w:rPr>
          <w:b/>
        </w:rPr>
        <w:t>]</w:t>
      </w:r>
      <w:r w:rsidRPr="00EE6F87">
        <w:t>,</w:t>
      </w:r>
      <w:r w:rsidRPr="00097064">
        <w:t xml:space="preserve"> which would constitute </w:t>
      </w:r>
      <w:r w:rsidR="00C77C98">
        <w:t>"</w:t>
      </w:r>
      <w:r w:rsidRPr="00097064">
        <w:t>risk-reducing</w:t>
      </w:r>
      <w:r w:rsidR="00C77C98">
        <w:t>"</w:t>
      </w:r>
      <w:r w:rsidRPr="00097064">
        <w:t xml:space="preserve"> terms, existed in at least </w:t>
      </w:r>
      <w:r w:rsidRPr="00411BB4">
        <w:rPr>
          <w:b/>
        </w:rPr>
        <w:t>[</w:t>
      </w:r>
      <w:r w:rsidR="00E8168B" w:rsidRPr="00C8434D">
        <w:rPr>
          <w:b/>
          <w:szCs w:val="16"/>
        </w:rPr>
        <w:t>BCI</w:t>
      </w:r>
      <w:r w:rsidR="00C77C98">
        <w:rPr>
          <w:b/>
        </w:rPr>
        <w:t>]</w:t>
      </w:r>
      <w:r w:rsidRPr="00097064">
        <w:t xml:space="preserve"> </w:t>
      </w:r>
      <w:r w:rsidR="00C77C98">
        <w:t xml:space="preserve">for </w:t>
      </w:r>
      <w:r w:rsidRPr="00097064">
        <w:t>A380 LA/MSF</w:t>
      </w:r>
      <w:r w:rsidR="00373D41">
        <w:t>, Professor </w:t>
      </w:r>
      <w:r w:rsidRPr="00EE6F87">
        <w:t xml:space="preserve">Whitelaw's risk premium was nevertheless applied in those proceedings as a </w:t>
      </w:r>
      <w:r w:rsidRPr="00411BB4">
        <w:rPr>
          <w:i/>
        </w:rPr>
        <w:t>minimum</w:t>
      </w:r>
      <w:r w:rsidRPr="00EE6F87">
        <w:t xml:space="preserve"> premium for all contracts.</w:t>
      </w:r>
      <w:r w:rsidRPr="00EE6F87">
        <w:rPr>
          <w:rStyle w:val="FootnoteReference"/>
        </w:rPr>
        <w:footnoteReference w:id="851"/>
      </w:r>
    </w:p>
    <w:p w:rsidR="0007161B" w:rsidRDefault="0007161B" w:rsidP="009E6402">
      <w:pPr>
        <w:pStyle w:val="BodyText"/>
      </w:pPr>
      <w:r>
        <w:t>Moreover, t</w:t>
      </w:r>
      <w:r w:rsidRPr="00EE6F87">
        <w:t xml:space="preserve">he Panel provided </w:t>
      </w:r>
      <w:r w:rsidRPr="0081294A">
        <w:rPr>
          <w:i/>
        </w:rPr>
        <w:t>additional</w:t>
      </w:r>
      <w:r w:rsidRPr="00EE6F87">
        <w:t xml:space="preserve"> reasons </w:t>
      </w:r>
      <w:r>
        <w:t>why the</w:t>
      </w:r>
      <w:r w:rsidRPr="00EE6F87">
        <w:t xml:space="preserve"> differences </w:t>
      </w:r>
      <w:r>
        <w:t>among</w:t>
      </w:r>
      <w:r w:rsidRPr="00EE6F87">
        <w:t xml:space="preserve"> the terms of the four A350XWB LA/MSF </w:t>
      </w:r>
      <w:r w:rsidRPr="009C4F30">
        <w:t xml:space="preserve">contracts </w:t>
      </w:r>
      <w:r>
        <w:t xml:space="preserve">at issue would not, in this case, </w:t>
      </w:r>
      <w:r w:rsidR="000F4E37">
        <w:t>"justify the application of, at </w:t>
      </w:r>
      <w:r w:rsidRPr="009C4F30">
        <w:t>least, two different ris</w:t>
      </w:r>
      <w:r>
        <w:t>k premiums for those agreements".</w:t>
      </w:r>
      <w:r w:rsidRPr="009C4F30">
        <w:rPr>
          <w:rStyle w:val="FootnoteReference"/>
        </w:rPr>
        <w:footnoteReference w:id="852"/>
      </w:r>
      <w:r w:rsidRPr="009C4F30">
        <w:t xml:space="preserve"> In particular, the Panel noted that, "for the </w:t>
      </w:r>
      <w:r w:rsidRPr="009C4F30">
        <w:rPr>
          <w:b/>
        </w:rPr>
        <w:t>[</w:t>
      </w:r>
      <w:r w:rsidR="00E8168B" w:rsidRPr="00C8434D">
        <w:rPr>
          <w:b/>
          <w:szCs w:val="16"/>
        </w:rPr>
        <w:t>BCI</w:t>
      </w:r>
      <w:r w:rsidRPr="009C4F30">
        <w:rPr>
          <w:b/>
        </w:rPr>
        <w:t>]</w:t>
      </w:r>
      <w:r w:rsidRPr="009C4F30">
        <w:t xml:space="preserve"> contract, the contractual terms that the </w:t>
      </w:r>
      <w:r w:rsidR="000A10EA">
        <w:t>European Union</w:t>
      </w:r>
      <w:r w:rsidR="000F4E37">
        <w:t xml:space="preserve"> has identified as 'risk </w:t>
      </w:r>
      <w:r w:rsidRPr="009C4F30">
        <w:t>reducing' apply</w:t>
      </w:r>
      <w:r w:rsidRPr="00EE6F87">
        <w:t xml:space="preserve"> in</w:t>
      </w:r>
      <w:r w:rsidRPr="00097064">
        <w:t xml:space="preserve"> circumstances involving </w:t>
      </w:r>
      <w:r w:rsidRPr="00097064">
        <w:rPr>
          <w:b/>
        </w:rPr>
        <w:t>[</w:t>
      </w:r>
      <w:r w:rsidR="00E8168B" w:rsidRPr="00C8434D">
        <w:rPr>
          <w:b/>
          <w:szCs w:val="16"/>
        </w:rPr>
        <w:t>BCI</w:t>
      </w:r>
      <w:r w:rsidRPr="00097064">
        <w:rPr>
          <w:b/>
        </w:rPr>
        <w:t>]</w:t>
      </w:r>
      <w:r w:rsidRPr="00097064">
        <w:t>. That is, if foreseen development risks, such as technology risks, were to eventuate, it appears that the 'risk reducing' terms may not apply."</w:t>
      </w:r>
      <w:r w:rsidRPr="00097064">
        <w:rPr>
          <w:rStyle w:val="FootnoteReference"/>
        </w:rPr>
        <w:footnoteReference w:id="853"/>
      </w:r>
      <w:r w:rsidRPr="00097064">
        <w:t xml:space="preserve"> Furthermore, the Panel found it difficult to accept the </w:t>
      </w:r>
      <w:r w:rsidR="000A10EA">
        <w:t>European Union</w:t>
      </w:r>
      <w:r w:rsidRPr="00097064">
        <w:t xml:space="preserve">'s </w:t>
      </w:r>
      <w:r w:rsidR="000F4E37">
        <w:t>argument that "the </w:t>
      </w:r>
      <w:r w:rsidRPr="00EE6F87">
        <w:rPr>
          <w:b/>
        </w:rPr>
        <w:t>[</w:t>
      </w:r>
      <w:r w:rsidR="00E8168B" w:rsidRPr="00C8434D">
        <w:rPr>
          <w:b/>
          <w:szCs w:val="16"/>
        </w:rPr>
        <w:t>BCI</w:t>
      </w:r>
      <w:r w:rsidRPr="00846D80">
        <w:rPr>
          <w:b/>
        </w:rPr>
        <w:t>]</w:t>
      </w:r>
      <w:r w:rsidRPr="00CA25E4">
        <w:t>.</w:t>
      </w:r>
      <w:r w:rsidRPr="00EE6F87">
        <w:t>"</w:t>
      </w:r>
      <w:r w:rsidRPr="00EE6F87">
        <w:rPr>
          <w:rStyle w:val="FootnoteReference"/>
        </w:rPr>
        <w:footnoteReference w:id="854"/>
      </w:r>
      <w:r w:rsidRPr="00EE6F87">
        <w:t xml:space="preserve"> In the Panel's view, "</w:t>
      </w:r>
      <w:r w:rsidRPr="00EE6F87">
        <w:rPr>
          <w:b/>
        </w:rPr>
        <w:t>[</w:t>
      </w:r>
      <w:r w:rsidR="00E8168B" w:rsidRPr="00C8434D">
        <w:rPr>
          <w:b/>
          <w:szCs w:val="16"/>
        </w:rPr>
        <w:t>BCI</w:t>
      </w:r>
      <w:r w:rsidRPr="00EE6F87">
        <w:rPr>
          <w:b/>
        </w:rPr>
        <w:t>]</w:t>
      </w:r>
      <w:r w:rsidRPr="00EE6F87">
        <w:t>."</w:t>
      </w:r>
      <w:r w:rsidRPr="00EE6F87">
        <w:rPr>
          <w:rStyle w:val="FootnoteReference"/>
        </w:rPr>
        <w:footnoteReference w:id="855"/>
      </w:r>
      <w:r>
        <w:t xml:space="preserve"> Based on its analysis, the Panel </w:t>
      </w:r>
      <w:r w:rsidRPr="00EE6F87">
        <w:t xml:space="preserve">was not persuaded that "certain terms render the agreements </w:t>
      </w:r>
      <w:r w:rsidRPr="008542DA">
        <w:rPr>
          <w:i/>
        </w:rPr>
        <w:t>significantly different so as to require the application of</w:t>
      </w:r>
      <w:r w:rsidRPr="00EE6F87">
        <w:t xml:space="preserve"> two or more different project</w:t>
      </w:r>
      <w:r>
        <w:noBreakHyphen/>
      </w:r>
      <w:r w:rsidRPr="00EE6F87">
        <w:t>specific risk premia in this proceeding</w:t>
      </w:r>
      <w:r>
        <w:t>.</w:t>
      </w:r>
      <w:r w:rsidRPr="00EE6F87">
        <w:t>"</w:t>
      </w:r>
      <w:r w:rsidRPr="00EE6F87">
        <w:rPr>
          <w:rStyle w:val="FootnoteReference"/>
        </w:rPr>
        <w:footnoteReference w:id="856"/>
      </w:r>
      <w:r>
        <w:t xml:space="preserve"> </w:t>
      </w:r>
    </w:p>
    <w:p w:rsidR="0007161B" w:rsidRDefault="0007161B" w:rsidP="009E6402">
      <w:pPr>
        <w:pStyle w:val="BodyText"/>
      </w:pPr>
      <w:r>
        <w:t>Moreover, we observe that, w</w:t>
      </w:r>
      <w:r w:rsidRPr="00097064">
        <w:t xml:space="preserve">hile the </w:t>
      </w:r>
      <w:r w:rsidR="000A10EA">
        <w:t>European Union</w:t>
      </w:r>
      <w:r w:rsidRPr="00097064">
        <w:t xml:space="preserve"> argue</w:t>
      </w:r>
      <w:r>
        <w:t>d</w:t>
      </w:r>
      <w:r w:rsidRPr="00097064">
        <w:t xml:space="preserve"> before the Panel that there were differences </w:t>
      </w:r>
      <w:r>
        <w:t>among</w:t>
      </w:r>
      <w:r w:rsidRPr="00097064">
        <w:t xml:space="preserve"> the risk profiles of the A350XWB </w:t>
      </w:r>
      <w:r w:rsidRPr="00EE6F87">
        <w:t xml:space="preserve">LA/MSF contracts, it appears that the </w:t>
      </w:r>
      <w:r w:rsidR="000A10EA">
        <w:t>European Union</w:t>
      </w:r>
      <w:r w:rsidRPr="00EE6F87">
        <w:t xml:space="preserve"> did not elaborate on the </w:t>
      </w:r>
      <w:r w:rsidRPr="00EE6F87">
        <w:rPr>
          <w:i/>
        </w:rPr>
        <w:t>adjustments</w:t>
      </w:r>
      <w:r w:rsidRPr="00EE6F87">
        <w:t xml:space="preserve"> that </w:t>
      </w:r>
      <w:r>
        <w:t xml:space="preserve">it considered </w:t>
      </w:r>
      <w:r w:rsidRPr="00EE6F87">
        <w:t xml:space="preserve">would be </w:t>
      </w:r>
      <w:r>
        <w:t>required</w:t>
      </w:r>
      <w:r w:rsidRPr="00EE6F87">
        <w:t xml:space="preserve"> to account for </w:t>
      </w:r>
      <w:r>
        <w:t>such</w:t>
      </w:r>
      <w:r w:rsidRPr="00EE6F87">
        <w:t xml:space="preserve"> differences. </w:t>
      </w:r>
    </w:p>
    <w:p w:rsidR="0007161B" w:rsidRDefault="0007161B" w:rsidP="009E6402">
      <w:pPr>
        <w:pStyle w:val="BodyText"/>
      </w:pPr>
      <w:r>
        <w:t>Pursuant to th</w:t>
      </w:r>
      <w:r w:rsidRPr="00097064">
        <w:t>e legal standard</w:t>
      </w:r>
      <w:r>
        <w:t xml:space="preserve"> under </w:t>
      </w:r>
      <w:r w:rsidR="000A10EA">
        <w:t>Article </w:t>
      </w:r>
      <w:r>
        <w:t xml:space="preserve">1.1(b) of the </w:t>
      </w:r>
      <w:r w:rsidR="000A10EA">
        <w:t>SCM Agreement</w:t>
      </w:r>
      <w:r>
        <w:t>,</w:t>
      </w:r>
      <w:r w:rsidRPr="00097064">
        <w:t xml:space="preserve"> </w:t>
      </w:r>
      <w:r>
        <w:t>a</w:t>
      </w:r>
      <w:r w:rsidRPr="00097064">
        <w:t xml:space="preserve"> panel </w:t>
      </w:r>
      <w:r>
        <w:t>is required to determine</w:t>
      </w:r>
      <w:r w:rsidRPr="00097064">
        <w:t xml:space="preserve"> whether, in light of the differences that are found to exist in a given case between the government loan and the benchmark loan, adjustments are needed to ensure that the </w:t>
      </w:r>
      <w:r w:rsidRPr="00526214">
        <w:t>loans at issue are "comparable".</w:t>
      </w:r>
      <w:r w:rsidRPr="00526214">
        <w:rPr>
          <w:rStyle w:val="FootnoteReference"/>
        </w:rPr>
        <w:footnoteReference w:id="857"/>
      </w:r>
      <w:r w:rsidRPr="00097064">
        <w:t xml:space="preserve"> </w:t>
      </w:r>
      <w:r>
        <w:t xml:space="preserve">Given the Panel's analysis and the arguments that were put before it, </w:t>
      </w:r>
      <w:r w:rsidR="00783DB8">
        <w:t xml:space="preserve">we </w:t>
      </w:r>
      <w:r w:rsidR="00783DB8">
        <w:rPr>
          <w:u w:val="single"/>
        </w:rPr>
        <w:t>find</w:t>
      </w:r>
      <w:r w:rsidR="00783DB8">
        <w:t xml:space="preserve"> that </w:t>
      </w:r>
      <w:r>
        <w:t xml:space="preserve">the </w:t>
      </w:r>
      <w:r w:rsidR="000A10EA">
        <w:t>European Union</w:t>
      </w:r>
      <w:r>
        <w:t xml:space="preserve"> has not established </w:t>
      </w:r>
      <w:r w:rsidRPr="00EE6F87">
        <w:t xml:space="preserve">that the Panel erred under </w:t>
      </w:r>
      <w:r w:rsidR="000A10EA">
        <w:t>Article </w:t>
      </w:r>
      <w:r w:rsidRPr="00EE6F87">
        <w:t xml:space="preserve">1.1(b) of the </w:t>
      </w:r>
      <w:r w:rsidR="000A10EA">
        <w:t>SCM Agreement</w:t>
      </w:r>
      <w:r w:rsidRPr="00EE6F87">
        <w:t xml:space="preserve"> </w:t>
      </w:r>
      <w:r>
        <w:t xml:space="preserve">by </w:t>
      </w:r>
      <w:r w:rsidRPr="00EE6F87">
        <w:t>appl</w:t>
      </w:r>
      <w:r>
        <w:t>ying</w:t>
      </w:r>
      <w:r w:rsidRPr="00EE6F87">
        <w:t xml:space="preserve"> a "single, undifferentiated project risk premium" </w:t>
      </w:r>
      <w:r w:rsidRPr="00EE6F87">
        <w:lastRenderedPageBreak/>
        <w:t xml:space="preserve">without making adjustments </w:t>
      </w:r>
      <w:r>
        <w:t xml:space="preserve">for </w:t>
      </w:r>
      <w:r w:rsidRPr="00EE6F87">
        <w:t xml:space="preserve">differences </w:t>
      </w:r>
      <w:r>
        <w:t>among</w:t>
      </w:r>
      <w:r w:rsidRPr="00EE6F87">
        <w:t xml:space="preserve"> the risk profiles of the A350XWB LA/MSF contracts.</w:t>
      </w:r>
      <w:r w:rsidRPr="00EE6F87">
        <w:rPr>
          <w:rStyle w:val="FootnoteReference"/>
        </w:rPr>
        <w:footnoteReference w:id="858"/>
      </w:r>
    </w:p>
    <w:p w:rsidR="0007161B" w:rsidRPr="00B7561D" w:rsidRDefault="0007161B" w:rsidP="009E6402">
      <w:pPr>
        <w:pStyle w:val="Heading5"/>
      </w:pPr>
      <w:bookmarkStart w:id="104" w:name="_Toc479689646"/>
      <w:bookmarkStart w:id="105" w:name="_Toc514059243"/>
      <w:r w:rsidRPr="00B7561D">
        <w:t xml:space="preserve">Whether the Panel acted inconsistently with </w:t>
      </w:r>
      <w:r w:rsidR="000A10EA">
        <w:t>Article </w:t>
      </w:r>
      <w:r w:rsidRPr="00B7561D">
        <w:t>11 of the DSU</w:t>
      </w:r>
      <w:bookmarkEnd w:id="104"/>
      <w:r w:rsidRPr="00B7561D">
        <w:t xml:space="preserve"> by adopting a </w:t>
      </w:r>
      <w:r w:rsidRPr="009C71FC">
        <w:t>single, undifferentiated project</w:t>
      </w:r>
      <w:r w:rsidRPr="00B7561D">
        <w:t xml:space="preserve"> risk premium to benchmark all four of the A350XWB LA/MSF contracts</w:t>
      </w:r>
      <w:bookmarkEnd w:id="105"/>
    </w:p>
    <w:p w:rsidR="0007161B" w:rsidRDefault="0007161B" w:rsidP="009E6402">
      <w:pPr>
        <w:pStyle w:val="BodyText"/>
      </w:pPr>
      <w:r w:rsidRPr="00B7561D">
        <w:t xml:space="preserve">The </w:t>
      </w:r>
      <w:r w:rsidR="000A10EA">
        <w:t>European Union</w:t>
      </w:r>
      <w:r w:rsidRPr="00B7561D">
        <w:t xml:space="preserve"> argues that the Panel acted inconsistently with </w:t>
      </w:r>
      <w:r w:rsidR="000A10EA">
        <w:t>Article </w:t>
      </w:r>
      <w:r w:rsidRPr="00B7561D">
        <w:t xml:space="preserve">11 of the DSU by applying a </w:t>
      </w:r>
      <w:r w:rsidRPr="00C43C1B">
        <w:t xml:space="preserve">"single, undifferentiated project risk premium" to all four of the </w:t>
      </w:r>
      <w:r w:rsidRPr="00B7561D">
        <w:t xml:space="preserve">A350XWB LA/MSF contracts. In particular, the </w:t>
      </w:r>
      <w:r w:rsidR="000A10EA">
        <w:t>European Union</w:t>
      </w:r>
      <w:r w:rsidRPr="00B7561D">
        <w:t xml:space="preserve"> maintains that there is an inconsistency between</w:t>
      </w:r>
      <w:r w:rsidR="00F91606">
        <w:t>, on </w:t>
      </w:r>
      <w:r>
        <w:t>the one hand,</w:t>
      </w:r>
      <w:r w:rsidRPr="00B7561D">
        <w:t> </w:t>
      </w:r>
      <w:r w:rsidRPr="00C43C1B">
        <w:t xml:space="preserve">the Panel's approach to the identification of the first component of the market benchmark for the A350XWB (i.e. the corporate borrowing rate), for which the Panel adopted a </w:t>
      </w:r>
      <w:r w:rsidRPr="00C43C1B">
        <w:rPr>
          <w:i/>
        </w:rPr>
        <w:t>differentiated</w:t>
      </w:r>
      <w:r w:rsidRPr="00C43C1B">
        <w:t xml:space="preserve"> rate for the four A350XWB LA/MSF contracts and</w:t>
      </w:r>
      <w:r>
        <w:t>, on the other hand,</w:t>
      </w:r>
      <w:r w:rsidRPr="00C43C1B">
        <w:t xml:space="preserve"> the Panel's subsequent</w:t>
      </w:r>
      <w:r w:rsidRPr="00EE6F87">
        <w:t xml:space="preserve"> identification of the second component of the market benchmark (i.e. the risk premium), for which the Panel adopted an </w:t>
      </w:r>
      <w:r w:rsidRPr="00EE6F87">
        <w:rPr>
          <w:i/>
        </w:rPr>
        <w:t>undifferentiated</w:t>
      </w:r>
      <w:r w:rsidRPr="00EE6F87">
        <w:t xml:space="preserve"> rate for the four A350XWB LA/MSF contracts.</w:t>
      </w:r>
      <w:r w:rsidRPr="00EE6F87">
        <w:rPr>
          <w:rStyle w:val="FootnoteReference"/>
        </w:rPr>
        <w:footnoteReference w:id="859"/>
      </w:r>
      <w:r>
        <w:t xml:space="preserve"> </w:t>
      </w:r>
      <w:r w:rsidRPr="00EE6F87">
        <w:t xml:space="preserve">The </w:t>
      </w:r>
      <w:r w:rsidR="000A10EA">
        <w:t>European Union</w:t>
      </w:r>
      <w:r w:rsidRPr="00EE6F87">
        <w:t xml:space="preserve"> observes that, although the Panel found relevant differences among the four A350XWB LA/MSF contracts with regard to both components of the market benchmark, the Panel's approach to addressing these differences was</w:t>
      </w:r>
      <w:r w:rsidRPr="00097064">
        <w:t xml:space="preserve"> </w:t>
      </w:r>
      <w:r>
        <w:t xml:space="preserve">inconsistent, contrary to </w:t>
      </w:r>
      <w:r w:rsidR="000A10EA">
        <w:t>Article </w:t>
      </w:r>
      <w:r>
        <w:t>11 of the </w:t>
      </w:r>
      <w:r w:rsidRPr="00097064">
        <w:t>DSU.</w:t>
      </w:r>
      <w:r w:rsidRPr="00097064">
        <w:rPr>
          <w:rStyle w:val="FootnoteReference"/>
        </w:rPr>
        <w:footnoteReference w:id="860"/>
      </w:r>
    </w:p>
    <w:p w:rsidR="0007161B" w:rsidRDefault="0007161B" w:rsidP="009E6402">
      <w:pPr>
        <w:pStyle w:val="BodyText"/>
      </w:pPr>
      <w:r w:rsidRPr="00EE6F87">
        <w:t xml:space="preserve">The </w:t>
      </w:r>
      <w:r w:rsidR="000A10EA">
        <w:t>United States</w:t>
      </w:r>
      <w:r w:rsidRPr="00EE6F87">
        <w:t xml:space="preserve"> rejects the </w:t>
      </w:r>
      <w:r w:rsidR="000A10EA">
        <w:t>European Union</w:t>
      </w:r>
      <w:r w:rsidRPr="00EE6F87">
        <w:t>'s claim that the Panel</w:t>
      </w:r>
      <w:r>
        <w:t xml:space="preserve"> acted </w:t>
      </w:r>
      <w:r w:rsidRPr="00EE6F87">
        <w:t>inconsistent</w:t>
      </w:r>
      <w:r>
        <w:t>ly</w:t>
      </w:r>
      <w:r w:rsidRPr="00EE6F87">
        <w:t xml:space="preserve"> with </w:t>
      </w:r>
      <w:r w:rsidR="000A10EA">
        <w:t>Article </w:t>
      </w:r>
      <w:r w:rsidRPr="00EE6F87">
        <w:t xml:space="preserve">11 of the DSU. </w:t>
      </w:r>
      <w:r>
        <w:t>T</w:t>
      </w:r>
      <w:r w:rsidRPr="00EE6F87">
        <w:t xml:space="preserve">he </w:t>
      </w:r>
      <w:r w:rsidR="000A10EA">
        <w:t>United States</w:t>
      </w:r>
      <w:r w:rsidRPr="00EE6F87">
        <w:t xml:space="preserve"> maintains that the Panel had good reason to use a</w:t>
      </w:r>
      <w:r>
        <w:t>n undifferentiated</w:t>
      </w:r>
      <w:r w:rsidRPr="00EE6F87">
        <w:t xml:space="preserve"> project</w:t>
      </w:r>
      <w:r w:rsidRPr="00EE6F87">
        <w:noBreakHyphen/>
        <w:t>specific risk premium f</w:t>
      </w:r>
      <w:r>
        <w:t>or the four A350XWB LA/MSF contracts:</w:t>
      </w:r>
      <w:r w:rsidRPr="00EE6F87">
        <w:t xml:space="preserve"> </w:t>
      </w:r>
      <w:r>
        <w:t>t</w:t>
      </w:r>
      <w:r w:rsidRPr="00EE6F87">
        <w:t xml:space="preserve">he </w:t>
      </w:r>
      <w:r>
        <w:t>original p</w:t>
      </w:r>
      <w:r w:rsidRPr="00EE6F87">
        <w:t>anel had also used a single project­specific risk premium for t</w:t>
      </w:r>
      <w:r w:rsidR="00F91606">
        <w:t>he A380 LA/MSF contracts, "even </w:t>
      </w:r>
      <w:r w:rsidRPr="00EE6F87">
        <w:t xml:space="preserve">though </w:t>
      </w:r>
      <w:r w:rsidRPr="00EE6F87">
        <w:rPr>
          <w:b/>
        </w:rPr>
        <w:t>[</w:t>
      </w:r>
      <w:r w:rsidR="00E8168B" w:rsidRPr="00C8434D">
        <w:rPr>
          <w:b/>
          <w:szCs w:val="16"/>
        </w:rPr>
        <w:t>BCI</w:t>
      </w:r>
      <w:r w:rsidRPr="00EE6F87">
        <w:rPr>
          <w:b/>
        </w:rPr>
        <w:t>]</w:t>
      </w:r>
      <w:r w:rsidRPr="00EE6F87">
        <w:t xml:space="preserve"> A380 LA/MSF contract contain</w:t>
      </w:r>
      <w:r>
        <w:t>ed similar terms as the so</w:t>
      </w:r>
      <w:r>
        <w:noBreakHyphen/>
      </w:r>
      <w:r w:rsidRPr="00EE6F87">
        <w:t>called 'risk</w:t>
      </w:r>
      <w:r w:rsidRPr="00EE6F87">
        <w:noBreakHyphen/>
        <w:t xml:space="preserve">reducing' terms in the </w:t>
      </w:r>
      <w:r w:rsidRPr="00EE6F87">
        <w:rPr>
          <w:b/>
        </w:rPr>
        <w:t>[</w:t>
      </w:r>
      <w:r w:rsidR="00E8168B" w:rsidRPr="00C8434D">
        <w:rPr>
          <w:b/>
          <w:szCs w:val="16"/>
        </w:rPr>
        <w:t>BCI</w:t>
      </w:r>
      <w:r w:rsidRPr="00EE6F87">
        <w:rPr>
          <w:b/>
        </w:rPr>
        <w:t>]</w:t>
      </w:r>
      <w:r w:rsidRPr="00EE6F87">
        <w:t xml:space="preserve"> A350XWB LA/MSF contracts".</w:t>
      </w:r>
      <w:r w:rsidRPr="00EE6F87">
        <w:rPr>
          <w:rStyle w:val="FootnoteReference"/>
        </w:rPr>
        <w:footnoteReference w:id="861"/>
      </w:r>
      <w:r w:rsidR="00F91606">
        <w:t xml:space="preserve"> Moreover, the </w:t>
      </w:r>
      <w:r w:rsidR="000A10EA">
        <w:t>United States</w:t>
      </w:r>
      <w:r w:rsidRPr="00EE6F87">
        <w:t xml:space="preserve"> argues that the Panel was justified in its adoption of a contract-specific approach to the corporate borrowing rate because </w:t>
      </w:r>
      <w:r>
        <w:t>such</w:t>
      </w:r>
      <w:r w:rsidRPr="00EE6F87">
        <w:t xml:space="preserve"> approach ensured that the benchmarking exercise was based on information pre-dating the finalization of the term</w:t>
      </w:r>
      <w:r w:rsidR="00F91606">
        <w:t>s and conditions of each of the </w:t>
      </w:r>
      <w:r w:rsidRPr="00EE6F87">
        <w:t>LA/MSF contracts.</w:t>
      </w:r>
      <w:r w:rsidRPr="00EE6F87">
        <w:rPr>
          <w:rStyle w:val="FootnoteReference"/>
        </w:rPr>
        <w:footnoteReference w:id="862"/>
      </w:r>
    </w:p>
    <w:p w:rsidR="0007161B" w:rsidRDefault="0007161B" w:rsidP="009E6402">
      <w:pPr>
        <w:pStyle w:val="BodyText"/>
      </w:pPr>
      <w:r>
        <w:t>We begin by examining the reasons provided by the Panel for its approach to examining the two components of the market benchmark. W</w:t>
      </w:r>
      <w:r w:rsidRPr="00EE6F87">
        <w:t xml:space="preserve">ith regard </w:t>
      </w:r>
      <w:r>
        <w:t>to the use of an undifferentiated project</w:t>
      </w:r>
      <w:r>
        <w:noBreakHyphen/>
      </w:r>
      <w:r w:rsidRPr="00EE6F87">
        <w:t xml:space="preserve">specific risk premium for the </w:t>
      </w:r>
      <w:r>
        <w:t xml:space="preserve">four </w:t>
      </w:r>
      <w:r w:rsidRPr="00EE6F87">
        <w:t>A350XWB LA/MSF contracts, the Pa</w:t>
      </w:r>
      <w:r>
        <w:t>nel reasoned why, despite some </w:t>
      </w:r>
      <w:r w:rsidRPr="00EE6F87">
        <w:t xml:space="preserve">differences </w:t>
      </w:r>
      <w:r>
        <w:t>among</w:t>
      </w:r>
      <w:r w:rsidRPr="00EE6F87">
        <w:t xml:space="preserve"> the risk profiles of the four A350XWB </w:t>
      </w:r>
      <w:r>
        <w:t xml:space="preserve">LA/MSF </w:t>
      </w:r>
      <w:r w:rsidRPr="00EE6F87">
        <w:t xml:space="preserve">contracts, it would not be appropriate to apply two or more project-specific risk premia. In particular, the Panel rejected the </w:t>
      </w:r>
      <w:r w:rsidR="000A10EA">
        <w:t>European Union</w:t>
      </w:r>
      <w:r w:rsidRPr="00EE6F87">
        <w:t xml:space="preserve">'s contention that different risk premia should apply on the basis of guidance from the original proceedings and the limited extent of some of the "risk-reducing" terms referred to by the </w:t>
      </w:r>
      <w:r w:rsidR="000A10EA">
        <w:t>European Union</w:t>
      </w:r>
      <w:r w:rsidRPr="00EE6F87">
        <w:t xml:space="preserve">. The Panel therefore </w:t>
      </w:r>
      <w:r w:rsidRPr="009E12D1">
        <w:rPr>
          <w:i/>
        </w:rPr>
        <w:t>disagreed</w:t>
      </w:r>
      <w:r w:rsidRPr="00EE6F87">
        <w:t xml:space="preserve"> with the view that "certain terms render the agreements </w:t>
      </w:r>
      <w:r w:rsidRPr="009E12D1">
        <w:rPr>
          <w:i/>
        </w:rPr>
        <w:t>significantly different so as to require the application of</w:t>
      </w:r>
      <w:r>
        <w:t xml:space="preserve"> two or more different project</w:t>
      </w:r>
      <w:r>
        <w:noBreakHyphen/>
      </w:r>
      <w:r w:rsidRPr="00EE6F87">
        <w:t>specific risk premia in this proceeding</w:t>
      </w:r>
      <w:r>
        <w:t>.</w:t>
      </w:r>
      <w:r w:rsidRPr="00EE6F87">
        <w:t>"</w:t>
      </w:r>
      <w:r w:rsidRPr="00EE6F87">
        <w:rPr>
          <w:rStyle w:val="FootnoteReference"/>
        </w:rPr>
        <w:footnoteReference w:id="863"/>
      </w:r>
      <w:r w:rsidRPr="00EE6F87">
        <w:t xml:space="preserve"> </w:t>
      </w:r>
      <w:r>
        <w:t>As note</w:t>
      </w:r>
      <w:r w:rsidR="00F91606">
        <w:t>d above, we do not consider the </w:t>
      </w:r>
      <w:r>
        <w:t>Panel to have erred</w:t>
      </w:r>
      <w:r w:rsidRPr="00EE6F87">
        <w:t xml:space="preserve"> in reaching this conclusion.</w:t>
      </w:r>
    </w:p>
    <w:p w:rsidR="0007161B" w:rsidRDefault="0007161B" w:rsidP="009E6402">
      <w:pPr>
        <w:pStyle w:val="BodyText"/>
      </w:pPr>
      <w:r w:rsidRPr="00EE6F87">
        <w:t xml:space="preserve">As to the adoption of a </w:t>
      </w:r>
      <w:r>
        <w:t>"</w:t>
      </w:r>
      <w:r w:rsidRPr="00EE6F87">
        <w:t>contract-specific approach</w:t>
      </w:r>
      <w:r>
        <w:t>"</w:t>
      </w:r>
      <w:r w:rsidRPr="00EE6F87">
        <w:t xml:space="preserve"> </w:t>
      </w:r>
      <w:r>
        <w:t>in determining</w:t>
      </w:r>
      <w:r w:rsidRPr="00EE6F87">
        <w:t xml:space="preserve"> the corporate borrowing rate,</w:t>
      </w:r>
      <w:r>
        <w:t xml:space="preserve"> we recall that </w:t>
      </w:r>
      <w:r w:rsidRPr="00EE6F87">
        <w:t xml:space="preserve">the Panel </w:t>
      </w:r>
      <w:r>
        <w:t xml:space="preserve">decided </w:t>
      </w:r>
      <w:r w:rsidRPr="00EE6F87">
        <w:t>not</w:t>
      </w:r>
      <w:r>
        <w:t xml:space="preserve"> to</w:t>
      </w:r>
      <w:r w:rsidRPr="00EE6F87">
        <w:t xml:space="preserve"> follow Professor Whitelaw's </w:t>
      </w:r>
      <w:r>
        <w:t xml:space="preserve">averaging </w:t>
      </w:r>
      <w:r w:rsidRPr="00EE6F87">
        <w:t xml:space="preserve">approach </w:t>
      </w:r>
      <w:r>
        <w:t>proposed</w:t>
      </w:r>
      <w:r w:rsidRPr="00097064">
        <w:t xml:space="preserve"> by the </w:t>
      </w:r>
      <w:r w:rsidR="000A10EA">
        <w:t>European Union</w:t>
      </w:r>
      <w:r w:rsidRPr="00097064">
        <w:t>.</w:t>
      </w:r>
      <w:r>
        <w:rPr>
          <w:rStyle w:val="FootnoteReference"/>
        </w:rPr>
        <w:footnoteReference w:id="864"/>
      </w:r>
      <w:r w:rsidRPr="00EE6F87">
        <w:t xml:space="preserve"> The Panel took issue with the fact that "Professor Whitelaw's averaging approach would result in the application of corporate borrowing rates derived over time </w:t>
      </w:r>
      <w:r w:rsidRPr="00EE6F87">
        <w:lastRenderedPageBreak/>
        <w:t xml:space="preserve">periods that are </w:t>
      </w:r>
      <w:r w:rsidRPr="00E33018">
        <w:rPr>
          <w:i/>
        </w:rPr>
        <w:t>different</w:t>
      </w:r>
      <w:r w:rsidRPr="00EE6F87">
        <w:t xml:space="preserve"> for the four </w:t>
      </w:r>
      <w:r>
        <w:t xml:space="preserve">{A350XWB} </w:t>
      </w:r>
      <w:r w:rsidRPr="00EE6F87">
        <w:t>LA/MSF contracts"</w:t>
      </w:r>
      <w:r w:rsidRPr="00EE6F87">
        <w:rPr>
          <w:rStyle w:val="FootnoteReference"/>
        </w:rPr>
        <w:footnoteReference w:id="865"/>
      </w:r>
      <w:r w:rsidRPr="00EE6F87">
        <w:t xml:space="preserve">, and would incorporate data from </w:t>
      </w:r>
      <w:r w:rsidRPr="00E33018">
        <w:rPr>
          <w:i/>
        </w:rPr>
        <w:t>after</w:t>
      </w:r>
      <w:r w:rsidRPr="00EE6F87">
        <w:t xml:space="preserve"> the</w:t>
      </w:r>
      <w:r w:rsidRPr="00097064">
        <w:t xml:space="preserve"> </w:t>
      </w:r>
      <w:r w:rsidRPr="00EE6F87">
        <w:t>conclusion of three of the four contracts.</w:t>
      </w:r>
      <w:r w:rsidRPr="00EE6F87">
        <w:rPr>
          <w:rStyle w:val="FootnoteReference"/>
        </w:rPr>
        <w:footnoteReference w:id="866"/>
      </w:r>
      <w:r w:rsidRPr="00EE6F87">
        <w:t xml:space="preserve"> </w:t>
      </w:r>
      <w:r>
        <w:t xml:space="preserve">In </w:t>
      </w:r>
      <w:r w:rsidRPr="00EE6F87">
        <w:t>reject</w:t>
      </w:r>
      <w:r>
        <w:t xml:space="preserve">ing </w:t>
      </w:r>
      <w:r w:rsidRPr="00EE6F87">
        <w:t>Professor Whitelaw's averaging approach</w:t>
      </w:r>
      <w:r>
        <w:t xml:space="preserve">, the Panel observed that such approach </w:t>
      </w:r>
      <w:r w:rsidRPr="00EE6F87">
        <w:t xml:space="preserve">would go against the </w:t>
      </w:r>
      <w:r w:rsidR="000A10EA">
        <w:t>Appellate Body</w:t>
      </w:r>
      <w:r w:rsidRPr="00EE6F87">
        <w:t xml:space="preserve">'s guidance of comparing the LA/MSF measures and the benchmark loan </w:t>
      </w:r>
      <w:r>
        <w:t xml:space="preserve">on </w:t>
      </w:r>
      <w:r w:rsidRPr="00EE6F87">
        <w:t xml:space="preserve">an </w:t>
      </w:r>
      <w:r w:rsidRPr="00E33018">
        <w:rPr>
          <w:i/>
        </w:rPr>
        <w:t>ex ante</w:t>
      </w:r>
      <w:r w:rsidRPr="00EE6F87">
        <w:t xml:space="preserve"> </w:t>
      </w:r>
      <w:r>
        <w:t>basis</w:t>
      </w:r>
      <w:r w:rsidRPr="00EE6F87">
        <w:t xml:space="preserve">. </w:t>
      </w:r>
      <w:r>
        <w:t>Indeed,</w:t>
      </w:r>
      <w:r w:rsidR="00F91606">
        <w:t> </w:t>
      </w:r>
      <w:r w:rsidRPr="00EE6F87">
        <w:t xml:space="preserve">the </w:t>
      </w:r>
      <w:r w:rsidR="000A10EA">
        <w:t>Appellate Body</w:t>
      </w:r>
      <w:r w:rsidRPr="00EE6F87">
        <w:t xml:space="preserve"> has indicated that, instead of conducting an </w:t>
      </w:r>
      <w:r w:rsidRPr="00E33018">
        <w:rPr>
          <w:i/>
        </w:rPr>
        <w:t>ex post</w:t>
      </w:r>
      <w:r w:rsidRPr="00EE6F87">
        <w:t xml:space="preserve"> analysis, a panel is required to determine whether a benefit has been conferred on the basis of an </w:t>
      </w:r>
      <w:r w:rsidRPr="00E33018">
        <w:rPr>
          <w:i/>
        </w:rPr>
        <w:t>ex ante</w:t>
      </w:r>
      <w:r>
        <w:t xml:space="preserve"> examination of "how </w:t>
      </w:r>
      <w:r w:rsidRPr="00097064">
        <w:t>the loan is structured and how risk is factored in"</w:t>
      </w:r>
      <w:r>
        <w:t>.</w:t>
      </w:r>
      <w:r w:rsidRPr="00097064">
        <w:rPr>
          <w:rStyle w:val="FootnoteReference"/>
        </w:rPr>
        <w:footnoteReference w:id="867"/>
      </w:r>
    </w:p>
    <w:p w:rsidR="0007161B" w:rsidRDefault="0007161B" w:rsidP="009E6402">
      <w:pPr>
        <w:pStyle w:val="BodyText"/>
      </w:pPr>
      <w:r w:rsidRPr="00EE6F87">
        <w:t>We further note that, after rejecting Professor Whitelaw's averaging approach, the Panel opted for relying on "the yields from a consistent time</w:t>
      </w:r>
      <w:r w:rsidRPr="00EE6F87">
        <w:noBreakHyphen/>
        <w:t>period up to the date of the conclusion of the individual contract, as calculated by Dr Jordan".</w:t>
      </w:r>
      <w:r w:rsidRPr="00EE6F87">
        <w:rPr>
          <w:rStyle w:val="FootnoteReference"/>
        </w:rPr>
        <w:footnoteReference w:id="868"/>
      </w:r>
      <w:r w:rsidRPr="00EE6F87">
        <w:t xml:space="preserve"> As noted by the Panel, the individual contracts were </w:t>
      </w:r>
      <w:r w:rsidRPr="00EE6F87">
        <w:rPr>
          <w:b/>
        </w:rPr>
        <w:t>[</w:t>
      </w:r>
      <w:r w:rsidR="00E8168B" w:rsidRPr="00C8434D">
        <w:rPr>
          <w:b/>
          <w:szCs w:val="16"/>
        </w:rPr>
        <w:t>BCI</w:t>
      </w:r>
      <w:r w:rsidR="005C19B8" w:rsidRPr="005C19B8">
        <w:rPr>
          <w:b/>
        </w:rPr>
        <w:t>]</w:t>
      </w:r>
      <w:r w:rsidR="005C19B8" w:rsidRPr="005C19B8">
        <w:rPr>
          <w:rStyle w:val="FootnoteReference"/>
        </w:rPr>
        <w:footnoteReference w:id="869"/>
      </w:r>
      <w:r w:rsidR="005C19B8">
        <w:rPr>
          <w:b/>
        </w:rPr>
        <w:t xml:space="preserve"> [</w:t>
      </w:r>
      <w:r w:rsidR="00E8168B" w:rsidRPr="00C8434D">
        <w:rPr>
          <w:b/>
          <w:szCs w:val="16"/>
        </w:rPr>
        <w:t>BCI</w:t>
      </w:r>
      <w:r w:rsidRPr="00EE6F87">
        <w:rPr>
          <w:b/>
          <w:bCs/>
        </w:rPr>
        <w:t>]</w:t>
      </w:r>
      <w:r w:rsidRPr="00EE6F87">
        <w:rPr>
          <w:bCs/>
        </w:rPr>
        <w:t>.</w:t>
      </w:r>
      <w:r>
        <w:rPr>
          <w:rStyle w:val="FootnoteReference"/>
          <w:bCs/>
        </w:rPr>
        <w:footnoteReference w:id="870"/>
      </w:r>
      <w:r w:rsidRPr="00EE6F87">
        <w:rPr>
          <w:bCs/>
        </w:rPr>
        <w:t xml:space="preserve"> As we see it, since the Panel sought to rely on "</w:t>
      </w:r>
      <w:r w:rsidRPr="00EE6F87">
        <w:t>the yields from a consistent time</w:t>
      </w:r>
      <w:r w:rsidRPr="00EE6F87">
        <w:noBreakHyphen/>
        <w:t>period up to the date of the conclusion of the individual contract"</w:t>
      </w:r>
      <w:r w:rsidRPr="00EE6F87">
        <w:rPr>
          <w:rStyle w:val="FootnoteReference"/>
        </w:rPr>
        <w:footnoteReference w:id="871"/>
      </w:r>
      <w:r w:rsidR="00F91606">
        <w:t xml:space="preserve"> in </w:t>
      </w:r>
      <w:r w:rsidRPr="00EE6F87">
        <w:t>conduct</w:t>
      </w:r>
      <w:r>
        <w:t>ing</w:t>
      </w:r>
      <w:r w:rsidRPr="00EE6F87">
        <w:t xml:space="preserve"> an </w:t>
      </w:r>
      <w:r>
        <w:rPr>
          <w:i/>
        </w:rPr>
        <w:t>ex </w:t>
      </w:r>
      <w:r w:rsidRPr="00EE6F87">
        <w:rPr>
          <w:i/>
        </w:rPr>
        <w:t>ante</w:t>
      </w:r>
      <w:r w:rsidRPr="00EE6F87">
        <w:t xml:space="preserve"> examination, there is a clear explanation to support the Panel's</w:t>
      </w:r>
      <w:r w:rsidRPr="00097064">
        <w:t xml:space="preserve"> decision of using a </w:t>
      </w:r>
      <w:r w:rsidRPr="00097064">
        <w:rPr>
          <w:i/>
        </w:rPr>
        <w:t>different</w:t>
      </w:r>
      <w:r w:rsidRPr="00097064">
        <w:t xml:space="preserve"> corporate borrowing </w:t>
      </w:r>
      <w:r>
        <w:t>rate</w:t>
      </w:r>
      <w:r w:rsidRPr="00097064">
        <w:t xml:space="preserve"> for each of the four </w:t>
      </w:r>
      <w:r w:rsidRPr="00EE6F87">
        <w:t>LA/MSF contracts.</w:t>
      </w:r>
    </w:p>
    <w:p w:rsidR="0007161B" w:rsidRDefault="0007161B" w:rsidP="009E6402">
      <w:pPr>
        <w:pStyle w:val="BodyText"/>
      </w:pPr>
      <w:r>
        <w:t xml:space="preserve">Based on our analysis of the Panel Report and the Panel record, we see no error in </w:t>
      </w:r>
      <w:r w:rsidRPr="00EE6F87">
        <w:t xml:space="preserve">the Panel's decision to </w:t>
      </w:r>
      <w:r>
        <w:t>adopt</w:t>
      </w:r>
      <w:r w:rsidRPr="00EE6F87">
        <w:t>, on the one hand, a</w:t>
      </w:r>
      <w:r>
        <w:t>n undifferentiated</w:t>
      </w:r>
      <w:r w:rsidRPr="00EE6F87">
        <w:t xml:space="preserve"> project-specific risk premium for the </w:t>
      </w:r>
      <w:r>
        <w:t xml:space="preserve">four </w:t>
      </w:r>
      <w:r w:rsidRPr="00EE6F87">
        <w:t xml:space="preserve">A350XWB LA/MSF contracts and, on the other hand, a contract-specific approach to the corporate borrowing rate. </w:t>
      </w:r>
      <w:r>
        <w:t>In particular</w:t>
      </w:r>
      <w:r w:rsidRPr="00EE6F87">
        <w:t>, we fail to see any inconsistency in the Panel's reasoning in this regard, let alone one that would call the Panel's objectivity into question.</w:t>
      </w:r>
    </w:p>
    <w:p w:rsidR="0007161B" w:rsidRDefault="0007161B" w:rsidP="009E6402">
      <w:pPr>
        <w:pStyle w:val="BodyText"/>
      </w:pPr>
      <w:r w:rsidRPr="00EE6F87">
        <w:t xml:space="preserve">For the foregoing reasons, we </w:t>
      </w:r>
      <w:r w:rsidRPr="000F6309">
        <w:rPr>
          <w:u w:val="single"/>
        </w:rPr>
        <w:t>find</w:t>
      </w:r>
      <w:r w:rsidRPr="00EE6F87">
        <w:t xml:space="preserve"> </w:t>
      </w:r>
      <w:r>
        <w:t xml:space="preserve">that </w:t>
      </w:r>
      <w:r w:rsidRPr="00EE6F87">
        <w:t xml:space="preserve">the </w:t>
      </w:r>
      <w:r w:rsidR="000A10EA">
        <w:t>European Union</w:t>
      </w:r>
      <w:r>
        <w:t xml:space="preserve"> has failed to establish </w:t>
      </w:r>
      <w:r w:rsidR="00F91606">
        <w:t>that, by </w:t>
      </w:r>
      <w:r w:rsidRPr="00EE6F87">
        <w:t xml:space="preserve">applying a single, undifferentiated </w:t>
      </w:r>
      <w:r>
        <w:t xml:space="preserve">project </w:t>
      </w:r>
      <w:r w:rsidRPr="00EE6F87">
        <w:t xml:space="preserve">risk premium to all four </w:t>
      </w:r>
      <w:r>
        <w:t xml:space="preserve">of the A350XWB </w:t>
      </w:r>
      <w:r w:rsidRPr="00EE6F87">
        <w:t>LA/MSF contracts</w:t>
      </w:r>
      <w:r w:rsidRPr="00097064">
        <w:t xml:space="preserve">, the Panel acted inconsistently with </w:t>
      </w:r>
      <w:r w:rsidR="000A10EA">
        <w:t>Article </w:t>
      </w:r>
      <w:r w:rsidRPr="00097064">
        <w:t>11</w:t>
      </w:r>
      <w:r>
        <w:t xml:space="preserve"> of the DSU</w:t>
      </w:r>
      <w:r w:rsidRPr="00097064">
        <w:t>.</w:t>
      </w:r>
    </w:p>
    <w:p w:rsidR="0007161B" w:rsidRDefault="0007161B" w:rsidP="009E6402">
      <w:pPr>
        <w:pStyle w:val="Heading4"/>
      </w:pPr>
      <w:bookmarkStart w:id="106" w:name="_Toc514059244"/>
      <w:r>
        <w:t>Conclusion on the Panel's findings regarding the project-specific risk premium</w:t>
      </w:r>
      <w:bookmarkEnd w:id="106"/>
    </w:p>
    <w:p w:rsidR="0007161B" w:rsidRDefault="0007161B" w:rsidP="009E6402">
      <w:pPr>
        <w:pStyle w:val="BodyText"/>
      </w:pPr>
      <w:r>
        <w:t xml:space="preserve"> </w:t>
      </w:r>
      <w:r w:rsidRPr="00B322BC">
        <w:t xml:space="preserve">The </w:t>
      </w:r>
      <w:r w:rsidR="000A10EA">
        <w:t>European Union</w:t>
      </w:r>
      <w:r w:rsidRPr="00B322BC">
        <w:t xml:space="preserve"> </w:t>
      </w:r>
      <w:r>
        <w:t xml:space="preserve">argues that </w:t>
      </w:r>
      <w:r w:rsidRPr="00B322BC">
        <w:t>the Panel</w:t>
      </w:r>
      <w:r>
        <w:t xml:space="preserve"> erred in the identification of the project</w:t>
      </w:r>
      <w:r w:rsidRPr="001E7FD4">
        <w:noBreakHyphen/>
      </w:r>
      <w:r>
        <w:t>specific risk premium</w:t>
      </w:r>
      <w:r w:rsidRPr="001E7FD4">
        <w:t xml:space="preserve"> component of the market benchmark u</w:t>
      </w:r>
      <w:r>
        <w:t>tiliz</w:t>
      </w:r>
      <w:r w:rsidRPr="001E7FD4">
        <w:t xml:space="preserve">ed to determine whether the </w:t>
      </w:r>
      <w:r>
        <w:t xml:space="preserve">French, German, Spanish, and UK </w:t>
      </w:r>
      <w:r w:rsidRPr="001E7FD4">
        <w:t>A350XWB LA/MSF contracts</w:t>
      </w:r>
      <w:r>
        <w:t xml:space="preserve"> conferred a benefit</w:t>
      </w:r>
      <w:r w:rsidRPr="003027FD">
        <w:t xml:space="preserve"> </w:t>
      </w:r>
      <w:r>
        <w:t xml:space="preserve">within the meaning of </w:t>
      </w:r>
      <w:r w:rsidR="000A10EA">
        <w:t>Article </w:t>
      </w:r>
      <w:r>
        <w:t xml:space="preserve">1.1(b) of the </w:t>
      </w:r>
      <w:r w:rsidR="000A10EA">
        <w:t>SCM Agreement</w:t>
      </w:r>
      <w:r w:rsidRPr="00097064">
        <w:t xml:space="preserve">. In particular, the </w:t>
      </w:r>
      <w:r w:rsidR="000A10EA">
        <w:t>European Union</w:t>
      </w:r>
      <w:r w:rsidRPr="00097064">
        <w:t xml:space="preserve"> contend</w:t>
      </w:r>
      <w:r>
        <w:t>s</w:t>
      </w:r>
      <w:r w:rsidRPr="00097064">
        <w:t xml:space="preserve"> that the Panel erred in using the project-specific risk premium developed in the or</w:t>
      </w:r>
      <w:r w:rsidR="00F91606">
        <w:t>iginal proceedings for the A380 </w:t>
      </w:r>
      <w:r>
        <w:t>project</w:t>
      </w:r>
      <w:r w:rsidRPr="00097064">
        <w:t xml:space="preserve"> as the risk premium </w:t>
      </w:r>
      <w:r>
        <w:t>to benchmark</w:t>
      </w:r>
      <w:r w:rsidRPr="00097064">
        <w:t xml:space="preserve"> the </w:t>
      </w:r>
      <w:r>
        <w:t xml:space="preserve">four </w:t>
      </w:r>
      <w:r w:rsidRPr="001E7FD4">
        <w:t>A350XWB LA/MSF</w:t>
      </w:r>
      <w:r w:rsidRPr="00097064">
        <w:t xml:space="preserve"> </w:t>
      </w:r>
      <w:r>
        <w:t>contracts</w:t>
      </w:r>
      <w:r w:rsidRPr="00097064">
        <w:t>.</w:t>
      </w:r>
      <w:r>
        <w:t xml:space="preserve"> T</w:t>
      </w:r>
      <w:r w:rsidR="00F91606">
        <w:t>he </w:t>
      </w:r>
      <w:r w:rsidR="000A10EA">
        <w:t>European Union</w:t>
      </w:r>
      <w:r w:rsidRPr="00097064">
        <w:t xml:space="preserve"> </w:t>
      </w:r>
      <w:r>
        <w:t xml:space="preserve">has brought multiple challenges under </w:t>
      </w:r>
      <w:r w:rsidR="000A10EA">
        <w:t>Article </w:t>
      </w:r>
      <w:r>
        <w:t xml:space="preserve">1.1(b) of the </w:t>
      </w:r>
      <w:r w:rsidR="000A10EA">
        <w:t>SCM Agreement</w:t>
      </w:r>
      <w:r>
        <w:t xml:space="preserve"> and </w:t>
      </w:r>
      <w:r w:rsidR="000A10EA">
        <w:t>Article </w:t>
      </w:r>
      <w:r>
        <w:t>11 of the DSU against various aspects of the Panel's analysis.</w:t>
      </w:r>
    </w:p>
    <w:p w:rsidR="0007161B" w:rsidRDefault="0007161B" w:rsidP="009E6402">
      <w:pPr>
        <w:pStyle w:val="BodyText"/>
      </w:pPr>
      <w:r>
        <w:t xml:space="preserve">We disagree with the </w:t>
      </w:r>
      <w:r w:rsidRPr="00301234">
        <w:rPr>
          <w:i/>
        </w:rPr>
        <w:t>three</w:t>
      </w:r>
      <w:r w:rsidRPr="00097064">
        <w:t xml:space="preserve"> sets of </w:t>
      </w:r>
      <w:r>
        <w:t xml:space="preserve">claims of </w:t>
      </w:r>
      <w:r w:rsidRPr="00097064">
        <w:t>error</w:t>
      </w:r>
      <w:r>
        <w:t xml:space="preserve"> raised by the </w:t>
      </w:r>
      <w:r w:rsidR="000A10EA">
        <w:t>European Union</w:t>
      </w:r>
      <w:r w:rsidRPr="00AC5ECE">
        <w:t xml:space="preserve"> </w:t>
      </w:r>
      <w:r>
        <w:t xml:space="preserve">in relation to the Panel's analysis of </w:t>
      </w:r>
      <w:r w:rsidRPr="00B322BC">
        <w:t>the project-specific risk premium</w:t>
      </w:r>
      <w:r>
        <w:t>.</w:t>
      </w:r>
      <w:r w:rsidRPr="00097064">
        <w:t xml:space="preserve"> </w:t>
      </w:r>
    </w:p>
    <w:p w:rsidR="0007161B" w:rsidRDefault="0007161B" w:rsidP="009E6402">
      <w:pPr>
        <w:pStyle w:val="BodyText"/>
      </w:pPr>
      <w:r>
        <w:t xml:space="preserve">First, </w:t>
      </w:r>
      <w:r w:rsidRPr="00097064">
        <w:t xml:space="preserve">we </w:t>
      </w:r>
      <w:r>
        <w:t>disagree</w:t>
      </w:r>
      <w:r w:rsidRPr="00097064">
        <w:t xml:space="preserve"> that the Panel erred </w:t>
      </w:r>
      <w:r>
        <w:t xml:space="preserve">in its application of </w:t>
      </w:r>
      <w:r w:rsidR="000A10EA">
        <w:t>Article </w:t>
      </w:r>
      <w:r>
        <w:t xml:space="preserve">1.1(b) </w:t>
      </w:r>
      <w:r w:rsidRPr="00097064">
        <w:t xml:space="preserve">by </w:t>
      </w:r>
      <w:r>
        <w:t xml:space="preserve">failing to assess </w:t>
      </w:r>
      <w:r w:rsidRPr="00001C97">
        <w:t xml:space="preserve">"whether a benchmark comprising, </w:t>
      </w:r>
      <w:r w:rsidRPr="00C96714">
        <w:rPr>
          <w:i/>
        </w:rPr>
        <w:t>inter alia</w:t>
      </w:r>
      <w:r w:rsidRPr="00001C97">
        <w:t xml:space="preserve">, a project risk premium </w:t>
      </w:r>
      <w:r w:rsidRPr="00C96714">
        <w:rPr>
          <w:i/>
        </w:rPr>
        <w:t>tailored to the risks of financing the A350XWB project itself</w:t>
      </w:r>
      <w:r w:rsidRPr="00001C97">
        <w:t>, was available and could be used to assess whether the A350XWB LA/MSF loans conferred 'benefits'</w:t>
      </w:r>
      <w:r>
        <w:t>.</w:t>
      </w:r>
      <w:r w:rsidRPr="00001C97">
        <w:t>"</w:t>
      </w:r>
      <w:r w:rsidRPr="00001C97">
        <w:rPr>
          <w:rStyle w:val="FootnoteReference"/>
        </w:rPr>
        <w:footnoteReference w:id="872"/>
      </w:r>
      <w:r>
        <w:t xml:space="preserve"> We also disagree</w:t>
      </w:r>
      <w:r w:rsidRPr="00097064">
        <w:t xml:space="preserve"> that the Panel erred </w:t>
      </w:r>
      <w:r>
        <w:t xml:space="preserve">in its application of </w:t>
      </w:r>
      <w:r w:rsidR="000A10EA">
        <w:t>Article </w:t>
      </w:r>
      <w:r>
        <w:t xml:space="preserve">1.1(b) of the </w:t>
      </w:r>
      <w:r w:rsidR="000A10EA">
        <w:t>SCM Agreement</w:t>
      </w:r>
      <w:r>
        <w:t xml:space="preserve"> </w:t>
      </w:r>
      <w:r w:rsidRPr="00097064">
        <w:t xml:space="preserve">by </w:t>
      </w:r>
      <w:r>
        <w:t>applying</w:t>
      </w:r>
      <w:r w:rsidRPr="0049011E">
        <w:t xml:space="preserve"> </w:t>
      </w:r>
      <w:r w:rsidRPr="00097064">
        <w:t xml:space="preserve">a single, </w:t>
      </w:r>
      <w:r w:rsidRPr="00001C97">
        <w:t xml:space="preserve">undifferentiated project </w:t>
      </w:r>
      <w:r w:rsidRPr="00001C97">
        <w:lastRenderedPageBreak/>
        <w:t>risk premium derived from the A380 project to the A350XWB project</w:t>
      </w:r>
      <w:r>
        <w:t xml:space="preserve"> without making adjustments. Moreover, </w:t>
      </w:r>
      <w:r w:rsidRPr="001E7FD4">
        <w:t xml:space="preserve">since we </w:t>
      </w:r>
      <w:r>
        <w:t>have</w:t>
      </w:r>
      <w:r w:rsidRPr="001E7FD4">
        <w:t xml:space="preserve"> already addressed and rejected the </w:t>
      </w:r>
      <w:r w:rsidR="000A10EA">
        <w:t>European Union</w:t>
      </w:r>
      <w:r w:rsidRPr="001E7FD4">
        <w:t xml:space="preserve">'s claim that the Panel erred under </w:t>
      </w:r>
      <w:r w:rsidR="000A10EA">
        <w:t>Article </w:t>
      </w:r>
      <w:r w:rsidRPr="001E7FD4">
        <w:t>1.1(b) by failing to undertake a "progressive search" for a market benchmark</w:t>
      </w:r>
      <w:r w:rsidRPr="001E7FD4">
        <w:rPr>
          <w:rStyle w:val="FootnoteReference"/>
        </w:rPr>
        <w:footnoteReference w:id="873"/>
      </w:r>
      <w:r>
        <w:t>,</w:t>
      </w:r>
      <w:r w:rsidRPr="001E7FD4">
        <w:t xml:space="preserve"> we consider it </w:t>
      </w:r>
      <w:r>
        <w:t>un</w:t>
      </w:r>
      <w:r w:rsidRPr="001E7FD4">
        <w:t xml:space="preserve">necessary to address further the </w:t>
      </w:r>
      <w:r w:rsidR="000A10EA">
        <w:t>European Union</w:t>
      </w:r>
      <w:r w:rsidRPr="001E7FD4">
        <w:t xml:space="preserve">'s claim that the Panel acted inconsistently with </w:t>
      </w:r>
      <w:r w:rsidR="000A10EA">
        <w:t>Article </w:t>
      </w:r>
      <w:r w:rsidRPr="001E7FD4">
        <w:t xml:space="preserve">11 of the DSU by failing to consider alternative, </w:t>
      </w:r>
      <w:r>
        <w:t xml:space="preserve">and </w:t>
      </w:r>
      <w:r w:rsidRPr="001E7FD4">
        <w:t xml:space="preserve">more appropriate, benchmarks </w:t>
      </w:r>
      <w:r>
        <w:t>than those</w:t>
      </w:r>
      <w:r w:rsidRPr="001E7FD4">
        <w:t xml:space="preserve"> proposed by the </w:t>
      </w:r>
      <w:r w:rsidR="000A10EA">
        <w:t>United States</w:t>
      </w:r>
      <w:r w:rsidRPr="001E7FD4">
        <w:t>.</w:t>
      </w:r>
      <w:r>
        <w:t xml:space="preserve"> In addition, we disagree with the </w:t>
      </w:r>
      <w:r w:rsidR="000A10EA">
        <w:t>European Union</w:t>
      </w:r>
      <w:r>
        <w:t xml:space="preserve">'s claim that the Panel acted </w:t>
      </w:r>
      <w:r w:rsidRPr="00097064">
        <w:t>inconsisten</w:t>
      </w:r>
      <w:r>
        <w:t xml:space="preserve">tly </w:t>
      </w:r>
      <w:r w:rsidRPr="00097064">
        <w:t xml:space="preserve">with </w:t>
      </w:r>
      <w:r w:rsidR="000A10EA">
        <w:t>Article </w:t>
      </w:r>
      <w:r w:rsidRPr="00097064">
        <w:t>11</w:t>
      </w:r>
      <w:r>
        <w:t xml:space="preserve"> of the DSU because it allegedly</w:t>
      </w:r>
      <w:r w:rsidRPr="00097064">
        <w:t xml:space="preserve"> deviated from the original panel's findings when it adopted a constant, undifferentiated project risk premium not tailored to the risks associated with LA/MSF for the A350XWB.</w:t>
      </w:r>
      <w:r w:rsidRPr="00097064">
        <w:rPr>
          <w:rStyle w:val="FootnoteReference"/>
        </w:rPr>
        <w:footnoteReference w:id="874"/>
      </w:r>
      <w:r>
        <w:t xml:space="preserve"> </w:t>
      </w:r>
    </w:p>
    <w:p w:rsidR="0007161B" w:rsidRDefault="0007161B" w:rsidP="009E6402">
      <w:pPr>
        <w:pStyle w:val="BodyText"/>
      </w:pPr>
      <w:r>
        <w:t>Second, we disagree with the</w:t>
      </w:r>
      <w:r w:rsidR="00AF6DFE">
        <w:t xml:space="preserve"> European Union's</w:t>
      </w:r>
      <w:r>
        <w:t xml:space="preserve"> </w:t>
      </w:r>
      <w:r w:rsidR="00783DB8">
        <w:t>claim that the Panel acted inconsistently with Article 11 of the DSU in its examination of the risk profiles of the A380 and A350XWB projects, including in its assessment of</w:t>
      </w:r>
      <w:r>
        <w:t xml:space="preserve">: </w:t>
      </w:r>
      <w:r w:rsidRPr="00AD360A">
        <w:t>(i) programme risk; (i</w:t>
      </w:r>
      <w:r>
        <w:t xml:space="preserve">i) </w:t>
      </w:r>
      <w:r w:rsidRPr="00AD360A">
        <w:t>contract risk</w:t>
      </w:r>
      <w:r>
        <w:t>; and (iii) the price of risk.</w:t>
      </w:r>
      <w:r w:rsidR="00AF6DFE">
        <w:t xml:space="preserve"> Contrary to the European Union's view, </w:t>
      </w:r>
      <w:r w:rsidR="00AF6DFE" w:rsidRPr="00097064">
        <w:t xml:space="preserve">the Panel did not simply assume that the </w:t>
      </w:r>
      <w:r w:rsidR="001806FB">
        <w:t>WRP</w:t>
      </w:r>
      <w:r w:rsidR="00AF6DFE" w:rsidRPr="00097064">
        <w:t xml:space="preserve"> would serve as an appropriate project-specific risk premium for the A350XWB</w:t>
      </w:r>
      <w:r w:rsidR="00AF6DFE" w:rsidRPr="00942A62">
        <w:t>. Instead, the Panel assess</w:t>
      </w:r>
      <w:r w:rsidR="00AF6DFE">
        <w:t>ed</w:t>
      </w:r>
      <w:r w:rsidR="00AF6DFE" w:rsidRPr="00942A62">
        <w:t xml:space="preserve"> the relative project-specific risks associated with the</w:t>
      </w:r>
      <w:r w:rsidR="00F91606">
        <w:t xml:space="preserve"> A380 and A350XWB projects. The </w:t>
      </w:r>
      <w:r w:rsidR="00AF6DFE" w:rsidRPr="00942A62">
        <w:t xml:space="preserve">purpose of this comparative analysis was, in the Panel's view, to determine "whether the </w:t>
      </w:r>
      <w:r w:rsidR="00AF6DFE">
        <w:t>United States</w:t>
      </w:r>
      <w:r w:rsidR="00AF6DFE" w:rsidRPr="00942A62">
        <w:t xml:space="preserve"> ha{d} demonstrated that the project-specific risks of the A350XWB programme {were} sufficiently similar to those of the A380 programme such that it would be reasonable to conclude that the WRP could be used as the project-specific risk premium for the A350XWB".</w:t>
      </w:r>
      <w:r w:rsidR="00AF6DFE" w:rsidRPr="00942A62">
        <w:rPr>
          <w:vertAlign w:val="superscript"/>
        </w:rPr>
        <w:footnoteReference w:id="875"/>
      </w:r>
      <w:r w:rsidR="00AF6DFE" w:rsidRPr="00942A62">
        <w:t xml:space="preserve"> Thus, the Panel sought to engage carefully with the arguments and evidence presented by the parties regarding the possible risk premia that should be used in constructing the market benchmark.</w:t>
      </w:r>
      <w:r w:rsidR="00AF6DFE">
        <w:t xml:space="preserve"> Regarding the Panel's analysis of programme risk, </w:t>
      </w:r>
      <w:r w:rsidR="00783DB8">
        <w:t xml:space="preserve">we </w:t>
      </w:r>
      <w:r w:rsidR="00783DB8">
        <w:rPr>
          <w:u w:val="single"/>
        </w:rPr>
        <w:t>find</w:t>
      </w:r>
      <w:r w:rsidR="00783DB8">
        <w:t xml:space="preserve"> that the European Union has failed to establish</w:t>
      </w:r>
      <w:r w:rsidR="00AF6DFE">
        <w:t xml:space="preserve"> that </w:t>
      </w:r>
      <w:r w:rsidR="00AF6DFE" w:rsidRPr="008A3A3A">
        <w:t>the Panel acted inconsistently with its obligations under Article 11 of the DSU</w:t>
      </w:r>
      <w:r w:rsidR="00AF6DFE">
        <w:t xml:space="preserve"> in its </w:t>
      </w:r>
      <w:r w:rsidR="00AF6DFE" w:rsidRPr="00AD360A">
        <w:t>analysis of development risk</w:t>
      </w:r>
      <w:r w:rsidR="00AF6DFE">
        <w:t>,</w:t>
      </w:r>
      <w:r w:rsidR="00AF6DFE" w:rsidRPr="00AD360A">
        <w:t xml:space="preserve"> market risk</w:t>
      </w:r>
      <w:r w:rsidR="00AF6DFE">
        <w:t>,</w:t>
      </w:r>
      <w:r w:rsidR="00AF6DFE" w:rsidRPr="00AD360A">
        <w:t xml:space="preserve"> </w:t>
      </w:r>
      <w:r w:rsidR="00AF6DFE">
        <w:t>or in</w:t>
      </w:r>
      <w:r w:rsidR="00AF6DFE" w:rsidRPr="00AD360A">
        <w:t xml:space="preserve"> </w:t>
      </w:r>
      <w:r w:rsidR="00AF6DFE">
        <w:t xml:space="preserve">its </w:t>
      </w:r>
      <w:r w:rsidR="00AF6DFE" w:rsidRPr="00AD360A">
        <w:t>comparison of the development and market risks</w:t>
      </w:r>
      <w:r w:rsidR="00AF6DFE">
        <w:t xml:space="preserve">. With regard to contract risk, </w:t>
      </w:r>
      <w:r w:rsidR="00783DB8">
        <w:t xml:space="preserve">we </w:t>
      </w:r>
      <w:r w:rsidR="00783DB8" w:rsidRPr="00783DB8">
        <w:rPr>
          <w:u w:val="single"/>
        </w:rPr>
        <w:t>find</w:t>
      </w:r>
      <w:r w:rsidR="00783DB8">
        <w:t xml:space="preserve"> that </w:t>
      </w:r>
      <w:r w:rsidR="00AF6DFE" w:rsidRPr="00783DB8">
        <w:t>the</w:t>
      </w:r>
      <w:r w:rsidR="00AF6DFE">
        <w:t xml:space="preserve"> European Union has failed to establish that the Panel's comparison of</w:t>
      </w:r>
      <w:r w:rsidR="00AF6DFE" w:rsidRPr="00097064">
        <w:t xml:space="preserve"> the </w:t>
      </w:r>
      <w:r w:rsidR="00AF6DFE" w:rsidRPr="00EE6F87">
        <w:t>A350XWB and A380 LA/MSF contracts</w:t>
      </w:r>
      <w:r w:rsidR="00AF6DFE">
        <w:t xml:space="preserve"> </w:t>
      </w:r>
      <w:r w:rsidR="00AF6DFE" w:rsidRPr="00EE6F87">
        <w:t>lacks a sufficient evidentiary basis</w:t>
      </w:r>
      <w:r w:rsidR="00AF6DFE">
        <w:t xml:space="preserve"> in a manner inconsistent with the requirements of</w:t>
      </w:r>
      <w:r w:rsidR="00AF6DFE" w:rsidRPr="00EE6F87">
        <w:t xml:space="preserve"> Article 11 of the DSU</w:t>
      </w:r>
      <w:r w:rsidR="00AF6DFE">
        <w:t xml:space="preserve">. </w:t>
      </w:r>
      <w:r w:rsidR="00783DB8">
        <w:t xml:space="preserve">We also </w:t>
      </w:r>
      <w:r w:rsidR="00783DB8">
        <w:rPr>
          <w:u w:val="single"/>
        </w:rPr>
        <w:t>find</w:t>
      </w:r>
      <w:r w:rsidR="00783DB8">
        <w:t xml:space="preserve"> that the</w:t>
      </w:r>
      <w:r w:rsidR="00AF6DFE" w:rsidRPr="00EE6F87">
        <w:t xml:space="preserve"> </w:t>
      </w:r>
      <w:r w:rsidR="00AF6DFE">
        <w:t xml:space="preserve">European Union has failed to establish that </w:t>
      </w:r>
      <w:r w:rsidR="00AF6DFE" w:rsidRPr="00EE6F87">
        <w:t xml:space="preserve">the Panel </w:t>
      </w:r>
      <w:r w:rsidR="00AF6DFE">
        <w:t>acted inconsistently with</w:t>
      </w:r>
      <w:r w:rsidR="00AF6DFE" w:rsidRPr="00EE6F87">
        <w:t xml:space="preserve"> Article 11 </w:t>
      </w:r>
      <w:r w:rsidR="00AF6DFE">
        <w:t xml:space="preserve">of the DSU by failing to </w:t>
      </w:r>
      <w:r w:rsidR="00AF6DFE" w:rsidRPr="00EE6F87">
        <w:t xml:space="preserve">compare the terms of the A350XWB LA/MSF contracts to </w:t>
      </w:r>
      <w:r w:rsidR="00AF6DFE" w:rsidRPr="00627703">
        <w:t>the terms of the A380 risk-sharing supplier contracts</w:t>
      </w:r>
      <w:r w:rsidR="00AF6DFE">
        <w:t xml:space="preserve">. Finally, we </w:t>
      </w:r>
      <w:r w:rsidR="00783DB8">
        <w:rPr>
          <w:u w:val="single"/>
        </w:rPr>
        <w:t>find</w:t>
      </w:r>
      <w:r w:rsidR="00783DB8">
        <w:t xml:space="preserve"> that</w:t>
      </w:r>
      <w:r w:rsidR="00AF6DFE">
        <w:t xml:space="preserve"> the </w:t>
      </w:r>
      <w:r w:rsidR="00783DB8">
        <w:t>European Union has failed to establish that</w:t>
      </w:r>
      <w:r w:rsidR="00AF6DFE" w:rsidRPr="003A39D5">
        <w:t xml:space="preserve"> the Panel acted inconsistently with Article 11 of the DSU in its analysis of the price</w:t>
      </w:r>
      <w:r w:rsidR="00AF6DFE" w:rsidRPr="00097064">
        <w:t xml:space="preserve"> of risk</w:t>
      </w:r>
      <w:r w:rsidR="00AF6DFE">
        <w:t>.</w:t>
      </w:r>
    </w:p>
    <w:p w:rsidR="0007161B" w:rsidRPr="00AC5ECE" w:rsidRDefault="0007161B" w:rsidP="009E6402">
      <w:pPr>
        <w:pStyle w:val="BodyText"/>
      </w:pPr>
      <w:r>
        <w:t xml:space="preserve">Finally, we disagree with the </w:t>
      </w:r>
      <w:r w:rsidRPr="00B2534A">
        <w:t>third</w:t>
      </w:r>
      <w:r w:rsidRPr="00EE6F87">
        <w:t xml:space="preserve"> set of claims against the Panel's findings</w:t>
      </w:r>
      <w:r>
        <w:t xml:space="preserve"> related to the project-specific risk premium. In particular, we reject the </w:t>
      </w:r>
      <w:r w:rsidR="000A10EA">
        <w:t>European Union</w:t>
      </w:r>
      <w:r>
        <w:t>'s claims that</w:t>
      </w:r>
      <w:r w:rsidRPr="00EE6F87">
        <w:t xml:space="preserve">, in adopting a single, undifferentiated </w:t>
      </w:r>
      <w:r>
        <w:t xml:space="preserve">project-specific </w:t>
      </w:r>
      <w:r w:rsidRPr="00EE6F87">
        <w:t xml:space="preserve">risk premium </w:t>
      </w:r>
      <w:r>
        <w:t>for each of the four A350XWB LA/MSF contracts</w:t>
      </w:r>
      <w:r w:rsidRPr="00EE6F87">
        <w:t xml:space="preserve">, the Panel erred in </w:t>
      </w:r>
      <w:r>
        <w:t>its</w:t>
      </w:r>
      <w:r w:rsidRPr="00EE6F87">
        <w:t xml:space="preserve"> application of</w:t>
      </w:r>
      <w:r w:rsidRPr="00097064">
        <w:t xml:space="preserve"> </w:t>
      </w:r>
      <w:r w:rsidR="000A10EA">
        <w:t>Article </w:t>
      </w:r>
      <w:r w:rsidRPr="00097064">
        <w:t xml:space="preserve">1.1(b) of the </w:t>
      </w:r>
      <w:r w:rsidR="000A10EA">
        <w:t>SCM Agreement</w:t>
      </w:r>
      <w:r w:rsidRPr="00097064">
        <w:t xml:space="preserve">, and also failed to make an objective assessment of the matter as required by </w:t>
      </w:r>
      <w:r w:rsidR="000A10EA">
        <w:t>Article </w:t>
      </w:r>
      <w:r w:rsidRPr="00097064">
        <w:t>11 of the DSU.</w:t>
      </w:r>
      <w:r w:rsidRPr="00097064">
        <w:rPr>
          <w:rStyle w:val="FootnoteReference"/>
        </w:rPr>
        <w:footnoteReference w:id="876"/>
      </w:r>
      <w:r w:rsidR="00CD3B99">
        <w:t xml:space="preserve"> The</w:t>
      </w:r>
      <w:r w:rsidR="00CD3B99" w:rsidRPr="00BF2914">
        <w:t xml:space="preserve"> Panel recogni</w:t>
      </w:r>
      <w:r w:rsidR="00783DB8">
        <w:t>z</w:t>
      </w:r>
      <w:r w:rsidR="00CD3B99" w:rsidRPr="00BF2914">
        <w:t>e</w:t>
      </w:r>
      <w:r w:rsidR="00CD3B99">
        <w:t>d</w:t>
      </w:r>
      <w:r w:rsidR="00CD3B99" w:rsidRPr="00BF2914">
        <w:t xml:space="preserve"> that there </w:t>
      </w:r>
      <w:r w:rsidR="00CD3B99">
        <w:t>were</w:t>
      </w:r>
      <w:r w:rsidR="00CD3B99" w:rsidRPr="00BF2914">
        <w:t xml:space="preserve"> </w:t>
      </w:r>
      <w:r w:rsidR="00CD3B99">
        <w:t xml:space="preserve">some </w:t>
      </w:r>
      <w:r w:rsidR="00CD3B99" w:rsidRPr="00BF2914">
        <w:t>differences amon</w:t>
      </w:r>
      <w:r w:rsidR="00257CEF">
        <w:t>g the risk profiles of the four </w:t>
      </w:r>
      <w:r w:rsidR="00CD3B99" w:rsidRPr="00BF2914">
        <w:t>A350XWB LA/MSF contracts.</w:t>
      </w:r>
      <w:r w:rsidR="00CD3B99" w:rsidRPr="00BF2914">
        <w:rPr>
          <w:vertAlign w:val="superscript"/>
        </w:rPr>
        <w:footnoteReference w:id="877"/>
      </w:r>
      <w:r w:rsidR="00CD3B99">
        <w:t xml:space="preserve"> However, b</w:t>
      </w:r>
      <w:r w:rsidR="00CD3B99" w:rsidRPr="00BF2914">
        <w:t xml:space="preserve">ased on its analysis, the Panel was not persuaded that </w:t>
      </w:r>
      <w:r w:rsidR="00CD3B99">
        <w:t>the</w:t>
      </w:r>
      <w:r w:rsidR="00CD3B99" w:rsidRPr="00BF2914">
        <w:t xml:space="preserve"> terms </w:t>
      </w:r>
      <w:r w:rsidR="00CD3B99">
        <w:t xml:space="preserve">of those contracts </w:t>
      </w:r>
      <w:r w:rsidR="00CD3B99" w:rsidRPr="00BF2914">
        <w:t>render</w:t>
      </w:r>
      <w:r w:rsidR="00CD3B99">
        <w:t>ed them</w:t>
      </w:r>
      <w:r w:rsidR="00CD3B99" w:rsidRPr="00BF2914">
        <w:t xml:space="preserve"> </w:t>
      </w:r>
      <w:r w:rsidR="00CD3B99" w:rsidRPr="00103C78">
        <w:t>significantly different so as to require the application of</w:t>
      </w:r>
      <w:r w:rsidR="00CD3B99" w:rsidRPr="00BF2914">
        <w:t xml:space="preserve"> two or more different project</w:t>
      </w:r>
      <w:r w:rsidR="00CD3B99" w:rsidRPr="00BF2914">
        <w:noBreakHyphen/>
        <w:t>specific risk premia in this proceeding</w:t>
      </w:r>
      <w:r w:rsidR="00CD3B99">
        <w:t>. Given the Panel's analysis and the arguments that were put before it,</w:t>
      </w:r>
      <w:r w:rsidR="00783DB8">
        <w:t xml:space="preserve"> we </w:t>
      </w:r>
      <w:r w:rsidR="00783DB8">
        <w:rPr>
          <w:u w:val="single"/>
        </w:rPr>
        <w:t>find</w:t>
      </w:r>
      <w:r w:rsidR="00783DB8">
        <w:t xml:space="preserve"> that</w:t>
      </w:r>
      <w:r w:rsidR="00CD3B99">
        <w:t xml:space="preserve"> the European Union</w:t>
      </w:r>
      <w:r w:rsidR="00CD3B99" w:rsidRPr="000A6C1B">
        <w:t xml:space="preserve"> </w:t>
      </w:r>
      <w:r w:rsidR="00CD3B99">
        <w:t>has</w:t>
      </w:r>
      <w:r w:rsidR="00CD3B99" w:rsidRPr="000A6C1B">
        <w:t xml:space="preserve"> not establish</w:t>
      </w:r>
      <w:r w:rsidR="00CD3B99">
        <w:t>ed</w:t>
      </w:r>
      <w:r w:rsidR="00CD3B99" w:rsidRPr="000A6C1B">
        <w:t xml:space="preserve"> that the Panel erred under </w:t>
      </w:r>
      <w:r w:rsidR="00CD3B99">
        <w:t>Article </w:t>
      </w:r>
      <w:r w:rsidR="00CD3B99" w:rsidRPr="000A6C1B">
        <w:t xml:space="preserve">1.1(b) of the </w:t>
      </w:r>
      <w:r w:rsidR="00CD3B99">
        <w:t>SCM Agreement</w:t>
      </w:r>
      <w:r w:rsidR="00F91606">
        <w:t xml:space="preserve"> by applying a "single, </w:t>
      </w:r>
      <w:r w:rsidR="00CD3B99" w:rsidRPr="000A6C1B">
        <w:t xml:space="preserve">undifferentiated project risk premium" without making adjustments for differences among the risk profiles </w:t>
      </w:r>
      <w:r w:rsidR="00CD3B99" w:rsidRPr="00062091">
        <w:t>of the A350XWB LA/MSF contracts.</w:t>
      </w:r>
      <w:r w:rsidR="00CD3B99" w:rsidRPr="00062091">
        <w:rPr>
          <w:vertAlign w:val="superscript"/>
        </w:rPr>
        <w:footnoteReference w:id="878"/>
      </w:r>
      <w:r w:rsidR="00CD3B99">
        <w:t xml:space="preserve"> Moreover, contrary to the European Union's claim under Article 11 of the DSU, we see no error in </w:t>
      </w:r>
      <w:r w:rsidR="00CD3B99" w:rsidRPr="00EE6F87">
        <w:t xml:space="preserve">the Panel's decision to </w:t>
      </w:r>
      <w:r w:rsidR="00CD3B99">
        <w:t>adopt</w:t>
      </w:r>
      <w:r w:rsidR="00CD3B99" w:rsidRPr="00EE6F87">
        <w:t>, on the one hand, a</w:t>
      </w:r>
      <w:r w:rsidR="00CD3B99">
        <w:t>n undifferentiated</w:t>
      </w:r>
      <w:r w:rsidR="00CD3B99" w:rsidRPr="00EE6F87">
        <w:t xml:space="preserve"> project-specific risk premium for the </w:t>
      </w:r>
      <w:r w:rsidR="00CD3B99">
        <w:t xml:space="preserve">four </w:t>
      </w:r>
      <w:r w:rsidR="00CD3B99" w:rsidRPr="00EE6F87">
        <w:t>A350XWB LA/MSF contracts and, on the other hand, a contract-specific approach to the corporate borrowing rate.</w:t>
      </w:r>
      <w:r w:rsidR="00CD3B99">
        <w:t xml:space="preserve"> Thus,</w:t>
      </w:r>
      <w:r w:rsidR="00F91606">
        <w:t> we </w:t>
      </w:r>
      <w:r w:rsidR="00783DB8">
        <w:rPr>
          <w:u w:val="single"/>
        </w:rPr>
        <w:t>find</w:t>
      </w:r>
      <w:r w:rsidR="00783DB8">
        <w:t xml:space="preserve"> that</w:t>
      </w:r>
      <w:r w:rsidR="00CD3B99">
        <w:t xml:space="preserve"> </w:t>
      </w:r>
      <w:r w:rsidR="00CD3B99" w:rsidRPr="00EE6F87">
        <w:t xml:space="preserve">the </w:t>
      </w:r>
      <w:r w:rsidR="00CD3B99">
        <w:t xml:space="preserve">European Union has failed to establish </w:t>
      </w:r>
      <w:r w:rsidR="00CD3B99" w:rsidRPr="00EE6F87">
        <w:t xml:space="preserve">that, by applying a single, undifferentiated </w:t>
      </w:r>
      <w:r w:rsidR="00CD3B99">
        <w:t xml:space="preserve">project </w:t>
      </w:r>
      <w:r w:rsidR="00CD3B99" w:rsidRPr="00EE6F87">
        <w:t xml:space="preserve">risk premium to all four </w:t>
      </w:r>
      <w:r w:rsidR="00CD3B99">
        <w:t xml:space="preserve">of the A350XWB </w:t>
      </w:r>
      <w:r w:rsidR="00CD3B99" w:rsidRPr="00EE6F87">
        <w:t>LA/MSF contracts</w:t>
      </w:r>
      <w:r w:rsidR="00CD3B99" w:rsidRPr="00097064">
        <w:t>, the Panel acted inconsistently with Article 11</w:t>
      </w:r>
      <w:r w:rsidR="00CD3B99">
        <w:t xml:space="preserve"> of the DSU.</w:t>
      </w:r>
    </w:p>
    <w:p w:rsidR="0007161B" w:rsidRPr="00B2534A" w:rsidRDefault="0007161B" w:rsidP="009E6402">
      <w:pPr>
        <w:pStyle w:val="BodyText"/>
      </w:pPr>
      <w:r>
        <w:lastRenderedPageBreak/>
        <w:t xml:space="preserve">For the foregoing reasons, </w:t>
      </w:r>
      <w:r w:rsidRPr="0081711E">
        <w:t xml:space="preserve">we </w:t>
      </w:r>
      <w:r w:rsidRPr="000F6309">
        <w:rPr>
          <w:u w:val="single"/>
        </w:rPr>
        <w:t>uphold</w:t>
      </w:r>
      <w:r w:rsidRPr="0081711E">
        <w:t xml:space="preserve"> the Panel's</w:t>
      </w:r>
      <w:r>
        <w:t xml:space="preserve"> finding, in paragraphs 6.487 and 6.542 of its Report, that the development risks associated with the A350XWB were </w:t>
      </w:r>
      <w:r w:rsidRPr="00CD1A30">
        <w:rPr>
          <w:i/>
        </w:rPr>
        <w:t>at least as high as, or sufficiently similar to</w:t>
      </w:r>
      <w:r>
        <w:t xml:space="preserve">, those associated with the A380; </w:t>
      </w:r>
      <w:r w:rsidRPr="0081711E">
        <w:t>the Panel's</w:t>
      </w:r>
      <w:r>
        <w:t xml:space="preserve"> findings, in paragraphs 6.579 and 6.608 of its Report, that the market risks experienced by the A380 and A350XWB were overall comparable in importance and that the A350XWB market risks would not have been much lower than the A380 market risks; </w:t>
      </w:r>
      <w:r w:rsidRPr="0081711E">
        <w:t>the Panel's</w:t>
      </w:r>
      <w:r>
        <w:t xml:space="preserve"> finding, in paragraphs </w:t>
      </w:r>
      <w:r w:rsidRPr="00E319D6">
        <w:t>6.595 and</w:t>
      </w:r>
      <w:r>
        <w:t xml:space="preserve"> 6.609 of its Report, that </w:t>
      </w:r>
      <w:r w:rsidRPr="00897C2B">
        <w:t xml:space="preserve">the A350XWB LA/MSF contracts containing such "risk-reducing" terms are no less risky than at least </w:t>
      </w:r>
      <w:r w:rsidRPr="00CD1A30">
        <w:rPr>
          <w:b/>
        </w:rPr>
        <w:t>[</w:t>
      </w:r>
      <w:r w:rsidR="00E8168B" w:rsidRPr="00C8434D">
        <w:rPr>
          <w:b/>
          <w:szCs w:val="16"/>
        </w:rPr>
        <w:t>BCI</w:t>
      </w:r>
      <w:r w:rsidRPr="00CD1A30">
        <w:rPr>
          <w:b/>
        </w:rPr>
        <w:t>]</w:t>
      </w:r>
      <w:r w:rsidR="00C77C98">
        <w:rPr>
          <w:b/>
        </w:rPr>
        <w:t xml:space="preserve"> </w:t>
      </w:r>
      <w:r w:rsidR="00C77C98">
        <w:t>for</w:t>
      </w:r>
      <w:r w:rsidRPr="00897C2B">
        <w:t xml:space="preserve"> A380 LA/MSF that also contained similar terms in the original proceeding</w:t>
      </w:r>
      <w:r>
        <w:t xml:space="preserve">s; </w:t>
      </w:r>
      <w:r w:rsidRPr="0081711E">
        <w:t>the Panel's</w:t>
      </w:r>
      <w:r>
        <w:t xml:space="preserve"> findings, in paragraphs 6.607 and 6.609 of its Report, that it was not persuaded that the differences in certain terms affecting the risk profiles</w:t>
      </w:r>
      <w:r w:rsidRPr="00CD1A30">
        <w:rPr>
          <w:szCs w:val="18"/>
        </w:rPr>
        <w:t xml:space="preserve"> of the individual A350XWB</w:t>
      </w:r>
      <w:r>
        <w:rPr>
          <w:szCs w:val="18"/>
        </w:rPr>
        <w:t xml:space="preserve"> LA/MSF</w:t>
      </w:r>
      <w:r w:rsidRPr="00CD1A30">
        <w:rPr>
          <w:szCs w:val="18"/>
        </w:rPr>
        <w:t xml:space="preserve"> contracts</w:t>
      </w:r>
      <w:r w:rsidRPr="00CD1A30">
        <w:t xml:space="preserve"> </w:t>
      </w:r>
      <w:r>
        <w:t>would require the application of two or more different pro</w:t>
      </w:r>
      <w:r w:rsidR="00F91606">
        <w:t>ject-specific risk premia; and, </w:t>
      </w:r>
      <w:r>
        <w:t xml:space="preserve">consequently, the Panel's finding, in paragraphs 6.608 and 6.610 of its Report, that the overall project-specific risks of the A380 and A350XWB projects were sufficiently similar to allow the risk premium applied </w:t>
      </w:r>
      <w:r w:rsidR="00783DB8">
        <w:t>to the</w:t>
      </w:r>
      <w:r>
        <w:t xml:space="preserve"> A380 LA/MSF in the original proceedin</w:t>
      </w:r>
      <w:r w:rsidR="00F91606">
        <w:t>gs to be applied to the </w:t>
      </w:r>
      <w:r w:rsidR="00783DB8">
        <w:t>A350XWB </w:t>
      </w:r>
      <w:r>
        <w:t>LA/MSF.</w:t>
      </w:r>
    </w:p>
    <w:p w:rsidR="0007161B" w:rsidRDefault="0007161B" w:rsidP="009E6402">
      <w:pPr>
        <w:pStyle w:val="Heading3"/>
      </w:pPr>
      <w:bookmarkStart w:id="107" w:name="_Toc514059245"/>
      <w:r>
        <w:t xml:space="preserve">Overall conclusions on the Panel's findings regarding "benefit" under </w:t>
      </w:r>
      <w:r w:rsidR="000A10EA">
        <w:t>Article </w:t>
      </w:r>
      <w:r>
        <w:t xml:space="preserve">1.1(b) of the </w:t>
      </w:r>
      <w:r w:rsidR="000A10EA">
        <w:t>SCM Agreement</w:t>
      </w:r>
      <w:bookmarkEnd w:id="107"/>
    </w:p>
    <w:p w:rsidR="0007161B" w:rsidRDefault="0007161B" w:rsidP="009E6402">
      <w:pPr>
        <w:pStyle w:val="BodyText"/>
      </w:pPr>
      <w:r>
        <w:t>T</w:t>
      </w:r>
      <w:r w:rsidRPr="00696860">
        <w:t xml:space="preserve">he </w:t>
      </w:r>
      <w:r w:rsidR="000A10EA">
        <w:t>European Union</w:t>
      </w:r>
      <w:r w:rsidRPr="00696860">
        <w:t xml:space="preserve"> </w:t>
      </w:r>
      <w:r>
        <w:t xml:space="preserve">has </w:t>
      </w:r>
      <w:r w:rsidRPr="00696860">
        <w:t>appeal</w:t>
      </w:r>
      <w:r>
        <w:t>ed</w:t>
      </w:r>
      <w:r w:rsidRPr="00696860">
        <w:t xml:space="preserve"> the Panel's findings concerning the assessment of whether the </w:t>
      </w:r>
      <w:r>
        <w:t xml:space="preserve">French, German, Spanish, and UK </w:t>
      </w:r>
      <w:r w:rsidRPr="00BC3E2C">
        <w:t xml:space="preserve">A350XWB LA/MSF </w:t>
      </w:r>
      <w:r>
        <w:t>contracts</w:t>
      </w:r>
      <w:r w:rsidRPr="005435FA">
        <w:t xml:space="preserve"> </w:t>
      </w:r>
      <w:r w:rsidRPr="00696860">
        <w:t>confer a benefit within the meani</w:t>
      </w:r>
      <w:r>
        <w:t xml:space="preserve">ng of </w:t>
      </w:r>
      <w:r w:rsidR="000A10EA">
        <w:t>Article </w:t>
      </w:r>
      <w:r>
        <w:t xml:space="preserve">1.1(b) of the </w:t>
      </w:r>
      <w:r w:rsidR="000A10EA">
        <w:t>SCM Agreement</w:t>
      </w:r>
      <w:r>
        <w:t xml:space="preserve">. In particular, the </w:t>
      </w:r>
      <w:r w:rsidR="000A10EA">
        <w:t>European Union</w:t>
      </w:r>
      <w:r>
        <w:t xml:space="preserve"> has claimed that the Panel erred under </w:t>
      </w:r>
      <w:r w:rsidR="000A10EA">
        <w:t>Article </w:t>
      </w:r>
      <w:r>
        <w:t xml:space="preserve">1.1(b) of the </w:t>
      </w:r>
      <w:r w:rsidR="000A10EA">
        <w:t>SCM Agreement</w:t>
      </w:r>
      <w:r>
        <w:t xml:space="preserve"> and </w:t>
      </w:r>
      <w:r w:rsidR="000A10EA">
        <w:t>Article </w:t>
      </w:r>
      <w:r>
        <w:t xml:space="preserve">11 of the DSU in its analysis of the two components of the </w:t>
      </w:r>
      <w:r w:rsidRPr="0097319F">
        <w:t>market benchmark</w:t>
      </w:r>
      <w:r>
        <w:t xml:space="preserve"> rate of return: </w:t>
      </w:r>
      <w:r w:rsidRPr="0097319F">
        <w:t xml:space="preserve">(i) the calculation of a corporate borrowing rate that Airbus would have had to pay to a commercial lender to borrow money; and (ii) the calculation of a project-specific risk premium that represents the additional rate of return that a commercial lender would have required for offering financing to Airbus on the particular terms of the </w:t>
      </w:r>
      <w:r w:rsidRPr="00BC3E2C">
        <w:t>relevant A350XWB LA/MSF contracts</w:t>
      </w:r>
      <w:r w:rsidRPr="0097319F">
        <w:t>.</w:t>
      </w:r>
      <w:r>
        <w:rPr>
          <w:rStyle w:val="FootnoteReference"/>
        </w:rPr>
        <w:footnoteReference w:id="879"/>
      </w:r>
      <w:r w:rsidRPr="0097319F">
        <w:t xml:space="preserve"> </w:t>
      </w:r>
    </w:p>
    <w:p w:rsidR="0007161B" w:rsidRDefault="0007161B" w:rsidP="009E6402">
      <w:pPr>
        <w:pStyle w:val="BodyText"/>
      </w:pPr>
      <w:r>
        <w:t xml:space="preserve">We have rejected the </w:t>
      </w:r>
      <w:r w:rsidR="000A10EA">
        <w:t>European Union</w:t>
      </w:r>
      <w:r>
        <w:t xml:space="preserve">'s claims against the Panel's benefit analysis. For this reason, we </w:t>
      </w:r>
      <w:r w:rsidRPr="000F6309">
        <w:rPr>
          <w:u w:val="single"/>
        </w:rPr>
        <w:t>uphold</w:t>
      </w:r>
      <w:r>
        <w:t xml:space="preserve"> the Panel's findings, in paragraphs 6.632 (including Table 10</w:t>
      </w:r>
      <w:r w:rsidR="00CB69E6">
        <w:t>)</w:t>
      </w:r>
      <w:r w:rsidR="00F91606">
        <w:t xml:space="preserve"> and 6.633 of its </w:t>
      </w:r>
      <w:r>
        <w:t xml:space="preserve">Report, that </w:t>
      </w:r>
      <w:r w:rsidRPr="00376D93">
        <w:rPr>
          <w:szCs w:val="18"/>
        </w:rPr>
        <w:t xml:space="preserve">Airbus paid a lower </w:t>
      </w:r>
      <w:r w:rsidR="00783DB8">
        <w:rPr>
          <w:szCs w:val="18"/>
        </w:rPr>
        <w:t xml:space="preserve">interest </w:t>
      </w:r>
      <w:r w:rsidRPr="00376D93">
        <w:rPr>
          <w:szCs w:val="18"/>
        </w:rPr>
        <w:t xml:space="preserve">rate </w:t>
      </w:r>
      <w:r w:rsidR="00783DB8">
        <w:rPr>
          <w:szCs w:val="18"/>
        </w:rPr>
        <w:t>f</w:t>
      </w:r>
      <w:r w:rsidRPr="00376D93">
        <w:rPr>
          <w:szCs w:val="18"/>
        </w:rPr>
        <w:t>or the A350XWB</w:t>
      </w:r>
      <w:r w:rsidR="00783DB8">
        <w:rPr>
          <w:szCs w:val="18"/>
        </w:rPr>
        <w:t xml:space="preserve"> LA/MSF</w:t>
      </w:r>
      <w:r w:rsidRPr="00376D93">
        <w:rPr>
          <w:szCs w:val="18"/>
        </w:rPr>
        <w:t xml:space="preserve"> than would have been available to it on the market and</w:t>
      </w:r>
      <w:r w:rsidR="00CD3B99">
        <w:rPr>
          <w:szCs w:val="18"/>
        </w:rPr>
        <w:t xml:space="preserve"> that</w:t>
      </w:r>
      <w:r>
        <w:rPr>
          <w:szCs w:val="18"/>
        </w:rPr>
        <w:t>,</w:t>
      </w:r>
      <w:r w:rsidRPr="00376D93">
        <w:rPr>
          <w:szCs w:val="18"/>
        </w:rPr>
        <w:t xml:space="preserve"> consequently, a benefit has thereby been conferred </w:t>
      </w:r>
      <w:r>
        <w:rPr>
          <w:szCs w:val="18"/>
        </w:rPr>
        <w:t>within the meaning of</w:t>
      </w:r>
      <w:r w:rsidRPr="00376D93">
        <w:rPr>
          <w:szCs w:val="18"/>
        </w:rPr>
        <w:t xml:space="preserve"> </w:t>
      </w:r>
      <w:r w:rsidR="000A10EA">
        <w:rPr>
          <w:szCs w:val="18"/>
        </w:rPr>
        <w:t>Article </w:t>
      </w:r>
      <w:r w:rsidRPr="00376D93">
        <w:rPr>
          <w:szCs w:val="18"/>
        </w:rPr>
        <w:t>1.1</w:t>
      </w:r>
      <w:r w:rsidR="00783DB8">
        <w:rPr>
          <w:szCs w:val="18"/>
        </w:rPr>
        <w:t>(b)</w:t>
      </w:r>
      <w:r w:rsidRPr="00376D93">
        <w:rPr>
          <w:szCs w:val="18"/>
        </w:rPr>
        <w:t xml:space="preserve"> of the </w:t>
      </w:r>
      <w:r w:rsidR="000A10EA">
        <w:rPr>
          <w:szCs w:val="18"/>
        </w:rPr>
        <w:t>SCM Agreement</w:t>
      </w:r>
      <w:r>
        <w:t xml:space="preserve">. Consequently, we </w:t>
      </w:r>
      <w:r w:rsidR="00CD3B99">
        <w:t xml:space="preserve">also </w:t>
      </w:r>
      <w:r w:rsidRPr="000F6309">
        <w:rPr>
          <w:u w:val="single"/>
        </w:rPr>
        <w:t>uphold</w:t>
      </w:r>
      <w:r>
        <w:t xml:space="preserve"> the Panel's findings, in paragraphs 6.656 and 7.1.c.i. of its Report, that the </w:t>
      </w:r>
      <w:r w:rsidR="00783DB8">
        <w:t>French, German, Spanish, and UK </w:t>
      </w:r>
      <w:r w:rsidRPr="00BC3E2C">
        <w:t>A350XWB LA/MSF contracts</w:t>
      </w:r>
      <w:r>
        <w:t xml:space="preserve"> each constitute a subsidy within the meaning of </w:t>
      </w:r>
      <w:r w:rsidR="000A10EA">
        <w:t>Article </w:t>
      </w:r>
      <w:r>
        <w:t xml:space="preserve">1.1 of the </w:t>
      </w:r>
      <w:r w:rsidR="000A10EA">
        <w:t>SCM Agreement</w:t>
      </w:r>
      <w:r>
        <w:t xml:space="preserve"> and, thus, that the </w:t>
      </w:r>
      <w:r w:rsidR="000A10EA">
        <w:t>United States</w:t>
      </w:r>
      <w:r>
        <w:t xml:space="preserve"> has demonstrated that the French, German, Spanish, and UK </w:t>
      </w:r>
      <w:r w:rsidRPr="00BC3E2C">
        <w:t xml:space="preserve">A350XWB LA/MSF </w:t>
      </w:r>
      <w:r>
        <w:t xml:space="preserve">contracts are specific subsidies within the meaning of Articles 1 and 2 of the </w:t>
      </w:r>
      <w:r w:rsidR="000A10EA">
        <w:t>SCM Agreement</w:t>
      </w:r>
      <w:r>
        <w:t xml:space="preserve">. Finally, the quantitative implications of the Panel's findings that we have just </w:t>
      </w:r>
      <w:r w:rsidRPr="00233523">
        <w:t>upheld</w:t>
      </w:r>
      <w:r>
        <w:t xml:space="preserve"> above are the following, as set out in Table 10 </w:t>
      </w:r>
      <w:r w:rsidR="00CD3B99">
        <w:t>at paragraph 6.6</w:t>
      </w:r>
      <w:r w:rsidR="00F91606">
        <w:t>32 of the </w:t>
      </w:r>
      <w:r w:rsidR="00CD3B99">
        <w:t>Panel </w:t>
      </w:r>
      <w:r>
        <w:t>Report:</w:t>
      </w:r>
    </w:p>
    <w:p w:rsidR="0007161B" w:rsidRDefault="0007161B" w:rsidP="00206326">
      <w:pPr>
        <w:pStyle w:val="Caption"/>
      </w:pPr>
      <w:r>
        <w:lastRenderedPageBreak/>
        <w:t xml:space="preserve">Table </w:t>
      </w:r>
      <w:r w:rsidR="009A724D">
        <w:fldChar w:fldCharType="begin"/>
      </w:r>
      <w:r w:rsidR="009A724D">
        <w:instrText xml:space="preserve"> SEQ Table \* ARABIC </w:instrText>
      </w:r>
      <w:r w:rsidR="009A724D">
        <w:fldChar w:fldCharType="separate"/>
      </w:r>
      <w:r w:rsidR="00FD2727">
        <w:rPr>
          <w:noProof/>
        </w:rPr>
        <w:t>4</w:t>
      </w:r>
      <w:r w:rsidR="009A724D">
        <w:rPr>
          <w:noProof/>
        </w:rPr>
        <w:fldChar w:fldCharType="end"/>
      </w:r>
      <w:r>
        <w:t>: Approximate difference between rates of return and market benchmark rate</w:t>
      </w: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502"/>
        <w:gridCol w:w="1421"/>
        <w:gridCol w:w="2288"/>
        <w:gridCol w:w="993"/>
        <w:gridCol w:w="1152"/>
        <w:gridCol w:w="1886"/>
      </w:tblGrid>
      <w:tr w:rsidR="0007161B" w:rsidTr="00A453EC">
        <w:tc>
          <w:tcPr>
            <w:tcW w:w="1502" w:type="dxa"/>
            <w:shd w:val="clear" w:color="auto" w:fill="006283"/>
            <w:vAlign w:val="center"/>
          </w:tcPr>
          <w:p w:rsidR="0007161B" w:rsidRPr="007B2F7C" w:rsidRDefault="0007161B" w:rsidP="00A453EC">
            <w:pPr>
              <w:pStyle w:val="BodyText"/>
              <w:keepNext/>
              <w:numPr>
                <w:ilvl w:val="0"/>
                <w:numId w:val="0"/>
              </w:numPr>
              <w:spacing w:after="0"/>
              <w:jc w:val="center"/>
              <w:rPr>
                <w:b/>
                <w:color w:val="FFFFFF"/>
                <w:sz w:val="16"/>
                <w:szCs w:val="16"/>
              </w:rPr>
            </w:pPr>
            <w:r w:rsidRPr="007B2F7C">
              <w:rPr>
                <w:b/>
                <w:color w:val="FFFFFF"/>
                <w:sz w:val="16"/>
                <w:szCs w:val="16"/>
              </w:rPr>
              <w:t>EU member State</w:t>
            </w:r>
          </w:p>
        </w:tc>
        <w:tc>
          <w:tcPr>
            <w:tcW w:w="1421" w:type="dxa"/>
            <w:shd w:val="clear" w:color="auto" w:fill="006283"/>
            <w:vAlign w:val="center"/>
          </w:tcPr>
          <w:p w:rsidR="0007161B" w:rsidRPr="007B2F7C" w:rsidRDefault="0007161B" w:rsidP="00A453EC">
            <w:pPr>
              <w:pStyle w:val="BodyText"/>
              <w:keepNext/>
              <w:numPr>
                <w:ilvl w:val="0"/>
                <w:numId w:val="0"/>
              </w:numPr>
              <w:spacing w:after="0"/>
              <w:jc w:val="center"/>
              <w:rPr>
                <w:b/>
                <w:color w:val="FFFFFF"/>
                <w:sz w:val="16"/>
                <w:szCs w:val="16"/>
              </w:rPr>
            </w:pPr>
            <w:r w:rsidRPr="007B2F7C">
              <w:rPr>
                <w:b/>
                <w:color w:val="FFFFFF"/>
                <w:sz w:val="16"/>
                <w:szCs w:val="16"/>
              </w:rPr>
              <w:t>Expected Internal Rate of Return (IRR) of LA/MSF contracts</w:t>
            </w:r>
          </w:p>
        </w:tc>
        <w:tc>
          <w:tcPr>
            <w:tcW w:w="2288" w:type="dxa"/>
            <w:shd w:val="clear" w:color="auto" w:fill="006283"/>
            <w:vAlign w:val="center"/>
          </w:tcPr>
          <w:p w:rsidR="0007161B" w:rsidRPr="007B2F7C" w:rsidRDefault="0007161B" w:rsidP="00F91606">
            <w:pPr>
              <w:pStyle w:val="BodyText"/>
              <w:keepNext/>
              <w:numPr>
                <w:ilvl w:val="0"/>
                <w:numId w:val="0"/>
              </w:numPr>
              <w:spacing w:before="240" w:after="0"/>
              <w:jc w:val="center"/>
              <w:rPr>
                <w:b/>
                <w:color w:val="FFFFFF"/>
                <w:sz w:val="16"/>
                <w:szCs w:val="16"/>
              </w:rPr>
            </w:pPr>
            <w:r w:rsidRPr="007B2F7C">
              <w:rPr>
                <w:b/>
                <w:color w:val="FFFFFF"/>
                <w:sz w:val="16"/>
                <w:szCs w:val="16"/>
              </w:rPr>
              <w:t>Corporate borrowing rate as reflected by yield on EADS bond</w:t>
            </w:r>
            <w:r w:rsidRPr="007B2F7C">
              <w:rPr>
                <w:rStyle w:val="FootnoteReference"/>
                <w:b/>
                <w:color w:val="FFFFFF"/>
                <w:sz w:val="16"/>
                <w:szCs w:val="16"/>
              </w:rPr>
              <w:footnoteReference w:id="880"/>
            </w:r>
          </w:p>
        </w:tc>
        <w:tc>
          <w:tcPr>
            <w:tcW w:w="993" w:type="dxa"/>
            <w:shd w:val="clear" w:color="auto" w:fill="006283"/>
            <w:vAlign w:val="center"/>
          </w:tcPr>
          <w:p w:rsidR="0007161B" w:rsidRPr="007B2F7C" w:rsidRDefault="0007161B" w:rsidP="00F91606">
            <w:pPr>
              <w:pStyle w:val="BodyText"/>
              <w:keepNext/>
              <w:numPr>
                <w:ilvl w:val="0"/>
                <w:numId w:val="0"/>
              </w:numPr>
              <w:spacing w:before="240" w:after="0"/>
              <w:jc w:val="center"/>
              <w:rPr>
                <w:b/>
                <w:color w:val="FFFFFF"/>
                <w:sz w:val="16"/>
                <w:szCs w:val="16"/>
              </w:rPr>
            </w:pPr>
            <w:r w:rsidRPr="007B2F7C">
              <w:rPr>
                <w:b/>
                <w:color w:val="FFFFFF"/>
                <w:sz w:val="16"/>
                <w:szCs w:val="16"/>
              </w:rPr>
              <w:t>Normal market fees</w:t>
            </w:r>
          </w:p>
        </w:tc>
        <w:tc>
          <w:tcPr>
            <w:tcW w:w="1152" w:type="dxa"/>
            <w:shd w:val="clear" w:color="auto" w:fill="006283"/>
          </w:tcPr>
          <w:p w:rsidR="0007161B" w:rsidRPr="007B2F7C" w:rsidRDefault="0007161B" w:rsidP="00F91606">
            <w:pPr>
              <w:pStyle w:val="BodyText"/>
              <w:keepNext/>
              <w:numPr>
                <w:ilvl w:val="0"/>
                <w:numId w:val="0"/>
              </w:numPr>
              <w:spacing w:before="480" w:after="0"/>
              <w:jc w:val="center"/>
              <w:rPr>
                <w:b/>
                <w:color w:val="FFFFFF"/>
                <w:sz w:val="16"/>
                <w:szCs w:val="16"/>
              </w:rPr>
            </w:pPr>
            <w:r w:rsidRPr="007B2F7C">
              <w:rPr>
                <w:b/>
                <w:color w:val="FFFFFF"/>
                <w:sz w:val="16"/>
                <w:szCs w:val="16"/>
              </w:rPr>
              <w:t>WRP</w:t>
            </w:r>
          </w:p>
        </w:tc>
        <w:tc>
          <w:tcPr>
            <w:tcW w:w="1886" w:type="dxa"/>
            <w:shd w:val="clear" w:color="auto" w:fill="006283"/>
            <w:vAlign w:val="center"/>
          </w:tcPr>
          <w:p w:rsidR="0007161B" w:rsidRPr="007B2F7C" w:rsidRDefault="0007161B" w:rsidP="00F91606">
            <w:pPr>
              <w:pStyle w:val="BodyText"/>
              <w:keepNext/>
              <w:numPr>
                <w:ilvl w:val="0"/>
                <w:numId w:val="0"/>
              </w:numPr>
              <w:spacing w:before="240" w:after="0"/>
              <w:jc w:val="center"/>
              <w:rPr>
                <w:b/>
                <w:color w:val="FFFFFF"/>
                <w:sz w:val="16"/>
                <w:szCs w:val="16"/>
              </w:rPr>
            </w:pPr>
            <w:r w:rsidRPr="007B2F7C">
              <w:rPr>
                <w:b/>
                <w:color w:val="FFFFFF"/>
                <w:sz w:val="16"/>
                <w:szCs w:val="16"/>
              </w:rPr>
              <w:t>Amount by which benchmark exceeds IRR</w:t>
            </w:r>
          </w:p>
        </w:tc>
      </w:tr>
      <w:tr w:rsidR="0007161B" w:rsidTr="00A453EC">
        <w:tc>
          <w:tcPr>
            <w:tcW w:w="1502" w:type="dxa"/>
            <w:shd w:val="clear" w:color="auto" w:fill="006283"/>
          </w:tcPr>
          <w:p w:rsidR="0007161B" w:rsidRPr="007B2F7C" w:rsidRDefault="0007161B" w:rsidP="00A453EC">
            <w:pPr>
              <w:pStyle w:val="BodyText"/>
              <w:keepNext/>
              <w:numPr>
                <w:ilvl w:val="0"/>
                <w:numId w:val="0"/>
              </w:numPr>
              <w:spacing w:after="0"/>
              <w:jc w:val="center"/>
              <w:rPr>
                <w:b/>
                <w:color w:val="FFFFFF"/>
                <w:sz w:val="16"/>
                <w:szCs w:val="16"/>
              </w:rPr>
            </w:pPr>
          </w:p>
        </w:tc>
        <w:tc>
          <w:tcPr>
            <w:tcW w:w="1421" w:type="dxa"/>
            <w:shd w:val="clear" w:color="auto" w:fill="006283"/>
          </w:tcPr>
          <w:p w:rsidR="0007161B" w:rsidRPr="007B2F7C" w:rsidRDefault="0007161B" w:rsidP="00A453EC">
            <w:pPr>
              <w:pStyle w:val="BodyText"/>
              <w:keepNext/>
              <w:numPr>
                <w:ilvl w:val="0"/>
                <w:numId w:val="0"/>
              </w:numPr>
              <w:spacing w:after="0"/>
              <w:jc w:val="center"/>
              <w:rPr>
                <w:b/>
                <w:color w:val="FFFFFF"/>
                <w:sz w:val="16"/>
                <w:szCs w:val="16"/>
              </w:rPr>
            </w:pPr>
            <w:r w:rsidRPr="007B2F7C">
              <w:rPr>
                <w:b/>
                <w:color w:val="FFFFFF"/>
                <w:sz w:val="16"/>
                <w:szCs w:val="16"/>
              </w:rPr>
              <w:t>A</w:t>
            </w:r>
          </w:p>
        </w:tc>
        <w:tc>
          <w:tcPr>
            <w:tcW w:w="2288" w:type="dxa"/>
            <w:shd w:val="clear" w:color="auto" w:fill="006283"/>
          </w:tcPr>
          <w:p w:rsidR="0007161B" w:rsidRPr="007B2F7C" w:rsidRDefault="0007161B" w:rsidP="00A453EC">
            <w:pPr>
              <w:pStyle w:val="BodyText"/>
              <w:keepNext/>
              <w:numPr>
                <w:ilvl w:val="0"/>
                <w:numId w:val="0"/>
              </w:numPr>
              <w:spacing w:after="0"/>
              <w:jc w:val="center"/>
              <w:rPr>
                <w:b/>
                <w:color w:val="FFFFFF"/>
                <w:sz w:val="16"/>
                <w:szCs w:val="16"/>
              </w:rPr>
            </w:pPr>
            <w:r w:rsidRPr="007B2F7C">
              <w:rPr>
                <w:b/>
                <w:color w:val="FFFFFF"/>
                <w:sz w:val="16"/>
                <w:szCs w:val="16"/>
              </w:rPr>
              <w:t>B</w:t>
            </w:r>
          </w:p>
        </w:tc>
        <w:tc>
          <w:tcPr>
            <w:tcW w:w="993" w:type="dxa"/>
            <w:shd w:val="clear" w:color="auto" w:fill="006283"/>
          </w:tcPr>
          <w:p w:rsidR="0007161B" w:rsidRPr="007B2F7C" w:rsidRDefault="0007161B" w:rsidP="00A453EC">
            <w:pPr>
              <w:pStyle w:val="BodyText"/>
              <w:keepNext/>
              <w:numPr>
                <w:ilvl w:val="0"/>
                <w:numId w:val="0"/>
              </w:numPr>
              <w:spacing w:after="0"/>
              <w:jc w:val="center"/>
              <w:rPr>
                <w:b/>
                <w:color w:val="FFFFFF"/>
                <w:sz w:val="16"/>
                <w:szCs w:val="16"/>
              </w:rPr>
            </w:pPr>
            <w:r w:rsidRPr="007B2F7C">
              <w:rPr>
                <w:b/>
                <w:color w:val="FFFFFF"/>
                <w:sz w:val="16"/>
                <w:szCs w:val="16"/>
              </w:rPr>
              <w:t>C</w:t>
            </w:r>
          </w:p>
        </w:tc>
        <w:tc>
          <w:tcPr>
            <w:tcW w:w="1152" w:type="dxa"/>
            <w:shd w:val="clear" w:color="auto" w:fill="006283"/>
          </w:tcPr>
          <w:p w:rsidR="0007161B" w:rsidRPr="007B2F7C" w:rsidRDefault="0007161B" w:rsidP="00A453EC">
            <w:pPr>
              <w:pStyle w:val="BodyText"/>
              <w:keepNext/>
              <w:numPr>
                <w:ilvl w:val="0"/>
                <w:numId w:val="0"/>
              </w:numPr>
              <w:spacing w:after="0"/>
              <w:jc w:val="center"/>
              <w:rPr>
                <w:b/>
                <w:color w:val="FFFFFF"/>
                <w:sz w:val="16"/>
                <w:szCs w:val="16"/>
              </w:rPr>
            </w:pPr>
            <w:r w:rsidRPr="007B2F7C">
              <w:rPr>
                <w:b/>
                <w:color w:val="FFFFFF"/>
                <w:sz w:val="16"/>
                <w:szCs w:val="16"/>
              </w:rPr>
              <w:t>D</w:t>
            </w:r>
          </w:p>
        </w:tc>
        <w:tc>
          <w:tcPr>
            <w:tcW w:w="1886" w:type="dxa"/>
            <w:shd w:val="clear" w:color="auto" w:fill="006283"/>
          </w:tcPr>
          <w:p w:rsidR="0007161B" w:rsidRPr="007B2F7C" w:rsidRDefault="0007161B" w:rsidP="00A453EC">
            <w:pPr>
              <w:pStyle w:val="BodyText"/>
              <w:keepNext/>
              <w:numPr>
                <w:ilvl w:val="0"/>
                <w:numId w:val="0"/>
              </w:numPr>
              <w:spacing w:after="0"/>
              <w:jc w:val="center"/>
              <w:rPr>
                <w:b/>
                <w:color w:val="FFFFFF"/>
                <w:sz w:val="16"/>
                <w:szCs w:val="16"/>
              </w:rPr>
            </w:pPr>
            <w:r w:rsidRPr="007B2F7C">
              <w:rPr>
                <w:b/>
                <w:color w:val="FFFFFF"/>
                <w:sz w:val="16"/>
                <w:szCs w:val="16"/>
              </w:rPr>
              <w:t>(B+C+D)-A</w:t>
            </w:r>
          </w:p>
        </w:tc>
      </w:tr>
      <w:tr w:rsidR="0007161B" w:rsidRPr="00BC3E2C" w:rsidTr="00A453EC">
        <w:tc>
          <w:tcPr>
            <w:tcW w:w="1502" w:type="dxa"/>
            <w:shd w:val="clear" w:color="auto" w:fill="auto"/>
          </w:tcPr>
          <w:p w:rsidR="0007161B" w:rsidRPr="007B2F7C" w:rsidRDefault="0007161B" w:rsidP="00A453EC">
            <w:pPr>
              <w:pStyle w:val="BodyText"/>
              <w:keepNext/>
              <w:numPr>
                <w:ilvl w:val="0"/>
                <w:numId w:val="0"/>
              </w:numPr>
              <w:spacing w:after="0"/>
              <w:rPr>
                <w:sz w:val="16"/>
                <w:szCs w:val="16"/>
              </w:rPr>
            </w:pPr>
            <w:r w:rsidRPr="007B2F7C">
              <w:rPr>
                <w:sz w:val="16"/>
                <w:szCs w:val="16"/>
              </w:rPr>
              <w:t>France</w:t>
            </w:r>
          </w:p>
        </w:tc>
        <w:tc>
          <w:tcPr>
            <w:tcW w:w="1421" w:type="dxa"/>
            <w:shd w:val="clear" w:color="auto" w:fill="auto"/>
          </w:tcPr>
          <w:p w:rsidR="0007161B" w:rsidRPr="007B2F7C" w:rsidRDefault="0007161B" w:rsidP="00A453EC">
            <w:pPr>
              <w:pStyle w:val="BodyText"/>
              <w:keepNext/>
              <w:numPr>
                <w:ilvl w:val="0"/>
                <w:numId w:val="0"/>
              </w:numPr>
              <w:spacing w:after="0"/>
              <w:jc w:val="center"/>
              <w:rPr>
                <w:sz w:val="16"/>
                <w:szCs w:val="16"/>
              </w:rPr>
            </w:pPr>
            <w:r w:rsidRPr="007B2F7C">
              <w:rPr>
                <w:b/>
                <w:sz w:val="16"/>
                <w:szCs w:val="16"/>
              </w:rPr>
              <w:t>[</w:t>
            </w:r>
            <w:r w:rsidR="00E8168B" w:rsidRPr="007B2F7C">
              <w:rPr>
                <w:b/>
                <w:sz w:val="16"/>
                <w:szCs w:val="16"/>
              </w:rPr>
              <w:t>BCI</w:t>
            </w:r>
            <w:r w:rsidRPr="007B2F7C">
              <w:rPr>
                <w:b/>
                <w:sz w:val="16"/>
                <w:szCs w:val="16"/>
              </w:rPr>
              <w:t>]</w:t>
            </w:r>
          </w:p>
        </w:tc>
        <w:tc>
          <w:tcPr>
            <w:tcW w:w="2288" w:type="dxa"/>
            <w:shd w:val="clear" w:color="auto" w:fill="auto"/>
          </w:tcPr>
          <w:p w:rsidR="0007161B" w:rsidRPr="007B2F7C" w:rsidRDefault="0007161B" w:rsidP="00A453EC">
            <w:pPr>
              <w:pStyle w:val="BodyText"/>
              <w:keepNext/>
              <w:numPr>
                <w:ilvl w:val="0"/>
                <w:numId w:val="0"/>
              </w:numPr>
              <w:spacing w:after="0"/>
              <w:jc w:val="center"/>
              <w:rPr>
                <w:sz w:val="16"/>
                <w:szCs w:val="16"/>
              </w:rPr>
            </w:pPr>
            <w:r w:rsidRPr="007B2F7C">
              <w:rPr>
                <w:b/>
                <w:sz w:val="16"/>
                <w:szCs w:val="16"/>
              </w:rPr>
              <w:t>[</w:t>
            </w:r>
            <w:r w:rsidR="00E8168B" w:rsidRPr="007B2F7C">
              <w:rPr>
                <w:b/>
                <w:sz w:val="16"/>
                <w:szCs w:val="16"/>
              </w:rPr>
              <w:t>BCI</w:t>
            </w:r>
            <w:r w:rsidRPr="007B2F7C">
              <w:rPr>
                <w:b/>
                <w:sz w:val="16"/>
                <w:szCs w:val="16"/>
              </w:rPr>
              <w:t>]</w:t>
            </w:r>
            <w:r w:rsidRPr="007B2F7C">
              <w:rPr>
                <w:sz w:val="16"/>
                <w:szCs w:val="16"/>
              </w:rPr>
              <w:t xml:space="preserve"> to </w:t>
            </w:r>
            <w:r w:rsidRPr="007B2F7C">
              <w:rPr>
                <w:b/>
                <w:sz w:val="16"/>
                <w:szCs w:val="16"/>
              </w:rPr>
              <w:t>[</w:t>
            </w:r>
            <w:r w:rsidR="00E8168B" w:rsidRPr="007B2F7C">
              <w:rPr>
                <w:b/>
                <w:sz w:val="16"/>
                <w:szCs w:val="16"/>
              </w:rPr>
              <w:t>BCI</w:t>
            </w:r>
            <w:r w:rsidRPr="007B2F7C">
              <w:rPr>
                <w:b/>
                <w:sz w:val="16"/>
                <w:szCs w:val="16"/>
              </w:rPr>
              <w:t>]</w:t>
            </w:r>
          </w:p>
        </w:tc>
        <w:tc>
          <w:tcPr>
            <w:tcW w:w="993" w:type="dxa"/>
          </w:tcPr>
          <w:p w:rsidR="0007161B" w:rsidRPr="007B2F7C" w:rsidRDefault="0007161B" w:rsidP="00A453EC">
            <w:pPr>
              <w:pStyle w:val="BodyText"/>
              <w:keepNext/>
              <w:numPr>
                <w:ilvl w:val="0"/>
                <w:numId w:val="0"/>
              </w:numPr>
              <w:spacing w:after="0"/>
              <w:jc w:val="center"/>
              <w:rPr>
                <w:sz w:val="16"/>
                <w:szCs w:val="16"/>
              </w:rPr>
            </w:pPr>
            <w:r w:rsidRPr="007B2F7C">
              <w:rPr>
                <w:b/>
                <w:sz w:val="16"/>
                <w:szCs w:val="16"/>
              </w:rPr>
              <w:t>[</w:t>
            </w:r>
            <w:r w:rsidR="00E8168B" w:rsidRPr="007B2F7C">
              <w:rPr>
                <w:b/>
                <w:sz w:val="16"/>
                <w:szCs w:val="16"/>
              </w:rPr>
              <w:t>BCI</w:t>
            </w:r>
            <w:r w:rsidRPr="007B2F7C">
              <w:rPr>
                <w:b/>
                <w:sz w:val="16"/>
                <w:szCs w:val="16"/>
              </w:rPr>
              <w:t>]</w:t>
            </w:r>
          </w:p>
        </w:tc>
        <w:tc>
          <w:tcPr>
            <w:tcW w:w="1152" w:type="dxa"/>
          </w:tcPr>
          <w:p w:rsidR="0007161B" w:rsidRPr="007B2F7C" w:rsidRDefault="0007161B" w:rsidP="00A453EC">
            <w:pPr>
              <w:pStyle w:val="BodyText"/>
              <w:keepNext/>
              <w:numPr>
                <w:ilvl w:val="0"/>
                <w:numId w:val="0"/>
              </w:numPr>
              <w:spacing w:after="0"/>
              <w:jc w:val="center"/>
              <w:rPr>
                <w:sz w:val="16"/>
                <w:szCs w:val="16"/>
              </w:rPr>
            </w:pPr>
            <w:r w:rsidRPr="007B2F7C">
              <w:rPr>
                <w:sz w:val="16"/>
                <w:szCs w:val="16"/>
              </w:rPr>
              <w:t>WRP</w:t>
            </w:r>
          </w:p>
        </w:tc>
        <w:tc>
          <w:tcPr>
            <w:tcW w:w="1886" w:type="dxa"/>
          </w:tcPr>
          <w:p w:rsidR="0007161B" w:rsidRPr="007B2F7C" w:rsidRDefault="0007161B" w:rsidP="00A453EC">
            <w:pPr>
              <w:pStyle w:val="BodyText"/>
              <w:keepNext/>
              <w:numPr>
                <w:ilvl w:val="0"/>
                <w:numId w:val="0"/>
              </w:numPr>
              <w:spacing w:after="0"/>
              <w:jc w:val="left"/>
              <w:rPr>
                <w:sz w:val="16"/>
                <w:szCs w:val="16"/>
              </w:rPr>
            </w:pPr>
            <w:r w:rsidRPr="007B2F7C">
              <w:rPr>
                <w:sz w:val="16"/>
                <w:szCs w:val="16"/>
              </w:rPr>
              <w:t>(</w:t>
            </w:r>
            <w:r w:rsidRPr="007B2F7C">
              <w:rPr>
                <w:b/>
                <w:sz w:val="16"/>
                <w:szCs w:val="16"/>
              </w:rPr>
              <w:t>[</w:t>
            </w:r>
            <w:r w:rsidR="00E8168B" w:rsidRPr="007B2F7C">
              <w:rPr>
                <w:b/>
                <w:sz w:val="16"/>
                <w:szCs w:val="16"/>
              </w:rPr>
              <w:t>BCI</w:t>
            </w:r>
            <w:r w:rsidRPr="007B2F7C">
              <w:rPr>
                <w:b/>
                <w:sz w:val="16"/>
                <w:szCs w:val="16"/>
              </w:rPr>
              <w:t>]</w:t>
            </w:r>
            <w:r w:rsidRPr="007B2F7C">
              <w:rPr>
                <w:sz w:val="16"/>
                <w:szCs w:val="16"/>
              </w:rPr>
              <w:t>+WRP)</w:t>
            </w:r>
            <w:r w:rsidRPr="007B2F7C">
              <w:rPr>
                <w:b/>
                <w:sz w:val="16"/>
                <w:szCs w:val="16"/>
              </w:rPr>
              <w:t>-[</w:t>
            </w:r>
            <w:r w:rsidR="00E8168B" w:rsidRPr="007B2F7C">
              <w:rPr>
                <w:b/>
                <w:sz w:val="16"/>
                <w:szCs w:val="16"/>
              </w:rPr>
              <w:t>BCI</w:t>
            </w:r>
            <w:r w:rsidRPr="007B2F7C">
              <w:rPr>
                <w:b/>
                <w:sz w:val="16"/>
                <w:szCs w:val="16"/>
              </w:rPr>
              <w:t>]</w:t>
            </w:r>
            <w:r w:rsidRPr="007B2F7C">
              <w:rPr>
                <w:sz w:val="16"/>
                <w:szCs w:val="16"/>
              </w:rPr>
              <w:t xml:space="preserve"> to </w:t>
            </w:r>
          </w:p>
          <w:p w:rsidR="0007161B" w:rsidRPr="007B2F7C" w:rsidRDefault="0007161B" w:rsidP="00A453EC">
            <w:pPr>
              <w:pStyle w:val="BodyText"/>
              <w:keepNext/>
              <w:numPr>
                <w:ilvl w:val="0"/>
                <w:numId w:val="0"/>
              </w:numPr>
              <w:spacing w:after="0"/>
              <w:jc w:val="left"/>
              <w:rPr>
                <w:sz w:val="16"/>
                <w:szCs w:val="16"/>
              </w:rPr>
            </w:pPr>
            <w:r w:rsidRPr="007B2F7C">
              <w:rPr>
                <w:sz w:val="16"/>
                <w:szCs w:val="16"/>
              </w:rPr>
              <w:t>(</w:t>
            </w:r>
            <w:r w:rsidRPr="007B2F7C">
              <w:rPr>
                <w:b/>
                <w:sz w:val="16"/>
                <w:szCs w:val="16"/>
              </w:rPr>
              <w:t>[</w:t>
            </w:r>
            <w:r w:rsidR="00E8168B" w:rsidRPr="007B2F7C">
              <w:rPr>
                <w:b/>
                <w:sz w:val="16"/>
                <w:szCs w:val="16"/>
              </w:rPr>
              <w:t>BCI</w:t>
            </w:r>
            <w:r w:rsidRPr="007B2F7C">
              <w:rPr>
                <w:b/>
                <w:sz w:val="16"/>
                <w:szCs w:val="16"/>
              </w:rPr>
              <w:t>]</w:t>
            </w:r>
            <w:r w:rsidRPr="007B2F7C">
              <w:rPr>
                <w:sz w:val="16"/>
                <w:szCs w:val="16"/>
              </w:rPr>
              <w:t>+WRP)</w:t>
            </w:r>
            <w:r w:rsidRPr="007B2F7C">
              <w:rPr>
                <w:b/>
                <w:sz w:val="16"/>
                <w:szCs w:val="16"/>
              </w:rPr>
              <w:t>-[</w:t>
            </w:r>
            <w:r w:rsidR="00E8168B" w:rsidRPr="007B2F7C">
              <w:rPr>
                <w:b/>
                <w:sz w:val="16"/>
                <w:szCs w:val="16"/>
              </w:rPr>
              <w:t>BCI</w:t>
            </w:r>
            <w:r w:rsidRPr="007B2F7C">
              <w:rPr>
                <w:b/>
                <w:sz w:val="16"/>
                <w:szCs w:val="16"/>
              </w:rPr>
              <w:t>]</w:t>
            </w:r>
            <w:r w:rsidRPr="007B2F7C" w:rsidDel="00F1058F">
              <w:rPr>
                <w:sz w:val="16"/>
                <w:szCs w:val="16"/>
              </w:rPr>
              <w:t xml:space="preserve"> </w:t>
            </w:r>
          </w:p>
        </w:tc>
      </w:tr>
      <w:tr w:rsidR="0007161B" w:rsidRPr="00BC3E2C" w:rsidTr="00A453EC">
        <w:tc>
          <w:tcPr>
            <w:tcW w:w="1502" w:type="dxa"/>
            <w:shd w:val="clear" w:color="auto" w:fill="C9DED4"/>
          </w:tcPr>
          <w:p w:rsidR="0007161B" w:rsidRPr="007B2F7C" w:rsidRDefault="0007161B" w:rsidP="00A453EC">
            <w:pPr>
              <w:pStyle w:val="BodyText"/>
              <w:keepNext/>
              <w:numPr>
                <w:ilvl w:val="0"/>
                <w:numId w:val="0"/>
              </w:numPr>
              <w:spacing w:after="0"/>
              <w:rPr>
                <w:sz w:val="16"/>
                <w:szCs w:val="16"/>
              </w:rPr>
            </w:pPr>
            <w:r w:rsidRPr="007B2F7C">
              <w:rPr>
                <w:sz w:val="16"/>
                <w:szCs w:val="16"/>
              </w:rPr>
              <w:t>Germany</w:t>
            </w:r>
          </w:p>
        </w:tc>
        <w:tc>
          <w:tcPr>
            <w:tcW w:w="1421" w:type="dxa"/>
            <w:shd w:val="clear" w:color="auto" w:fill="C9DED4"/>
          </w:tcPr>
          <w:p w:rsidR="0007161B" w:rsidRPr="007B2F7C" w:rsidRDefault="0007161B" w:rsidP="00A453EC">
            <w:pPr>
              <w:pStyle w:val="BodyText"/>
              <w:keepNext/>
              <w:numPr>
                <w:ilvl w:val="0"/>
                <w:numId w:val="0"/>
              </w:numPr>
              <w:spacing w:after="0"/>
              <w:jc w:val="center"/>
              <w:rPr>
                <w:sz w:val="16"/>
                <w:szCs w:val="16"/>
              </w:rPr>
            </w:pPr>
            <w:r w:rsidRPr="007B2F7C">
              <w:rPr>
                <w:b/>
                <w:sz w:val="16"/>
                <w:szCs w:val="16"/>
              </w:rPr>
              <w:t>[</w:t>
            </w:r>
            <w:r w:rsidR="00E8168B" w:rsidRPr="007B2F7C">
              <w:rPr>
                <w:b/>
                <w:sz w:val="16"/>
                <w:szCs w:val="16"/>
              </w:rPr>
              <w:t>BCI</w:t>
            </w:r>
            <w:r w:rsidRPr="007B2F7C">
              <w:rPr>
                <w:b/>
                <w:sz w:val="16"/>
                <w:szCs w:val="16"/>
              </w:rPr>
              <w:t>]</w:t>
            </w:r>
          </w:p>
        </w:tc>
        <w:tc>
          <w:tcPr>
            <w:tcW w:w="2288" w:type="dxa"/>
            <w:shd w:val="clear" w:color="auto" w:fill="C9DED4"/>
          </w:tcPr>
          <w:p w:rsidR="0007161B" w:rsidRPr="007B2F7C" w:rsidRDefault="0007161B" w:rsidP="00A453EC">
            <w:pPr>
              <w:pStyle w:val="BodyText"/>
              <w:keepNext/>
              <w:numPr>
                <w:ilvl w:val="0"/>
                <w:numId w:val="0"/>
              </w:numPr>
              <w:spacing w:after="0"/>
              <w:jc w:val="center"/>
              <w:rPr>
                <w:sz w:val="16"/>
                <w:szCs w:val="16"/>
              </w:rPr>
            </w:pPr>
            <w:r w:rsidRPr="007B2F7C">
              <w:rPr>
                <w:b/>
                <w:sz w:val="16"/>
                <w:szCs w:val="16"/>
              </w:rPr>
              <w:t>[</w:t>
            </w:r>
            <w:r w:rsidR="00E8168B" w:rsidRPr="007B2F7C">
              <w:rPr>
                <w:b/>
                <w:sz w:val="16"/>
                <w:szCs w:val="16"/>
              </w:rPr>
              <w:t>BCI</w:t>
            </w:r>
            <w:r w:rsidRPr="007B2F7C">
              <w:rPr>
                <w:b/>
                <w:sz w:val="16"/>
                <w:szCs w:val="16"/>
              </w:rPr>
              <w:t>]</w:t>
            </w:r>
            <w:r w:rsidRPr="007B2F7C">
              <w:rPr>
                <w:sz w:val="16"/>
                <w:szCs w:val="16"/>
              </w:rPr>
              <w:t xml:space="preserve"> to </w:t>
            </w:r>
            <w:r w:rsidRPr="007B2F7C">
              <w:rPr>
                <w:b/>
                <w:sz w:val="16"/>
                <w:szCs w:val="16"/>
              </w:rPr>
              <w:t>[</w:t>
            </w:r>
            <w:r w:rsidR="00E8168B" w:rsidRPr="007B2F7C">
              <w:rPr>
                <w:b/>
                <w:sz w:val="16"/>
                <w:szCs w:val="16"/>
              </w:rPr>
              <w:t>BCI</w:t>
            </w:r>
            <w:r w:rsidRPr="007B2F7C">
              <w:rPr>
                <w:b/>
                <w:sz w:val="16"/>
                <w:szCs w:val="16"/>
              </w:rPr>
              <w:t>]</w:t>
            </w:r>
          </w:p>
        </w:tc>
        <w:tc>
          <w:tcPr>
            <w:tcW w:w="993" w:type="dxa"/>
            <w:shd w:val="clear" w:color="auto" w:fill="C9DED4"/>
          </w:tcPr>
          <w:p w:rsidR="0007161B" w:rsidRPr="007B2F7C" w:rsidRDefault="0007161B" w:rsidP="00A453EC">
            <w:pPr>
              <w:pStyle w:val="BodyText"/>
              <w:keepNext/>
              <w:numPr>
                <w:ilvl w:val="0"/>
                <w:numId w:val="0"/>
              </w:numPr>
              <w:spacing w:after="0"/>
              <w:jc w:val="center"/>
              <w:rPr>
                <w:sz w:val="16"/>
                <w:szCs w:val="16"/>
              </w:rPr>
            </w:pPr>
            <w:r w:rsidRPr="007B2F7C">
              <w:rPr>
                <w:b/>
                <w:sz w:val="16"/>
                <w:szCs w:val="16"/>
              </w:rPr>
              <w:t>[</w:t>
            </w:r>
            <w:r w:rsidR="00E8168B" w:rsidRPr="007B2F7C">
              <w:rPr>
                <w:b/>
                <w:sz w:val="16"/>
                <w:szCs w:val="16"/>
              </w:rPr>
              <w:t>BCI</w:t>
            </w:r>
            <w:r w:rsidRPr="007B2F7C">
              <w:rPr>
                <w:b/>
                <w:sz w:val="16"/>
                <w:szCs w:val="16"/>
              </w:rPr>
              <w:t>]</w:t>
            </w:r>
          </w:p>
        </w:tc>
        <w:tc>
          <w:tcPr>
            <w:tcW w:w="1152" w:type="dxa"/>
            <w:shd w:val="clear" w:color="auto" w:fill="C9DED4"/>
          </w:tcPr>
          <w:p w:rsidR="0007161B" w:rsidRPr="007B2F7C" w:rsidRDefault="0007161B" w:rsidP="00A453EC">
            <w:pPr>
              <w:pStyle w:val="BodyText"/>
              <w:keepNext/>
              <w:numPr>
                <w:ilvl w:val="0"/>
                <w:numId w:val="0"/>
              </w:numPr>
              <w:spacing w:after="0"/>
              <w:jc w:val="center"/>
              <w:rPr>
                <w:sz w:val="16"/>
                <w:szCs w:val="16"/>
              </w:rPr>
            </w:pPr>
            <w:r w:rsidRPr="007B2F7C">
              <w:rPr>
                <w:sz w:val="16"/>
                <w:szCs w:val="16"/>
              </w:rPr>
              <w:t>WRP</w:t>
            </w:r>
          </w:p>
        </w:tc>
        <w:tc>
          <w:tcPr>
            <w:tcW w:w="1886" w:type="dxa"/>
            <w:shd w:val="clear" w:color="auto" w:fill="C9DED4"/>
          </w:tcPr>
          <w:p w:rsidR="0007161B" w:rsidRPr="007B2F7C" w:rsidRDefault="0007161B" w:rsidP="00A453EC">
            <w:pPr>
              <w:pStyle w:val="BodyText"/>
              <w:keepNext/>
              <w:numPr>
                <w:ilvl w:val="0"/>
                <w:numId w:val="0"/>
              </w:numPr>
              <w:spacing w:after="0"/>
              <w:jc w:val="left"/>
              <w:rPr>
                <w:strike/>
                <w:sz w:val="16"/>
                <w:szCs w:val="16"/>
              </w:rPr>
            </w:pPr>
            <w:r w:rsidRPr="007B2F7C">
              <w:rPr>
                <w:sz w:val="16"/>
                <w:szCs w:val="16"/>
              </w:rPr>
              <w:t>(</w:t>
            </w:r>
            <w:r w:rsidRPr="007B2F7C">
              <w:rPr>
                <w:b/>
                <w:sz w:val="16"/>
                <w:szCs w:val="16"/>
              </w:rPr>
              <w:t>[</w:t>
            </w:r>
            <w:r w:rsidR="00E8168B" w:rsidRPr="007B2F7C">
              <w:rPr>
                <w:b/>
                <w:sz w:val="16"/>
                <w:szCs w:val="16"/>
              </w:rPr>
              <w:t>BCI</w:t>
            </w:r>
            <w:r w:rsidRPr="007B2F7C">
              <w:rPr>
                <w:b/>
                <w:sz w:val="16"/>
                <w:szCs w:val="16"/>
              </w:rPr>
              <w:t>]</w:t>
            </w:r>
            <w:r w:rsidRPr="007B2F7C">
              <w:rPr>
                <w:sz w:val="16"/>
                <w:szCs w:val="16"/>
              </w:rPr>
              <w:t>+WRP)</w:t>
            </w:r>
            <w:r w:rsidRPr="007B2F7C">
              <w:rPr>
                <w:b/>
                <w:sz w:val="16"/>
                <w:szCs w:val="16"/>
              </w:rPr>
              <w:t>-[</w:t>
            </w:r>
            <w:r w:rsidR="00E8168B" w:rsidRPr="007B2F7C">
              <w:rPr>
                <w:b/>
                <w:sz w:val="16"/>
                <w:szCs w:val="16"/>
              </w:rPr>
              <w:t>BCI</w:t>
            </w:r>
            <w:r w:rsidRPr="007B2F7C">
              <w:rPr>
                <w:b/>
                <w:sz w:val="16"/>
                <w:szCs w:val="16"/>
              </w:rPr>
              <w:t xml:space="preserve">] </w:t>
            </w:r>
            <w:r w:rsidRPr="007B2F7C">
              <w:rPr>
                <w:sz w:val="16"/>
                <w:szCs w:val="16"/>
              </w:rPr>
              <w:t xml:space="preserve">to </w:t>
            </w:r>
          </w:p>
          <w:p w:rsidR="0007161B" w:rsidRPr="007B2F7C" w:rsidRDefault="0007161B" w:rsidP="00A453EC">
            <w:pPr>
              <w:pStyle w:val="BodyText"/>
              <w:keepNext/>
              <w:numPr>
                <w:ilvl w:val="0"/>
                <w:numId w:val="0"/>
              </w:numPr>
              <w:spacing w:after="0"/>
              <w:jc w:val="left"/>
              <w:rPr>
                <w:sz w:val="16"/>
                <w:szCs w:val="16"/>
              </w:rPr>
            </w:pPr>
            <w:r w:rsidRPr="007B2F7C">
              <w:rPr>
                <w:sz w:val="16"/>
                <w:szCs w:val="16"/>
              </w:rPr>
              <w:t>(</w:t>
            </w:r>
            <w:r w:rsidRPr="007B2F7C">
              <w:rPr>
                <w:b/>
                <w:sz w:val="16"/>
                <w:szCs w:val="16"/>
              </w:rPr>
              <w:t>[</w:t>
            </w:r>
            <w:r w:rsidR="00E8168B" w:rsidRPr="007B2F7C">
              <w:rPr>
                <w:b/>
                <w:sz w:val="16"/>
                <w:szCs w:val="16"/>
              </w:rPr>
              <w:t>BCI</w:t>
            </w:r>
            <w:r w:rsidRPr="007B2F7C">
              <w:rPr>
                <w:b/>
                <w:sz w:val="16"/>
                <w:szCs w:val="16"/>
              </w:rPr>
              <w:t>]</w:t>
            </w:r>
            <w:r w:rsidRPr="007B2F7C">
              <w:rPr>
                <w:sz w:val="16"/>
                <w:szCs w:val="16"/>
              </w:rPr>
              <w:t>+WRP)</w:t>
            </w:r>
            <w:r w:rsidRPr="007B2F7C">
              <w:rPr>
                <w:b/>
                <w:sz w:val="16"/>
                <w:szCs w:val="16"/>
              </w:rPr>
              <w:t>-[</w:t>
            </w:r>
            <w:r w:rsidR="00E8168B" w:rsidRPr="007B2F7C">
              <w:rPr>
                <w:b/>
                <w:sz w:val="16"/>
                <w:szCs w:val="16"/>
              </w:rPr>
              <w:t>BCI</w:t>
            </w:r>
            <w:r w:rsidRPr="007B2F7C">
              <w:rPr>
                <w:b/>
                <w:sz w:val="16"/>
                <w:szCs w:val="16"/>
              </w:rPr>
              <w:t>]</w:t>
            </w:r>
            <w:r w:rsidRPr="007B2F7C">
              <w:rPr>
                <w:sz w:val="16"/>
                <w:szCs w:val="16"/>
              </w:rPr>
              <w:t xml:space="preserve"> </w:t>
            </w:r>
          </w:p>
        </w:tc>
      </w:tr>
      <w:tr w:rsidR="0007161B" w:rsidRPr="00BC3E2C" w:rsidTr="00A453EC">
        <w:tc>
          <w:tcPr>
            <w:tcW w:w="1502" w:type="dxa"/>
            <w:shd w:val="clear" w:color="auto" w:fill="auto"/>
          </w:tcPr>
          <w:p w:rsidR="0007161B" w:rsidRPr="007B2F7C" w:rsidRDefault="0007161B" w:rsidP="00A453EC">
            <w:pPr>
              <w:pStyle w:val="BodyText"/>
              <w:keepNext/>
              <w:numPr>
                <w:ilvl w:val="0"/>
                <w:numId w:val="0"/>
              </w:numPr>
              <w:spacing w:after="0"/>
              <w:rPr>
                <w:sz w:val="16"/>
                <w:szCs w:val="16"/>
              </w:rPr>
            </w:pPr>
            <w:r w:rsidRPr="007B2F7C">
              <w:rPr>
                <w:sz w:val="16"/>
                <w:szCs w:val="16"/>
              </w:rPr>
              <w:t xml:space="preserve">Spain </w:t>
            </w:r>
          </w:p>
        </w:tc>
        <w:tc>
          <w:tcPr>
            <w:tcW w:w="1421" w:type="dxa"/>
            <w:shd w:val="clear" w:color="auto" w:fill="auto"/>
          </w:tcPr>
          <w:p w:rsidR="0007161B" w:rsidRPr="007B2F7C" w:rsidRDefault="0007161B" w:rsidP="00A453EC">
            <w:pPr>
              <w:pStyle w:val="BodyText"/>
              <w:keepNext/>
              <w:numPr>
                <w:ilvl w:val="0"/>
                <w:numId w:val="0"/>
              </w:numPr>
              <w:spacing w:after="0"/>
              <w:jc w:val="center"/>
              <w:rPr>
                <w:sz w:val="16"/>
                <w:szCs w:val="16"/>
              </w:rPr>
            </w:pPr>
            <w:r w:rsidRPr="007B2F7C">
              <w:rPr>
                <w:b/>
                <w:sz w:val="16"/>
                <w:szCs w:val="16"/>
              </w:rPr>
              <w:t>[</w:t>
            </w:r>
            <w:r w:rsidR="00E8168B" w:rsidRPr="007B2F7C">
              <w:rPr>
                <w:b/>
                <w:sz w:val="16"/>
                <w:szCs w:val="16"/>
              </w:rPr>
              <w:t>BCI</w:t>
            </w:r>
            <w:r w:rsidRPr="007B2F7C">
              <w:rPr>
                <w:b/>
                <w:sz w:val="16"/>
                <w:szCs w:val="16"/>
              </w:rPr>
              <w:t>]</w:t>
            </w:r>
          </w:p>
        </w:tc>
        <w:tc>
          <w:tcPr>
            <w:tcW w:w="2288" w:type="dxa"/>
            <w:shd w:val="clear" w:color="auto" w:fill="auto"/>
          </w:tcPr>
          <w:p w:rsidR="0007161B" w:rsidRPr="007B2F7C" w:rsidRDefault="0007161B" w:rsidP="00A453EC">
            <w:pPr>
              <w:pStyle w:val="BodyText"/>
              <w:keepNext/>
              <w:numPr>
                <w:ilvl w:val="0"/>
                <w:numId w:val="0"/>
              </w:numPr>
              <w:spacing w:after="0"/>
              <w:jc w:val="center"/>
              <w:rPr>
                <w:sz w:val="16"/>
                <w:szCs w:val="16"/>
              </w:rPr>
            </w:pPr>
            <w:r w:rsidRPr="007B2F7C">
              <w:rPr>
                <w:b/>
                <w:sz w:val="16"/>
                <w:szCs w:val="16"/>
              </w:rPr>
              <w:t>[</w:t>
            </w:r>
            <w:r w:rsidR="00E8168B" w:rsidRPr="007B2F7C">
              <w:rPr>
                <w:b/>
                <w:sz w:val="16"/>
                <w:szCs w:val="16"/>
              </w:rPr>
              <w:t>BCI</w:t>
            </w:r>
            <w:r w:rsidRPr="007B2F7C">
              <w:rPr>
                <w:b/>
                <w:sz w:val="16"/>
                <w:szCs w:val="16"/>
              </w:rPr>
              <w:t>]</w:t>
            </w:r>
            <w:r w:rsidRPr="007B2F7C">
              <w:rPr>
                <w:sz w:val="16"/>
                <w:szCs w:val="16"/>
              </w:rPr>
              <w:t xml:space="preserve"> to </w:t>
            </w:r>
            <w:r w:rsidRPr="007B2F7C">
              <w:rPr>
                <w:b/>
                <w:sz w:val="16"/>
                <w:szCs w:val="16"/>
              </w:rPr>
              <w:t>[</w:t>
            </w:r>
            <w:r w:rsidR="00E8168B" w:rsidRPr="007B2F7C">
              <w:rPr>
                <w:b/>
                <w:sz w:val="16"/>
                <w:szCs w:val="16"/>
              </w:rPr>
              <w:t>BCI</w:t>
            </w:r>
            <w:r w:rsidRPr="007B2F7C">
              <w:rPr>
                <w:b/>
                <w:sz w:val="16"/>
                <w:szCs w:val="16"/>
              </w:rPr>
              <w:t>]</w:t>
            </w:r>
            <w:r w:rsidRPr="007B2F7C">
              <w:rPr>
                <w:rStyle w:val="FootnoteReference"/>
                <w:sz w:val="16"/>
                <w:szCs w:val="16"/>
              </w:rPr>
              <w:footnoteReference w:id="881"/>
            </w:r>
          </w:p>
        </w:tc>
        <w:tc>
          <w:tcPr>
            <w:tcW w:w="993" w:type="dxa"/>
          </w:tcPr>
          <w:p w:rsidR="0007161B" w:rsidRPr="007B2F7C" w:rsidRDefault="0007161B" w:rsidP="00A453EC">
            <w:pPr>
              <w:pStyle w:val="BodyText"/>
              <w:keepNext/>
              <w:numPr>
                <w:ilvl w:val="0"/>
                <w:numId w:val="0"/>
              </w:numPr>
              <w:spacing w:after="0"/>
              <w:jc w:val="center"/>
              <w:rPr>
                <w:sz w:val="16"/>
                <w:szCs w:val="16"/>
              </w:rPr>
            </w:pPr>
            <w:r w:rsidRPr="007B2F7C">
              <w:rPr>
                <w:b/>
                <w:sz w:val="16"/>
                <w:szCs w:val="16"/>
              </w:rPr>
              <w:t>[</w:t>
            </w:r>
            <w:r w:rsidR="00E8168B" w:rsidRPr="007B2F7C">
              <w:rPr>
                <w:b/>
                <w:sz w:val="16"/>
                <w:szCs w:val="16"/>
              </w:rPr>
              <w:t>BCI</w:t>
            </w:r>
            <w:r w:rsidRPr="007B2F7C">
              <w:rPr>
                <w:b/>
                <w:sz w:val="16"/>
                <w:szCs w:val="16"/>
              </w:rPr>
              <w:t>]</w:t>
            </w:r>
          </w:p>
        </w:tc>
        <w:tc>
          <w:tcPr>
            <w:tcW w:w="1152" w:type="dxa"/>
          </w:tcPr>
          <w:p w:rsidR="0007161B" w:rsidRPr="007B2F7C" w:rsidRDefault="0007161B" w:rsidP="00A453EC">
            <w:pPr>
              <w:pStyle w:val="BodyText"/>
              <w:keepNext/>
              <w:numPr>
                <w:ilvl w:val="0"/>
                <w:numId w:val="0"/>
              </w:numPr>
              <w:spacing w:after="0"/>
              <w:jc w:val="center"/>
              <w:rPr>
                <w:sz w:val="16"/>
                <w:szCs w:val="16"/>
              </w:rPr>
            </w:pPr>
            <w:r w:rsidRPr="007B2F7C">
              <w:rPr>
                <w:sz w:val="16"/>
                <w:szCs w:val="16"/>
              </w:rPr>
              <w:t>WRP</w:t>
            </w:r>
          </w:p>
        </w:tc>
        <w:tc>
          <w:tcPr>
            <w:tcW w:w="1886" w:type="dxa"/>
          </w:tcPr>
          <w:p w:rsidR="0007161B" w:rsidRPr="007B2F7C" w:rsidRDefault="0007161B" w:rsidP="00A453EC">
            <w:pPr>
              <w:pStyle w:val="BodyText"/>
              <w:keepNext/>
              <w:numPr>
                <w:ilvl w:val="0"/>
                <w:numId w:val="0"/>
              </w:numPr>
              <w:spacing w:after="0"/>
              <w:jc w:val="left"/>
              <w:rPr>
                <w:strike/>
                <w:sz w:val="16"/>
                <w:szCs w:val="16"/>
              </w:rPr>
            </w:pPr>
            <w:r w:rsidRPr="007B2F7C">
              <w:rPr>
                <w:sz w:val="16"/>
                <w:szCs w:val="16"/>
              </w:rPr>
              <w:t>(</w:t>
            </w:r>
            <w:r w:rsidRPr="007B2F7C">
              <w:rPr>
                <w:b/>
                <w:sz w:val="16"/>
                <w:szCs w:val="16"/>
              </w:rPr>
              <w:t>[</w:t>
            </w:r>
            <w:r w:rsidR="00E8168B" w:rsidRPr="007B2F7C">
              <w:rPr>
                <w:b/>
                <w:sz w:val="16"/>
                <w:szCs w:val="16"/>
              </w:rPr>
              <w:t>BCI</w:t>
            </w:r>
            <w:r w:rsidRPr="007B2F7C">
              <w:rPr>
                <w:b/>
                <w:sz w:val="16"/>
                <w:szCs w:val="16"/>
              </w:rPr>
              <w:t>]</w:t>
            </w:r>
            <w:r w:rsidRPr="007B2F7C">
              <w:rPr>
                <w:sz w:val="16"/>
                <w:szCs w:val="16"/>
              </w:rPr>
              <w:t>+WRP)</w:t>
            </w:r>
            <w:r w:rsidRPr="007B2F7C">
              <w:rPr>
                <w:b/>
                <w:sz w:val="16"/>
                <w:szCs w:val="16"/>
              </w:rPr>
              <w:t>-[</w:t>
            </w:r>
            <w:r w:rsidR="00E8168B" w:rsidRPr="007B2F7C">
              <w:rPr>
                <w:b/>
                <w:sz w:val="16"/>
                <w:szCs w:val="16"/>
              </w:rPr>
              <w:t>BCI</w:t>
            </w:r>
            <w:r w:rsidRPr="007B2F7C">
              <w:rPr>
                <w:b/>
                <w:sz w:val="16"/>
                <w:szCs w:val="16"/>
              </w:rPr>
              <w:t xml:space="preserve">] </w:t>
            </w:r>
            <w:r w:rsidRPr="007B2F7C">
              <w:rPr>
                <w:sz w:val="16"/>
                <w:szCs w:val="16"/>
              </w:rPr>
              <w:t xml:space="preserve">to </w:t>
            </w:r>
          </w:p>
          <w:p w:rsidR="0007161B" w:rsidRPr="007B2F7C" w:rsidRDefault="0007161B" w:rsidP="00A453EC">
            <w:pPr>
              <w:pStyle w:val="BodyText"/>
              <w:keepNext/>
              <w:numPr>
                <w:ilvl w:val="0"/>
                <w:numId w:val="0"/>
              </w:numPr>
              <w:spacing w:after="0"/>
              <w:rPr>
                <w:sz w:val="16"/>
                <w:szCs w:val="16"/>
              </w:rPr>
            </w:pPr>
            <w:r w:rsidRPr="007B2F7C">
              <w:rPr>
                <w:sz w:val="16"/>
                <w:szCs w:val="16"/>
              </w:rPr>
              <w:t>(</w:t>
            </w:r>
            <w:r w:rsidRPr="007B2F7C">
              <w:rPr>
                <w:b/>
                <w:sz w:val="16"/>
                <w:szCs w:val="16"/>
              </w:rPr>
              <w:t>[</w:t>
            </w:r>
            <w:r w:rsidR="00E8168B" w:rsidRPr="007B2F7C">
              <w:rPr>
                <w:b/>
                <w:sz w:val="16"/>
                <w:szCs w:val="16"/>
              </w:rPr>
              <w:t>BCI</w:t>
            </w:r>
            <w:r w:rsidRPr="007B2F7C">
              <w:rPr>
                <w:b/>
                <w:sz w:val="16"/>
                <w:szCs w:val="16"/>
              </w:rPr>
              <w:t>]</w:t>
            </w:r>
            <w:r w:rsidRPr="007B2F7C">
              <w:rPr>
                <w:sz w:val="16"/>
                <w:szCs w:val="16"/>
              </w:rPr>
              <w:t>+WRP)</w:t>
            </w:r>
            <w:r w:rsidRPr="007B2F7C">
              <w:rPr>
                <w:b/>
                <w:sz w:val="16"/>
                <w:szCs w:val="16"/>
              </w:rPr>
              <w:t>-[</w:t>
            </w:r>
            <w:r w:rsidR="00E8168B" w:rsidRPr="007B2F7C">
              <w:rPr>
                <w:b/>
                <w:sz w:val="16"/>
                <w:szCs w:val="16"/>
              </w:rPr>
              <w:t>BCI</w:t>
            </w:r>
            <w:r w:rsidRPr="007B2F7C">
              <w:rPr>
                <w:b/>
                <w:sz w:val="16"/>
                <w:szCs w:val="16"/>
              </w:rPr>
              <w:t>]</w:t>
            </w:r>
            <w:r w:rsidRPr="007B2F7C" w:rsidDel="00F1058F">
              <w:rPr>
                <w:b/>
                <w:sz w:val="16"/>
                <w:szCs w:val="16"/>
              </w:rPr>
              <w:t xml:space="preserve"> </w:t>
            </w:r>
          </w:p>
        </w:tc>
      </w:tr>
      <w:tr w:rsidR="0007161B" w:rsidTr="00A453EC">
        <w:tc>
          <w:tcPr>
            <w:tcW w:w="1502" w:type="dxa"/>
            <w:shd w:val="clear" w:color="auto" w:fill="C9DED4"/>
          </w:tcPr>
          <w:p w:rsidR="0007161B" w:rsidRPr="007B2F7C" w:rsidRDefault="0007161B" w:rsidP="00A453EC">
            <w:pPr>
              <w:pStyle w:val="BodyText"/>
              <w:keepNext/>
              <w:numPr>
                <w:ilvl w:val="0"/>
                <w:numId w:val="0"/>
              </w:numPr>
              <w:spacing w:after="0"/>
              <w:rPr>
                <w:sz w:val="16"/>
                <w:szCs w:val="16"/>
              </w:rPr>
            </w:pPr>
            <w:r w:rsidRPr="007B2F7C">
              <w:rPr>
                <w:sz w:val="16"/>
                <w:szCs w:val="16"/>
              </w:rPr>
              <w:t>United Kingdom</w:t>
            </w:r>
          </w:p>
        </w:tc>
        <w:tc>
          <w:tcPr>
            <w:tcW w:w="1421" w:type="dxa"/>
            <w:shd w:val="clear" w:color="auto" w:fill="C9DED4"/>
          </w:tcPr>
          <w:p w:rsidR="0007161B" w:rsidRPr="007B2F7C" w:rsidRDefault="0007161B" w:rsidP="00A453EC">
            <w:pPr>
              <w:pStyle w:val="BodyText"/>
              <w:keepNext/>
              <w:numPr>
                <w:ilvl w:val="0"/>
                <w:numId w:val="0"/>
              </w:numPr>
              <w:spacing w:after="0"/>
              <w:jc w:val="center"/>
              <w:rPr>
                <w:sz w:val="16"/>
                <w:szCs w:val="16"/>
              </w:rPr>
            </w:pPr>
            <w:r w:rsidRPr="007B2F7C">
              <w:rPr>
                <w:b/>
                <w:sz w:val="16"/>
                <w:szCs w:val="16"/>
              </w:rPr>
              <w:t>[</w:t>
            </w:r>
            <w:r w:rsidR="00E8168B" w:rsidRPr="007B2F7C">
              <w:rPr>
                <w:b/>
                <w:sz w:val="16"/>
                <w:szCs w:val="16"/>
              </w:rPr>
              <w:t>BCI</w:t>
            </w:r>
            <w:r w:rsidRPr="007B2F7C">
              <w:rPr>
                <w:b/>
                <w:sz w:val="16"/>
                <w:szCs w:val="16"/>
              </w:rPr>
              <w:t>]</w:t>
            </w:r>
          </w:p>
        </w:tc>
        <w:tc>
          <w:tcPr>
            <w:tcW w:w="2288" w:type="dxa"/>
            <w:shd w:val="clear" w:color="auto" w:fill="C9DED4"/>
          </w:tcPr>
          <w:p w:rsidR="0007161B" w:rsidRPr="007B2F7C" w:rsidRDefault="0007161B" w:rsidP="00A453EC">
            <w:pPr>
              <w:pStyle w:val="BodyText"/>
              <w:keepNext/>
              <w:numPr>
                <w:ilvl w:val="0"/>
                <w:numId w:val="0"/>
              </w:numPr>
              <w:spacing w:after="0"/>
              <w:jc w:val="center"/>
              <w:rPr>
                <w:sz w:val="16"/>
                <w:szCs w:val="16"/>
              </w:rPr>
            </w:pPr>
            <w:r w:rsidRPr="007B2F7C">
              <w:rPr>
                <w:b/>
                <w:sz w:val="16"/>
                <w:szCs w:val="16"/>
              </w:rPr>
              <w:t>[</w:t>
            </w:r>
            <w:r w:rsidR="00E8168B" w:rsidRPr="007B2F7C">
              <w:rPr>
                <w:b/>
                <w:sz w:val="16"/>
                <w:szCs w:val="16"/>
              </w:rPr>
              <w:t>BCI</w:t>
            </w:r>
            <w:r w:rsidRPr="007B2F7C">
              <w:rPr>
                <w:b/>
                <w:sz w:val="16"/>
                <w:szCs w:val="16"/>
              </w:rPr>
              <w:t>]</w:t>
            </w:r>
            <w:r w:rsidRPr="007B2F7C">
              <w:rPr>
                <w:sz w:val="16"/>
                <w:szCs w:val="16"/>
              </w:rPr>
              <w:t xml:space="preserve"> to </w:t>
            </w:r>
            <w:r w:rsidRPr="007B2F7C">
              <w:rPr>
                <w:b/>
                <w:sz w:val="16"/>
                <w:szCs w:val="16"/>
              </w:rPr>
              <w:t>[</w:t>
            </w:r>
            <w:r w:rsidR="00E8168B" w:rsidRPr="007B2F7C">
              <w:rPr>
                <w:b/>
                <w:sz w:val="16"/>
                <w:szCs w:val="16"/>
              </w:rPr>
              <w:t>BCI</w:t>
            </w:r>
            <w:r w:rsidRPr="007B2F7C">
              <w:rPr>
                <w:b/>
                <w:sz w:val="16"/>
                <w:szCs w:val="16"/>
              </w:rPr>
              <w:t>]</w:t>
            </w:r>
          </w:p>
        </w:tc>
        <w:tc>
          <w:tcPr>
            <w:tcW w:w="993" w:type="dxa"/>
            <w:shd w:val="clear" w:color="auto" w:fill="C9DED4"/>
          </w:tcPr>
          <w:p w:rsidR="0007161B" w:rsidRPr="007B2F7C" w:rsidRDefault="0007161B" w:rsidP="00A453EC">
            <w:pPr>
              <w:pStyle w:val="BodyText"/>
              <w:keepNext/>
              <w:numPr>
                <w:ilvl w:val="0"/>
                <w:numId w:val="0"/>
              </w:numPr>
              <w:spacing w:after="0"/>
              <w:jc w:val="center"/>
              <w:rPr>
                <w:sz w:val="16"/>
                <w:szCs w:val="16"/>
              </w:rPr>
            </w:pPr>
            <w:r w:rsidRPr="007B2F7C">
              <w:rPr>
                <w:b/>
                <w:sz w:val="16"/>
                <w:szCs w:val="16"/>
              </w:rPr>
              <w:t>[</w:t>
            </w:r>
            <w:r w:rsidR="00E8168B" w:rsidRPr="007B2F7C">
              <w:rPr>
                <w:b/>
                <w:sz w:val="16"/>
                <w:szCs w:val="16"/>
              </w:rPr>
              <w:t>BCI</w:t>
            </w:r>
            <w:r w:rsidRPr="007B2F7C">
              <w:rPr>
                <w:b/>
                <w:sz w:val="16"/>
                <w:szCs w:val="16"/>
              </w:rPr>
              <w:t>]</w:t>
            </w:r>
          </w:p>
        </w:tc>
        <w:tc>
          <w:tcPr>
            <w:tcW w:w="1152" w:type="dxa"/>
            <w:shd w:val="clear" w:color="auto" w:fill="C9DED4"/>
          </w:tcPr>
          <w:p w:rsidR="0007161B" w:rsidRPr="007B2F7C" w:rsidRDefault="0007161B" w:rsidP="00A453EC">
            <w:pPr>
              <w:pStyle w:val="BodyText"/>
              <w:keepNext/>
              <w:numPr>
                <w:ilvl w:val="0"/>
                <w:numId w:val="0"/>
              </w:numPr>
              <w:spacing w:after="0"/>
              <w:jc w:val="center"/>
              <w:rPr>
                <w:sz w:val="16"/>
                <w:szCs w:val="16"/>
              </w:rPr>
            </w:pPr>
            <w:r w:rsidRPr="007B2F7C">
              <w:rPr>
                <w:sz w:val="16"/>
                <w:szCs w:val="16"/>
              </w:rPr>
              <w:t>WRP</w:t>
            </w:r>
          </w:p>
        </w:tc>
        <w:tc>
          <w:tcPr>
            <w:tcW w:w="1886" w:type="dxa"/>
            <w:shd w:val="clear" w:color="auto" w:fill="C9DED4"/>
          </w:tcPr>
          <w:p w:rsidR="0007161B" w:rsidRPr="007B2F7C" w:rsidRDefault="0007161B" w:rsidP="00A453EC">
            <w:pPr>
              <w:pStyle w:val="BodyText"/>
              <w:keepNext/>
              <w:numPr>
                <w:ilvl w:val="0"/>
                <w:numId w:val="0"/>
              </w:numPr>
              <w:spacing w:after="0"/>
              <w:jc w:val="left"/>
              <w:rPr>
                <w:strike/>
                <w:sz w:val="16"/>
                <w:szCs w:val="16"/>
              </w:rPr>
            </w:pPr>
            <w:r w:rsidRPr="007B2F7C">
              <w:rPr>
                <w:sz w:val="16"/>
                <w:szCs w:val="16"/>
              </w:rPr>
              <w:t>(</w:t>
            </w:r>
            <w:r w:rsidRPr="007B2F7C">
              <w:rPr>
                <w:b/>
                <w:sz w:val="16"/>
                <w:szCs w:val="16"/>
              </w:rPr>
              <w:t>[</w:t>
            </w:r>
            <w:r w:rsidR="00E8168B" w:rsidRPr="007B2F7C">
              <w:rPr>
                <w:b/>
                <w:sz w:val="16"/>
                <w:szCs w:val="16"/>
              </w:rPr>
              <w:t>BCI</w:t>
            </w:r>
            <w:r w:rsidRPr="007B2F7C">
              <w:rPr>
                <w:b/>
                <w:sz w:val="16"/>
                <w:szCs w:val="16"/>
              </w:rPr>
              <w:t>]</w:t>
            </w:r>
            <w:r w:rsidRPr="007B2F7C">
              <w:rPr>
                <w:sz w:val="16"/>
                <w:szCs w:val="16"/>
              </w:rPr>
              <w:t>+WRP)</w:t>
            </w:r>
            <w:r w:rsidRPr="007B2F7C">
              <w:rPr>
                <w:b/>
                <w:sz w:val="16"/>
                <w:szCs w:val="16"/>
              </w:rPr>
              <w:t>-[</w:t>
            </w:r>
            <w:r w:rsidR="00E8168B" w:rsidRPr="007B2F7C">
              <w:rPr>
                <w:b/>
                <w:sz w:val="16"/>
                <w:szCs w:val="16"/>
              </w:rPr>
              <w:t>BCI</w:t>
            </w:r>
            <w:r w:rsidRPr="007B2F7C">
              <w:rPr>
                <w:b/>
                <w:sz w:val="16"/>
                <w:szCs w:val="16"/>
              </w:rPr>
              <w:t xml:space="preserve">] </w:t>
            </w:r>
            <w:r w:rsidRPr="007B2F7C">
              <w:rPr>
                <w:sz w:val="16"/>
                <w:szCs w:val="16"/>
              </w:rPr>
              <w:t>to</w:t>
            </w:r>
          </w:p>
          <w:p w:rsidR="0007161B" w:rsidRPr="007B2F7C" w:rsidRDefault="0007161B" w:rsidP="00A453EC">
            <w:pPr>
              <w:pStyle w:val="BodyText"/>
              <w:keepNext/>
              <w:numPr>
                <w:ilvl w:val="0"/>
                <w:numId w:val="0"/>
              </w:numPr>
              <w:spacing w:after="0"/>
              <w:rPr>
                <w:sz w:val="16"/>
                <w:szCs w:val="16"/>
              </w:rPr>
            </w:pPr>
            <w:r w:rsidRPr="007B2F7C">
              <w:rPr>
                <w:sz w:val="16"/>
                <w:szCs w:val="16"/>
              </w:rPr>
              <w:t>(</w:t>
            </w:r>
            <w:r w:rsidRPr="007B2F7C">
              <w:rPr>
                <w:b/>
                <w:sz w:val="16"/>
                <w:szCs w:val="16"/>
              </w:rPr>
              <w:t>[</w:t>
            </w:r>
            <w:r w:rsidR="00E8168B" w:rsidRPr="007B2F7C">
              <w:rPr>
                <w:b/>
                <w:sz w:val="16"/>
                <w:szCs w:val="16"/>
              </w:rPr>
              <w:t>BCI</w:t>
            </w:r>
            <w:r w:rsidRPr="007B2F7C">
              <w:rPr>
                <w:b/>
                <w:sz w:val="16"/>
                <w:szCs w:val="16"/>
              </w:rPr>
              <w:t>]</w:t>
            </w:r>
            <w:r w:rsidRPr="007B2F7C">
              <w:rPr>
                <w:sz w:val="16"/>
                <w:szCs w:val="16"/>
              </w:rPr>
              <w:t>+WRP)</w:t>
            </w:r>
            <w:r w:rsidRPr="007B2F7C">
              <w:rPr>
                <w:b/>
                <w:sz w:val="16"/>
                <w:szCs w:val="16"/>
              </w:rPr>
              <w:t>-[</w:t>
            </w:r>
            <w:r w:rsidR="00E8168B" w:rsidRPr="007B2F7C">
              <w:rPr>
                <w:b/>
                <w:sz w:val="16"/>
                <w:szCs w:val="16"/>
              </w:rPr>
              <w:t>BCI</w:t>
            </w:r>
            <w:r w:rsidRPr="007B2F7C">
              <w:rPr>
                <w:b/>
                <w:sz w:val="16"/>
                <w:szCs w:val="16"/>
              </w:rPr>
              <w:t>]</w:t>
            </w:r>
            <w:r w:rsidRPr="007B2F7C" w:rsidDel="00F1058F">
              <w:rPr>
                <w:b/>
                <w:sz w:val="16"/>
                <w:szCs w:val="16"/>
              </w:rPr>
              <w:t xml:space="preserve"> </w:t>
            </w:r>
          </w:p>
        </w:tc>
      </w:tr>
    </w:tbl>
    <w:p w:rsidR="00AE4AC1" w:rsidRDefault="00AE4AC1" w:rsidP="002A79B9">
      <w:pPr>
        <w:pStyle w:val="Heading2"/>
        <w:spacing w:before="240"/>
      </w:pPr>
      <w:bookmarkStart w:id="108" w:name="_Toc514059246"/>
      <w:r>
        <w:t>Article 7.8 of the SCM Agreement</w:t>
      </w:r>
      <w:bookmarkEnd w:id="108"/>
      <w:r>
        <w:t xml:space="preserve"> </w:t>
      </w:r>
    </w:p>
    <w:p w:rsidR="00AE4AC1" w:rsidRDefault="00AE4AC1" w:rsidP="009E6402">
      <w:pPr>
        <w:pStyle w:val="Heading3"/>
      </w:pPr>
      <w:bookmarkStart w:id="109" w:name="_Toc514059247"/>
      <w:r>
        <w:t>Introduction</w:t>
      </w:r>
      <w:bookmarkEnd w:id="109"/>
    </w:p>
    <w:p w:rsidR="00AE4AC1" w:rsidRDefault="00AE4AC1" w:rsidP="009E6402">
      <w:pPr>
        <w:pStyle w:val="BodyText"/>
      </w:pPr>
      <w:r>
        <w:t>Before the Panel, the European Union argued that it had no obligation to adopt compliance measures with respect to subsidies that had ceased to exist prior to</w:t>
      </w:r>
      <w:r w:rsidRPr="001075BE">
        <w:t xml:space="preserve"> the DSB's adoption of the panel and </w:t>
      </w:r>
      <w:r>
        <w:t>Appellate Body</w:t>
      </w:r>
      <w:r w:rsidRPr="001075BE">
        <w:t xml:space="preserve"> recommendations and rulings </w:t>
      </w:r>
      <w:r>
        <w:t xml:space="preserve">in the original proceedings in </w:t>
      </w:r>
      <w:r w:rsidRPr="00450943">
        <w:rPr>
          <w:i/>
        </w:rPr>
        <w:t>EC and certain member States – Large Civil Aircraft</w:t>
      </w:r>
      <w:r w:rsidRPr="00EC7C32">
        <w:t xml:space="preserve"> </w:t>
      </w:r>
      <w:r w:rsidRPr="001075BE">
        <w:t>on 1 June 2011</w:t>
      </w:r>
      <w:r>
        <w:t>.</w:t>
      </w:r>
      <w:r>
        <w:rPr>
          <w:rStyle w:val="FootnoteReference"/>
        </w:rPr>
        <w:footnoteReference w:id="882"/>
      </w:r>
      <w:r>
        <w:t xml:space="preserve"> The Panel rejected the European Union's argument, finding that:</w:t>
      </w:r>
      <w:r w:rsidRPr="001075BE">
        <w:t xml:space="preserve"> </w:t>
      </w:r>
    </w:p>
    <w:p w:rsidR="00AE4AC1" w:rsidRPr="00CC79EA" w:rsidRDefault="00AE4AC1" w:rsidP="00267BCB">
      <w:pPr>
        <w:pStyle w:val="Quotation"/>
        <w:rPr>
          <w:szCs w:val="20"/>
        </w:rPr>
      </w:pPr>
      <w:r>
        <w:rPr>
          <w:szCs w:val="20"/>
        </w:rPr>
        <w:t>it</w:t>
      </w:r>
      <w:r w:rsidRPr="00CC79EA">
        <w:rPr>
          <w:szCs w:val="20"/>
        </w:rPr>
        <w:t xml:space="preserve"> follows from the </w:t>
      </w:r>
      <w:r w:rsidRPr="00CC79EA">
        <w:rPr>
          <w:i/>
          <w:szCs w:val="20"/>
        </w:rPr>
        <w:t>effects-based</w:t>
      </w:r>
      <w:r w:rsidRPr="00CC79EA">
        <w:rPr>
          <w:szCs w:val="20"/>
        </w:rPr>
        <w:t xml:space="preserve"> nature of the disciplines in </w:t>
      </w:r>
      <w:r>
        <w:rPr>
          <w:szCs w:val="20"/>
        </w:rPr>
        <w:t>Article </w:t>
      </w:r>
      <w:r w:rsidRPr="00CC79EA">
        <w:rPr>
          <w:szCs w:val="20"/>
        </w:rPr>
        <w:t xml:space="preserve">5 and the role that </w:t>
      </w:r>
      <w:r>
        <w:rPr>
          <w:szCs w:val="20"/>
        </w:rPr>
        <w:t>Article </w:t>
      </w:r>
      <w:r w:rsidRPr="00CC79EA">
        <w:rPr>
          <w:szCs w:val="20"/>
        </w:rPr>
        <w:t xml:space="preserve">7.8 is intended to play in bringing an implementing Member into conformity with its obligations under the </w:t>
      </w:r>
      <w:r>
        <w:rPr>
          <w:szCs w:val="20"/>
        </w:rPr>
        <w:t>SCM Agreement</w:t>
      </w:r>
      <w:r w:rsidRPr="00CC79EA">
        <w:rPr>
          <w:szCs w:val="20"/>
        </w:rPr>
        <w:t xml:space="preserve">, that there may well be </w:t>
      </w:r>
      <w:r w:rsidRPr="00EC7C32">
        <w:rPr>
          <w:szCs w:val="20"/>
        </w:rPr>
        <w:t xml:space="preserve">particular factual circumstances when the </w:t>
      </w:r>
      <w:r w:rsidRPr="00B212CB">
        <w:rPr>
          <w:szCs w:val="20"/>
        </w:rPr>
        <w:t>obligation to "take appropriate steps to remove the adverse effects" or "withdraw the subsidy"</w:t>
      </w:r>
      <w:r w:rsidRPr="00EC7C32">
        <w:rPr>
          <w:szCs w:val="20"/>
        </w:rPr>
        <w:t xml:space="preserve"> will apply to subsidies found to have caused adverse effects in</w:t>
      </w:r>
      <w:r w:rsidRPr="00CC79EA">
        <w:rPr>
          <w:szCs w:val="20"/>
        </w:rPr>
        <w:t xml:space="preserve"> an original proceeding, </w:t>
      </w:r>
      <w:r w:rsidRPr="00CC79EA">
        <w:rPr>
          <w:i/>
          <w:szCs w:val="20"/>
        </w:rPr>
        <w:t xml:space="preserve">irrespective of whether those subsidies continue to exist </w:t>
      </w:r>
      <w:r w:rsidRPr="00CC79EA">
        <w:rPr>
          <w:szCs w:val="20"/>
        </w:rPr>
        <w:t>in the implementation period.</w:t>
      </w:r>
      <w:r w:rsidRPr="00CC79EA">
        <w:rPr>
          <w:rStyle w:val="FootnoteReference"/>
          <w:szCs w:val="20"/>
        </w:rPr>
        <w:footnoteReference w:id="883"/>
      </w:r>
    </w:p>
    <w:p w:rsidR="00AE4AC1" w:rsidRPr="00AA496E" w:rsidRDefault="00AE4AC1" w:rsidP="009E6402">
      <w:pPr>
        <w:pStyle w:val="BodyText"/>
      </w:pPr>
      <w:r>
        <w:lastRenderedPageBreak/>
        <w:t xml:space="preserve">The Panel therefore considered that compliance under </w:t>
      </w:r>
      <w:r w:rsidRPr="00C231AD">
        <w:t xml:space="preserve">Article 7.8 </w:t>
      </w:r>
      <w:r>
        <w:t>of the SCM Agreement can be achieved</w:t>
      </w:r>
      <w:r w:rsidRPr="00C231AD">
        <w:t xml:space="preserve"> </w:t>
      </w:r>
      <w:r w:rsidRPr="00891E47">
        <w:rPr>
          <w:i/>
        </w:rPr>
        <w:t>only</w:t>
      </w:r>
      <w:r>
        <w:t xml:space="preserve"> if "</w:t>
      </w:r>
      <w:r w:rsidRPr="00C231AD">
        <w:t>an implementing Member no longer causes adverse effects through the use of subsidies, within the meaning of Article 5 of the SCM Agreement.</w:t>
      </w:r>
      <w:r>
        <w:t>"</w:t>
      </w:r>
      <w:r w:rsidRPr="00AA496E">
        <w:rPr>
          <w:vertAlign w:val="superscript"/>
        </w:rPr>
        <w:footnoteReference w:id="884"/>
      </w:r>
      <w:r>
        <w:t xml:space="preserve"> According to the Panel, "the </w:t>
      </w:r>
      <w:r w:rsidRPr="005A3C27">
        <w:rPr>
          <w:i/>
        </w:rPr>
        <w:t>passive</w:t>
      </w:r>
      <w:r w:rsidRPr="005A3C27">
        <w:t xml:space="preserve"> 'expiry' </w:t>
      </w:r>
      <w:r>
        <w:t>events the European Union relie{d}</w:t>
      </w:r>
      <w:r w:rsidRPr="005A3C27">
        <w:t xml:space="preserve"> upon as </w:t>
      </w:r>
      <w:r w:rsidRPr="005A3C27">
        <w:rPr>
          <w:i/>
        </w:rPr>
        <w:t>the sole basis</w:t>
      </w:r>
      <w:r w:rsidRPr="005A3C27">
        <w:t xml:space="preserve"> to demonstrate that it ha</w:t>
      </w:r>
      <w:r>
        <w:t>{d}</w:t>
      </w:r>
      <w:r w:rsidRPr="005A3C27">
        <w:t xml:space="preserve"> </w:t>
      </w:r>
      <w:r>
        <w:t>'</w:t>
      </w:r>
      <w:r w:rsidRPr="005A3C27">
        <w:t>withdrawn</w:t>
      </w:r>
      <w:r>
        <w:t>'</w:t>
      </w:r>
      <w:r w:rsidRPr="005A3C27">
        <w:t xml:space="preserve"> the relevant subsidies for the purpose of Article</w:t>
      </w:r>
      <w:r>
        <w:t> </w:t>
      </w:r>
      <w:r w:rsidRPr="005A3C27">
        <w:t xml:space="preserve">7.8 </w:t>
      </w:r>
      <w:r>
        <w:t>{could not}</w:t>
      </w:r>
      <w:r w:rsidRPr="005A3C27">
        <w:t xml:space="preserve"> be characterized as such, because the very same subsidies were found in the original proceeding to cause adverse effects over a period of time that </w:t>
      </w:r>
      <w:r w:rsidRPr="005A3C27">
        <w:rPr>
          <w:i/>
        </w:rPr>
        <w:t xml:space="preserve">followed </w:t>
      </w:r>
      <w:r w:rsidRPr="005A3C27">
        <w:t>the full or partial 'expiry' of</w:t>
      </w:r>
      <w:r>
        <w:t xml:space="preserve"> almost all of those subsidies."</w:t>
      </w:r>
      <w:r>
        <w:rPr>
          <w:rStyle w:val="FootnoteReference"/>
        </w:rPr>
        <w:footnoteReference w:id="885"/>
      </w:r>
      <w:r w:rsidRPr="005A3C27">
        <w:t xml:space="preserve"> </w:t>
      </w:r>
      <w:r>
        <w:t xml:space="preserve">Based on its analysis, while the Panel agreed with the European Union that most of the </w:t>
      </w:r>
      <w:r w:rsidRPr="005858EA">
        <w:t>pre-A380 LA/MSF subsidies</w:t>
      </w:r>
      <w:r>
        <w:rPr>
          <w:rStyle w:val="FootnoteReference"/>
        </w:rPr>
        <w:footnoteReference w:id="886"/>
      </w:r>
      <w:r>
        <w:t xml:space="preserve"> </w:t>
      </w:r>
      <w:r w:rsidRPr="003A5062">
        <w:rPr>
          <w:i/>
        </w:rPr>
        <w:t>had</w:t>
      </w:r>
      <w:r>
        <w:t xml:space="preserve"> </w:t>
      </w:r>
      <w:r w:rsidRPr="00331ABA">
        <w:rPr>
          <w:i/>
        </w:rPr>
        <w:t>expired</w:t>
      </w:r>
      <w:r>
        <w:t xml:space="preserve"> before the adoption of the </w:t>
      </w:r>
      <w:r w:rsidRPr="001075BE">
        <w:t xml:space="preserve">recommendations and rulings </w:t>
      </w:r>
      <w:r w:rsidR="00A3212A">
        <w:t xml:space="preserve">of the DSB </w:t>
      </w:r>
      <w:r>
        <w:t xml:space="preserve">in the original proceedings, it found that </w:t>
      </w:r>
      <w:r w:rsidRPr="00AA496E">
        <w:t xml:space="preserve">the European Union </w:t>
      </w:r>
      <w:r>
        <w:t xml:space="preserve">nonetheless remained under </w:t>
      </w:r>
      <w:r w:rsidRPr="00B212CB">
        <w:t>an obligation to withdraw such expired subsidies by removing their adverse effects</w:t>
      </w:r>
      <w:r w:rsidRPr="00AA496E">
        <w:t>.</w:t>
      </w:r>
      <w:r w:rsidRPr="00AA496E">
        <w:rPr>
          <w:vertAlign w:val="superscript"/>
        </w:rPr>
        <w:footnoteReference w:id="887"/>
      </w:r>
      <w:r>
        <w:t xml:space="preserve"> </w:t>
      </w:r>
    </w:p>
    <w:p w:rsidR="00AE4AC1" w:rsidRDefault="00AE4AC1" w:rsidP="009E6402">
      <w:pPr>
        <w:pStyle w:val="BodyText"/>
      </w:pPr>
      <w:r>
        <w:t xml:space="preserve">The European Union requests us to reverse the Panel's findings on the ground that the Panel erred in its interpretation of Article 7.8 by </w:t>
      </w:r>
      <w:r w:rsidRPr="000A29F8">
        <w:t>requir</w:t>
      </w:r>
      <w:r>
        <w:t>ing</w:t>
      </w:r>
      <w:r w:rsidRPr="000A29F8">
        <w:t xml:space="preserve"> that</w:t>
      </w:r>
      <w:r w:rsidR="00F91606">
        <w:t xml:space="preserve"> an implementing Member "remove </w:t>
      </w:r>
      <w:r w:rsidRPr="000A29F8">
        <w:t xml:space="preserve">the adverse effects" of past subsidies </w:t>
      </w:r>
      <w:r w:rsidRPr="000A29F8">
        <w:rPr>
          <w:i/>
        </w:rPr>
        <w:t>irrespective</w:t>
      </w:r>
      <w:r w:rsidRPr="000A29F8">
        <w:t xml:space="preserve"> of whether such subsidies continued to exist in the implementation period.</w:t>
      </w:r>
      <w:r w:rsidRPr="000A29F8">
        <w:rPr>
          <w:vertAlign w:val="superscript"/>
        </w:rPr>
        <w:footnoteReference w:id="888"/>
      </w:r>
      <w:r>
        <w:t xml:space="preserve"> In the event that we reverse the Panel's interpretation of Article 7.8 and seek to complete the legal analysis, the United States argues that the Panel erred in finding</w:t>
      </w:r>
      <w:r w:rsidRPr="005858EA">
        <w:t xml:space="preserve"> that </w:t>
      </w:r>
      <w:r w:rsidRPr="001075BE">
        <w:t>the French, German, and Spanish LA/MSF subs</w:t>
      </w:r>
      <w:r w:rsidR="00F91606">
        <w:t>idies for the A300B/B2/B4, A300</w:t>
      </w:r>
      <w:r w:rsidR="00F91606">
        <w:noBreakHyphen/>
      </w:r>
      <w:r w:rsidRPr="001075BE">
        <w:t xml:space="preserve">600, A310, A320, </w:t>
      </w:r>
      <w:r>
        <w:t xml:space="preserve">and </w:t>
      </w:r>
      <w:r w:rsidRPr="001075BE">
        <w:t>A330/</w:t>
      </w:r>
      <w:r>
        <w:t>A</w:t>
      </w:r>
      <w:r w:rsidRPr="001075BE">
        <w:t>340, and the UK LA/MSF subs</w:t>
      </w:r>
      <w:r>
        <w:t>idies for the A320 and A330/A340</w:t>
      </w:r>
      <w:r w:rsidRPr="001075BE">
        <w:rPr>
          <w:rStyle w:val="FootnoteReference"/>
        </w:rPr>
        <w:footnoteReference w:id="889"/>
      </w:r>
      <w:r>
        <w:t xml:space="preserve"> had "expired" prior to the beginning of the implementation period in this dispute.</w:t>
      </w:r>
      <w:r w:rsidR="00A3212A">
        <w:rPr>
          <w:rStyle w:val="FootnoteReference"/>
        </w:rPr>
        <w:footnoteReference w:id="890"/>
      </w:r>
      <w:r w:rsidR="00A3212A">
        <w:t xml:space="preserve"> For its part, the European </w:t>
      </w:r>
      <w:r>
        <w:t>Union conditionally appeals the Panel's rejection of its argument that t</w:t>
      </w:r>
      <w:r w:rsidRPr="001075BE">
        <w:t xml:space="preserve">he French and Spanish LA/MSF subsidies for the </w:t>
      </w:r>
      <w:r w:rsidRPr="00810430">
        <w:t>A300B/B2</w:t>
      </w:r>
      <w:r w:rsidRPr="001075BE">
        <w:t xml:space="preserve">/B4, A300-600, A310, A320, </w:t>
      </w:r>
      <w:r w:rsidR="00F91606">
        <w:t>and </w:t>
      </w:r>
      <w:r w:rsidRPr="001075BE">
        <w:t>A330/A340, and the UK LA/MSF subsidies for the A320 and A330/</w:t>
      </w:r>
      <w:r>
        <w:t>A</w:t>
      </w:r>
      <w:r w:rsidRPr="001075BE">
        <w:t xml:space="preserve">340 came to an end when Airbus completed repayment of the </w:t>
      </w:r>
      <w:r>
        <w:t xml:space="preserve">relevant </w:t>
      </w:r>
      <w:r w:rsidRPr="001075BE">
        <w:t>financial contribution</w:t>
      </w:r>
      <w:r>
        <w:t>s</w:t>
      </w:r>
      <w:r w:rsidRPr="001075BE">
        <w:t>.</w:t>
      </w:r>
      <w:r>
        <w:rPr>
          <w:rStyle w:val="FootnoteReference"/>
        </w:rPr>
        <w:footnoteReference w:id="891"/>
      </w:r>
      <w:r w:rsidRPr="001075BE">
        <w:t xml:space="preserve"> </w:t>
      </w:r>
      <w:r w:rsidR="00F91606">
        <w:t>We will address the </w:t>
      </w:r>
      <w:r>
        <w:t xml:space="preserve">participants' </w:t>
      </w:r>
      <w:r w:rsidRPr="00B212CB">
        <w:t>claims on</w:t>
      </w:r>
      <w:r>
        <w:t xml:space="preserve"> appeal in turn below, beginning with the European Union's challenge to the Panel's interpretation of Article 7.8 of the SCM Agreement.</w:t>
      </w:r>
    </w:p>
    <w:p w:rsidR="00AE4AC1" w:rsidRDefault="00AE4AC1" w:rsidP="009E6402">
      <w:pPr>
        <w:pStyle w:val="Heading3"/>
      </w:pPr>
      <w:bookmarkStart w:id="110" w:name="_Toc514059248"/>
      <w:r>
        <w:t>Whether the Panel erred in its interpretation of Article 7.8 of the SCM Agreement</w:t>
      </w:r>
      <w:bookmarkEnd w:id="110"/>
      <w:r>
        <w:t xml:space="preserve"> </w:t>
      </w:r>
    </w:p>
    <w:p w:rsidR="00AE4AC1" w:rsidRPr="006809B7" w:rsidRDefault="00AE4AC1" w:rsidP="009E6402">
      <w:pPr>
        <w:pStyle w:val="Heading4"/>
      </w:pPr>
      <w:bookmarkStart w:id="111" w:name="_Toc478561891"/>
      <w:bookmarkStart w:id="112" w:name="_Toc514059249"/>
      <w:r w:rsidRPr="006809B7">
        <w:t>Claims and arguments on appeal</w:t>
      </w:r>
      <w:bookmarkEnd w:id="111"/>
      <w:bookmarkEnd w:id="112"/>
    </w:p>
    <w:p w:rsidR="00AE4AC1" w:rsidRDefault="00AE4AC1" w:rsidP="009E6402">
      <w:pPr>
        <w:pStyle w:val="BodyText"/>
      </w:pPr>
      <w:r w:rsidRPr="001075BE">
        <w:t xml:space="preserve">The </w:t>
      </w:r>
      <w:r>
        <w:t>European Union</w:t>
      </w:r>
      <w:r w:rsidRPr="001075BE">
        <w:t xml:space="preserve"> </w:t>
      </w:r>
      <w:r>
        <w:t>claims</w:t>
      </w:r>
      <w:r w:rsidRPr="001075BE">
        <w:t xml:space="preserve"> that </w:t>
      </w:r>
      <w:r>
        <w:t>the Panel erred in interpreting Article </w:t>
      </w:r>
      <w:r w:rsidRPr="001075BE">
        <w:t xml:space="preserve">7.8 of the </w:t>
      </w:r>
      <w:r>
        <w:t>SCM Agreement</w:t>
      </w:r>
      <w:r w:rsidRPr="00CC79EA">
        <w:t xml:space="preserve"> to require</w:t>
      </w:r>
      <w:r>
        <w:t xml:space="preserve"> </w:t>
      </w:r>
      <w:r w:rsidRPr="00CC79EA">
        <w:t xml:space="preserve">an implementing Member to "remove the adverse effects" of </w:t>
      </w:r>
      <w:r>
        <w:t>past</w:t>
      </w:r>
      <w:r w:rsidRPr="00CC79EA">
        <w:t xml:space="preserve"> subsidies </w:t>
      </w:r>
      <w:r w:rsidRPr="00A4004B">
        <w:rPr>
          <w:i/>
        </w:rPr>
        <w:t>irrespective</w:t>
      </w:r>
      <w:r w:rsidRPr="007535D5">
        <w:t xml:space="preserve"> of whether such subsidies continue</w:t>
      </w:r>
      <w:r>
        <w:t>d</w:t>
      </w:r>
      <w:r w:rsidRPr="007535D5">
        <w:t xml:space="preserve"> to exist in the implementation period</w:t>
      </w:r>
      <w:r w:rsidRPr="00CC79EA">
        <w:t>.</w:t>
      </w:r>
      <w:r w:rsidRPr="00CC79EA">
        <w:rPr>
          <w:rStyle w:val="FootnoteReference"/>
        </w:rPr>
        <w:footnoteReference w:id="892"/>
      </w:r>
      <w:r w:rsidRPr="00CC79EA">
        <w:t xml:space="preserve"> The </w:t>
      </w:r>
      <w:r>
        <w:t>European Union</w:t>
      </w:r>
      <w:r w:rsidRPr="00CC79EA">
        <w:t xml:space="preserve"> </w:t>
      </w:r>
      <w:r>
        <w:t>submits</w:t>
      </w:r>
      <w:r w:rsidRPr="00CC79EA">
        <w:t xml:space="preserve"> that </w:t>
      </w:r>
      <w:r>
        <w:t>Article </w:t>
      </w:r>
      <w:r w:rsidRPr="00CC79EA">
        <w:t>7.8 provide</w:t>
      </w:r>
      <w:r>
        <w:t>s</w:t>
      </w:r>
      <w:r w:rsidRPr="00CC79EA">
        <w:t xml:space="preserve"> an implementing Member with the option either to </w:t>
      </w:r>
      <w:r>
        <w:t>"</w:t>
      </w:r>
      <w:r w:rsidRPr="00CC79EA">
        <w:t>remove the adverse effects</w:t>
      </w:r>
      <w:r>
        <w:t>"</w:t>
      </w:r>
      <w:r w:rsidRPr="00CC79EA">
        <w:t xml:space="preserve"> </w:t>
      </w:r>
      <w:r w:rsidRPr="00756960">
        <w:rPr>
          <w:i/>
        </w:rPr>
        <w:t>or</w:t>
      </w:r>
      <w:r>
        <w:t xml:space="preserve"> to "</w:t>
      </w:r>
      <w:r w:rsidRPr="00CC79EA">
        <w:t>withdraw the subsidy"</w:t>
      </w:r>
      <w:r>
        <w:t>,</w:t>
      </w:r>
      <w:r w:rsidRPr="00CC79EA">
        <w:t xml:space="preserve"> </w:t>
      </w:r>
      <w:r>
        <w:t xml:space="preserve">and that </w:t>
      </w:r>
      <w:r w:rsidRPr="00CC79EA">
        <w:t>withdrawal of a WTO</w:t>
      </w:r>
      <w:r w:rsidRPr="00CC79EA">
        <w:noBreakHyphen/>
        <w:t>inconsistent measure, through expiry of that measure or otherwise, constitutes compliance.</w:t>
      </w:r>
      <w:r>
        <w:rPr>
          <w:rStyle w:val="FootnoteReference"/>
        </w:rPr>
        <w:footnoteReference w:id="893"/>
      </w:r>
      <w:r>
        <w:t xml:space="preserve"> </w:t>
      </w:r>
      <w:r w:rsidRPr="007D489B">
        <w:t>The European Union contends that the Panel's interpretati</w:t>
      </w:r>
      <w:r>
        <w:t>on</w:t>
      </w:r>
      <w:r w:rsidRPr="007D489B">
        <w:t xml:space="preserve"> </w:t>
      </w:r>
      <w:r>
        <w:t xml:space="preserve">of </w:t>
      </w:r>
      <w:r w:rsidRPr="007D489B">
        <w:t xml:space="preserve">Article 7.8 was driven not by the customary rules of interpretation in Article 31 of the Vienna Convention on the </w:t>
      </w:r>
      <w:r w:rsidRPr="007D489B">
        <w:lastRenderedPageBreak/>
        <w:t>Law of Treaties</w:t>
      </w:r>
      <w:r>
        <w:rPr>
          <w:rStyle w:val="FootnoteReference"/>
        </w:rPr>
        <w:footnoteReference w:id="894"/>
      </w:r>
      <w:r w:rsidRPr="007D489B">
        <w:t>, but instead "by its desire to avoid a particular outcome that it considered would make its findings in the original proceedings 'purely declaratory' in nature".</w:t>
      </w:r>
      <w:r w:rsidRPr="007D489B">
        <w:rPr>
          <w:vertAlign w:val="superscript"/>
        </w:rPr>
        <w:footnoteReference w:id="895"/>
      </w:r>
      <w:r w:rsidRPr="007D489B">
        <w:t xml:space="preserve"> The European</w:t>
      </w:r>
      <w:r>
        <w:t> </w:t>
      </w:r>
      <w:r w:rsidRPr="007D489B">
        <w:t xml:space="preserve">Union argues, however, that the Panel's concern </w:t>
      </w:r>
      <w:r>
        <w:t>wa</w:t>
      </w:r>
      <w:r w:rsidRPr="007D489B">
        <w:t>s not warranted, because it is not uncommon for temporarily lingering market effects of a WTO-inconsistent measure to persist following withdrawal of the measure.</w:t>
      </w:r>
      <w:r>
        <w:rPr>
          <w:rStyle w:val="FootnoteReference"/>
        </w:rPr>
        <w:footnoteReference w:id="896"/>
      </w:r>
      <w:r w:rsidRPr="007D489B">
        <w:t xml:space="preserve"> The European Union highlights that, under the Panel's interpretation, temporarily lingering effects of a subsidy found to cause adverse effects must be removed even if the subsidy itself had been withdrawn, whereas </w:t>
      </w:r>
      <w:r>
        <w:t xml:space="preserve">for </w:t>
      </w:r>
      <w:r w:rsidRPr="007D489B">
        <w:t xml:space="preserve">all other policy instruments </w:t>
      </w:r>
      <w:r>
        <w:t xml:space="preserve">withdrawal </w:t>
      </w:r>
      <w:r w:rsidRPr="007D489B">
        <w:t xml:space="preserve">would suffice to </w:t>
      </w:r>
      <w:r>
        <w:t>achieve compliance</w:t>
      </w:r>
      <w:r w:rsidRPr="007D489B">
        <w:t xml:space="preserve"> regardless of any lingering effects in the market place.</w:t>
      </w:r>
      <w:r>
        <w:rPr>
          <w:rStyle w:val="FootnoteReference"/>
        </w:rPr>
        <w:footnoteReference w:id="897"/>
      </w:r>
      <w:r w:rsidRPr="007D489B">
        <w:t xml:space="preserve"> In the European</w:t>
      </w:r>
      <w:r>
        <w:t> </w:t>
      </w:r>
      <w:r w:rsidRPr="007D489B">
        <w:t>Union's view, this would raise significant systemic concerns, because actionable subsidies would face a "uniquely exacting compliance obligation" not present with regard to any other measure, including prohibited subsidies.</w:t>
      </w:r>
      <w:r w:rsidRPr="007D489B">
        <w:rPr>
          <w:vertAlign w:val="superscript"/>
        </w:rPr>
        <w:footnoteReference w:id="898"/>
      </w:r>
      <w:r w:rsidRPr="007D489B">
        <w:t xml:space="preserve"> </w:t>
      </w:r>
      <w:r w:rsidRPr="001075BE">
        <w:t xml:space="preserve">The </w:t>
      </w:r>
      <w:r>
        <w:t>European Union</w:t>
      </w:r>
      <w:r w:rsidRPr="001075BE">
        <w:t xml:space="preserve"> further contends that the Panel committed the following specific errors. First, the Panel's interpretation is not rooted in the terms of </w:t>
      </w:r>
      <w:r>
        <w:t>Article </w:t>
      </w:r>
      <w:r w:rsidRPr="001075BE">
        <w:t xml:space="preserve">7.8, </w:t>
      </w:r>
      <w:r>
        <w:t>nor</w:t>
      </w:r>
      <w:r w:rsidRPr="001075BE">
        <w:t xml:space="preserve"> supported by its context. Moreover, the Panel's interpretation collapses the substantive obligations under </w:t>
      </w:r>
      <w:r>
        <w:t>Article </w:t>
      </w:r>
      <w:r w:rsidRPr="001075BE">
        <w:t xml:space="preserve">5 </w:t>
      </w:r>
      <w:r>
        <w:t xml:space="preserve">of the SCM Agreement </w:t>
      </w:r>
      <w:r w:rsidRPr="001075BE">
        <w:t xml:space="preserve">and the implementation obligations under </w:t>
      </w:r>
      <w:r>
        <w:t>Article </w:t>
      </w:r>
      <w:r w:rsidRPr="001075BE">
        <w:t xml:space="preserve">7.8, thereby depriving the terms of </w:t>
      </w:r>
      <w:r>
        <w:t>Article </w:t>
      </w:r>
      <w:r w:rsidRPr="001075BE">
        <w:t>7.8 of independent meaning.</w:t>
      </w:r>
      <w:r>
        <w:rPr>
          <w:rStyle w:val="FootnoteReference"/>
        </w:rPr>
        <w:footnoteReference w:id="899"/>
      </w:r>
      <w:r w:rsidRPr="001075BE">
        <w:t xml:space="preserve"> The </w:t>
      </w:r>
      <w:r>
        <w:t>European Union</w:t>
      </w:r>
      <w:r w:rsidRPr="001075BE">
        <w:t xml:space="preserve"> adds that the Panel's interpretation is inconsistent with the design and structure of the </w:t>
      </w:r>
      <w:r>
        <w:t>SCM Agreement</w:t>
      </w:r>
      <w:r w:rsidRPr="001075BE">
        <w:t xml:space="preserve">, and frustrates </w:t>
      </w:r>
      <w:r>
        <w:t>its</w:t>
      </w:r>
      <w:r w:rsidRPr="001075BE">
        <w:t xml:space="preserve"> object and purpose.</w:t>
      </w:r>
      <w:r>
        <w:rPr>
          <w:rStyle w:val="FootnoteReference"/>
        </w:rPr>
        <w:footnoteReference w:id="900"/>
      </w:r>
      <w:r w:rsidRPr="001075BE">
        <w:t xml:space="preserve"> </w:t>
      </w:r>
    </w:p>
    <w:p w:rsidR="00AE4AC1" w:rsidRPr="00675EC3" w:rsidRDefault="00AE4AC1" w:rsidP="009E6402">
      <w:pPr>
        <w:pStyle w:val="BodyText"/>
      </w:pPr>
      <w:r>
        <w:t>By contrast, the</w:t>
      </w:r>
      <w:r w:rsidRPr="001075BE">
        <w:t xml:space="preserve"> </w:t>
      </w:r>
      <w:r>
        <w:t>United States</w:t>
      </w:r>
      <w:r w:rsidRPr="001075BE">
        <w:t xml:space="preserve"> </w:t>
      </w:r>
      <w:r>
        <w:t>maintains</w:t>
      </w:r>
      <w:r w:rsidRPr="001075BE">
        <w:t xml:space="preserve"> that the Panel correctly interpreted </w:t>
      </w:r>
      <w:r>
        <w:t>Article </w:t>
      </w:r>
      <w:r w:rsidRPr="001075BE">
        <w:t>7.8 in finding that a</w:t>
      </w:r>
      <w:r>
        <w:t>n implementing</w:t>
      </w:r>
      <w:r w:rsidRPr="001075BE">
        <w:t xml:space="preserve"> Member has an ongoing compliance obligation under </w:t>
      </w:r>
      <w:r>
        <w:t>this provision</w:t>
      </w:r>
      <w:r w:rsidRPr="001075BE">
        <w:t xml:space="preserve"> with respect to adverse effects caused through the use of subsidies that have ceased to exist.</w:t>
      </w:r>
      <w:r>
        <w:rPr>
          <w:rStyle w:val="FootnoteReference"/>
        </w:rPr>
        <w:footnoteReference w:id="901"/>
      </w:r>
      <w:r w:rsidRPr="001075BE">
        <w:t xml:space="preserve"> The </w:t>
      </w:r>
      <w:r>
        <w:t>United States</w:t>
      </w:r>
      <w:r w:rsidRPr="001075BE">
        <w:t xml:space="preserve"> further submits that the Panel </w:t>
      </w:r>
      <w:r>
        <w:t>rightly</w:t>
      </w:r>
      <w:r w:rsidRPr="001075BE">
        <w:t xml:space="preserve"> recognized that the effects-based nature of the obligation imposed by </w:t>
      </w:r>
      <w:r>
        <w:t>Article </w:t>
      </w:r>
      <w:r w:rsidRPr="001075BE">
        <w:t xml:space="preserve">5 of the </w:t>
      </w:r>
      <w:r>
        <w:t>SCM Agreement</w:t>
      </w:r>
      <w:r w:rsidRPr="001075BE">
        <w:t xml:space="preserve"> was critical to an understanding of the remedy contained in </w:t>
      </w:r>
      <w:r>
        <w:t>Article </w:t>
      </w:r>
      <w:r w:rsidRPr="001075BE">
        <w:t xml:space="preserve">7.8 of </w:t>
      </w:r>
      <w:r>
        <w:t>this</w:t>
      </w:r>
      <w:r w:rsidRPr="001075BE">
        <w:t xml:space="preserve"> Agreement.</w:t>
      </w:r>
      <w:r>
        <w:rPr>
          <w:rStyle w:val="FootnoteReference"/>
        </w:rPr>
        <w:footnoteReference w:id="902"/>
      </w:r>
      <w:r>
        <w:t xml:space="preserve"> A</w:t>
      </w:r>
      <w:r w:rsidRPr="001075BE">
        <w:t xml:space="preserve">ccording to the </w:t>
      </w:r>
      <w:r>
        <w:t>United States</w:t>
      </w:r>
      <w:r w:rsidR="00F91606">
        <w:t>, the </w:t>
      </w:r>
      <w:r>
        <w:t>European Union</w:t>
      </w:r>
      <w:r w:rsidRPr="001075BE">
        <w:t xml:space="preserve">'s </w:t>
      </w:r>
      <w:r>
        <w:t>reading of Article 7.8</w:t>
      </w:r>
      <w:r w:rsidRPr="001075BE">
        <w:t xml:space="preserve"> would allow Members to structure subsidies so </w:t>
      </w:r>
      <w:r>
        <w:t xml:space="preserve">that </w:t>
      </w:r>
      <w:r w:rsidRPr="001075BE">
        <w:t xml:space="preserve">they cause adverse effects well beyond the end of the life of the subsidy, and then claim that they were in compliance with </w:t>
      </w:r>
      <w:r>
        <w:t>Article </w:t>
      </w:r>
      <w:r w:rsidRPr="001075BE">
        <w:t xml:space="preserve">7.8 </w:t>
      </w:r>
      <w:r>
        <w:t>after the relevant subsidy has come to an end</w:t>
      </w:r>
      <w:r w:rsidRPr="001075BE">
        <w:t xml:space="preserve">. </w:t>
      </w:r>
      <w:r w:rsidR="00F91606">
        <w:t>In the United </w:t>
      </w:r>
      <w:r>
        <w:t>States' view, t</w:t>
      </w:r>
      <w:r w:rsidRPr="001075BE">
        <w:t xml:space="preserve">his would allow a Member to use subsidies in the specific circumstances in which </w:t>
      </w:r>
      <w:r>
        <w:t>Article </w:t>
      </w:r>
      <w:r w:rsidRPr="001075BE">
        <w:t xml:space="preserve">5 seeks to prevent their use, contrary to the object and </w:t>
      </w:r>
      <w:r w:rsidR="00F91606">
        <w:t>purpose of the </w:t>
      </w:r>
      <w:r w:rsidRPr="00675EC3">
        <w:t>SCM Agreement.</w:t>
      </w:r>
      <w:r>
        <w:rPr>
          <w:rStyle w:val="FootnoteReference"/>
        </w:rPr>
        <w:footnoteReference w:id="903"/>
      </w:r>
      <w:r w:rsidRPr="00675EC3">
        <w:t xml:space="preserve"> </w:t>
      </w:r>
    </w:p>
    <w:p w:rsidR="00AE4AC1" w:rsidRPr="001075BE" w:rsidRDefault="00AE4AC1" w:rsidP="009E6402">
      <w:pPr>
        <w:pStyle w:val="BodyText"/>
      </w:pPr>
      <w:r>
        <w:t>In its third participant's submission,</w:t>
      </w:r>
      <w:r w:rsidRPr="00675EC3">
        <w:t xml:space="preserve"> </w:t>
      </w:r>
      <w:r>
        <w:t>Brazil supports the Panel's finding</w:t>
      </w:r>
      <w:r w:rsidRPr="00675EC3">
        <w:t xml:space="preserve"> that Article 7.8 </w:t>
      </w:r>
      <w:r>
        <w:t xml:space="preserve">of the SCM Agreement </w:t>
      </w:r>
      <w:r w:rsidRPr="00675EC3">
        <w:t>should be interpreted to require an implementing Member</w:t>
      </w:r>
      <w:r w:rsidRPr="001075BE">
        <w:t xml:space="preserve"> to </w:t>
      </w:r>
      <w:r>
        <w:t>come into conformity with its obligations under</w:t>
      </w:r>
      <w:r w:rsidRPr="001075BE">
        <w:t xml:space="preserve"> </w:t>
      </w:r>
      <w:r>
        <w:t>Article </w:t>
      </w:r>
      <w:r w:rsidRPr="001075BE">
        <w:t xml:space="preserve">5 of the </w:t>
      </w:r>
      <w:r>
        <w:t>SCM Agreement</w:t>
      </w:r>
      <w:r w:rsidRPr="001075BE">
        <w:t>.</w:t>
      </w:r>
      <w:r w:rsidRPr="001075BE">
        <w:rPr>
          <w:rStyle w:val="FootnoteReference"/>
        </w:rPr>
        <w:footnoteReference w:id="904"/>
      </w:r>
      <w:r w:rsidRPr="001075BE">
        <w:t xml:space="preserve"> </w:t>
      </w:r>
      <w:r>
        <w:t>Referring to</w:t>
      </w:r>
      <w:r w:rsidRPr="001075BE">
        <w:t xml:space="preserve"> </w:t>
      </w:r>
      <w:r>
        <w:t>the reasoning of the Appellate Body and the panel</w:t>
      </w:r>
      <w:r w:rsidRPr="001075BE">
        <w:t xml:space="preserve"> in</w:t>
      </w:r>
      <w:r>
        <w:t xml:space="preserve"> the</w:t>
      </w:r>
      <w:r w:rsidRPr="001075BE">
        <w:t xml:space="preserve"> original proceeding</w:t>
      </w:r>
      <w:r>
        <w:t>s</w:t>
      </w:r>
      <w:r>
        <w:rPr>
          <w:rStyle w:val="FootnoteReference"/>
        </w:rPr>
        <w:footnoteReference w:id="905"/>
      </w:r>
      <w:r>
        <w:t>,</w:t>
      </w:r>
      <w:r w:rsidRPr="001075BE">
        <w:t xml:space="preserve"> </w:t>
      </w:r>
      <w:r>
        <w:t>Brazil</w:t>
      </w:r>
      <w:r w:rsidRPr="001075BE">
        <w:t xml:space="preserve"> submits that an implementing Member may </w:t>
      </w:r>
      <w:r>
        <w:t>"</w:t>
      </w:r>
      <w:r w:rsidRPr="001075BE">
        <w:t>withdraw</w:t>
      </w:r>
      <w:r>
        <w:t>"</w:t>
      </w:r>
      <w:r w:rsidRPr="001075BE">
        <w:t xml:space="preserve"> </w:t>
      </w:r>
      <w:r>
        <w:t>a</w:t>
      </w:r>
      <w:r w:rsidRPr="001075BE">
        <w:t xml:space="preserve"> subsidy </w:t>
      </w:r>
      <w:r>
        <w:t xml:space="preserve">found to have caused adverse effects </w:t>
      </w:r>
      <w:r w:rsidRPr="001075BE">
        <w:t>"by taking affirmative action to modify the subsidy</w:t>
      </w:r>
      <w:r>
        <w:t>"</w:t>
      </w:r>
      <w:r w:rsidRPr="001075BE">
        <w:t xml:space="preserve"> or</w:t>
      </w:r>
      <w:r>
        <w:t xml:space="preserve"> by</w:t>
      </w:r>
      <w:r w:rsidRPr="001075BE">
        <w:t xml:space="preserve"> allow</w:t>
      </w:r>
      <w:r>
        <w:t>ing</w:t>
      </w:r>
      <w:r w:rsidRPr="001075BE">
        <w:t xml:space="preserve"> it </w:t>
      </w:r>
      <w:r>
        <w:t>"</w:t>
      </w:r>
      <w:r w:rsidRPr="001075BE">
        <w:t>to expire, provided such modified or expired subsidies are no longer a genuine and substantial cause of adverse effects during the implementation period".</w:t>
      </w:r>
      <w:r w:rsidRPr="001075BE">
        <w:rPr>
          <w:rStyle w:val="FootnoteReference"/>
        </w:rPr>
        <w:footnoteReference w:id="906"/>
      </w:r>
    </w:p>
    <w:p w:rsidR="00AE4AC1" w:rsidRPr="001075BE" w:rsidRDefault="00AE4AC1" w:rsidP="009E6402">
      <w:pPr>
        <w:pStyle w:val="BodyText"/>
      </w:pPr>
      <w:r>
        <w:t>Canada, in contrast,</w:t>
      </w:r>
      <w:r w:rsidRPr="001075BE">
        <w:t xml:space="preserve"> maintains that the Panel's interpretation of </w:t>
      </w:r>
      <w:r>
        <w:t>Article </w:t>
      </w:r>
      <w:r w:rsidRPr="001075BE">
        <w:t>7.8</w:t>
      </w:r>
      <w:r>
        <w:t xml:space="preserve"> </w:t>
      </w:r>
      <w:r w:rsidR="00F91606">
        <w:t>is "deeply </w:t>
      </w:r>
      <w:r w:rsidRPr="001075BE">
        <w:t>flawed".</w:t>
      </w:r>
      <w:r w:rsidRPr="001075BE">
        <w:rPr>
          <w:rStyle w:val="FootnoteReference"/>
        </w:rPr>
        <w:footnoteReference w:id="907"/>
      </w:r>
      <w:r w:rsidRPr="001075BE">
        <w:t xml:space="preserve"> </w:t>
      </w:r>
      <w:r>
        <w:t xml:space="preserve">For Canada, </w:t>
      </w:r>
      <w:r w:rsidRPr="001075BE">
        <w:t xml:space="preserve">the </w:t>
      </w:r>
      <w:r>
        <w:t>plain language of</w:t>
      </w:r>
      <w:r w:rsidRPr="001075BE">
        <w:t xml:space="preserve"> </w:t>
      </w:r>
      <w:r>
        <w:t>Article </w:t>
      </w:r>
      <w:r w:rsidRPr="001075BE">
        <w:t xml:space="preserve">7.8 indicates that the existence of a subsidy is a prerequisite for a compliance obligation </w:t>
      </w:r>
      <w:r>
        <w:t xml:space="preserve">to exist </w:t>
      </w:r>
      <w:r w:rsidRPr="001075BE">
        <w:t>under</w:t>
      </w:r>
      <w:r>
        <w:t xml:space="preserve"> this provision</w:t>
      </w:r>
      <w:r w:rsidRPr="001075BE">
        <w:t xml:space="preserve">, and that compliance can be achieved </w:t>
      </w:r>
      <w:r>
        <w:t>by removing the relevant subsidy</w:t>
      </w:r>
      <w:r w:rsidRPr="001075BE">
        <w:t xml:space="preserve">. </w:t>
      </w:r>
      <w:r>
        <w:t>According to</w:t>
      </w:r>
      <w:r w:rsidRPr="001075BE">
        <w:t xml:space="preserve"> </w:t>
      </w:r>
      <w:r>
        <w:t xml:space="preserve">Canada, </w:t>
      </w:r>
      <w:r w:rsidRPr="001075BE">
        <w:t>the context provided by Articles</w:t>
      </w:r>
      <w:r>
        <w:t xml:space="preserve"> 4.7, 5, and </w:t>
      </w:r>
      <w:r w:rsidRPr="001075BE">
        <w:t xml:space="preserve">7.9 of the </w:t>
      </w:r>
      <w:r>
        <w:t>SCM Agreement</w:t>
      </w:r>
      <w:r w:rsidRPr="001075BE">
        <w:t xml:space="preserve">, the restrictions on the application of countervailing duties under Part V of the </w:t>
      </w:r>
      <w:r>
        <w:t>SCM Agreement</w:t>
      </w:r>
      <w:r w:rsidRPr="001075BE">
        <w:t>, and the general rules under the DSU</w:t>
      </w:r>
      <w:r>
        <w:t>,</w:t>
      </w:r>
      <w:r w:rsidRPr="001075BE">
        <w:t xml:space="preserve"> </w:t>
      </w:r>
      <w:r w:rsidR="00F91606">
        <w:lastRenderedPageBreak/>
        <w:t>all </w:t>
      </w:r>
      <w:r w:rsidRPr="001075BE">
        <w:t xml:space="preserve">confirm that only a subsidy in existence during the implementation </w:t>
      </w:r>
      <w:r>
        <w:t xml:space="preserve">period </w:t>
      </w:r>
      <w:r w:rsidRPr="001075BE">
        <w:t xml:space="preserve">is subject to a compliance obligation under </w:t>
      </w:r>
      <w:r>
        <w:t>Article </w:t>
      </w:r>
      <w:r w:rsidRPr="001075BE">
        <w:t xml:space="preserve">7.8. </w:t>
      </w:r>
      <w:r>
        <w:t>In Canada's view,</w:t>
      </w:r>
      <w:r w:rsidRPr="001075BE">
        <w:t xml:space="preserve"> the Panel erred in its interpretation </w:t>
      </w:r>
      <w:r>
        <w:t xml:space="preserve">of Article 7.8 by disregarding </w:t>
      </w:r>
      <w:r w:rsidRPr="001075BE">
        <w:t xml:space="preserve">the express language of </w:t>
      </w:r>
      <w:r>
        <w:t>this provision</w:t>
      </w:r>
      <w:r w:rsidRPr="001075BE">
        <w:t xml:space="preserve">, </w:t>
      </w:r>
      <w:r>
        <w:t xml:space="preserve">and by </w:t>
      </w:r>
      <w:r w:rsidRPr="001075BE">
        <w:t xml:space="preserve">improperly </w:t>
      </w:r>
      <w:r>
        <w:t>relying on Article </w:t>
      </w:r>
      <w:r w:rsidRPr="001075BE">
        <w:t xml:space="preserve">5 of the </w:t>
      </w:r>
      <w:r>
        <w:t>SCM Agreement</w:t>
      </w:r>
      <w:r w:rsidRPr="001075BE">
        <w:t xml:space="preserve"> and various provisions of the DSU to support its </w:t>
      </w:r>
      <w:r>
        <w:t>reading of Article 7.8. In so doing</w:t>
      </w:r>
      <w:r w:rsidRPr="001075BE">
        <w:t xml:space="preserve">, </w:t>
      </w:r>
      <w:r>
        <w:t>the Panel</w:t>
      </w:r>
      <w:r w:rsidRPr="001075BE">
        <w:t xml:space="preserve"> created significant uncertainty as to the </w:t>
      </w:r>
      <w:r>
        <w:t>obligations</w:t>
      </w:r>
      <w:r w:rsidRPr="001075BE">
        <w:t xml:space="preserve"> </w:t>
      </w:r>
      <w:r>
        <w:t>that</w:t>
      </w:r>
      <w:r w:rsidRPr="001075BE">
        <w:t xml:space="preserve"> a</w:t>
      </w:r>
      <w:r>
        <w:t>n implementing</w:t>
      </w:r>
      <w:r w:rsidRPr="001075BE">
        <w:t xml:space="preserve"> Member </w:t>
      </w:r>
      <w:r>
        <w:t>has with respect of</w:t>
      </w:r>
      <w:r w:rsidRPr="001075BE">
        <w:t xml:space="preserve"> subsidies that no longer exist.</w:t>
      </w:r>
      <w:r>
        <w:rPr>
          <w:rStyle w:val="FootnoteReference"/>
        </w:rPr>
        <w:footnoteReference w:id="908"/>
      </w:r>
    </w:p>
    <w:p w:rsidR="00AE4AC1" w:rsidRPr="001075BE" w:rsidRDefault="00AE4AC1" w:rsidP="009E6402">
      <w:pPr>
        <w:pStyle w:val="BodyText"/>
      </w:pPr>
      <w:r>
        <w:t xml:space="preserve">Along the same lines, </w:t>
      </w:r>
      <w:r w:rsidRPr="001075BE">
        <w:t xml:space="preserve">China </w:t>
      </w:r>
      <w:r>
        <w:t>emphasizes</w:t>
      </w:r>
      <w:r w:rsidRPr="001075BE">
        <w:t xml:space="preserve"> that the Panel's interpretation of </w:t>
      </w:r>
      <w:r>
        <w:t>Article </w:t>
      </w:r>
      <w:r w:rsidRPr="001075BE">
        <w:t xml:space="preserve">7.8 fails to give effective meaning to the treaty language in its relevant context and in light of the object and purpose of </w:t>
      </w:r>
      <w:r>
        <w:t>this Agreement</w:t>
      </w:r>
      <w:r w:rsidRPr="001075BE">
        <w:t xml:space="preserve">, and is not supported by WTO case law. In China's view, </w:t>
      </w:r>
      <w:r>
        <w:t>by</w:t>
      </w:r>
      <w:r w:rsidR="00F91606">
        <w:t> </w:t>
      </w:r>
      <w:r w:rsidRPr="001075BE">
        <w:t xml:space="preserve">requiring that the implementing Member achieve compliance with </w:t>
      </w:r>
      <w:r>
        <w:t>Article </w:t>
      </w:r>
      <w:r w:rsidRPr="001075BE">
        <w:t>5</w:t>
      </w:r>
      <w:r>
        <w:t xml:space="preserve"> </w:t>
      </w:r>
      <w:r w:rsidRPr="001075BE">
        <w:t xml:space="preserve">by removing adverse effects regardless of </w:t>
      </w:r>
      <w:r>
        <w:t>whether a subsidy continues to exist</w:t>
      </w:r>
      <w:r w:rsidRPr="001075BE">
        <w:t>, the Panel effectively eliminate</w:t>
      </w:r>
      <w:r>
        <w:t>d</w:t>
      </w:r>
      <w:r w:rsidRPr="001075BE">
        <w:t xml:space="preserve"> the option to withdraw the subsidy in </w:t>
      </w:r>
      <w:r>
        <w:t>Article </w:t>
      </w:r>
      <w:r w:rsidRPr="001075BE">
        <w:t>7.8.</w:t>
      </w:r>
      <w:r>
        <w:rPr>
          <w:rStyle w:val="FootnoteReference"/>
        </w:rPr>
        <w:footnoteReference w:id="909"/>
      </w:r>
      <w:r w:rsidRPr="001075BE">
        <w:t xml:space="preserve"> China contends that none of the provisions of the DSU referred to by the Panel support the view that a </w:t>
      </w:r>
      <w:r w:rsidR="00AD2E12">
        <w:t>Member that has withdrawn a WTO</w:t>
      </w:r>
      <w:r w:rsidR="00AD2E12">
        <w:noBreakHyphen/>
      </w:r>
      <w:r w:rsidRPr="001075BE">
        <w:t xml:space="preserve">inconsistent measure is subject to an additional obligation to remove any lingering effects of </w:t>
      </w:r>
      <w:r>
        <w:t>that</w:t>
      </w:r>
      <w:r w:rsidRPr="001075BE">
        <w:t xml:space="preserve"> measure. Finally, China argues that the WTO disputes cited by the Panel </w:t>
      </w:r>
      <w:r>
        <w:t>do</w:t>
      </w:r>
      <w:r w:rsidRPr="001075BE">
        <w:t xml:space="preserve"> not lend support to its interpretation</w:t>
      </w:r>
      <w:r>
        <w:t xml:space="preserve"> of Article 7.8</w:t>
      </w:r>
      <w:r w:rsidRPr="001075BE">
        <w:t xml:space="preserve"> because they do not provide the answer to the core issue in this dispute, namely, whether the implementing Member has an obligation to remove adverse effects with respect to subsidies that are no longer granted or maintained.</w:t>
      </w:r>
      <w:r>
        <w:rPr>
          <w:rStyle w:val="FootnoteReference"/>
        </w:rPr>
        <w:footnoteReference w:id="910"/>
      </w:r>
    </w:p>
    <w:p w:rsidR="00AE4AC1" w:rsidRDefault="00AE4AC1" w:rsidP="009E6402">
      <w:pPr>
        <w:pStyle w:val="BodyText"/>
      </w:pPr>
      <w:r>
        <w:t xml:space="preserve">For its part, </w:t>
      </w:r>
      <w:r w:rsidRPr="001075BE">
        <w:t xml:space="preserve">Japan contends that the withdrawal of a subsidy would require that the benefit be extinguished. According to Japan, the existence of a benefit </w:t>
      </w:r>
      <w:r>
        <w:t xml:space="preserve">to the recipient of a subsidy </w:t>
      </w:r>
      <w:r w:rsidRPr="001075BE">
        <w:t xml:space="preserve">is crucial for the subsidy to cause adverse effects. Thus, </w:t>
      </w:r>
      <w:r>
        <w:t xml:space="preserve">for Japan, </w:t>
      </w:r>
      <w:r w:rsidRPr="001075BE">
        <w:t xml:space="preserve">the adverse effects of a subsidy cease </w:t>
      </w:r>
      <w:r>
        <w:t>once</w:t>
      </w:r>
      <w:r w:rsidRPr="001075BE">
        <w:t xml:space="preserve"> the benefit has been removed and the recipient is no longer able to lower the price of products </w:t>
      </w:r>
      <w:r>
        <w:t>through the use of the subsidy</w:t>
      </w:r>
      <w:r w:rsidRPr="001075BE">
        <w:t>.</w:t>
      </w:r>
      <w:r>
        <w:rPr>
          <w:rStyle w:val="FootnoteReference"/>
        </w:rPr>
        <w:footnoteReference w:id="911"/>
      </w:r>
      <w:r w:rsidRPr="00A00A67">
        <w:t xml:space="preserve"> </w:t>
      </w:r>
    </w:p>
    <w:p w:rsidR="00AE4AC1" w:rsidRDefault="00AE4AC1" w:rsidP="009E6402">
      <w:pPr>
        <w:pStyle w:val="BodyText"/>
      </w:pPr>
      <w:r>
        <w:t xml:space="preserve">Having recalled the arguments of the participants and third participants, we turn to examine the interpretative issue raised by the European Union in this appeal, namely, </w:t>
      </w:r>
      <w:r w:rsidRPr="007D42DB">
        <w:t xml:space="preserve">whether </w:t>
      </w:r>
      <w:r>
        <w:t xml:space="preserve">an implementing Member has a compliance </w:t>
      </w:r>
      <w:r w:rsidRPr="007D42DB">
        <w:t>obligation under Article 7.8 of the SCM Agreement</w:t>
      </w:r>
      <w:r>
        <w:t xml:space="preserve"> with respect to subsidies</w:t>
      </w:r>
      <w:r w:rsidRPr="00D6569B">
        <w:t xml:space="preserve"> </w:t>
      </w:r>
      <w:r>
        <w:t>that had ceased to exist prior to the beginning of the implementation period.</w:t>
      </w:r>
    </w:p>
    <w:p w:rsidR="00AE4AC1" w:rsidRPr="001075BE" w:rsidRDefault="00AE4AC1" w:rsidP="009E6402">
      <w:pPr>
        <w:pStyle w:val="Heading4"/>
      </w:pPr>
      <w:bookmarkStart w:id="113" w:name="_Toc478561892"/>
      <w:bookmarkStart w:id="114" w:name="_Toc514059250"/>
      <w:r>
        <w:t>I</w:t>
      </w:r>
      <w:r w:rsidRPr="001075BE">
        <w:t xml:space="preserve">nterpretation of </w:t>
      </w:r>
      <w:r>
        <w:t>Article </w:t>
      </w:r>
      <w:r w:rsidRPr="001075BE">
        <w:t xml:space="preserve">7.8 of the </w:t>
      </w:r>
      <w:r>
        <w:t>SCM Agreement</w:t>
      </w:r>
      <w:bookmarkEnd w:id="113"/>
      <w:bookmarkEnd w:id="114"/>
    </w:p>
    <w:p w:rsidR="00AE4AC1" w:rsidRPr="001075BE" w:rsidRDefault="00AE4AC1" w:rsidP="009E6402">
      <w:pPr>
        <w:pStyle w:val="BodyText"/>
      </w:pPr>
      <w:r w:rsidRPr="003B41BF">
        <w:t xml:space="preserve">Our analysis commences with the text of Article </w:t>
      </w:r>
      <w:r>
        <w:t>7.8</w:t>
      </w:r>
      <w:r w:rsidRPr="003B41BF">
        <w:t xml:space="preserve"> of the SCM Agreement, construed within its context and in light of the object and purpose of the SCM Agreement. </w:t>
      </w:r>
      <w:r>
        <w:t>Article </w:t>
      </w:r>
      <w:r w:rsidRPr="001075BE">
        <w:t xml:space="preserve">7.8 </w:t>
      </w:r>
      <w:r>
        <w:t>states</w:t>
      </w:r>
      <w:r w:rsidRPr="001075BE">
        <w:t>:</w:t>
      </w:r>
    </w:p>
    <w:p w:rsidR="00AE4AC1" w:rsidRPr="00CC79EA" w:rsidRDefault="00AE4AC1" w:rsidP="00267BCB">
      <w:pPr>
        <w:pStyle w:val="Quotation"/>
        <w:rPr>
          <w:szCs w:val="20"/>
        </w:rPr>
      </w:pPr>
      <w:r>
        <w:rPr>
          <w:szCs w:val="20"/>
        </w:rPr>
        <w:t>Wh</w:t>
      </w:r>
      <w:r w:rsidRPr="00CC79EA">
        <w:rPr>
          <w:szCs w:val="20"/>
        </w:rPr>
        <w:t xml:space="preserve">ere a panel report or an </w:t>
      </w:r>
      <w:r>
        <w:rPr>
          <w:szCs w:val="20"/>
        </w:rPr>
        <w:t>Appellate Body</w:t>
      </w:r>
      <w:r w:rsidRPr="00CC79EA">
        <w:rPr>
          <w:szCs w:val="20"/>
        </w:rPr>
        <w:t xml:space="preserve"> report is adopted in which it is determined that any subsidy has resulted in adverse effects to the interests of another Member within the meaning of </w:t>
      </w:r>
      <w:r>
        <w:rPr>
          <w:szCs w:val="20"/>
        </w:rPr>
        <w:t>Article </w:t>
      </w:r>
      <w:r w:rsidRPr="00CC79EA">
        <w:rPr>
          <w:szCs w:val="20"/>
        </w:rPr>
        <w:t xml:space="preserve">5, </w:t>
      </w:r>
      <w:r w:rsidRPr="00CC79EA">
        <w:rPr>
          <w:i/>
          <w:szCs w:val="20"/>
        </w:rPr>
        <w:t>the Member granting or maintaining such subsidy shall take appropriate steps to remove the adverse effects or shall withdraw the subsidy</w:t>
      </w:r>
      <w:r w:rsidRPr="00CC79EA">
        <w:rPr>
          <w:szCs w:val="20"/>
        </w:rPr>
        <w:t>.</w:t>
      </w:r>
      <w:r w:rsidRPr="00CC79EA">
        <w:rPr>
          <w:rStyle w:val="FootnoteReference"/>
          <w:szCs w:val="20"/>
        </w:rPr>
        <w:footnoteReference w:id="912"/>
      </w:r>
    </w:p>
    <w:p w:rsidR="00AE4AC1" w:rsidRDefault="00AE4AC1" w:rsidP="009E6402">
      <w:pPr>
        <w:pStyle w:val="BodyText"/>
      </w:pPr>
      <w:r>
        <w:t xml:space="preserve">Article 7.8 consists of two clauses. </w:t>
      </w:r>
      <w:r w:rsidRPr="001075BE">
        <w:t xml:space="preserve">The </w:t>
      </w:r>
      <w:r>
        <w:t>introductory</w:t>
      </w:r>
      <w:r w:rsidRPr="001075BE">
        <w:t xml:space="preserve"> </w:t>
      </w:r>
      <w:r>
        <w:t>clause refers to</w:t>
      </w:r>
      <w:r w:rsidRPr="001075BE">
        <w:t xml:space="preserve"> circumstances </w:t>
      </w:r>
      <w:r>
        <w:t>w</w:t>
      </w:r>
      <w:r w:rsidRPr="001075BE">
        <w:t>here a subsidy is found</w:t>
      </w:r>
      <w:r>
        <w:t>,</w:t>
      </w:r>
      <w:r w:rsidRPr="001075BE">
        <w:t xml:space="preserve"> in an adopted panel or </w:t>
      </w:r>
      <w:r>
        <w:t>Appellate Body</w:t>
      </w:r>
      <w:r w:rsidRPr="001075BE">
        <w:t xml:space="preserve"> report</w:t>
      </w:r>
      <w:r>
        <w:t>,</w:t>
      </w:r>
      <w:r w:rsidRPr="001075BE">
        <w:t xml:space="preserve"> to have "resulted in adverse effects</w:t>
      </w:r>
      <w:r w:rsidRPr="00560127">
        <w:t xml:space="preserve"> </w:t>
      </w:r>
      <w:r w:rsidRPr="00CC79EA">
        <w:t>to the interests of another Member</w:t>
      </w:r>
      <w:r w:rsidRPr="001075BE">
        <w:t xml:space="preserve">". </w:t>
      </w:r>
      <w:r>
        <w:t>The second clause then specifies</w:t>
      </w:r>
      <w:r w:rsidRPr="001075BE">
        <w:t xml:space="preserve"> that, in such </w:t>
      </w:r>
      <w:r>
        <w:t>a situation</w:t>
      </w:r>
      <w:r w:rsidRPr="001075BE">
        <w:t xml:space="preserve">, "the Member granting or maintaining </w:t>
      </w:r>
      <w:r>
        <w:t>such</w:t>
      </w:r>
      <w:r w:rsidRPr="001075BE">
        <w:t xml:space="preserve"> subsidy</w:t>
      </w:r>
      <w:r>
        <w:t xml:space="preserve">" may come into compliance with its obligations under the SCM Agreement in one of two alternative ways: (i) it may either "take appropriate steps to remove the adverse effects"; </w:t>
      </w:r>
      <w:r w:rsidRPr="003D75FA">
        <w:t>or</w:t>
      </w:r>
      <w:r w:rsidRPr="003A5062">
        <w:t xml:space="preserve"> (ii)</w:t>
      </w:r>
      <w:r w:rsidRPr="002417A4">
        <w:t xml:space="preserve"> </w:t>
      </w:r>
      <w:r>
        <w:t>it may "withdraw the subsidy".</w:t>
      </w:r>
      <w:r w:rsidRPr="001075BE">
        <w:rPr>
          <w:rStyle w:val="FootnoteReference"/>
        </w:rPr>
        <w:footnoteReference w:id="913"/>
      </w:r>
      <w:r>
        <w:t xml:space="preserve"> </w:t>
      </w:r>
      <w:r w:rsidRPr="00807022">
        <w:t xml:space="preserve">The use of the word "or" in </w:t>
      </w:r>
      <w:r>
        <w:t xml:space="preserve">the context of </w:t>
      </w:r>
      <w:r w:rsidRPr="00807022">
        <w:t>the second clause of Article</w:t>
      </w:r>
      <w:r>
        <w:t> </w:t>
      </w:r>
      <w:r w:rsidRPr="00807022">
        <w:t xml:space="preserve">7.8 suggests that the Member concerned may implement the recommendations and rulings </w:t>
      </w:r>
      <w:r w:rsidR="00AD2E12">
        <w:t xml:space="preserve">of the DSB </w:t>
      </w:r>
      <w:r w:rsidRPr="00807022">
        <w:t>under Part</w:t>
      </w:r>
      <w:r>
        <w:t> </w:t>
      </w:r>
      <w:r w:rsidRPr="00807022">
        <w:t>III of the SCM</w:t>
      </w:r>
      <w:r>
        <w:t> </w:t>
      </w:r>
      <w:r w:rsidRPr="00807022">
        <w:t>Agreement by choosing either of these alternative pathways to achieving compliance.</w:t>
      </w:r>
    </w:p>
    <w:p w:rsidR="00AE4AC1" w:rsidRDefault="00AE4AC1" w:rsidP="009E6402">
      <w:pPr>
        <w:pStyle w:val="BodyText"/>
      </w:pPr>
      <w:r>
        <w:lastRenderedPageBreak/>
        <w:t>Regarding the reference in Article 7.8 to "granting or maintaining" a subsidy, we note the</w:t>
      </w:r>
      <w:r w:rsidRPr="008F2058">
        <w:t xml:space="preserve"> </w:t>
      </w:r>
      <w:r>
        <w:t xml:space="preserve">European Union's position that these words should be understood in the present continuous tense. According to the European Union, this language in Article 7.8 suggests that </w:t>
      </w:r>
      <w:r w:rsidRPr="00666408">
        <w:rPr>
          <w:lang w:val="en-US"/>
        </w:rPr>
        <w:t xml:space="preserve">"an implementing Member has exhausted its compliance obligations under </w:t>
      </w:r>
      <w:r w:rsidRPr="008F2058">
        <w:t>Article</w:t>
      </w:r>
      <w:r>
        <w:rPr>
          <w:lang w:val="en-US"/>
        </w:rPr>
        <w:t> </w:t>
      </w:r>
      <w:r w:rsidRPr="00666408">
        <w:rPr>
          <w:lang w:val="en-US"/>
        </w:rPr>
        <w:t>7.8 with regard to any subsidy that is no longer being granted or maintained, for example because that subsidy has expired</w:t>
      </w:r>
      <w:r w:rsidRPr="008F2058">
        <w:t>."</w:t>
      </w:r>
      <w:r w:rsidRPr="008F2058">
        <w:rPr>
          <w:rStyle w:val="FootnoteReference"/>
        </w:rPr>
        <w:footnoteReference w:id="914"/>
      </w:r>
      <w:r w:rsidRPr="008F2058">
        <w:t xml:space="preserve"> </w:t>
      </w:r>
      <w:r>
        <w:rPr>
          <w:lang w:val="en-US"/>
        </w:rPr>
        <w:t>The</w:t>
      </w:r>
      <w:r>
        <w:t xml:space="preserve"> United States, by contrast, </w:t>
      </w:r>
      <w:r w:rsidRPr="008F2058">
        <w:t xml:space="preserve">argues that the </w:t>
      </w:r>
      <w:r>
        <w:t>words</w:t>
      </w:r>
      <w:r w:rsidRPr="008F2058">
        <w:t xml:space="preserve"> "granting or maintaining" </w:t>
      </w:r>
      <w:r>
        <w:t xml:space="preserve">in Article 7.8 </w:t>
      </w:r>
      <w:r w:rsidRPr="008F2058">
        <w:t xml:space="preserve">can </w:t>
      </w:r>
      <w:r w:rsidRPr="001C09F2">
        <w:rPr>
          <w:i/>
        </w:rPr>
        <w:t>also</w:t>
      </w:r>
      <w:r w:rsidRPr="008F2058">
        <w:t xml:space="preserve"> be understood as </w:t>
      </w:r>
      <w:r w:rsidRPr="001B07D1">
        <w:t>present</w:t>
      </w:r>
      <w:r w:rsidRPr="008F2058">
        <w:t xml:space="preserve"> participles </w:t>
      </w:r>
      <w:r>
        <w:t xml:space="preserve">that </w:t>
      </w:r>
      <w:r w:rsidRPr="008F2058">
        <w:t xml:space="preserve">relate to the act of "granting or maintaining" </w:t>
      </w:r>
      <w:r>
        <w:t xml:space="preserve">a subsidy </w:t>
      </w:r>
      <w:r w:rsidRPr="008F2058">
        <w:t>found</w:t>
      </w:r>
      <w:r>
        <w:t xml:space="preserve"> to have occurred</w:t>
      </w:r>
      <w:r w:rsidRPr="008F2058">
        <w:t xml:space="preserve"> in </w:t>
      </w:r>
      <w:r>
        <w:t xml:space="preserve">the original proceedings, </w:t>
      </w:r>
      <w:r w:rsidRPr="008F2058">
        <w:t xml:space="preserve">rather than </w:t>
      </w:r>
      <w:r>
        <w:t>as meaning</w:t>
      </w:r>
      <w:r w:rsidRPr="008F2058">
        <w:t xml:space="preserve"> that such action must be shown to continue into the implementation period.</w:t>
      </w:r>
      <w:r w:rsidRPr="008F2058">
        <w:rPr>
          <w:rStyle w:val="FootnoteReference"/>
        </w:rPr>
        <w:footnoteReference w:id="915"/>
      </w:r>
    </w:p>
    <w:p w:rsidR="00AE4AC1" w:rsidRPr="00EF08DA" w:rsidRDefault="00AE4AC1" w:rsidP="009E6402">
      <w:pPr>
        <w:pStyle w:val="BodyText"/>
      </w:pPr>
      <w:r w:rsidRPr="00516DFB">
        <w:t xml:space="preserve">As noted, Article 7.8 </w:t>
      </w:r>
      <w:r>
        <w:t xml:space="preserve">of the SCM Agreement </w:t>
      </w:r>
      <w:r w:rsidRPr="00516DFB">
        <w:t>expressly refers</w:t>
      </w:r>
      <w:r>
        <w:t xml:space="preserve"> to</w:t>
      </w:r>
      <w:r w:rsidRPr="00516DFB">
        <w:t xml:space="preserve"> </w:t>
      </w:r>
      <w:r>
        <w:t>the</w:t>
      </w:r>
      <w:r w:rsidRPr="00516DFB">
        <w:t xml:space="preserve"> "granting or maintaining" </w:t>
      </w:r>
      <w:r>
        <w:t>of a subsidy found to have</w:t>
      </w:r>
      <w:r w:rsidRPr="00CC79EA">
        <w:t xml:space="preserve"> </w:t>
      </w:r>
      <w:r>
        <w:rPr>
          <w:lang w:val="en-US"/>
        </w:rPr>
        <w:t>caused</w:t>
      </w:r>
      <w:r w:rsidRPr="00CC79EA">
        <w:t xml:space="preserve"> adverse effects to the interests of anoth</w:t>
      </w:r>
      <w:r>
        <w:t xml:space="preserve">er </w:t>
      </w:r>
      <w:r w:rsidRPr="00BE2EF8">
        <w:t xml:space="preserve">Member. </w:t>
      </w:r>
      <w:r>
        <w:t>As we see it</w:t>
      </w:r>
      <w:r w:rsidRPr="007D42DB">
        <w:t>, the</w:t>
      </w:r>
      <w:r>
        <w:t>se terms</w:t>
      </w:r>
      <w:r w:rsidRPr="007D42DB">
        <w:t xml:space="preserve"> </w:t>
      </w:r>
      <w:r w:rsidRPr="004F1723">
        <w:t>indic</w:t>
      </w:r>
      <w:r w:rsidRPr="009E57DC">
        <w:t>at</w:t>
      </w:r>
      <w:r w:rsidRPr="00C4492F">
        <w:t xml:space="preserve">e that </w:t>
      </w:r>
      <w:r w:rsidRPr="00343C99">
        <w:t xml:space="preserve">Article 7.8 </w:t>
      </w:r>
      <w:r w:rsidRPr="00AD009B">
        <w:t>reflect</w:t>
      </w:r>
      <w:r w:rsidRPr="00566454">
        <w:t xml:space="preserve">s </w:t>
      </w:r>
      <w:r w:rsidRPr="008F428C">
        <w:t xml:space="preserve">an obligation </w:t>
      </w:r>
      <w:r w:rsidRPr="00DD1919">
        <w:t>to cease</w:t>
      </w:r>
      <w:r w:rsidRPr="007D42DB">
        <w:t xml:space="preserve"> any conduct amounting to the "granting</w:t>
      </w:r>
      <w:r>
        <w:t xml:space="preserve"> or maintaining" of subsidies that cause adverse effects.</w:t>
      </w:r>
      <w:r>
        <w:rPr>
          <w:rStyle w:val="FootnoteReference"/>
        </w:rPr>
        <w:footnoteReference w:id="916"/>
      </w:r>
      <w:r>
        <w:t xml:space="preserve"> </w:t>
      </w:r>
      <w:r w:rsidR="00F91606">
        <w:t>This </w:t>
      </w:r>
      <w:r w:rsidRPr="00CB4692">
        <w:t xml:space="preserve">is true regardless of whether the words "granting or maintaining" in Article 7.8 are understood in the present continuous tense, or as </w:t>
      </w:r>
      <w:r>
        <w:t>present</w:t>
      </w:r>
      <w:r w:rsidRPr="00CB4692">
        <w:t xml:space="preserve"> participles qualifying the term "Member". </w:t>
      </w:r>
      <w:r>
        <w:t>Indeed</w:t>
      </w:r>
      <w:r w:rsidR="00F91606">
        <w:t>, </w:t>
      </w:r>
      <w:r w:rsidRPr="00CB4692">
        <w:rPr>
          <w:lang w:val="en-CA"/>
        </w:rPr>
        <w:t>Article</w:t>
      </w:r>
      <w:r>
        <w:rPr>
          <w:lang w:val="en-CA"/>
        </w:rPr>
        <w:t> </w:t>
      </w:r>
      <w:r w:rsidRPr="00CB4692">
        <w:rPr>
          <w:lang w:val="en-CA"/>
        </w:rPr>
        <w:t>7.8 sets out an obligation "of a continuous nature, extending beyond subsidies granted in the past".</w:t>
      </w:r>
      <w:r w:rsidRPr="00C15C75">
        <w:rPr>
          <w:vertAlign w:val="superscript"/>
          <w:lang w:val="en-CA"/>
        </w:rPr>
        <w:footnoteReference w:id="917"/>
      </w:r>
      <w:r w:rsidRPr="00CB4692">
        <w:rPr>
          <w:lang w:val="en-CA"/>
        </w:rPr>
        <w:t xml:space="preserve"> </w:t>
      </w:r>
      <w:r>
        <w:rPr>
          <w:lang w:val="en-CA"/>
        </w:rPr>
        <w:t>Moreover</w:t>
      </w:r>
      <w:r>
        <w:t xml:space="preserve">, </w:t>
      </w:r>
      <w:r w:rsidRPr="00CB4692">
        <w:t xml:space="preserve">the </w:t>
      </w:r>
      <w:r w:rsidRPr="001113C3">
        <w:rPr>
          <w:i/>
        </w:rPr>
        <w:t>object</w:t>
      </w:r>
      <w:r w:rsidRPr="00CB4692">
        <w:t xml:space="preserve"> of the action of "granting or maintaining" is </w:t>
      </w:r>
      <w:r>
        <w:t>the</w:t>
      </w:r>
      <w:r w:rsidRPr="00CB4692">
        <w:t xml:space="preserve"> "subsidy" that causes adverse effects. </w:t>
      </w:r>
      <w:r>
        <w:rPr>
          <w:lang w:val="en-CA"/>
        </w:rPr>
        <w:t>In the light of this language in Article 7.8</w:t>
      </w:r>
      <w:r w:rsidRPr="00CB4692">
        <w:rPr>
          <w:lang w:val="en-CA"/>
        </w:rPr>
        <w:t xml:space="preserve">, </w:t>
      </w:r>
      <w:r w:rsidRPr="00CB4692">
        <w:t xml:space="preserve">we find it difficult to </w:t>
      </w:r>
      <w:r>
        <w:t>see</w:t>
      </w:r>
      <w:r w:rsidRPr="00CB4692">
        <w:t xml:space="preserve"> how </w:t>
      </w:r>
      <w:r w:rsidRPr="00BE2EF8">
        <w:t>a Member could be said to be "granting or maintaining</w:t>
      </w:r>
      <w:r>
        <w:t>"</w:t>
      </w:r>
      <w:r w:rsidRPr="00BE2EF8">
        <w:t xml:space="preserve"> </w:t>
      </w:r>
      <w:r w:rsidRPr="003A5062">
        <w:t>a</w:t>
      </w:r>
      <w:r w:rsidRPr="001113C3">
        <w:rPr>
          <w:i/>
        </w:rPr>
        <w:t xml:space="preserve"> subsidy</w:t>
      </w:r>
      <w:r>
        <w:t xml:space="preserve"> giving rise to a compliance obligation if that subsidy has expired and therefore n</w:t>
      </w:r>
      <w:r w:rsidRPr="00CB4692">
        <w:t xml:space="preserve">o longer </w:t>
      </w:r>
      <w:r w:rsidRPr="00CB4692">
        <w:rPr>
          <w:i/>
        </w:rPr>
        <w:t>exists</w:t>
      </w:r>
      <w:r w:rsidRPr="00EF08DA">
        <w:t>.</w:t>
      </w:r>
    </w:p>
    <w:p w:rsidR="00AE4AC1" w:rsidRPr="00EF08DA" w:rsidRDefault="00AE4AC1" w:rsidP="009E6402">
      <w:pPr>
        <w:pStyle w:val="BodyText"/>
      </w:pPr>
      <w:r w:rsidRPr="00EF08DA">
        <w:t>The Panel appears to have acknowledged as much when it stated that "a</w:t>
      </w:r>
      <w:r w:rsidRPr="00EF08DA">
        <w:rPr>
          <w:lang w:val="en-US"/>
        </w:rPr>
        <w:t xml:space="preserve"> Member cannot be said to be </w:t>
      </w:r>
      <w:r w:rsidRPr="00EF08DA">
        <w:t>'granting</w:t>
      </w:r>
      <w:r w:rsidRPr="00EF08DA">
        <w:rPr>
          <w:lang w:val="en-US"/>
        </w:rPr>
        <w:t xml:space="preserve"> or maintaining' a subsidy that no longer exists"</w:t>
      </w:r>
      <w:r>
        <w:rPr>
          <w:lang w:val="en-US"/>
        </w:rPr>
        <w:t>.</w:t>
      </w:r>
      <w:r w:rsidRPr="00EF08DA">
        <w:rPr>
          <w:rStyle w:val="FootnoteReference"/>
        </w:rPr>
        <w:footnoteReference w:id="918"/>
      </w:r>
      <w:r w:rsidRPr="00EF08DA">
        <w:rPr>
          <w:lang w:val="en-US"/>
        </w:rPr>
        <w:t xml:space="preserve"> The Panel added that "</w:t>
      </w:r>
      <w:r>
        <w:t>the </w:t>
      </w:r>
      <w:r w:rsidRPr="00EF08DA">
        <w:t xml:space="preserve">text of Article 7.8 may arguably be viewed to suggest that a Member found to have caused adverse effects through the use of a subsidy would have no obligation to 'take appropriate steps to remove the adverse effects' or 'withdraw the subsidy' if the subsidy at issue </w:t>
      </w:r>
      <w:r w:rsidRPr="00EF08DA">
        <w:rPr>
          <w:i/>
        </w:rPr>
        <w:t>no longer exist{ed}</w:t>
      </w:r>
      <w:r w:rsidRPr="00EF08DA">
        <w:t xml:space="preserve"> at the time of the DSB's adoption of the adverse effects findings."</w:t>
      </w:r>
      <w:r w:rsidRPr="00EF08DA">
        <w:rPr>
          <w:rStyle w:val="FootnoteReference"/>
        </w:rPr>
        <w:footnoteReference w:id="919"/>
      </w:r>
      <w:r w:rsidRPr="00EF08DA">
        <w:t xml:space="preserve"> However, without </w:t>
      </w:r>
      <w:r>
        <w:t xml:space="preserve">further </w:t>
      </w:r>
      <w:r w:rsidRPr="00EF08DA">
        <w:t>analysi</w:t>
      </w:r>
      <w:r>
        <w:t>s</w:t>
      </w:r>
      <w:r w:rsidRPr="00EF08DA">
        <w:t xml:space="preserve"> of Article 7.8, the Panel </w:t>
      </w:r>
      <w:r w:rsidRPr="00EF08DA">
        <w:rPr>
          <w:lang w:val="en-US"/>
        </w:rPr>
        <w:t xml:space="preserve">expressed the view that </w:t>
      </w:r>
      <w:r w:rsidRPr="00EF08DA">
        <w:t xml:space="preserve">compliance under </w:t>
      </w:r>
      <w:r>
        <w:t>this</w:t>
      </w:r>
      <w:r w:rsidRPr="00EF08DA">
        <w:t xml:space="preserve"> provision can be achieved </w:t>
      </w:r>
      <w:r w:rsidRPr="00EF08DA">
        <w:rPr>
          <w:i/>
        </w:rPr>
        <w:t>only</w:t>
      </w:r>
      <w:r w:rsidRPr="00EF08DA">
        <w:t xml:space="preserve"> if the "implementing Member no longer causes adverse effects through the use of subsidies"</w:t>
      </w:r>
      <w:r w:rsidRPr="00EF08DA">
        <w:rPr>
          <w:vertAlign w:val="superscript"/>
        </w:rPr>
        <w:footnoteReference w:id="920"/>
      </w:r>
      <w:r w:rsidRPr="00EF08DA">
        <w:t xml:space="preserve"> – </w:t>
      </w:r>
      <w:r w:rsidRPr="00CD6877">
        <w:rPr>
          <w:i/>
        </w:rPr>
        <w:t>regardless</w:t>
      </w:r>
      <w:r w:rsidRPr="00EF08DA">
        <w:t xml:space="preserve"> of whether those subsidies had expired due to the passage of time.</w:t>
      </w:r>
      <w:r w:rsidR="00F91606">
        <w:t xml:space="preserve"> The </w:t>
      </w:r>
      <w:r w:rsidRPr="00EF08DA">
        <w:t xml:space="preserve">Panel added that "the mere 'removal' or 'taking </w:t>
      </w:r>
      <w:r>
        <w:t>a</w:t>
      </w:r>
      <w:r w:rsidRPr="00EF08DA">
        <w:t>way' of the relevant measure, in the sense of its termination, may not bring an end to the undesired trade</w:t>
      </w:r>
      <w:r w:rsidR="00F91606">
        <w:t xml:space="preserve"> effects" and may therefore "be </w:t>
      </w:r>
      <w:r w:rsidRPr="00EF08DA">
        <w:t xml:space="preserve">insufficient to establish that </w:t>
      </w:r>
      <w:r>
        <w:t xml:space="preserve">the </w:t>
      </w:r>
      <w:r w:rsidRPr="00EF08DA">
        <w:t>'withdrawal' … has been achieved".</w:t>
      </w:r>
      <w:r w:rsidRPr="00EF08DA">
        <w:rPr>
          <w:rStyle w:val="FootnoteReference"/>
        </w:rPr>
        <w:footnoteReference w:id="921"/>
      </w:r>
      <w:r w:rsidRPr="00EF08DA">
        <w:t xml:space="preserve"> </w:t>
      </w:r>
      <w:r>
        <w:t>On this basis</w:t>
      </w:r>
      <w:r>
        <w:rPr>
          <w:lang w:val="en-CA"/>
        </w:rPr>
        <w:t>, t</w:t>
      </w:r>
      <w:r w:rsidRPr="00EF08DA">
        <w:t xml:space="preserve">he Panel interpreted the </w:t>
      </w:r>
      <w:r w:rsidRPr="00EF08DA">
        <w:rPr>
          <w:lang w:val="en-CA"/>
        </w:rPr>
        <w:t xml:space="preserve">option to "withdraw the subsidy" in Article 7.8 "to refer to any conduct on the part of an implementing Member </w:t>
      </w:r>
      <w:r w:rsidRPr="00EF08DA">
        <w:rPr>
          <w:i/>
          <w:lang w:val="en-CA"/>
        </w:rPr>
        <w:t>in relation to the subsidy</w:t>
      </w:r>
      <w:r w:rsidRPr="00EF08DA">
        <w:rPr>
          <w:lang w:val="en-CA"/>
        </w:rPr>
        <w:t xml:space="preserve"> found to cause adverse effects, which brings that Member into conformity with its obligations under Article 5 of the SCM Agreement".</w:t>
      </w:r>
      <w:r w:rsidRPr="00EF08DA">
        <w:rPr>
          <w:vertAlign w:val="superscript"/>
          <w:lang w:val="en-CA"/>
        </w:rPr>
        <w:footnoteReference w:id="922"/>
      </w:r>
      <w:r w:rsidRPr="00EF08DA">
        <w:t xml:space="preserve"> </w:t>
      </w:r>
      <w:r>
        <w:t>T</w:t>
      </w:r>
      <w:r w:rsidR="00F91606">
        <w:t>he </w:t>
      </w:r>
      <w:r w:rsidRPr="00EF08DA">
        <w:t xml:space="preserve">Panel </w:t>
      </w:r>
      <w:r>
        <w:t xml:space="preserve">thus </w:t>
      </w:r>
      <w:r w:rsidRPr="00EF08DA">
        <w:t>understood "withdraw</w:t>
      </w:r>
      <w:r>
        <w:t>al</w:t>
      </w:r>
      <w:r w:rsidRPr="00EF08DA">
        <w:t xml:space="preserve">" to require, </w:t>
      </w:r>
      <w:r w:rsidRPr="00EF08DA">
        <w:rPr>
          <w:i/>
        </w:rPr>
        <w:t>in each case</w:t>
      </w:r>
      <w:r w:rsidRPr="00EF08DA">
        <w:t xml:space="preserve">, that the implementing Member "remove the adverse effects" of any past subsidies, regardless of whether such subsidies had expired. As detailed below, we have several concerns with the interpretative analysis carried out by the Panel. </w:t>
      </w:r>
    </w:p>
    <w:p w:rsidR="00AE4AC1" w:rsidRDefault="00AE4AC1" w:rsidP="009E6402">
      <w:pPr>
        <w:pStyle w:val="BodyText"/>
      </w:pPr>
      <w:r>
        <w:t>Regarding</w:t>
      </w:r>
      <w:r w:rsidRPr="00EF08DA">
        <w:t xml:space="preserve"> the ordinary meaning of the word "withdraw", we note that the relevant dictionary definitions of this term include: "{d}raw back or remove (a thing) from its place or position"; "{t}ake back or away (something bestowed</w:t>
      </w:r>
      <w:r w:rsidRPr="001075BE">
        <w:t xml:space="preserve"> or enjoyed)"</w:t>
      </w:r>
      <w:r>
        <w:t>;</w:t>
      </w:r>
      <w:r w:rsidRPr="001075BE">
        <w:t xml:space="preserve"> "{c}ease </w:t>
      </w:r>
      <w:r w:rsidRPr="005D50D2">
        <w:rPr>
          <w:i/>
        </w:rPr>
        <w:t>to do</w:t>
      </w:r>
      <w:r w:rsidRPr="001075BE">
        <w:t xml:space="preserve">, refrain </w:t>
      </w:r>
      <w:r w:rsidRPr="005D50D2">
        <w:rPr>
          <w:i/>
        </w:rPr>
        <w:t>from</w:t>
      </w:r>
      <w:r w:rsidRPr="001075BE">
        <w:t xml:space="preserve"> doing".</w:t>
      </w:r>
      <w:r w:rsidRPr="001075BE">
        <w:rPr>
          <w:rStyle w:val="FootnoteReference"/>
        </w:rPr>
        <w:footnoteReference w:id="923"/>
      </w:r>
      <w:r w:rsidRPr="001075BE">
        <w:t xml:space="preserve"> </w:t>
      </w:r>
      <w:r>
        <w:t>This suggests</w:t>
      </w:r>
      <w:r w:rsidRPr="001075BE">
        <w:t xml:space="preserve"> that withdrawal of a subsidy, under </w:t>
      </w:r>
      <w:r>
        <w:t>Article </w:t>
      </w:r>
      <w:r w:rsidRPr="001075BE">
        <w:t xml:space="preserve">7.8 of the </w:t>
      </w:r>
      <w:r>
        <w:t>SCM Agreement</w:t>
      </w:r>
      <w:r w:rsidRPr="001075BE">
        <w:t xml:space="preserve">, </w:t>
      </w:r>
      <w:r>
        <w:lastRenderedPageBreak/>
        <w:t>concerns the taking away</w:t>
      </w:r>
      <w:r w:rsidRPr="001075BE">
        <w:t xml:space="preserve"> of that subsidy</w:t>
      </w:r>
      <w:r>
        <w:t>, and thus that a Mem</w:t>
      </w:r>
      <w:r w:rsidR="00F91606">
        <w:t>ber "granting or maintaining" a </w:t>
      </w:r>
      <w:r>
        <w:t>subsidy cease such conduct</w:t>
      </w:r>
      <w:r w:rsidRPr="001075BE">
        <w:t xml:space="preserve">. </w:t>
      </w:r>
      <w:r>
        <w:t>In order to withdraw a subsidy, an implementing Member may be able to take action to align the terms of the subsidy with a market benchmark, or to otherwise modify the terms of the subsidy such that it no longer qualifies as a subsidy</w:t>
      </w:r>
      <w:r w:rsidRPr="0058257D">
        <w:t xml:space="preserve">. </w:t>
      </w:r>
      <w:r>
        <w:t xml:space="preserve">The Panel reasoned in this regard that it should be possible </w:t>
      </w:r>
      <w:r w:rsidRPr="003037D7">
        <w:t>to find t</w:t>
      </w:r>
      <w:r>
        <w:t>hat an implementing Member has "withdrawn" – i.e. "taken away"</w:t>
      </w:r>
      <w:r w:rsidRPr="003037D7">
        <w:t xml:space="preserve"> </w:t>
      </w:r>
      <w:r>
        <w:t>– "</w:t>
      </w:r>
      <w:r w:rsidRPr="003037D7">
        <w:t xml:space="preserve">a </w:t>
      </w:r>
      <w:r w:rsidRPr="003037D7">
        <w:rPr>
          <w:i/>
          <w:iCs/>
        </w:rPr>
        <w:t xml:space="preserve">subsidy found to cause adverse effects </w:t>
      </w:r>
      <w:r w:rsidRPr="003037D7">
        <w:t xml:space="preserve">when </w:t>
      </w:r>
      <w:r w:rsidRPr="00793F76">
        <w:rPr>
          <w:u w:val="single"/>
        </w:rPr>
        <w:t>the terms or conditions of that subsidy have been modified</w:t>
      </w:r>
      <w:r w:rsidRPr="003037D7">
        <w:t xml:space="preserve"> in a way that ensures it no longer causes adverse effects.</w:t>
      </w:r>
      <w:r>
        <w:t>"</w:t>
      </w:r>
      <w:r>
        <w:rPr>
          <w:rStyle w:val="FootnoteReference"/>
        </w:rPr>
        <w:footnoteReference w:id="924"/>
      </w:r>
      <w:r>
        <w:t xml:space="preserve"> However, it is not clear to us how an implementing Member could modify the terms and conditions of subsidies that no longer exist. Moreover, while the pathway identified by the Panel – i.e. modification of the </w:t>
      </w:r>
      <w:r w:rsidRPr="003037D7">
        <w:t xml:space="preserve">terms or conditions of </w:t>
      </w:r>
      <w:r>
        <w:t>a</w:t>
      </w:r>
      <w:r w:rsidRPr="003037D7">
        <w:t xml:space="preserve"> subsidy in a way that ensures it no longer causes adverse effects</w:t>
      </w:r>
      <w:r>
        <w:t xml:space="preserve"> – may provide one way for an implementing Member to come into compliance with its obligations under Article 7.8, we do not see how it would effectively differ from the other compliance option provided for under this provision: </w:t>
      </w:r>
      <w:r w:rsidRPr="002A7859">
        <w:t>the option of taking "appropriate steps to remove the adverse effects"</w:t>
      </w:r>
      <w:r>
        <w:t>.</w:t>
      </w:r>
    </w:p>
    <w:p w:rsidR="00AE4AC1" w:rsidRDefault="00AE4AC1" w:rsidP="009E6402">
      <w:pPr>
        <w:pStyle w:val="BodyText"/>
      </w:pPr>
      <w:r>
        <w:t>This</w:t>
      </w:r>
      <w:r w:rsidRPr="002A7859">
        <w:t xml:space="preserve"> </w:t>
      </w:r>
      <w:r>
        <w:t>second option for compliance under Article 7.8 refers to an approach where an implementing Member may come into conformity with its obligations under this provision "</w:t>
      </w:r>
      <w:r w:rsidRPr="00B96AAA">
        <w:rPr>
          <w:i/>
        </w:rPr>
        <w:t>without</w:t>
      </w:r>
      <w:r w:rsidR="00F91606">
        <w:t> </w:t>
      </w:r>
      <w:r>
        <w:t xml:space="preserve">taking any specific action </w:t>
      </w:r>
      <w:r w:rsidRPr="00B96AAA">
        <w:rPr>
          <w:i/>
        </w:rPr>
        <w:t>in relation to the subsidy</w:t>
      </w:r>
      <w:r>
        <w:t xml:space="preserve"> found to cause adverse effects".</w:t>
      </w:r>
      <w:r w:rsidRPr="001075BE">
        <w:rPr>
          <w:rStyle w:val="FootnoteReference"/>
        </w:rPr>
        <w:footnoteReference w:id="925"/>
      </w:r>
      <w:r>
        <w:t xml:space="preserve"> </w:t>
      </w:r>
      <w:r w:rsidR="00F91606">
        <w:t>As </w:t>
      </w:r>
      <w:r w:rsidRPr="002A7859">
        <w:t>noted by the Panel, an implementing</w:t>
      </w:r>
      <w:r w:rsidRPr="001075BE">
        <w:t xml:space="preserve"> Member might </w:t>
      </w:r>
      <w:r>
        <w:t>cho</w:t>
      </w:r>
      <w:r w:rsidR="00AD2E12">
        <w:t>o</w:t>
      </w:r>
      <w:r>
        <w:t>se, for example, t</w:t>
      </w:r>
      <w:r w:rsidR="00F91606">
        <w:t>o adopt "WTO</w:t>
      </w:r>
      <w:r w:rsidR="00F91606">
        <w:noBreakHyphen/>
      </w:r>
      <w:r w:rsidRPr="001075BE">
        <w:t>consistent regulatory, policy or other initiatives that would alter the effects of a subsidy in the marketplace".</w:t>
      </w:r>
      <w:r w:rsidRPr="001075BE">
        <w:rPr>
          <w:rStyle w:val="FootnoteReference"/>
        </w:rPr>
        <w:footnoteReference w:id="926"/>
      </w:r>
      <w:r>
        <w:t xml:space="preserve"> It</w:t>
      </w:r>
      <w:r w:rsidRPr="00AA663F">
        <w:t xml:space="preserve"> is also conceivable that</w:t>
      </w:r>
      <w:r>
        <w:t xml:space="preserve"> </w:t>
      </w:r>
      <w:r w:rsidRPr="00AA663F">
        <w:t>such "steps"</w:t>
      </w:r>
      <w:r>
        <w:t xml:space="preserve"> could encompass</w:t>
      </w:r>
      <w:r w:rsidRPr="00AA663F">
        <w:t xml:space="preserve"> actions </w:t>
      </w:r>
      <w:r>
        <w:t>in relation to the subsidy itself</w:t>
      </w:r>
      <w:r w:rsidRPr="00AA663F">
        <w:t xml:space="preserve">, such as </w:t>
      </w:r>
      <w:r>
        <w:t>those described above</w:t>
      </w:r>
      <w:r w:rsidRPr="00AA663F">
        <w:t>.</w:t>
      </w:r>
    </w:p>
    <w:p w:rsidR="00AE4AC1" w:rsidRPr="00487FE2" w:rsidRDefault="00AE4AC1" w:rsidP="009E6402">
      <w:pPr>
        <w:pStyle w:val="BodyText"/>
      </w:pPr>
      <w:r>
        <w:t>That said, the compliance options under Article 7.8 carry distinct meaning, as is made clear by the use of word "or" in Article 7.8. Indeed, the Appellate Body has emphasized that a</w:t>
      </w:r>
      <w:r w:rsidRPr="00D44298">
        <w:t xml:space="preserve"> panel must "assess whether the Member concerned has taken </w:t>
      </w:r>
      <w:r w:rsidRPr="000476FF">
        <w:rPr>
          <w:i/>
        </w:rPr>
        <w:t>one</w:t>
      </w:r>
      <w:r w:rsidRPr="00D44298">
        <w:t xml:space="preserve"> of the actions foreseen in Article</w:t>
      </w:r>
      <w:r>
        <w:t> </w:t>
      </w:r>
      <w:r w:rsidRPr="00D44298">
        <w:t>7.8"</w:t>
      </w:r>
      <w:r>
        <w:t>.</w:t>
      </w:r>
      <w:r w:rsidRPr="00D44298">
        <w:rPr>
          <w:rStyle w:val="FootnoteReference"/>
        </w:rPr>
        <w:footnoteReference w:id="927"/>
      </w:r>
      <w:r>
        <w:t xml:space="preserve"> A Member is not required to "take appropriate steps to remove the adverse effects" of a subsidy </w:t>
      </w:r>
      <w:r w:rsidRPr="00AC27BB">
        <w:rPr>
          <w:i/>
        </w:rPr>
        <w:t>and</w:t>
      </w:r>
      <w:r>
        <w:t xml:space="preserve"> to "withdraw" the same subsidy</w:t>
      </w:r>
      <w:r w:rsidRPr="00CC79EA">
        <w:t>.</w:t>
      </w:r>
      <w:r>
        <w:t xml:space="preserve"> Rather, either of these actions can achieve compliance. We therefore find it troubling that the Panel's reading of Article 7.8 appears to reduce and collapse these two implementation options into a single option that is concerned with the removal of any adverse effects caused by any subsidies.</w:t>
      </w:r>
      <w:r w:rsidRPr="000476FF">
        <w:t xml:space="preserve"> </w:t>
      </w:r>
    </w:p>
    <w:p w:rsidR="00AE4AC1" w:rsidRPr="005177DE" w:rsidRDefault="00AE4AC1" w:rsidP="009E6402">
      <w:pPr>
        <w:pStyle w:val="BodyText"/>
      </w:pPr>
      <w:r w:rsidRPr="000476FF">
        <w:t xml:space="preserve">In </w:t>
      </w:r>
      <w:r>
        <w:t>order to justify its reading of Article 7.8 of the SCM Agreement</w:t>
      </w:r>
      <w:r w:rsidRPr="000476FF">
        <w:t xml:space="preserve">, the Panel referred to "the context and object and purpose </w:t>
      </w:r>
      <w:r w:rsidRPr="00487FE2">
        <w:t>of Article 7.8".</w:t>
      </w:r>
      <w:r>
        <w:rPr>
          <w:rStyle w:val="FootnoteReference"/>
        </w:rPr>
        <w:footnoteReference w:id="928"/>
      </w:r>
      <w:r>
        <w:t xml:space="preserve"> </w:t>
      </w:r>
      <w:r w:rsidRPr="00487FE2">
        <w:t>In this regard, we note that t</w:t>
      </w:r>
      <w:r w:rsidRPr="005177DE">
        <w:rPr>
          <w:lang w:val="en-AU"/>
        </w:rPr>
        <w:t>he title of Article 7</w:t>
      </w:r>
      <w:r>
        <w:rPr>
          <w:lang w:val="en-AU"/>
        </w:rPr>
        <w:t xml:space="preserve"> of the SCM Agreement is</w:t>
      </w:r>
      <w:r w:rsidRPr="005177DE">
        <w:rPr>
          <w:lang w:val="en-AU"/>
        </w:rPr>
        <w:t xml:space="preserve"> "Remedies", </w:t>
      </w:r>
      <w:r>
        <w:rPr>
          <w:lang w:val="en-AU"/>
        </w:rPr>
        <w:t xml:space="preserve">which </w:t>
      </w:r>
      <w:r w:rsidRPr="00487FE2">
        <w:t>situates Article 7.8</w:t>
      </w:r>
      <w:r>
        <w:t xml:space="preserve"> </w:t>
      </w:r>
      <w:r w:rsidRPr="00487FE2">
        <w:t xml:space="preserve">within a broader </w:t>
      </w:r>
      <w:r>
        <w:t>range</w:t>
      </w:r>
      <w:r w:rsidRPr="00487FE2">
        <w:t xml:space="preserve"> of provisions applicable to disputes regarding actionable subsidies that have been found to be inconsistent with Articles 5 and 6 of </w:t>
      </w:r>
      <w:r>
        <w:t>this Agreement</w:t>
      </w:r>
      <w:r w:rsidRPr="00487FE2">
        <w:t xml:space="preserve">. </w:t>
      </w:r>
      <w:r>
        <w:t xml:space="preserve">Moreover, </w:t>
      </w:r>
      <w:r w:rsidRPr="00487FE2">
        <w:t>Article</w:t>
      </w:r>
      <w:r>
        <w:t> </w:t>
      </w:r>
      <w:r w:rsidRPr="00487FE2">
        <w:t>7.8 refers</w:t>
      </w:r>
      <w:r>
        <w:t xml:space="preserve"> expressly </w:t>
      </w:r>
      <w:r w:rsidRPr="00487FE2">
        <w:t xml:space="preserve">to "adverse effects </w:t>
      </w:r>
      <w:r w:rsidR="00AD2E12">
        <w:t xml:space="preserve">… </w:t>
      </w:r>
      <w:r w:rsidRPr="00487FE2">
        <w:t>within the meaning of Article 5"</w:t>
      </w:r>
      <w:r>
        <w:t>, which states</w:t>
      </w:r>
      <w:r w:rsidRPr="00487FE2">
        <w:t xml:space="preserve"> that "{n}o Member should cause, </w:t>
      </w:r>
      <w:r w:rsidRPr="005177DE">
        <w:rPr>
          <w:i/>
        </w:rPr>
        <w:t>through the use of any subsidy</w:t>
      </w:r>
      <w:r w:rsidRPr="00487FE2">
        <w:t xml:space="preserve"> referred to in paragraphs</w:t>
      </w:r>
      <w:r>
        <w:t> </w:t>
      </w:r>
      <w:r w:rsidRPr="00487FE2">
        <w:t>1 and</w:t>
      </w:r>
      <w:r>
        <w:t> </w:t>
      </w:r>
      <w:r w:rsidRPr="00487FE2">
        <w:t xml:space="preserve">2 of Article 1, </w:t>
      </w:r>
      <w:r w:rsidRPr="005177DE">
        <w:rPr>
          <w:i/>
        </w:rPr>
        <w:t>adverse effects</w:t>
      </w:r>
      <w:r w:rsidRPr="00487FE2">
        <w:t xml:space="preserve"> to the interests of other Members".</w:t>
      </w:r>
      <w:r>
        <w:rPr>
          <w:rStyle w:val="FootnoteReference"/>
        </w:rPr>
        <w:footnoteReference w:id="929"/>
      </w:r>
      <w:r w:rsidRPr="005177DE">
        <w:rPr>
          <w:bCs/>
        </w:rPr>
        <w:t xml:space="preserve"> </w:t>
      </w:r>
    </w:p>
    <w:p w:rsidR="00AE4AC1" w:rsidRPr="001075BE" w:rsidRDefault="00AE4AC1" w:rsidP="009E6402">
      <w:pPr>
        <w:pStyle w:val="BodyText"/>
      </w:pPr>
      <w:r w:rsidRPr="005177DE">
        <w:rPr>
          <w:bCs/>
        </w:rPr>
        <w:t xml:space="preserve">As we see it, Article 5 </w:t>
      </w:r>
      <w:r w:rsidRPr="00487FE2">
        <w:t>and</w:t>
      </w:r>
      <w:r w:rsidRPr="005177DE">
        <w:rPr>
          <w:bCs/>
        </w:rPr>
        <w:t xml:space="preserve"> Article 7.8 </w:t>
      </w:r>
      <w:r>
        <w:rPr>
          <w:bCs/>
        </w:rPr>
        <w:t xml:space="preserve">of the SCM Agreement </w:t>
      </w:r>
      <w:r w:rsidRPr="005177DE">
        <w:rPr>
          <w:bCs/>
        </w:rPr>
        <w:t>concern two related but distinct inquir</w:t>
      </w:r>
      <w:r>
        <w:rPr>
          <w:bCs/>
        </w:rPr>
        <w:t>i</w:t>
      </w:r>
      <w:r w:rsidRPr="005177DE">
        <w:rPr>
          <w:bCs/>
        </w:rPr>
        <w:t xml:space="preserve">es: while the former seeks to establish the existence of adverse effects and the causal link between </w:t>
      </w:r>
      <w:r w:rsidRPr="005177DE">
        <w:rPr>
          <w:bCs/>
          <w:i/>
        </w:rPr>
        <w:t>any</w:t>
      </w:r>
      <w:r w:rsidRPr="005177DE">
        <w:rPr>
          <w:bCs/>
        </w:rPr>
        <w:t xml:space="preserve"> subsidy and the adverse effects found to exist, the latter specifies the </w:t>
      </w:r>
      <w:r>
        <w:rPr>
          <w:bCs/>
          <w:i/>
        </w:rPr>
        <w:t xml:space="preserve">compliance </w:t>
      </w:r>
      <w:r w:rsidRPr="005177DE">
        <w:rPr>
          <w:bCs/>
          <w:i/>
        </w:rPr>
        <w:t>actions to be taken</w:t>
      </w:r>
      <w:r w:rsidRPr="005177DE">
        <w:rPr>
          <w:bCs/>
        </w:rPr>
        <w:t xml:space="preserve"> by a Member granting or maintaining </w:t>
      </w:r>
      <w:r w:rsidRPr="005177DE">
        <w:rPr>
          <w:bCs/>
          <w:i/>
        </w:rPr>
        <w:t xml:space="preserve">a subsidy </w:t>
      </w:r>
      <w:r w:rsidRPr="005177DE">
        <w:rPr>
          <w:bCs/>
        </w:rPr>
        <w:t>found to have caused or to cause adverse effects. The Panel's analysis of Article 5 appears to blur the distinction between these two provisions and, as the European Union suggests, to "collapse{} the substantive obligations under Article 5 and the implementation obligations under Article 7.8".</w:t>
      </w:r>
      <w:r w:rsidRPr="00C04CC9">
        <w:rPr>
          <w:rStyle w:val="FootnoteReference"/>
          <w:bCs/>
        </w:rPr>
        <w:footnoteReference w:id="930"/>
      </w:r>
      <w:r w:rsidRPr="005177DE">
        <w:rPr>
          <w:bCs/>
        </w:rPr>
        <w:t xml:space="preserve"> We note in particular that</w:t>
      </w:r>
      <w:r>
        <w:rPr>
          <w:bCs/>
        </w:rPr>
        <w:t>,</w:t>
      </w:r>
      <w:r w:rsidRPr="005177DE">
        <w:rPr>
          <w:bCs/>
        </w:rPr>
        <w:t xml:space="preserve"> i</w:t>
      </w:r>
      <w:r w:rsidRPr="001075BE">
        <w:t xml:space="preserve">n </w:t>
      </w:r>
      <w:r>
        <w:t xml:space="preserve">its analysis of the compliance obligations that an implementing Member has under Article 7.8, the Panel relied heavily on what it characterized as the "effects-based nature" of </w:t>
      </w:r>
      <w:r>
        <w:lastRenderedPageBreak/>
        <w:t>Article 5 of the SCM Agreement.</w:t>
      </w:r>
      <w:r w:rsidRPr="001075BE">
        <w:rPr>
          <w:rStyle w:val="FootnoteReference"/>
        </w:rPr>
        <w:footnoteReference w:id="931"/>
      </w:r>
      <w:r w:rsidRPr="001075BE">
        <w:t xml:space="preserve"> The Panel referred in particular to the</w:t>
      </w:r>
      <w:r>
        <w:t xml:space="preserve"> following passage of the Appellate Body report in</w:t>
      </w:r>
      <w:r w:rsidRPr="001075BE">
        <w:t xml:space="preserve"> </w:t>
      </w:r>
      <w:r w:rsidRPr="005177DE">
        <w:rPr>
          <w:i/>
        </w:rPr>
        <w:t>EC and certain member States – Large Civil Aircraft</w:t>
      </w:r>
      <w:r w:rsidRPr="001075BE">
        <w:t>:</w:t>
      </w:r>
    </w:p>
    <w:p w:rsidR="00AE4AC1" w:rsidRPr="00CC79EA" w:rsidRDefault="00AE4AC1" w:rsidP="00267BCB">
      <w:pPr>
        <w:pStyle w:val="Quotation"/>
        <w:rPr>
          <w:szCs w:val="20"/>
        </w:rPr>
      </w:pPr>
      <w:r>
        <w:rPr>
          <w:szCs w:val="20"/>
        </w:rPr>
        <w:t>Article </w:t>
      </w:r>
      <w:r w:rsidRPr="00CC79EA">
        <w:rPr>
          <w:szCs w:val="20"/>
        </w:rPr>
        <w:t xml:space="preserve">5 of </w:t>
      </w:r>
      <w:r w:rsidRPr="003A5062">
        <w:rPr>
          <w:szCs w:val="20"/>
        </w:rPr>
        <w:t>the SCM Agreement</w:t>
      </w:r>
      <w:r w:rsidRPr="00CC79EA">
        <w:rPr>
          <w:szCs w:val="20"/>
        </w:rPr>
        <w:t xml:space="preserve"> imposes an obligation on Members not to cause adverse effects to the interests of other Members through the use of any subsidy as defined in </w:t>
      </w:r>
      <w:r>
        <w:rPr>
          <w:szCs w:val="20"/>
        </w:rPr>
        <w:t>Article </w:t>
      </w:r>
      <w:r w:rsidRPr="00CC79EA">
        <w:rPr>
          <w:szCs w:val="20"/>
        </w:rPr>
        <w:t xml:space="preserve">1. </w:t>
      </w:r>
      <w:r w:rsidRPr="00CC79EA">
        <w:rPr>
          <w:i/>
          <w:szCs w:val="20"/>
        </w:rPr>
        <w:t>We disagree with the proposition that this obligation does not arise in respect of subsidies that have come to an end by the time of the reference period. In fact, we do not exclude that, under certain circumstances, a past subsidy that no longer exists may be found to cause or have caused adverse effects that continue to be present during the reference period</w:t>
      </w:r>
      <w:r w:rsidRPr="00CC79EA">
        <w:rPr>
          <w:szCs w:val="20"/>
        </w:rPr>
        <w:t>.</w:t>
      </w:r>
      <w:r w:rsidRPr="00CC79EA">
        <w:rPr>
          <w:rStyle w:val="FootnoteReference"/>
          <w:szCs w:val="20"/>
        </w:rPr>
        <w:footnoteReference w:id="932"/>
      </w:r>
    </w:p>
    <w:p w:rsidR="00AE4AC1" w:rsidRPr="00CC79EA" w:rsidRDefault="00AE4AC1" w:rsidP="009E6402">
      <w:pPr>
        <w:pStyle w:val="BodyText"/>
      </w:pPr>
      <w:r>
        <w:t>This passage r</w:t>
      </w:r>
      <w:r w:rsidRPr="00CC79EA">
        <w:t>ecognize</w:t>
      </w:r>
      <w:r>
        <w:t>s</w:t>
      </w:r>
      <w:r w:rsidRPr="005177DE">
        <w:rPr>
          <w:bCs/>
        </w:rPr>
        <w:t xml:space="preserve"> that a subsidy and its effects need not be contemporaneous.</w:t>
      </w:r>
      <w:r>
        <w:rPr>
          <w:rStyle w:val="FootnoteReference"/>
          <w:bCs/>
        </w:rPr>
        <w:footnoteReference w:id="933"/>
      </w:r>
      <w:r w:rsidRPr="005177DE">
        <w:rPr>
          <w:bCs/>
        </w:rPr>
        <w:t xml:space="preserve"> Contrary to what the Panel appears to have assumed, </w:t>
      </w:r>
      <w:r w:rsidRPr="001F7BAA">
        <w:rPr>
          <w:bCs/>
        </w:rPr>
        <w:t xml:space="preserve">it does not follow from this that the effects of a subsidy can be detached from the subsidy itself such that </w:t>
      </w:r>
      <w:r>
        <w:rPr>
          <w:bCs/>
        </w:rPr>
        <w:t>these effects</w:t>
      </w:r>
      <w:r w:rsidRPr="001F7BAA">
        <w:rPr>
          <w:bCs/>
        </w:rPr>
        <w:t xml:space="preserve"> could be subject to a separate compliance obligation under Article 7.8. When a subsidy has expired such that it is no longer in existence,</w:t>
      </w:r>
      <w:r w:rsidRPr="00FA333D">
        <w:rPr>
          <w:bCs/>
        </w:rPr>
        <w:t xml:space="preserve"> we cannot see how a compliance obligation could still apply to lingering effects of such a past subsidy. </w:t>
      </w:r>
      <w:r w:rsidRPr="00CC79EA">
        <w:t xml:space="preserve">Rather, what is relevant for </w:t>
      </w:r>
      <w:r>
        <w:t>Article </w:t>
      </w:r>
      <w:r w:rsidRPr="00CC79EA">
        <w:t>5</w:t>
      </w:r>
      <w:r>
        <w:t>, as well as for Article 7.8,</w:t>
      </w:r>
      <w:r w:rsidRPr="00CC79EA">
        <w:t xml:space="preserve"> is the </w:t>
      </w:r>
      <w:r w:rsidRPr="005177DE">
        <w:rPr>
          <w:i/>
        </w:rPr>
        <w:t xml:space="preserve">causing </w:t>
      </w:r>
      <w:r w:rsidRPr="00CC79EA">
        <w:t>of adverse effects through the use of the</w:t>
      </w:r>
      <w:r w:rsidRPr="001075BE">
        <w:t xml:space="preserve"> subsidy. </w:t>
      </w:r>
      <w:r w:rsidRPr="005177DE">
        <w:rPr>
          <w:bCs/>
        </w:rPr>
        <w:t>While</w:t>
      </w:r>
      <w:r w:rsidRPr="00487FE2">
        <w:t xml:space="preserve"> a past subsidy that no longer exists may "be found to cause or have caused adverse effects that continue to be present during the reference period"</w:t>
      </w:r>
      <w:r w:rsidRPr="00487FE2">
        <w:rPr>
          <w:rStyle w:val="FootnoteReference"/>
        </w:rPr>
        <w:footnoteReference w:id="934"/>
      </w:r>
      <w:r w:rsidRPr="00487FE2">
        <w:t xml:space="preserve">, the </w:t>
      </w:r>
      <w:r w:rsidRPr="005177DE">
        <w:rPr>
          <w:i/>
        </w:rPr>
        <w:t>source</w:t>
      </w:r>
      <w:r w:rsidRPr="00487FE2">
        <w:t xml:space="preserve"> of the inconsistency under Article 5 is nonetheless the </w:t>
      </w:r>
      <w:r w:rsidRPr="005177DE">
        <w:rPr>
          <w:i/>
        </w:rPr>
        <w:t>subsidy</w:t>
      </w:r>
      <w:r w:rsidRPr="00487FE2">
        <w:t xml:space="preserve"> that causes adverse effects.</w:t>
      </w:r>
      <w:r w:rsidRPr="005177DE">
        <w:rPr>
          <w:bCs/>
        </w:rPr>
        <w:t xml:space="preserve"> </w:t>
      </w:r>
      <w:r w:rsidRPr="003A5062">
        <w:rPr>
          <w:bCs/>
        </w:rPr>
        <w:t>The option to "withdraw the subsidy" under Article 7.8 contemplates action</w:t>
      </w:r>
      <w:r w:rsidRPr="003A5062">
        <w:t xml:space="preserve"> in relation to the subsidy found to have caused adverse effects</w:t>
      </w:r>
      <w:r>
        <w:rPr>
          <w:bCs/>
        </w:rPr>
        <w:t xml:space="preserve">. To the extent that the underlying subsidy has ceased to exist, </w:t>
      </w:r>
      <w:r>
        <w:t>there is no additional req</w:t>
      </w:r>
      <w:r w:rsidR="00F91606">
        <w:t>uirement, under Article 7.8, to </w:t>
      </w:r>
      <w:r>
        <w:t>remove any lingering effects that may flow from that subsidy.</w:t>
      </w:r>
      <w:r w:rsidRPr="005E0C01">
        <w:rPr>
          <w:bCs/>
        </w:rPr>
        <w:t xml:space="preserve"> We </w:t>
      </w:r>
      <w:r>
        <w:rPr>
          <w:bCs/>
        </w:rPr>
        <w:t xml:space="preserve">therefore </w:t>
      </w:r>
      <w:r w:rsidRPr="005E0C01">
        <w:rPr>
          <w:bCs/>
        </w:rPr>
        <w:t>disagree with the Panel that it follows from the so</w:t>
      </w:r>
      <w:r w:rsidRPr="005E0C01">
        <w:rPr>
          <w:bCs/>
        </w:rPr>
        <w:noBreakHyphen/>
        <w:t>called "effects</w:t>
      </w:r>
      <w:r w:rsidRPr="005E0C01">
        <w:rPr>
          <w:bCs/>
        </w:rPr>
        <w:noBreakHyphen/>
        <w:t xml:space="preserve">based nature" of the discipline </w:t>
      </w:r>
      <w:r>
        <w:rPr>
          <w:bCs/>
        </w:rPr>
        <w:t>of</w:t>
      </w:r>
      <w:r w:rsidRPr="005E0C01">
        <w:rPr>
          <w:bCs/>
        </w:rPr>
        <w:t xml:space="preserve"> Article 5 that an implementing Member would have a </w:t>
      </w:r>
      <w:r w:rsidRPr="00CC79EA">
        <w:t xml:space="preserve">compliance obligation under </w:t>
      </w:r>
      <w:r>
        <w:t>Article </w:t>
      </w:r>
      <w:r w:rsidRPr="00CC79EA">
        <w:t xml:space="preserve">7.8 </w:t>
      </w:r>
      <w:r>
        <w:t>regardless of whether the subsidy continues to exist</w:t>
      </w:r>
      <w:r w:rsidRPr="00CC79EA">
        <w:t>.</w:t>
      </w:r>
      <w:r w:rsidRPr="00CC79EA">
        <w:rPr>
          <w:rStyle w:val="FootnoteReference"/>
        </w:rPr>
        <w:footnoteReference w:id="935"/>
      </w:r>
    </w:p>
    <w:p w:rsidR="00AE4AC1" w:rsidRPr="001075BE" w:rsidRDefault="00AE4AC1" w:rsidP="009E6402">
      <w:pPr>
        <w:pStyle w:val="BodyText"/>
      </w:pPr>
      <w:r w:rsidRPr="00CC79EA">
        <w:rPr>
          <w:bCs/>
        </w:rPr>
        <w:t xml:space="preserve">The </w:t>
      </w:r>
      <w:r>
        <w:rPr>
          <w:bCs/>
        </w:rPr>
        <w:t>United States</w:t>
      </w:r>
      <w:r w:rsidRPr="00CC79EA">
        <w:rPr>
          <w:bCs/>
        </w:rPr>
        <w:t xml:space="preserve"> contends that </w:t>
      </w:r>
      <w:r>
        <w:rPr>
          <w:bCs/>
        </w:rPr>
        <w:t>Article </w:t>
      </w:r>
      <w:r w:rsidRPr="00CC79EA">
        <w:rPr>
          <w:bCs/>
        </w:rPr>
        <w:t>7.8</w:t>
      </w:r>
      <w:r>
        <w:rPr>
          <w:bCs/>
        </w:rPr>
        <w:t xml:space="preserve"> </w:t>
      </w:r>
      <w:r w:rsidRPr="00CC79EA">
        <w:rPr>
          <w:bCs/>
        </w:rPr>
        <w:t xml:space="preserve">is "a </w:t>
      </w:r>
      <w:r w:rsidRPr="00CC79EA">
        <w:rPr>
          <w:bCs/>
          <w:i/>
        </w:rPr>
        <w:t>means</w:t>
      </w:r>
      <w:r w:rsidRPr="00CC79EA">
        <w:rPr>
          <w:bCs/>
        </w:rPr>
        <w:t xml:space="preserve"> by which to achieve the</w:t>
      </w:r>
      <w:r w:rsidRPr="001075BE">
        <w:rPr>
          <w:bCs/>
        </w:rPr>
        <w:t xml:space="preserve"> objective of full compliance with </w:t>
      </w:r>
      <w:r>
        <w:rPr>
          <w:bCs/>
        </w:rPr>
        <w:t>Article </w:t>
      </w:r>
      <w:r w:rsidRPr="001075BE">
        <w:rPr>
          <w:bCs/>
        </w:rPr>
        <w:t>5"</w:t>
      </w:r>
      <w:r w:rsidRPr="001075BE">
        <w:rPr>
          <w:rStyle w:val="FootnoteReference"/>
          <w:bCs/>
        </w:rPr>
        <w:footnoteReference w:id="936"/>
      </w:r>
      <w:r w:rsidRPr="001075BE">
        <w:rPr>
          <w:bCs/>
        </w:rPr>
        <w:t xml:space="preserve">, and that the Panel was correct in recognizing that </w:t>
      </w:r>
      <w:r>
        <w:rPr>
          <w:bCs/>
        </w:rPr>
        <w:t>Article </w:t>
      </w:r>
      <w:r w:rsidRPr="001075BE">
        <w:rPr>
          <w:bCs/>
        </w:rPr>
        <w:t xml:space="preserve">5 provides critical context for interpreting </w:t>
      </w:r>
      <w:r>
        <w:rPr>
          <w:bCs/>
        </w:rPr>
        <w:t>Article </w:t>
      </w:r>
      <w:r w:rsidRPr="001075BE">
        <w:rPr>
          <w:bCs/>
        </w:rPr>
        <w:t xml:space="preserve">7.8. According to the </w:t>
      </w:r>
      <w:r>
        <w:rPr>
          <w:bCs/>
        </w:rPr>
        <w:t>United States</w:t>
      </w:r>
      <w:r w:rsidR="00F91606">
        <w:rPr>
          <w:bCs/>
        </w:rPr>
        <w:t>, the </w:t>
      </w:r>
      <w:r>
        <w:rPr>
          <w:bCs/>
        </w:rPr>
        <w:t>European Union</w:t>
      </w:r>
      <w:r w:rsidRPr="001075BE">
        <w:rPr>
          <w:bCs/>
        </w:rPr>
        <w:t xml:space="preserve">'s </w:t>
      </w:r>
      <w:r w:rsidRPr="00E37AF5">
        <w:t>interpretation</w:t>
      </w:r>
      <w:r w:rsidRPr="001075BE">
        <w:rPr>
          <w:bCs/>
        </w:rPr>
        <w:t xml:space="preserve"> of </w:t>
      </w:r>
      <w:r>
        <w:rPr>
          <w:bCs/>
        </w:rPr>
        <w:t>Article </w:t>
      </w:r>
      <w:r w:rsidRPr="001075BE">
        <w:rPr>
          <w:bCs/>
        </w:rPr>
        <w:t>7.8 "divorce</w:t>
      </w:r>
      <w:r>
        <w:rPr>
          <w:bCs/>
        </w:rPr>
        <w:t>{</w:t>
      </w:r>
      <w:r w:rsidRPr="001075BE">
        <w:rPr>
          <w:bCs/>
        </w:rPr>
        <w:t>s</w:t>
      </w:r>
      <w:r>
        <w:rPr>
          <w:bCs/>
        </w:rPr>
        <w:t>}</w:t>
      </w:r>
      <w:r w:rsidRPr="001075BE">
        <w:rPr>
          <w:bCs/>
        </w:rPr>
        <w:t xml:space="preserve">" this provision from </w:t>
      </w:r>
      <w:r>
        <w:rPr>
          <w:bCs/>
        </w:rPr>
        <w:t>Article </w:t>
      </w:r>
      <w:r w:rsidRPr="001075BE">
        <w:rPr>
          <w:bCs/>
        </w:rPr>
        <w:t>5</w:t>
      </w:r>
      <w:r w:rsidRPr="001075BE">
        <w:rPr>
          <w:rStyle w:val="FootnoteReference"/>
          <w:bCs/>
        </w:rPr>
        <w:footnoteReference w:id="937"/>
      </w:r>
      <w:r w:rsidR="00F91606">
        <w:rPr>
          <w:bCs/>
        </w:rPr>
        <w:t>, and </w:t>
      </w:r>
      <w:r w:rsidRPr="001075BE">
        <w:rPr>
          <w:bCs/>
        </w:rPr>
        <w:t>would mean that a Member that is causing adverse effects th</w:t>
      </w:r>
      <w:r>
        <w:rPr>
          <w:bCs/>
        </w:rPr>
        <w:t>rough the use of a subsidy "has </w:t>
      </w:r>
      <w:r w:rsidRPr="001075BE">
        <w:rPr>
          <w:bCs/>
        </w:rPr>
        <w:t>different substantive obligations at different stages of a proceeding".</w:t>
      </w:r>
      <w:r w:rsidRPr="001075BE">
        <w:rPr>
          <w:rStyle w:val="FootnoteReference"/>
          <w:bCs/>
        </w:rPr>
        <w:footnoteReference w:id="938"/>
      </w:r>
      <w:r w:rsidRPr="001075BE">
        <w:rPr>
          <w:bCs/>
        </w:rPr>
        <w:t xml:space="preserve"> Specifically, in original proceeding</w:t>
      </w:r>
      <w:r>
        <w:rPr>
          <w:bCs/>
        </w:rPr>
        <w:t>s</w:t>
      </w:r>
      <w:r w:rsidRPr="001075BE">
        <w:rPr>
          <w:bCs/>
        </w:rPr>
        <w:t xml:space="preserve">, </w:t>
      </w:r>
      <w:r>
        <w:rPr>
          <w:bCs/>
        </w:rPr>
        <w:t>Article </w:t>
      </w:r>
      <w:r w:rsidRPr="001075BE">
        <w:rPr>
          <w:bCs/>
        </w:rPr>
        <w:t>5 would require a Member not to cause adverse effects through the use of any subsidies, including expired subsidies, but</w:t>
      </w:r>
      <w:r>
        <w:rPr>
          <w:bCs/>
        </w:rPr>
        <w:t>,</w:t>
      </w:r>
      <w:r w:rsidRPr="001075BE">
        <w:rPr>
          <w:bCs/>
        </w:rPr>
        <w:t xml:space="preserve"> in compliance proceeding</w:t>
      </w:r>
      <w:r>
        <w:rPr>
          <w:bCs/>
        </w:rPr>
        <w:t>s</w:t>
      </w:r>
      <w:r w:rsidRPr="001075BE">
        <w:rPr>
          <w:bCs/>
        </w:rPr>
        <w:t xml:space="preserve">, </w:t>
      </w:r>
      <w:r>
        <w:rPr>
          <w:bCs/>
        </w:rPr>
        <w:t>Article </w:t>
      </w:r>
      <w:r w:rsidRPr="001075BE">
        <w:rPr>
          <w:bCs/>
        </w:rPr>
        <w:t xml:space="preserve">7.8 would apply in isolation, and </w:t>
      </w:r>
      <w:r>
        <w:rPr>
          <w:bCs/>
        </w:rPr>
        <w:t xml:space="preserve">a </w:t>
      </w:r>
      <w:r w:rsidRPr="001075BE">
        <w:rPr>
          <w:bCs/>
        </w:rPr>
        <w:t xml:space="preserve">Member that causes adverse effects through the use </w:t>
      </w:r>
      <w:r>
        <w:rPr>
          <w:bCs/>
        </w:rPr>
        <w:t>of expired subsidies would have no WTO </w:t>
      </w:r>
      <w:r w:rsidRPr="001075BE">
        <w:rPr>
          <w:bCs/>
        </w:rPr>
        <w:t>obligation.</w:t>
      </w:r>
    </w:p>
    <w:p w:rsidR="00AE4AC1" w:rsidRPr="005B1651" w:rsidRDefault="00AE4AC1" w:rsidP="009E6402">
      <w:pPr>
        <w:pStyle w:val="BodyText"/>
        <w:rPr>
          <w:bCs/>
        </w:rPr>
      </w:pPr>
      <w:r w:rsidRPr="002A7E75">
        <w:rPr>
          <w:bCs/>
        </w:rPr>
        <w:t>As discussed, Article 5 is concerned with the causing of adverse effects through the "use" of subsidies. An analysis under Article 5 seeks to determine whether a Member has caused adverse effects to the interests of another Member through the use of such subsidies. For purposes of such a finding, the Appellate Body has made clear that a finding of "present" subsidization is not necessary to establish that a subsidy has caused such adverse effects.</w:t>
      </w:r>
      <w:r w:rsidRPr="001075BE">
        <w:rPr>
          <w:rStyle w:val="FootnoteReference"/>
          <w:bCs/>
        </w:rPr>
        <w:footnoteReference w:id="939"/>
      </w:r>
      <w:r w:rsidRPr="002A7E75">
        <w:rPr>
          <w:bCs/>
        </w:rPr>
        <w:t xml:space="preserve"> </w:t>
      </w:r>
      <w:r>
        <w:rPr>
          <w:bCs/>
        </w:rPr>
        <w:t>In</w:t>
      </w:r>
      <w:r w:rsidRPr="002A7E75">
        <w:rPr>
          <w:bCs/>
        </w:rPr>
        <w:t xml:space="preserve"> contrast, Article 7.8 is </w:t>
      </w:r>
      <w:r w:rsidRPr="002A7E75">
        <w:rPr>
          <w:bCs/>
        </w:rPr>
        <w:lastRenderedPageBreak/>
        <w:t xml:space="preserve">concerned with </w:t>
      </w:r>
      <w:r>
        <w:rPr>
          <w:bCs/>
        </w:rPr>
        <w:t xml:space="preserve">the </w:t>
      </w:r>
      <w:r w:rsidRPr="002A7E75">
        <w:rPr>
          <w:bCs/>
        </w:rPr>
        <w:t>continued existence of "such subsid</w:t>
      </w:r>
      <w:r>
        <w:rPr>
          <w:bCs/>
        </w:rPr>
        <w:t>{</w:t>
      </w:r>
      <w:r w:rsidRPr="002A7E75">
        <w:rPr>
          <w:bCs/>
        </w:rPr>
        <w:t>ies</w:t>
      </w:r>
      <w:r>
        <w:rPr>
          <w:bCs/>
        </w:rPr>
        <w:t>}</w:t>
      </w:r>
      <w:r w:rsidRPr="002A7E75">
        <w:rPr>
          <w:bCs/>
        </w:rPr>
        <w:t>". Th</w:t>
      </w:r>
      <w:r>
        <w:rPr>
          <w:bCs/>
        </w:rPr>
        <w:t>is</w:t>
      </w:r>
      <w:r w:rsidRPr="002A7E75">
        <w:rPr>
          <w:bCs/>
        </w:rPr>
        <w:t xml:space="preserve"> difference between Article 5 and Article </w:t>
      </w:r>
      <w:r>
        <w:rPr>
          <w:bCs/>
        </w:rPr>
        <w:t xml:space="preserve">7.8 </w:t>
      </w:r>
      <w:r w:rsidRPr="002A7E75">
        <w:rPr>
          <w:bCs/>
        </w:rPr>
        <w:t>does not mean that a Member "has different substantive obligations at different stages of a proceeding".</w:t>
      </w:r>
      <w:r w:rsidRPr="001075BE">
        <w:rPr>
          <w:rStyle w:val="FootnoteReference"/>
          <w:bCs/>
        </w:rPr>
        <w:footnoteReference w:id="940"/>
      </w:r>
      <w:r w:rsidRPr="002A7E75">
        <w:rPr>
          <w:bCs/>
        </w:rPr>
        <w:t xml:space="preserve"> Rather, a Member is always under the obligation to ensure that it does not grant </w:t>
      </w:r>
      <w:r>
        <w:rPr>
          <w:bCs/>
        </w:rPr>
        <w:t xml:space="preserve">or maintain </w:t>
      </w:r>
      <w:r w:rsidRPr="002A7E75">
        <w:rPr>
          <w:bCs/>
        </w:rPr>
        <w:t xml:space="preserve">subsidies </w:t>
      </w:r>
      <w:r>
        <w:rPr>
          <w:bCs/>
        </w:rPr>
        <w:t>that</w:t>
      </w:r>
      <w:r w:rsidRPr="002A7E75">
        <w:rPr>
          <w:bCs/>
        </w:rPr>
        <w:t xml:space="preserve"> caus</w:t>
      </w:r>
      <w:r>
        <w:rPr>
          <w:bCs/>
        </w:rPr>
        <w:t>e</w:t>
      </w:r>
      <w:r w:rsidRPr="002A7E75">
        <w:rPr>
          <w:bCs/>
        </w:rPr>
        <w:t xml:space="preserve"> adverse effects, within the meaning of Article 5 of the SCM Agreement. </w:t>
      </w:r>
      <w:r>
        <w:rPr>
          <w:bCs/>
        </w:rPr>
        <w:t>However</w:t>
      </w:r>
      <w:r w:rsidRPr="002A7E75">
        <w:rPr>
          <w:bCs/>
        </w:rPr>
        <w:t xml:space="preserve">, a finding of inconsistency under Article 5 need not always trigger the obligation to "take appropriate steps to remove the adverse effects or … withdraw the subsidy" as stipulated in Article 7.8. This is because, by </w:t>
      </w:r>
      <w:r>
        <w:rPr>
          <w:bCs/>
        </w:rPr>
        <w:t>its</w:t>
      </w:r>
      <w:r w:rsidRPr="002A7E75">
        <w:rPr>
          <w:bCs/>
        </w:rPr>
        <w:t xml:space="preserve"> terms</w:t>
      </w:r>
      <w:r>
        <w:rPr>
          <w:bCs/>
        </w:rPr>
        <w:t xml:space="preserve">, </w:t>
      </w:r>
      <w:r w:rsidRPr="002A7E75">
        <w:rPr>
          <w:bCs/>
        </w:rPr>
        <w:t xml:space="preserve">Article 7.8 is concerned only with </w:t>
      </w:r>
      <w:r w:rsidRPr="00826739">
        <w:rPr>
          <w:bCs/>
          <w:i/>
        </w:rPr>
        <w:t>subsidies</w:t>
      </w:r>
      <w:r w:rsidRPr="002A7E75">
        <w:rPr>
          <w:bCs/>
        </w:rPr>
        <w:t xml:space="preserve"> that the Member is</w:t>
      </w:r>
      <w:r>
        <w:rPr>
          <w:bCs/>
        </w:rPr>
        <w:t xml:space="preserve"> </w:t>
      </w:r>
      <w:r w:rsidRPr="002A7E75">
        <w:rPr>
          <w:bCs/>
        </w:rPr>
        <w:t>"granting or maintaining"</w:t>
      </w:r>
      <w:r>
        <w:rPr>
          <w:bCs/>
        </w:rPr>
        <w:t xml:space="preserve"> in the implementation period</w:t>
      </w:r>
      <w:r w:rsidRPr="002A7E75">
        <w:rPr>
          <w:bCs/>
        </w:rPr>
        <w:t xml:space="preserve">. </w:t>
      </w:r>
      <w:r>
        <w:rPr>
          <w:bCs/>
        </w:rPr>
        <w:t>In assessing conformity under this provision</w:t>
      </w:r>
      <w:r w:rsidRPr="002A7E75">
        <w:rPr>
          <w:bCs/>
        </w:rPr>
        <w:t xml:space="preserve">, </w:t>
      </w:r>
      <w:r w:rsidRPr="005D50D2">
        <w:t xml:space="preserve">a panel's analysis should focus on the subsidies that </w:t>
      </w:r>
      <w:r>
        <w:t>continue to exist in the post-implementation period</w:t>
      </w:r>
      <w:r w:rsidRPr="005D50D2">
        <w:t>. Depending on the particularities of a given case, it may be relevant for the panel to consider the effects of past subsidies</w:t>
      </w:r>
      <w:r>
        <w:t xml:space="preserve"> under Articles 5 and 6</w:t>
      </w:r>
      <w:r w:rsidRPr="005D50D2">
        <w:t xml:space="preserve">; </w:t>
      </w:r>
      <w:r>
        <w:t xml:space="preserve">however, </w:t>
      </w:r>
      <w:r w:rsidR="00F91606">
        <w:t>not </w:t>
      </w:r>
      <w:r w:rsidRPr="005D50D2">
        <w:t xml:space="preserve">in order to determine whether </w:t>
      </w:r>
      <w:r w:rsidRPr="005D50D2">
        <w:rPr>
          <w:i/>
        </w:rPr>
        <w:t>they</w:t>
      </w:r>
      <w:r w:rsidRPr="005D50D2">
        <w:t xml:space="preserve"> cause "adverse effects"</w:t>
      </w:r>
      <w:r>
        <w:t xml:space="preserve"> </w:t>
      </w:r>
      <w:r w:rsidRPr="00405FDF">
        <w:t>in the post-implementation period</w:t>
      </w:r>
      <w:r w:rsidRPr="005D50D2">
        <w:t xml:space="preserve">, but rather </w:t>
      </w:r>
      <w:r w:rsidRPr="005B1651">
        <w:t xml:space="preserve">as part of a matrix of analysis that seeks to identify the effects of subsidies </w:t>
      </w:r>
      <w:r w:rsidRPr="00F84FB1">
        <w:t>that have not been withdrawn, and in respect of which the implementing Member continues to have a compliance obligation under Article 7.8.</w:t>
      </w:r>
    </w:p>
    <w:p w:rsidR="00AE4AC1" w:rsidRDefault="00AE4AC1" w:rsidP="009E6402">
      <w:pPr>
        <w:pStyle w:val="BodyText"/>
      </w:pPr>
      <w:r>
        <w:t>Referring to</w:t>
      </w:r>
      <w:r w:rsidRPr="00CC79EA">
        <w:t xml:space="preserve"> the </w:t>
      </w:r>
      <w:r>
        <w:t>Appellate Body</w:t>
      </w:r>
      <w:r w:rsidRPr="00CC79EA">
        <w:t xml:space="preserve"> </w:t>
      </w:r>
      <w:r>
        <w:t>report</w:t>
      </w:r>
      <w:r w:rsidRPr="00CC79EA">
        <w:t xml:space="preserve"> in </w:t>
      </w:r>
      <w:r w:rsidRPr="00E70167">
        <w:rPr>
          <w:i/>
        </w:rPr>
        <w:t xml:space="preserve">US – Upland </w:t>
      </w:r>
      <w:r w:rsidRPr="00793F76">
        <w:rPr>
          <w:i/>
        </w:rPr>
        <w:t>Cotton</w:t>
      </w:r>
      <w:r w:rsidRPr="00E70167">
        <w:rPr>
          <w:i/>
        </w:rPr>
        <w:t xml:space="preserve"> (Article 21.5 – Brazil)</w:t>
      </w:r>
      <w:r w:rsidR="00F91606">
        <w:t>, the </w:t>
      </w:r>
      <w:r>
        <w:t xml:space="preserve">Panel emphasized </w:t>
      </w:r>
      <w:r w:rsidRPr="00CC79EA">
        <w:t xml:space="preserve">that </w:t>
      </w:r>
      <w:r w:rsidR="00783DB8">
        <w:t>"</w:t>
      </w:r>
      <w:r w:rsidRPr="00CC79EA">
        <w:t xml:space="preserve">the scope of </w:t>
      </w:r>
      <w:r>
        <w:t>Article </w:t>
      </w:r>
      <w:r w:rsidRPr="00CC79EA">
        <w:t>7.8 should not be interpreted in a way that would render adverse effects findings made in original proceedings merely 'declaratory in nature', as this would preclude a complaining Member from obtaining relief from the adverse effects caused by a Member's use of subsidies in violation of its substantive obligations."</w:t>
      </w:r>
      <w:r w:rsidRPr="00CC79EA">
        <w:rPr>
          <w:rStyle w:val="FootnoteReference"/>
        </w:rPr>
        <w:footnoteReference w:id="941"/>
      </w:r>
      <w:r w:rsidRPr="00CC79EA">
        <w:t xml:space="preserve"> </w:t>
      </w:r>
      <w:r>
        <w:t>The Panel's reliance on this statement by the Appellate Body is misplaced. The Appellate Body was not suggesting that an implementing Member has a compliance</w:t>
      </w:r>
      <w:r w:rsidRPr="001075BE">
        <w:t xml:space="preserve"> obligation </w:t>
      </w:r>
      <w:r>
        <w:t>with respect to</w:t>
      </w:r>
      <w:r w:rsidRPr="001075BE">
        <w:t xml:space="preserve"> a subsidy </w:t>
      </w:r>
      <w:r>
        <w:t xml:space="preserve">or subsidies </w:t>
      </w:r>
      <w:r w:rsidRPr="001075BE">
        <w:t>that no longer exist.</w:t>
      </w:r>
      <w:r>
        <w:t xml:space="preserve"> Rather, the Appellate Body noted that</w:t>
      </w:r>
      <w:r w:rsidRPr="008731CD">
        <w:t xml:space="preserve"> the obligation </w:t>
      </w:r>
      <w:r>
        <w:t>under</w:t>
      </w:r>
      <w:r w:rsidRPr="008731CD">
        <w:t xml:space="preserve"> Article</w:t>
      </w:r>
      <w:r>
        <w:t> </w:t>
      </w:r>
      <w:r w:rsidRPr="008731CD">
        <w:t xml:space="preserve">7.8 </w:t>
      </w:r>
      <w:r>
        <w:t>wo</w:t>
      </w:r>
      <w:r w:rsidRPr="008731CD">
        <w:t xml:space="preserve">uld </w:t>
      </w:r>
      <w:r w:rsidRPr="00793F76">
        <w:t>extend</w:t>
      </w:r>
      <w:r w:rsidRPr="008731CD">
        <w:t xml:space="preserve"> to </w:t>
      </w:r>
      <w:r w:rsidRPr="00793F76">
        <w:t>recurring annual payments</w:t>
      </w:r>
      <w:r w:rsidRPr="008731CD">
        <w:t xml:space="preserve"> </w:t>
      </w:r>
      <w:r>
        <w:t>"</w:t>
      </w:r>
      <w:r w:rsidRPr="008731CD">
        <w:t>maintained</w:t>
      </w:r>
      <w:r>
        <w:t>"</w:t>
      </w:r>
      <w:r w:rsidRPr="008731CD">
        <w:t xml:space="preserve"> by the respondent </w:t>
      </w:r>
      <w:r>
        <w:t>b</w:t>
      </w:r>
      <w:r w:rsidRPr="008731CD">
        <w:t xml:space="preserve">eyond the </w:t>
      </w:r>
      <w:r>
        <w:t>original reference period</w:t>
      </w:r>
      <w:r w:rsidRPr="008731CD">
        <w:t>.</w:t>
      </w:r>
      <w:r w:rsidRPr="008731CD">
        <w:rPr>
          <w:vertAlign w:val="superscript"/>
        </w:rPr>
        <w:footnoteReference w:id="942"/>
      </w:r>
      <w:r>
        <w:t xml:space="preserve"> The</w:t>
      </w:r>
      <w:r w:rsidRPr="00CC79EA">
        <w:t xml:space="preserve"> </w:t>
      </w:r>
      <w:r>
        <w:t xml:space="preserve">Appellate Body's reasoning in that dispute </w:t>
      </w:r>
      <w:r w:rsidRPr="00CC79EA">
        <w:t>highlight</w:t>
      </w:r>
      <w:r>
        <w:t>s</w:t>
      </w:r>
      <w:r w:rsidRPr="00CC79EA">
        <w:t xml:space="preserve"> the </w:t>
      </w:r>
      <w:r w:rsidRPr="00E70167">
        <w:rPr>
          <w:i/>
        </w:rPr>
        <w:t>prospective nature</w:t>
      </w:r>
      <w:r w:rsidRPr="00CC79EA">
        <w:t xml:space="preserve"> of </w:t>
      </w:r>
      <w:r w:rsidRPr="00242DDD">
        <w:t>remedies in WTO dispute settlement, as well as the fact that</w:t>
      </w:r>
      <w:r>
        <w:t>,</w:t>
      </w:r>
      <w:r w:rsidRPr="00242DDD">
        <w:t xml:space="preserve"> ultimately</w:t>
      </w:r>
      <w:r>
        <w:t xml:space="preserve">, the </w:t>
      </w:r>
      <w:r w:rsidRPr="00242DDD">
        <w:t xml:space="preserve">source of inconsistency </w:t>
      </w:r>
      <w:r w:rsidRPr="004F1723">
        <w:t xml:space="preserve">is the "granting or maintaining" of subsidies </w:t>
      </w:r>
      <w:r w:rsidRPr="009E57DC">
        <w:t xml:space="preserve">that </w:t>
      </w:r>
      <w:r w:rsidRPr="00C4492F">
        <w:t xml:space="preserve">cause adverse effects. It is in respect of such </w:t>
      </w:r>
      <w:r w:rsidRPr="004F1723">
        <w:t>"granting or maintaining"</w:t>
      </w:r>
      <w:r>
        <w:t xml:space="preserve"> that the findings made by an original panel </w:t>
      </w:r>
      <w:r w:rsidRPr="00242DDD">
        <w:t>require cessation</w:t>
      </w:r>
      <w:r>
        <w:t>.</w:t>
      </w:r>
      <w:r w:rsidRPr="000E5515">
        <w:t xml:space="preserve"> </w:t>
      </w:r>
      <w:r>
        <w:t>Under our reading of Article 7.8, a complaining Member therefore can obtain relief in the form of a prospective remedy.</w:t>
      </w:r>
    </w:p>
    <w:p w:rsidR="00AE4AC1" w:rsidRDefault="00AE4AC1" w:rsidP="009E6402">
      <w:pPr>
        <w:pStyle w:val="BodyText"/>
      </w:pPr>
      <w:r>
        <w:t xml:space="preserve">Referring to a statement by the Appellate Body </w:t>
      </w:r>
      <w:r w:rsidRPr="00CC79EA">
        <w:t xml:space="preserve">in </w:t>
      </w:r>
      <w:r w:rsidRPr="001A4698">
        <w:rPr>
          <w:i/>
        </w:rPr>
        <w:t>China – Raw Materials</w:t>
      </w:r>
      <w:r w:rsidRPr="00CC79EA">
        <w:t xml:space="preserve">, </w:t>
      </w:r>
      <w:r>
        <w:t xml:space="preserve">the Panel expressed the view </w:t>
      </w:r>
      <w:r w:rsidRPr="00CC79EA">
        <w:t>that a panel could be expected to make</w:t>
      </w:r>
      <w:r>
        <w:t xml:space="preserve"> </w:t>
      </w:r>
      <w:r w:rsidRPr="00CC79EA">
        <w:t xml:space="preserve">recommendations with respect to expired measures </w:t>
      </w:r>
      <w:r>
        <w:t>"</w:t>
      </w:r>
      <w:r w:rsidRPr="00CC79EA">
        <w:t xml:space="preserve">whenever necessary to ensure that an effective remedy is made available to a complaining </w:t>
      </w:r>
      <w:r>
        <w:t>M</w:t>
      </w:r>
      <w:r w:rsidRPr="00CC79EA">
        <w:t xml:space="preserve">ember seeking to put an end to </w:t>
      </w:r>
      <w:r w:rsidRPr="001A4698">
        <w:rPr>
          <w:i/>
        </w:rPr>
        <w:t xml:space="preserve">ongoing </w:t>
      </w:r>
      <w:r w:rsidRPr="005D50D2">
        <w:t>infringements</w:t>
      </w:r>
      <w:r w:rsidRPr="00CC79EA">
        <w:t xml:space="preserve"> of the covered agreements."</w:t>
      </w:r>
      <w:r w:rsidRPr="00CC79EA">
        <w:rPr>
          <w:rStyle w:val="FootnoteReference"/>
        </w:rPr>
        <w:footnoteReference w:id="943"/>
      </w:r>
      <w:r w:rsidRPr="00CC79EA">
        <w:t xml:space="preserve"> The Panel also referred to the panel's recommendation in </w:t>
      </w:r>
      <w:r w:rsidRPr="001A4698">
        <w:rPr>
          <w:i/>
        </w:rPr>
        <w:t>EC – Commercial Vessels</w:t>
      </w:r>
      <w:r w:rsidRPr="00CC79EA">
        <w:t xml:space="preserve"> that the </w:t>
      </w:r>
      <w:r>
        <w:t>European Union</w:t>
      </w:r>
      <w:r w:rsidRPr="00CC79EA">
        <w:t xml:space="preserve"> bring a measure that had formally expired into conformity with its obligations under the DSU to the extent that the measure was still operational.</w:t>
      </w:r>
      <w:r w:rsidRPr="00CC79EA">
        <w:rPr>
          <w:rStyle w:val="FootnoteReference"/>
        </w:rPr>
        <w:footnoteReference w:id="944"/>
      </w:r>
      <w:r w:rsidRPr="00CC79EA">
        <w:t xml:space="preserve"> </w:t>
      </w:r>
      <w:r>
        <w:t xml:space="preserve">We see nothing objectionable </w:t>
      </w:r>
      <w:r w:rsidRPr="001A4698">
        <w:rPr>
          <w:i/>
        </w:rPr>
        <w:t>per se</w:t>
      </w:r>
      <w:r>
        <w:t xml:space="preserve"> in these statements by the Panel. Indeed, in</w:t>
      </w:r>
      <w:r w:rsidRPr="00CC79EA">
        <w:t xml:space="preserve"> </w:t>
      </w:r>
      <w:r w:rsidRPr="001A4698">
        <w:rPr>
          <w:i/>
        </w:rPr>
        <w:t>China – Raw Materials</w:t>
      </w:r>
      <w:r>
        <w:t>, the Appellate Body noted that a</w:t>
      </w:r>
      <w:r w:rsidRPr="001A4698">
        <w:t xml:space="preserve"> recommendation by a panel "is prospective in nature in the sense that it has an effect on, or consequences for, a WTO Member's implementation obligations that arise after the adoption of a panel and/or Appellate Body report by the DSB."</w:t>
      </w:r>
      <w:r w:rsidRPr="00525C6A">
        <w:rPr>
          <w:vertAlign w:val="superscript"/>
        </w:rPr>
        <w:footnoteReference w:id="945"/>
      </w:r>
      <w:r w:rsidRPr="001A4698">
        <w:t xml:space="preserve"> As </w:t>
      </w:r>
      <w:r>
        <w:t>noted</w:t>
      </w:r>
      <w:r w:rsidRPr="001A4698">
        <w:t>, Article 7.8</w:t>
      </w:r>
      <w:r>
        <w:t xml:space="preserve"> of the SCM Agreement</w:t>
      </w:r>
      <w:r w:rsidRPr="001A4698">
        <w:t xml:space="preserve"> requires the cessation of ongoing conduct consisting of the "granting or maintaining" of subsidies that</w:t>
      </w:r>
      <w:r>
        <w:t xml:space="preserve"> are</w:t>
      </w:r>
      <w:r w:rsidRPr="001A4698">
        <w:t xml:space="preserve"> caus</w:t>
      </w:r>
      <w:r>
        <w:t>ing</w:t>
      </w:r>
      <w:r w:rsidRPr="001A4698">
        <w:t xml:space="preserve"> adverse effects. </w:t>
      </w:r>
      <w:r>
        <w:t>It does not follow from the fact that the findings and recommendations by a panel seek to put an end to "</w:t>
      </w:r>
      <w:r w:rsidRPr="002F76E5">
        <w:rPr>
          <w:i/>
        </w:rPr>
        <w:t>ongoing</w:t>
      </w:r>
      <w:r>
        <w:t xml:space="preserve"> infringements"</w:t>
      </w:r>
      <w:r w:rsidRPr="00CC79EA">
        <w:rPr>
          <w:rStyle w:val="FootnoteReference"/>
        </w:rPr>
        <w:footnoteReference w:id="946"/>
      </w:r>
      <w:r w:rsidR="00F91606">
        <w:t>, that </w:t>
      </w:r>
      <w:r w:rsidRPr="001075BE">
        <w:t xml:space="preserve">withdrawal of a subsidy under the </w:t>
      </w:r>
      <w:r>
        <w:t>SCM Agreement</w:t>
      </w:r>
      <w:r w:rsidRPr="001075BE">
        <w:t xml:space="preserve"> can be found to have occurred </w:t>
      </w:r>
      <w:r w:rsidRPr="00540A60">
        <w:rPr>
          <w:i/>
        </w:rPr>
        <w:t>only</w:t>
      </w:r>
      <w:r>
        <w:t xml:space="preserve"> </w:t>
      </w:r>
      <w:r w:rsidRPr="001075BE">
        <w:t xml:space="preserve">to the extent </w:t>
      </w:r>
      <w:r>
        <w:t xml:space="preserve">that </w:t>
      </w:r>
      <w:r w:rsidRPr="001075BE">
        <w:t>the subsidy no longer causes adverse effects.</w:t>
      </w:r>
      <w:r>
        <w:t xml:space="preserve"> </w:t>
      </w:r>
    </w:p>
    <w:p w:rsidR="00AE4AC1" w:rsidRPr="00CC79EA" w:rsidRDefault="00AE4AC1" w:rsidP="009E6402">
      <w:pPr>
        <w:pStyle w:val="BodyText"/>
      </w:pPr>
      <w:r w:rsidRPr="001A5FFF">
        <w:lastRenderedPageBreak/>
        <w:t>Our reading of Article 7.8</w:t>
      </w:r>
      <w:r>
        <w:t xml:space="preserve"> </w:t>
      </w:r>
      <w:r w:rsidRPr="001A5FFF">
        <w:t xml:space="preserve">also finds support in </w:t>
      </w:r>
      <w:r w:rsidR="00AD2E12">
        <w:t xml:space="preserve">the </w:t>
      </w:r>
      <w:r w:rsidRPr="001A5FFF">
        <w:t>relevant provisions under Part II of the SCM Agreement, entitled "Prohibited Subsidies", comprising Article</w:t>
      </w:r>
      <w:r w:rsidR="00AD2E12">
        <w:t>s</w:t>
      </w:r>
      <w:r w:rsidRPr="001A5FFF">
        <w:t> 3 and 4. Article 3.1 provides that subsidies contingent upon export performance (Article 3.1(a)) or upon the use of domestic over imported goods (Article 3.1(b)) "shall be prohibited". Article</w:t>
      </w:r>
      <w:r w:rsidR="00F91606">
        <w:t> 3.2 further provides that "{a} </w:t>
      </w:r>
      <w:r w:rsidRPr="001A5FFF">
        <w:t xml:space="preserve">Member shall neither grant nor maintain subsidies referred to" </w:t>
      </w:r>
      <w:r w:rsidR="00F91606">
        <w:t>in Article 3.1. Article 4, like </w:t>
      </w:r>
      <w:r w:rsidRPr="001A5FFF">
        <w:t xml:space="preserve">Article 7 of the SCM Agreement, is entitled "Remedies", and sets out the rules for dispute settlement involving prohibited subsidies referred to in Article 3. Article 4.7 provides that, "{i}f the measure in question is found to be a prohibited subsidy, the panel shall recommend that the subsidizing Member withdraw the subsidy without delay". </w:t>
      </w:r>
      <w:r>
        <w:t>Article </w:t>
      </w:r>
      <w:r w:rsidRPr="001075BE">
        <w:t xml:space="preserve">4.7 does not </w:t>
      </w:r>
      <w:r>
        <w:t>require removal of the effects of such subsidies</w:t>
      </w:r>
      <w:r w:rsidRPr="001075BE">
        <w:t xml:space="preserve">. Rather, withdrawal under </w:t>
      </w:r>
      <w:r>
        <w:t>Article </w:t>
      </w:r>
      <w:r w:rsidRPr="001075BE">
        <w:t xml:space="preserve">4.7 </w:t>
      </w:r>
      <w:r>
        <w:t>seeks to</w:t>
      </w:r>
      <w:r w:rsidRPr="001075BE">
        <w:t xml:space="preserve"> eliminate the so</w:t>
      </w:r>
      <w:r>
        <w:t>urce of the inconsistency, namely, the condition that is prohibited under Article 3.1(a) or 3.1(b)</w:t>
      </w:r>
      <w:r w:rsidRPr="00187FD5">
        <w:t xml:space="preserve">. </w:t>
      </w:r>
      <w:r>
        <w:t>Similarly,</w:t>
      </w:r>
      <w:r w:rsidRPr="00187FD5">
        <w:t xml:space="preserve"> </w:t>
      </w:r>
      <w:r w:rsidRPr="005B1651">
        <w:t>Article 7.8 addresses the source of the infringement found to exist</w:t>
      </w:r>
      <w:r>
        <w:t>, and requires cessation of conduct consisting of the granting or maintaining of subsidies that cause adverse effects</w:t>
      </w:r>
      <w:r w:rsidRPr="00CC79EA">
        <w:t>.</w:t>
      </w:r>
      <w:r>
        <w:t xml:space="preserve"> It would be incongruous, in our view, if elimination of the source of the inconsistency were sufficient to comply with an implementing Member's obligations in the context of Article 4.7, but not in the context of Article 7.8.</w:t>
      </w:r>
    </w:p>
    <w:p w:rsidR="00AE4AC1" w:rsidRPr="00F7355E" w:rsidRDefault="00AE4AC1" w:rsidP="009E6402">
      <w:pPr>
        <w:pStyle w:val="BodyText"/>
      </w:pPr>
      <w:r w:rsidRPr="00CF4EE1">
        <w:t xml:space="preserve">It is also useful in this regard to consider the rules that apply to </w:t>
      </w:r>
      <w:r>
        <w:t xml:space="preserve">the </w:t>
      </w:r>
      <w:r w:rsidRPr="00CF4EE1">
        <w:t>imposition of countervailing duties under Part V of the SCM Agreement</w:t>
      </w:r>
      <w:r>
        <w:t>.</w:t>
      </w:r>
      <w:r w:rsidRPr="00CF4EE1">
        <w:t xml:space="preserve"> </w:t>
      </w:r>
      <w:r w:rsidRPr="00CF4EE1">
        <w:rPr>
          <w:lang w:eastAsia="en-CA"/>
        </w:rPr>
        <w:t>W</w:t>
      </w:r>
      <w:r w:rsidRPr="00CF4EE1">
        <w:t xml:space="preserve">hile serious prejudice can only be addressed through countermeasures imposed under Part III, subsidies that cause injury to </w:t>
      </w:r>
      <w:r>
        <w:t>the</w:t>
      </w:r>
      <w:r w:rsidRPr="00CF4EE1">
        <w:t xml:space="preserve"> domestic industry can be addressed </w:t>
      </w:r>
      <w:r w:rsidRPr="00F37F92">
        <w:rPr>
          <w:i/>
        </w:rPr>
        <w:t>either</w:t>
      </w:r>
      <w:r w:rsidRPr="00CF4EE1">
        <w:t xml:space="preserve"> </w:t>
      </w:r>
      <w:r>
        <w:t xml:space="preserve">through countermeasures imposed </w:t>
      </w:r>
      <w:r w:rsidRPr="00CF4EE1">
        <w:t xml:space="preserve">under Part III </w:t>
      </w:r>
      <w:r w:rsidRPr="00F37F92">
        <w:rPr>
          <w:i/>
        </w:rPr>
        <w:t>or</w:t>
      </w:r>
      <w:r w:rsidRPr="00CF4EE1">
        <w:t xml:space="preserve"> through </w:t>
      </w:r>
      <w:r w:rsidRPr="00F7355E">
        <w:t xml:space="preserve">countervailing duties under Part V. </w:t>
      </w:r>
    </w:p>
    <w:p w:rsidR="00AE4AC1" w:rsidRPr="00F7355E" w:rsidRDefault="00AE4AC1" w:rsidP="009E6402">
      <w:pPr>
        <w:pStyle w:val="BodyText"/>
      </w:pPr>
      <w:r w:rsidRPr="00F7355E">
        <w:t xml:space="preserve">With regard to the imposition of countervailing duties, Article 19.1 of the SCM Agreement stipulates that countervailing </w:t>
      </w:r>
      <w:r>
        <w:t xml:space="preserve">duties </w:t>
      </w:r>
      <w:r w:rsidRPr="00F7355E">
        <w:t>may be imposed on subsidized imports "unless the subsidy or subsidies are withdrawn</w:t>
      </w:r>
      <w:r w:rsidRPr="00F7355E">
        <w:rPr>
          <w:i/>
        </w:rPr>
        <w:t>.</w:t>
      </w:r>
      <w:r w:rsidRPr="00F7355E">
        <w:t xml:space="preserve">" Hence, </w:t>
      </w:r>
      <w:r>
        <w:t>under Part V of the SCM Agreement, remedial action is contemplated with respect to subsidies that cause injury to the domestic industry</w:t>
      </w:r>
      <w:r w:rsidRPr="00F7355E">
        <w:t xml:space="preserve">. </w:t>
      </w:r>
      <w:r>
        <w:t xml:space="preserve">As we see it, the same is true in the context of Part III of the SCM Agreement, where the inconsistency to be remedied relates to </w:t>
      </w:r>
      <w:r w:rsidRPr="007027E1">
        <w:rPr>
          <w:i/>
        </w:rPr>
        <w:t>subsidies</w:t>
      </w:r>
      <w:r>
        <w:t xml:space="preserve"> that constitute a genuine and substantial cause of adverse effects during the implementation period.</w:t>
      </w:r>
      <w:r w:rsidRPr="00F7355E">
        <w:rPr>
          <w:rStyle w:val="FootnoteReference"/>
        </w:rPr>
        <w:footnoteReference w:id="947"/>
      </w:r>
      <w:r>
        <w:t xml:space="preserve"> Thus, the inconsistency does not</w:t>
      </w:r>
      <w:r w:rsidR="00F91606">
        <w:t xml:space="preserve"> relate to only the effects, as </w:t>
      </w:r>
      <w:r>
        <w:t xml:space="preserve">the Panel seems to have suggested, but rather to the </w:t>
      </w:r>
      <w:r w:rsidRPr="00995FC8">
        <w:rPr>
          <w:i/>
        </w:rPr>
        <w:t>action of using subsidies</w:t>
      </w:r>
      <w:r>
        <w:t xml:space="preserve"> in a way that causes adverse effects.</w:t>
      </w:r>
    </w:p>
    <w:p w:rsidR="00AE4AC1" w:rsidRPr="001075BE" w:rsidRDefault="00AE4AC1" w:rsidP="009E6402">
      <w:pPr>
        <w:pStyle w:val="BodyText"/>
      </w:pPr>
      <w:r>
        <w:t>Looking beyond the SCM Agreement to context provided by other covered agreements</w:t>
      </w:r>
      <w:r w:rsidRPr="001A5FFF">
        <w:t xml:space="preserve">, we note that Article 7.8 </w:t>
      </w:r>
      <w:r>
        <w:t xml:space="preserve">of the SCM Agreement </w:t>
      </w:r>
      <w:r w:rsidR="00AD2E12">
        <w:t>is one of the "</w:t>
      </w:r>
      <w:r w:rsidRPr="001A5FFF">
        <w:t>special or additional rules and procedures on dispute settlement contained in the covered agreements</w:t>
      </w:r>
      <w:r w:rsidR="00AD2E12">
        <w:t>"</w:t>
      </w:r>
      <w:r w:rsidRPr="001A5FFF">
        <w:t xml:space="preserve"> that are identified in Article 1.2 and Appendix 2 of the DSU, which </w:t>
      </w:r>
      <w:r w:rsidRPr="005B1651">
        <w:t xml:space="preserve">prevail over the general DSU rules and procedures to the extent that </w:t>
      </w:r>
      <w:r w:rsidRPr="00F84FB1">
        <w:t>they "</w:t>
      </w:r>
      <w:r w:rsidRPr="00F84FB1">
        <w:rPr>
          <w:i/>
        </w:rPr>
        <w:t>cannot</w:t>
      </w:r>
      <w:r w:rsidRPr="008563C9">
        <w:t xml:space="preserve"> be read as </w:t>
      </w:r>
      <w:r w:rsidRPr="008563C9">
        <w:rPr>
          <w:i/>
        </w:rPr>
        <w:t>complementing</w:t>
      </w:r>
      <w:r w:rsidRPr="008563C9">
        <w:t xml:space="preserve"> each other"</w:t>
      </w:r>
      <w:r w:rsidRPr="00CC79EA">
        <w:t>.</w:t>
      </w:r>
      <w:r w:rsidRPr="00CC79EA">
        <w:rPr>
          <w:rStyle w:val="FootnoteReference"/>
        </w:rPr>
        <w:footnoteReference w:id="948"/>
      </w:r>
      <w:r w:rsidRPr="00CC79EA">
        <w:t xml:space="preserve"> </w:t>
      </w:r>
      <w:r>
        <w:t xml:space="preserve">In this regard, we are concerned with the </w:t>
      </w:r>
      <w:r w:rsidRPr="006E1748">
        <w:t>Panel</w:t>
      </w:r>
      <w:r>
        <w:t>'s</w:t>
      </w:r>
      <w:r w:rsidRPr="006E1748">
        <w:t xml:space="preserve"> </w:t>
      </w:r>
      <w:r>
        <w:t xml:space="preserve">decision to </w:t>
      </w:r>
      <w:r w:rsidRPr="006E1748">
        <w:t xml:space="preserve">resort to </w:t>
      </w:r>
      <w:r>
        <w:t>context provided by various</w:t>
      </w:r>
      <w:r w:rsidRPr="006E1748">
        <w:t xml:space="preserve"> provisions of the DSU without considering </w:t>
      </w:r>
      <w:r>
        <w:t>properly</w:t>
      </w:r>
      <w:r w:rsidRPr="006E1748">
        <w:t xml:space="preserve"> the context</w:t>
      </w:r>
      <w:r>
        <w:t xml:space="preserve">ual relevance of </w:t>
      </w:r>
      <w:r w:rsidRPr="006E1748">
        <w:t xml:space="preserve">provisions </w:t>
      </w:r>
      <w:r>
        <w:t>in</w:t>
      </w:r>
      <w:r w:rsidRPr="006E1748">
        <w:t xml:space="preserve"> </w:t>
      </w:r>
      <w:r>
        <w:t xml:space="preserve">other parts of </w:t>
      </w:r>
      <w:r w:rsidRPr="006E1748">
        <w:t>the SCM Agreement. This is especially so because, as a "special or additional rule</w:t>
      </w:r>
      <w:r>
        <w:t>{}</w:t>
      </w:r>
      <w:r w:rsidRPr="006E1748">
        <w:t>" on dispute settlement in the SCM Agreement, Article 7.8 must be properly understood in the particular context of disputes involving subsidies.</w:t>
      </w:r>
    </w:p>
    <w:p w:rsidR="00AE4AC1" w:rsidRPr="00CC79EA" w:rsidRDefault="00AE4AC1" w:rsidP="009E6402">
      <w:pPr>
        <w:pStyle w:val="BodyText"/>
      </w:pPr>
      <w:r>
        <w:t>We recall that</w:t>
      </w:r>
      <w:r w:rsidRPr="001075BE">
        <w:t xml:space="preserve"> "the first objective of the dispute settlement mechanism is usually to secure the withdrawal of the measures concerned if these are found to be inconsistent with the provisions of any of the covered agreements".</w:t>
      </w:r>
      <w:r>
        <w:rPr>
          <w:rStyle w:val="FootnoteReference"/>
        </w:rPr>
        <w:footnoteReference w:id="949"/>
      </w:r>
      <w:r w:rsidRPr="001075BE">
        <w:t xml:space="preserve"> </w:t>
      </w:r>
      <w:r w:rsidRPr="00197F95">
        <w:rPr>
          <w:color w:val="000000"/>
        </w:rPr>
        <w:t xml:space="preserve">This suggests that, in WTO dispute settlement, the source of an infringement of an obligation </w:t>
      </w:r>
      <w:r>
        <w:rPr>
          <w:color w:val="000000"/>
        </w:rPr>
        <w:t>under</w:t>
      </w:r>
      <w:r w:rsidRPr="00197F95">
        <w:rPr>
          <w:color w:val="000000"/>
        </w:rPr>
        <w:t xml:space="preserve"> the covered agreements is the measure itself. </w:t>
      </w:r>
      <w:r w:rsidRPr="001075BE">
        <w:t xml:space="preserve">Moreover, where a measure is found to be inconsistent with a covered agreement, the first sentence of </w:t>
      </w:r>
      <w:r>
        <w:t>Article </w:t>
      </w:r>
      <w:r w:rsidRPr="001075BE">
        <w:t xml:space="preserve">19.1 of the DSU provides that a panel or the </w:t>
      </w:r>
      <w:r>
        <w:t>Appellate Body</w:t>
      </w:r>
      <w:r w:rsidRPr="001075BE">
        <w:t xml:space="preserve"> shall recommend that the Member concerned "bring the measure into conformity with that agreement".</w:t>
      </w:r>
      <w:r w:rsidR="00AD2E12">
        <w:rPr>
          <w:rStyle w:val="FootnoteReference"/>
        </w:rPr>
        <w:footnoteReference w:id="950"/>
      </w:r>
      <w:r w:rsidRPr="001075BE">
        <w:t xml:space="preserve"> </w:t>
      </w:r>
      <w:r w:rsidRPr="00CC79EA">
        <w:t xml:space="preserve">These provisions, read together, </w:t>
      </w:r>
      <w:r>
        <w:t>suggest</w:t>
      </w:r>
      <w:r w:rsidRPr="00CC79EA">
        <w:t xml:space="preserve"> that it is </w:t>
      </w:r>
      <w:r w:rsidRPr="00197F95">
        <w:rPr>
          <w:i/>
        </w:rPr>
        <w:t>the measure</w:t>
      </w:r>
      <w:r w:rsidRPr="00CC79EA">
        <w:t xml:space="preserve"> that lies at the heart</w:t>
      </w:r>
      <w:r w:rsidR="00F91606">
        <w:t xml:space="preserve"> of WTO dispute settlement, and </w:t>
      </w:r>
      <w:r w:rsidRPr="00CC79EA">
        <w:t xml:space="preserve">that conformity with </w:t>
      </w:r>
      <w:r w:rsidRPr="00197F95">
        <w:t xml:space="preserve">the covered agreements may be achieved through "the withdrawal of the </w:t>
      </w:r>
      <w:r w:rsidRPr="00197F95">
        <w:lastRenderedPageBreak/>
        <w:t>measures concerned". Indeed, referring to Articles 19.1 and 21.1 of the DSU, the Panel recognized that the source of the infringement is the WTO</w:t>
      </w:r>
      <w:r w:rsidRPr="00197F95">
        <w:noBreakHyphen/>
        <w:t>inconsistent measure itself.</w:t>
      </w:r>
      <w:r w:rsidRPr="00197F95">
        <w:rPr>
          <w:rStyle w:val="FootnoteReference"/>
        </w:rPr>
        <w:footnoteReference w:id="951"/>
      </w:r>
      <w:r w:rsidRPr="00CC79EA">
        <w:t xml:space="preserve"> </w:t>
      </w:r>
    </w:p>
    <w:p w:rsidR="00AE4AC1" w:rsidRPr="001075BE" w:rsidRDefault="00AE4AC1" w:rsidP="009E6402">
      <w:pPr>
        <w:pStyle w:val="BodyText"/>
      </w:pPr>
      <w:r w:rsidRPr="00CC79EA">
        <w:t xml:space="preserve">In the specific context of the </w:t>
      </w:r>
      <w:r>
        <w:t>SCM Agreement</w:t>
      </w:r>
      <w:r w:rsidRPr="00CC79EA">
        <w:t xml:space="preserve">, </w:t>
      </w:r>
      <w:r>
        <w:t xml:space="preserve">Article </w:t>
      </w:r>
      <w:r w:rsidRPr="00CC79EA">
        <w:t>7.8 provide</w:t>
      </w:r>
      <w:r>
        <w:t>s</w:t>
      </w:r>
      <w:r w:rsidRPr="00CC79EA">
        <w:t xml:space="preserve"> special </w:t>
      </w:r>
      <w:r>
        <w:t>or</w:t>
      </w:r>
      <w:r w:rsidRPr="00CC79EA">
        <w:t xml:space="preserve"> additional rules on how conformity with </w:t>
      </w:r>
      <w:r>
        <w:t>this</w:t>
      </w:r>
      <w:r w:rsidRPr="00CC79EA">
        <w:t xml:space="preserve"> Agreement may be achieved. </w:t>
      </w:r>
      <w:r>
        <w:t>As noted</w:t>
      </w:r>
      <w:r w:rsidRPr="00CC79EA">
        <w:t xml:space="preserve">, </w:t>
      </w:r>
      <w:r w:rsidRPr="001075BE">
        <w:t xml:space="preserve">withdrawal of the measure need not be the only way to comply, as the subsidizing Member could also come into compliance by taking </w:t>
      </w:r>
      <w:r>
        <w:t xml:space="preserve">appropriate </w:t>
      </w:r>
      <w:r w:rsidRPr="001075BE">
        <w:t xml:space="preserve">steps to </w:t>
      </w:r>
      <w:r>
        <w:t>"</w:t>
      </w:r>
      <w:r w:rsidRPr="001075BE">
        <w:t>remove the adverse effects</w:t>
      </w:r>
      <w:r>
        <w:t>"</w:t>
      </w:r>
      <w:r w:rsidRPr="001075BE">
        <w:t xml:space="preserve"> while maintaining the subsidy. At the same time, withdrawal of the subsidy itself remains a remedy against the infringement, as it leads to fulfilment of the first objective of the dispute settlement mechanism set out in </w:t>
      </w:r>
      <w:r>
        <w:t>Article </w:t>
      </w:r>
      <w:r w:rsidRPr="001075BE">
        <w:t>3.7 of the DSU</w:t>
      </w:r>
      <w:r>
        <w:t xml:space="preserve"> – </w:t>
      </w:r>
      <w:r w:rsidRPr="001075BE">
        <w:t xml:space="preserve">i.e. withdrawal of the measure concerned. </w:t>
      </w:r>
      <w:r>
        <w:t>This further supports our understanding that, where</w:t>
      </w:r>
      <w:r w:rsidRPr="001075BE">
        <w:t xml:space="preserve"> the relevant measure – the subsidy found to have caused adverse effects – </w:t>
      </w:r>
      <w:r>
        <w:t>has ceased to exist</w:t>
      </w:r>
      <w:r w:rsidRPr="001075BE">
        <w:t xml:space="preserve">, a Member is no longer </w:t>
      </w:r>
      <w:r>
        <w:t>obligated under Article </w:t>
      </w:r>
      <w:r w:rsidRPr="001075BE">
        <w:t xml:space="preserve">7.8 of the </w:t>
      </w:r>
      <w:r>
        <w:t>SCM Agreement</w:t>
      </w:r>
      <w:r w:rsidRPr="001075BE">
        <w:t xml:space="preserve"> to take further steps to remove the adverse effects caused by the subsidy. In this respect, w</w:t>
      </w:r>
      <w:r>
        <w:t>e share Canada's view that "{a} </w:t>
      </w:r>
      <w:r w:rsidRPr="001075BE">
        <w:t>requirement to remove the adverse effects of an actionable subsidy that no longer exists would transform this flexibility in achieving compliance into an additional, affirmative obligation not seen elsewhere in the covered agreements."</w:t>
      </w:r>
      <w:r w:rsidRPr="001075BE">
        <w:rPr>
          <w:rStyle w:val="FootnoteReference"/>
        </w:rPr>
        <w:footnoteReference w:id="952"/>
      </w:r>
    </w:p>
    <w:p w:rsidR="00AE4AC1" w:rsidRPr="009F7876" w:rsidRDefault="00AE4AC1" w:rsidP="009E6402">
      <w:pPr>
        <w:pStyle w:val="BodyText"/>
      </w:pPr>
      <w:r w:rsidRPr="00CC79EA">
        <w:t xml:space="preserve">The </w:t>
      </w:r>
      <w:r>
        <w:t>Appellate Body</w:t>
      </w:r>
      <w:r w:rsidRPr="00CC79EA">
        <w:t xml:space="preserve"> has stated that the object and purpose of the </w:t>
      </w:r>
      <w:r>
        <w:t>SCM Agreement</w:t>
      </w:r>
      <w:r w:rsidRPr="00CC79EA">
        <w:t xml:space="preserve"> is to "strengthen and improve GATT disciplines relating to the use of both subsidies and countervailing measures"</w:t>
      </w:r>
      <w:r w:rsidRPr="00CC79EA">
        <w:rPr>
          <w:rStyle w:val="FootnoteReference"/>
        </w:rPr>
        <w:footnoteReference w:id="953"/>
      </w:r>
      <w:r w:rsidRPr="00CC79EA">
        <w:t xml:space="preserve">, and that the </w:t>
      </w:r>
      <w:r>
        <w:t>SCM Agreement</w:t>
      </w:r>
      <w:r w:rsidRPr="00CC79EA">
        <w:t xml:space="preserve"> "reflects a delicate balance between the Members that sought to impose more </w:t>
      </w:r>
      <w:r w:rsidRPr="003A02D3">
        <w:rPr>
          <w:i/>
        </w:rPr>
        <w:t>disciplines on the use of subsidies</w:t>
      </w:r>
      <w:r w:rsidRPr="00CC79EA">
        <w:t xml:space="preserve"> and those that sought to impose more </w:t>
      </w:r>
      <w:r w:rsidRPr="003A02D3">
        <w:rPr>
          <w:i/>
        </w:rPr>
        <w:t>disciplines on the application of countervailing measures</w:t>
      </w:r>
      <w:r w:rsidRPr="00CC79EA">
        <w:t>".</w:t>
      </w:r>
      <w:r w:rsidRPr="00CC79EA">
        <w:rPr>
          <w:rStyle w:val="FootnoteReference"/>
        </w:rPr>
        <w:footnoteReference w:id="954"/>
      </w:r>
      <w:r>
        <w:t xml:space="preserve"> As discussed above, the Panel's reading of Article 7.8 </w:t>
      </w:r>
      <w:r w:rsidRPr="00EF08DA">
        <w:t>would effectively mean that countermeasures could be imposed under Part</w:t>
      </w:r>
      <w:r>
        <w:t> </w:t>
      </w:r>
      <w:r w:rsidRPr="00EF08DA">
        <w:t xml:space="preserve">III of the SCM Agreement to counteract "injury to the domestic industry", within the meaning of Article 5(a) of the SCM Agreement, </w:t>
      </w:r>
      <w:r w:rsidRPr="00EF08DA">
        <w:rPr>
          <w:i/>
        </w:rPr>
        <w:t>regardless</w:t>
      </w:r>
      <w:r w:rsidRPr="00EF08DA">
        <w:t xml:space="preserve"> of whether the subsidy at issue has been withdrawn. At the same time, countervailing duties cannot be imposed, in the context of Part V of the SCM Agreement, to the extent that the underlying subsidy has been withdrawn.</w:t>
      </w:r>
      <w:r w:rsidRPr="00EF08DA">
        <w:rPr>
          <w:rStyle w:val="FootnoteReference"/>
        </w:rPr>
        <w:footnoteReference w:id="955"/>
      </w:r>
      <w:r w:rsidR="00F91606">
        <w:t xml:space="preserve"> Moreover, </w:t>
      </w:r>
      <w:r w:rsidRPr="00EF08DA">
        <w:t>as discussed, the Panel considered that</w:t>
      </w:r>
      <w:r>
        <w:t xml:space="preserve"> the</w:t>
      </w:r>
      <w:r w:rsidRPr="00EF08DA">
        <w:t xml:space="preserve"> removal of the subsidy at issue would constitute compliance in the context of subsidies prohibited under Part II, but not in the context of Part III </w:t>
      </w:r>
      <w:r>
        <w:t>of the SCM Agreement,</w:t>
      </w:r>
      <w:r w:rsidRPr="00EF08DA">
        <w:t xml:space="preserve"> where removal of the effect of the subsidy would in each case be required regardless of whether the Member concerned would </w:t>
      </w:r>
      <w:r>
        <w:t xml:space="preserve">still </w:t>
      </w:r>
      <w:r w:rsidRPr="00EF08DA">
        <w:t xml:space="preserve">be granting it. </w:t>
      </w:r>
      <w:r>
        <w:t>In our view, s</w:t>
      </w:r>
      <w:r w:rsidRPr="00EF08DA">
        <w:t xml:space="preserve">uch an approach to different disciplines that apply under the SCM Agreement lacks coherence, and is, in this sense, incompatible with </w:t>
      </w:r>
      <w:r>
        <w:t>its</w:t>
      </w:r>
      <w:r w:rsidRPr="00EF08DA">
        <w:t xml:space="preserve"> object and purpose. Moreover</w:t>
      </w:r>
      <w:r w:rsidRPr="003A02D3">
        <w:rPr>
          <w:lang w:val="en-CA"/>
        </w:rPr>
        <w:t xml:space="preserve">, the Panel's reading of Article 7.8 would </w:t>
      </w:r>
      <w:r>
        <w:rPr>
          <w:lang w:val="en-CA"/>
        </w:rPr>
        <w:t>appear to</w:t>
      </w:r>
      <w:r w:rsidRPr="003A02D3">
        <w:rPr>
          <w:lang w:val="en-CA"/>
        </w:rPr>
        <w:t xml:space="preserve"> result in considerable uncertainty as to the responsibility of Members with respect to subsidies that </w:t>
      </w:r>
      <w:r>
        <w:rPr>
          <w:lang w:val="en-CA"/>
        </w:rPr>
        <w:t>no longer exist</w:t>
      </w:r>
      <w:r w:rsidRPr="003A02D3">
        <w:rPr>
          <w:lang w:val="en-CA"/>
        </w:rPr>
        <w:t xml:space="preserve">. </w:t>
      </w:r>
      <w:r w:rsidRPr="00793F76">
        <w:rPr>
          <w:lang w:val="en-CA"/>
        </w:rPr>
        <w:t>Indeed, the effects of subsidies may well persist</w:t>
      </w:r>
      <w:r w:rsidRPr="00793F76">
        <w:t xml:space="preserve"> even after the subsidies themselves have </w:t>
      </w:r>
      <w:r w:rsidRPr="00C519B3">
        <w:t>ceased to exist</w:t>
      </w:r>
      <w:r w:rsidRPr="00793F76">
        <w:t>. For example, they may "result in the protection, creation, or growth of industries that woul</w:t>
      </w:r>
      <w:r w:rsidR="00AD2E12">
        <w:t>d otherwise be less competitive</w:t>
      </w:r>
      <w:r w:rsidRPr="00793F76">
        <w:t>"</w:t>
      </w:r>
      <w:r w:rsidR="00AD2E12">
        <w:t>.</w:t>
      </w:r>
      <w:r w:rsidRPr="00793F76">
        <w:rPr>
          <w:rStyle w:val="FootnoteReference"/>
        </w:rPr>
        <w:footnoteReference w:id="956"/>
      </w:r>
      <w:r w:rsidRPr="00793F76">
        <w:t xml:space="preserve"> </w:t>
      </w:r>
      <w:r w:rsidRPr="00C519B3">
        <w:rPr>
          <w:lang w:val="en-CA"/>
        </w:rPr>
        <w:t>Yet, Article 7.8 does not speak to such effects in isolation; rather</w:t>
      </w:r>
      <w:r>
        <w:rPr>
          <w:lang w:val="en-CA"/>
        </w:rPr>
        <w:t>,</w:t>
      </w:r>
      <w:r w:rsidRPr="00C519B3">
        <w:rPr>
          <w:lang w:val="en-CA"/>
        </w:rPr>
        <w:t xml:space="preserve"> it requires cessation of any ongoing conduct consisting of the "granting or maintaining" of subsidies found to cause adverse effects.</w:t>
      </w:r>
      <w:r w:rsidRPr="00C519B3">
        <w:rPr>
          <w:vertAlign w:val="superscript"/>
          <w:lang w:val="en-CA"/>
        </w:rPr>
        <w:footnoteReference w:id="957"/>
      </w:r>
      <w:r w:rsidRPr="00C519B3">
        <w:rPr>
          <w:sz w:val="20"/>
          <w:lang w:val="en-CA"/>
        </w:rPr>
        <w:t xml:space="preserve"> </w:t>
      </w:r>
      <w:r w:rsidR="00F91606">
        <w:t>Thus, </w:t>
      </w:r>
      <w:r w:rsidRPr="00C519B3">
        <w:t>while expired subsidies can give rise to adverse effects, there is no requirement under Article 7.8 to remove the</w:t>
      </w:r>
      <w:r>
        <w:t>se</w:t>
      </w:r>
      <w:r w:rsidRPr="00C519B3">
        <w:t xml:space="preserve"> effects</w:t>
      </w:r>
      <w:r>
        <w:t>.</w:t>
      </w:r>
      <w:r w:rsidRPr="004D1A3A">
        <w:rPr>
          <w:highlight w:val="yellow"/>
        </w:rPr>
        <w:t xml:space="preserve"> </w:t>
      </w:r>
    </w:p>
    <w:p w:rsidR="00AE4AC1" w:rsidRPr="00440A0A" w:rsidRDefault="00AE4AC1" w:rsidP="009E6402">
      <w:pPr>
        <w:pStyle w:val="BodyText"/>
        <w:rPr>
          <w:lang w:val="en-CA"/>
        </w:rPr>
      </w:pPr>
      <w:r w:rsidRPr="00440A0A">
        <w:rPr>
          <w:lang w:val="en-CA"/>
        </w:rPr>
        <w:t xml:space="preserve">In light of the foregoing, we </w:t>
      </w:r>
      <w:r w:rsidRPr="00AD2E12">
        <w:rPr>
          <w:u w:val="single"/>
          <w:lang w:val="en-CA"/>
        </w:rPr>
        <w:t>find</w:t>
      </w:r>
      <w:r w:rsidRPr="00440A0A">
        <w:rPr>
          <w:lang w:val="en-CA"/>
        </w:rPr>
        <w:t xml:space="preserve"> that the obligation to "take appropriate steps to remove the adverse effects or … withdraw the subsidy" concerns the subsidies that continue to be "grant</w:t>
      </w:r>
      <w:r>
        <w:rPr>
          <w:lang w:val="en-CA"/>
        </w:rPr>
        <w:t>{</w:t>
      </w:r>
      <w:r w:rsidRPr="00440A0A">
        <w:rPr>
          <w:lang w:val="en-CA"/>
        </w:rPr>
        <w:t>ed</w:t>
      </w:r>
      <w:r>
        <w:rPr>
          <w:lang w:val="en-CA"/>
        </w:rPr>
        <w:t>}</w:t>
      </w:r>
      <w:r w:rsidRPr="00440A0A">
        <w:rPr>
          <w:lang w:val="en-CA"/>
        </w:rPr>
        <w:t xml:space="preserve"> or maintain</w:t>
      </w:r>
      <w:r>
        <w:rPr>
          <w:lang w:val="en-CA"/>
        </w:rPr>
        <w:t>{</w:t>
      </w:r>
      <w:r w:rsidRPr="00440A0A">
        <w:rPr>
          <w:lang w:val="en-CA"/>
        </w:rPr>
        <w:t>ed</w:t>
      </w:r>
      <w:r>
        <w:rPr>
          <w:lang w:val="en-CA"/>
        </w:rPr>
        <w:t>}</w:t>
      </w:r>
      <w:r w:rsidRPr="00440A0A">
        <w:rPr>
          <w:lang w:val="en-CA"/>
        </w:rPr>
        <w:t xml:space="preserve">" by the implementing Member at the end of the implementation period. </w:t>
      </w:r>
      <w:r>
        <w:rPr>
          <w:lang w:val="en-CA"/>
        </w:rPr>
        <w:t>An</w:t>
      </w:r>
      <w:r w:rsidRPr="00440A0A">
        <w:rPr>
          <w:lang w:val="en-CA"/>
        </w:rPr>
        <w:t xml:space="preserve"> implementing Member </w:t>
      </w:r>
      <w:r>
        <w:rPr>
          <w:lang w:val="en-CA"/>
        </w:rPr>
        <w:t>cannot</w:t>
      </w:r>
      <w:r w:rsidRPr="00440A0A">
        <w:rPr>
          <w:lang w:val="en-CA"/>
        </w:rPr>
        <w:t xml:space="preserve"> be required to withdraw a subsidy that has ceased to exist. Nor do we see a basis, under Article 7.8</w:t>
      </w:r>
      <w:r>
        <w:rPr>
          <w:lang w:val="en-CA"/>
        </w:rPr>
        <w:t xml:space="preserve"> of the SCM Agreement</w:t>
      </w:r>
      <w:r w:rsidRPr="00440A0A">
        <w:rPr>
          <w:lang w:val="en-CA"/>
        </w:rPr>
        <w:t xml:space="preserve">, to require that an implementing Member "take appropriate steps to remove the adverse effects" of subsidies </w:t>
      </w:r>
      <w:r>
        <w:rPr>
          <w:lang w:val="en-CA"/>
        </w:rPr>
        <w:t xml:space="preserve">that </w:t>
      </w:r>
      <w:r w:rsidRPr="00440A0A">
        <w:rPr>
          <w:lang w:val="en-CA"/>
        </w:rPr>
        <w:t xml:space="preserve">no longer exist. Accordingly, we </w:t>
      </w:r>
      <w:r w:rsidRPr="003A5062">
        <w:rPr>
          <w:u w:val="single"/>
          <w:lang w:val="en-CA"/>
        </w:rPr>
        <w:t>reverse</w:t>
      </w:r>
      <w:r w:rsidRPr="00440A0A">
        <w:rPr>
          <w:lang w:val="en-CA"/>
        </w:rPr>
        <w:t xml:space="preserve"> the Panel's interpretation of Article 7.8 </w:t>
      </w:r>
      <w:r w:rsidR="00AD2E12">
        <w:rPr>
          <w:lang w:val="en-CA"/>
        </w:rPr>
        <w:t xml:space="preserve">of the SCM Agreement </w:t>
      </w:r>
      <w:r w:rsidRPr="00440A0A">
        <w:rPr>
          <w:lang w:val="en-CA"/>
        </w:rPr>
        <w:t xml:space="preserve">whereby an implementing Member </w:t>
      </w:r>
      <w:r>
        <w:rPr>
          <w:lang w:val="en-CA"/>
        </w:rPr>
        <w:t>would be</w:t>
      </w:r>
      <w:r w:rsidRPr="00440A0A">
        <w:rPr>
          <w:lang w:val="en-CA"/>
        </w:rPr>
        <w:t xml:space="preserve"> re</w:t>
      </w:r>
      <w:r w:rsidR="00F91606">
        <w:rPr>
          <w:lang w:val="en-CA"/>
        </w:rPr>
        <w:t xml:space="preserve">quired to "withdraw" or </w:t>
      </w:r>
      <w:r w:rsidR="00F91606">
        <w:rPr>
          <w:lang w:val="en-CA"/>
        </w:rPr>
        <w:lastRenderedPageBreak/>
        <w:t>"remove </w:t>
      </w:r>
      <w:r w:rsidRPr="00440A0A">
        <w:rPr>
          <w:lang w:val="en-CA"/>
        </w:rPr>
        <w:t xml:space="preserve">the adverse effects" of past subsidies </w:t>
      </w:r>
      <w:r w:rsidRPr="00FA1A45">
        <w:rPr>
          <w:i/>
          <w:lang w:val="en-CA"/>
        </w:rPr>
        <w:t>irrespective</w:t>
      </w:r>
      <w:r w:rsidRPr="00440A0A">
        <w:rPr>
          <w:lang w:val="en-CA"/>
        </w:rPr>
        <w:t xml:space="preserve"> of whether such subsidies have expired prior to the end of the relevant implementation period.</w:t>
      </w:r>
      <w:r w:rsidRPr="003A5062">
        <w:rPr>
          <w:vertAlign w:val="superscript"/>
          <w:lang w:val="en-CA"/>
        </w:rPr>
        <w:footnoteReference w:id="958"/>
      </w:r>
      <w:r w:rsidRPr="00440A0A">
        <w:rPr>
          <w:lang w:val="en-CA"/>
        </w:rPr>
        <w:t xml:space="preserve"> </w:t>
      </w:r>
      <w:r w:rsidRPr="00F35203">
        <w:rPr>
          <w:lang w:val="en-CA"/>
        </w:rPr>
        <w:t>It follows from our finding that, in the present dispute, the European</w:t>
      </w:r>
      <w:r>
        <w:rPr>
          <w:lang w:val="en-CA"/>
        </w:rPr>
        <w:t> </w:t>
      </w:r>
      <w:r w:rsidRPr="00F35203">
        <w:rPr>
          <w:lang w:val="en-CA"/>
        </w:rPr>
        <w:t>Union has no compliance obligation with respect to subsidies that expired before 1</w:t>
      </w:r>
      <w:r>
        <w:rPr>
          <w:lang w:val="en-CA"/>
        </w:rPr>
        <w:t> </w:t>
      </w:r>
      <w:r w:rsidRPr="00F35203">
        <w:rPr>
          <w:lang w:val="en-CA"/>
        </w:rPr>
        <w:t>December</w:t>
      </w:r>
      <w:r>
        <w:rPr>
          <w:lang w:val="en-CA"/>
        </w:rPr>
        <w:t> </w:t>
      </w:r>
      <w:r w:rsidRPr="00F35203">
        <w:rPr>
          <w:lang w:val="en-CA"/>
        </w:rPr>
        <w:t>2011.</w:t>
      </w:r>
      <w:r w:rsidRPr="00440A0A">
        <w:rPr>
          <w:lang w:val="en-CA"/>
        </w:rPr>
        <w:t xml:space="preserve"> </w:t>
      </w:r>
    </w:p>
    <w:p w:rsidR="00AE4AC1" w:rsidRDefault="00AE4AC1" w:rsidP="009E6402">
      <w:pPr>
        <w:pStyle w:val="Heading3"/>
      </w:pPr>
      <w:bookmarkStart w:id="115" w:name="_Toc514059251"/>
      <w:r>
        <w:t xml:space="preserve">Whether the Panel erred in finding that the </w:t>
      </w:r>
      <w:r w:rsidRPr="00883F90">
        <w:rPr>
          <w:i/>
        </w:rPr>
        <w:t>ex ante</w:t>
      </w:r>
      <w:r>
        <w:t xml:space="preserve"> "lives" of certain LA/MSF subsidies had expired – conditional appeal by the United States</w:t>
      </w:r>
      <w:bookmarkEnd w:id="115"/>
      <w:r>
        <w:t xml:space="preserve"> </w:t>
      </w:r>
    </w:p>
    <w:p w:rsidR="00AE4AC1" w:rsidRDefault="00AE4AC1" w:rsidP="009E6402">
      <w:pPr>
        <w:pStyle w:val="BodyText"/>
      </w:pPr>
      <w:r>
        <w:t>This brings us to the</w:t>
      </w:r>
      <w:r w:rsidRPr="001075BE">
        <w:t xml:space="preserve"> </w:t>
      </w:r>
      <w:r>
        <w:t xml:space="preserve">United States' conditional appeal of the Panel's finding that the </w:t>
      </w:r>
      <w:r w:rsidRPr="004428BE">
        <w:rPr>
          <w:i/>
        </w:rPr>
        <w:t>ex</w:t>
      </w:r>
      <w:r>
        <w:rPr>
          <w:i/>
        </w:rPr>
        <w:t> </w:t>
      </w:r>
      <w:r w:rsidRPr="004428BE">
        <w:rPr>
          <w:i/>
        </w:rPr>
        <w:t>ante</w:t>
      </w:r>
      <w:r>
        <w:t xml:space="preserve"> "lives" of several challenged LA/MSF subsidies had expired </w:t>
      </w:r>
      <w:r w:rsidRPr="0063379B">
        <w:t>by 1 December 2011</w:t>
      </w:r>
      <w:r>
        <w:t xml:space="preserve"> and that they had therefore ceased to exist.</w:t>
      </w:r>
      <w:r w:rsidRPr="001075BE">
        <w:rPr>
          <w:rStyle w:val="FootnoteReference"/>
        </w:rPr>
        <w:footnoteReference w:id="959"/>
      </w:r>
      <w:r>
        <w:t xml:space="preserve"> In particular, the United States requests us to reverse </w:t>
      </w:r>
      <w:r w:rsidRPr="005858EA">
        <w:t xml:space="preserve">the Panel's finding that the </w:t>
      </w:r>
      <w:r w:rsidRPr="004428BE">
        <w:rPr>
          <w:i/>
        </w:rPr>
        <w:t>ex</w:t>
      </w:r>
      <w:r>
        <w:rPr>
          <w:i/>
        </w:rPr>
        <w:t> </w:t>
      </w:r>
      <w:r w:rsidRPr="004428BE">
        <w:rPr>
          <w:i/>
        </w:rPr>
        <w:t xml:space="preserve">ante </w:t>
      </w:r>
      <w:r w:rsidR="00AD2E12" w:rsidRPr="00AD2E12">
        <w:t>"</w:t>
      </w:r>
      <w:r w:rsidRPr="00AD2E12">
        <w:t>l</w:t>
      </w:r>
      <w:r w:rsidRPr="005858EA">
        <w:t>ives</w:t>
      </w:r>
      <w:r w:rsidR="00AD2E12">
        <w:t>"</w:t>
      </w:r>
      <w:r w:rsidRPr="005858EA">
        <w:t xml:space="preserve"> of the following pre-A380 LA/MSF</w:t>
      </w:r>
      <w:r w:rsidRPr="001075BE">
        <w:t xml:space="preserve"> subsidies had expired </w:t>
      </w:r>
      <w:r w:rsidRPr="00C45FAD">
        <w:t>before</w:t>
      </w:r>
      <w:r w:rsidRPr="001075BE">
        <w:t xml:space="preserve"> 1</w:t>
      </w:r>
      <w:r>
        <w:t> </w:t>
      </w:r>
      <w:r w:rsidRPr="001075BE">
        <w:t xml:space="preserve">December 2011: the French, German, and Spanish LA/MSF subsidies for the A300B/B2/B4, A300-600, A310, A320, </w:t>
      </w:r>
      <w:r>
        <w:t xml:space="preserve">and </w:t>
      </w:r>
      <w:r w:rsidRPr="001075BE">
        <w:t>A330/</w:t>
      </w:r>
      <w:r>
        <w:t>A</w:t>
      </w:r>
      <w:r w:rsidRPr="001075BE">
        <w:t>340, and the UK LA/MSF subsidies for the A320 and A330/</w:t>
      </w:r>
      <w:r>
        <w:t>A</w:t>
      </w:r>
      <w:r w:rsidRPr="001075BE">
        <w:t>340</w:t>
      </w:r>
      <w:r>
        <w:t>.</w:t>
      </w:r>
      <w:r w:rsidRPr="001075BE">
        <w:rPr>
          <w:rStyle w:val="FootnoteReference"/>
        </w:rPr>
        <w:footnoteReference w:id="960"/>
      </w:r>
      <w:r w:rsidRPr="00EC24A7">
        <w:rPr>
          <w:rStyle w:val="FootnoteReference"/>
        </w:rPr>
        <w:t xml:space="preserve"> </w:t>
      </w:r>
      <w:r>
        <w:t>In the event that we reverse these findings, the United States further requests that we determine that</w:t>
      </w:r>
      <w:r w:rsidRPr="00A83B75">
        <w:t xml:space="preserve"> the French, German, Spanish, and UK LA/MSF </w:t>
      </w:r>
      <w:r>
        <w:t xml:space="preserve">subsidies </w:t>
      </w:r>
      <w:r w:rsidRPr="00A83B75">
        <w:t>for the A320 and A330/</w:t>
      </w:r>
      <w:r>
        <w:t>A</w:t>
      </w:r>
      <w:r w:rsidRPr="00A83B75">
        <w:t>340</w:t>
      </w:r>
      <w:r>
        <w:t xml:space="preserve"> </w:t>
      </w:r>
      <w:r w:rsidRPr="00A83B75">
        <w:t xml:space="preserve">had </w:t>
      </w:r>
      <w:r w:rsidRPr="004428BE">
        <w:rPr>
          <w:i/>
        </w:rPr>
        <w:t>not</w:t>
      </w:r>
      <w:r w:rsidRPr="00A83B75">
        <w:t xml:space="preserve"> expired before the end of the impl</w:t>
      </w:r>
      <w:r>
        <w:t>ementation period on 1 December </w:t>
      </w:r>
      <w:r w:rsidRPr="00A83B75">
        <w:t>2011</w:t>
      </w:r>
      <w:r>
        <w:t>.</w:t>
      </w:r>
      <w:r>
        <w:rPr>
          <w:rStyle w:val="FootnoteReference"/>
        </w:rPr>
        <w:footnoteReference w:id="961"/>
      </w:r>
      <w:r>
        <w:t xml:space="preserve"> Moreover, in the event that</w:t>
      </w:r>
      <w:r w:rsidRPr="00A83B75">
        <w:t xml:space="preserve"> </w:t>
      </w:r>
      <w:r>
        <w:t>we find</w:t>
      </w:r>
      <w:r w:rsidRPr="00A83B75">
        <w:t xml:space="preserve"> that the expiry of a subsidy </w:t>
      </w:r>
      <w:r w:rsidRPr="004428BE">
        <w:rPr>
          <w:i/>
        </w:rPr>
        <w:t>after</w:t>
      </w:r>
      <w:r w:rsidRPr="00A83B75">
        <w:t xml:space="preserve"> the end of the implementation period</w:t>
      </w:r>
      <w:r>
        <w:t xml:space="preserve"> </w:t>
      </w:r>
      <w:r w:rsidRPr="00A83B75">
        <w:t>constitute</w:t>
      </w:r>
      <w:r>
        <w:t>s</w:t>
      </w:r>
      <w:r w:rsidRPr="00A83B75">
        <w:t xml:space="preserve"> withdrawal within the meaning of </w:t>
      </w:r>
      <w:r>
        <w:t>Article </w:t>
      </w:r>
      <w:r w:rsidRPr="00A83B75">
        <w:t xml:space="preserve">7.8 of the </w:t>
      </w:r>
      <w:r>
        <w:t>SCM Agreement</w:t>
      </w:r>
      <w:r w:rsidRPr="00A83B75">
        <w:t xml:space="preserve">, the </w:t>
      </w:r>
      <w:r>
        <w:t>United States</w:t>
      </w:r>
      <w:r w:rsidRPr="00A83B75">
        <w:t xml:space="preserve"> </w:t>
      </w:r>
      <w:r>
        <w:t xml:space="preserve">also </w:t>
      </w:r>
      <w:r w:rsidRPr="00A83B75">
        <w:t xml:space="preserve">appeals the Panel's finding that the LA/MSF for the </w:t>
      </w:r>
      <w:r>
        <w:t>A330</w:t>
      </w:r>
      <w:r>
        <w:noBreakHyphen/>
        <w:t xml:space="preserve">200 and </w:t>
      </w:r>
      <w:r w:rsidRPr="00A83B75">
        <w:t>A340-500/600 expired in</w:t>
      </w:r>
      <w:r>
        <w:t>, respectively,</w:t>
      </w:r>
      <w:r w:rsidRPr="00A83B75">
        <w:t xml:space="preserve"> </w:t>
      </w:r>
      <w:r w:rsidRPr="004428BE">
        <w:rPr>
          <w:b/>
        </w:rPr>
        <w:t>[</w:t>
      </w:r>
      <w:r w:rsidR="00E8168B" w:rsidRPr="00C8434D">
        <w:rPr>
          <w:b/>
          <w:szCs w:val="16"/>
        </w:rPr>
        <w:t>BCI</w:t>
      </w:r>
      <w:r w:rsidRPr="004428BE">
        <w:rPr>
          <w:b/>
        </w:rPr>
        <w:t xml:space="preserve">] </w:t>
      </w:r>
      <w:r w:rsidRPr="00EC24A7">
        <w:t>and</w:t>
      </w:r>
      <w:r w:rsidRPr="004428BE">
        <w:rPr>
          <w:b/>
        </w:rPr>
        <w:t xml:space="preserve"> [</w:t>
      </w:r>
      <w:r w:rsidR="00E8168B" w:rsidRPr="00C8434D">
        <w:rPr>
          <w:b/>
          <w:szCs w:val="16"/>
        </w:rPr>
        <w:t>BCI</w:t>
      </w:r>
      <w:r w:rsidRPr="004428BE">
        <w:rPr>
          <w:b/>
        </w:rPr>
        <w:t>]</w:t>
      </w:r>
      <w:r w:rsidRPr="00A83B75">
        <w:t>.</w:t>
      </w:r>
      <w:r w:rsidRPr="00A83B75">
        <w:rPr>
          <w:rStyle w:val="FootnoteReference"/>
        </w:rPr>
        <w:footnoteReference w:id="962"/>
      </w:r>
      <w:r>
        <w:t xml:space="preserve"> </w:t>
      </w:r>
    </w:p>
    <w:p w:rsidR="00AE4AC1" w:rsidRPr="003A5062" w:rsidRDefault="00AE4AC1" w:rsidP="009E6402">
      <w:pPr>
        <w:pStyle w:val="BodyText"/>
      </w:pPr>
      <w:r>
        <w:t>In addressing the issues raised by the United States in its conditional appeal, we recall briefly the Appellate Body's findings regarding the</w:t>
      </w:r>
      <w:r w:rsidRPr="00A83B75">
        <w:rPr>
          <w:bCs/>
        </w:rPr>
        <w:t xml:space="preserve"> con</w:t>
      </w:r>
      <w:r>
        <w:rPr>
          <w:bCs/>
        </w:rPr>
        <w:t xml:space="preserve">cept of the "life" of a subsidy. </w:t>
      </w:r>
      <w:r w:rsidRPr="00A83B75">
        <w:t xml:space="preserve">In the original proceedings, the </w:t>
      </w:r>
      <w:r>
        <w:t>European Union</w:t>
      </w:r>
      <w:r w:rsidRPr="00A83B75">
        <w:t xml:space="preserve"> claimed that Articles 1, 5, and 6 of the </w:t>
      </w:r>
      <w:r>
        <w:t>SCM Agreement</w:t>
      </w:r>
      <w:r w:rsidRPr="00A83B75">
        <w:t xml:space="preserve"> require a demonstration of a "continuing" or "present" benefit during the reference period chosen for a serious prejudice analysis. The </w:t>
      </w:r>
      <w:r>
        <w:t>Appellate Body</w:t>
      </w:r>
      <w:r w:rsidRPr="00A83B75">
        <w:t xml:space="preserve"> noted that this cl</w:t>
      </w:r>
      <w:r w:rsidR="00F91606">
        <w:t>aim concerned the issue of "how </w:t>
      </w:r>
      <w:r w:rsidRPr="00A83B75">
        <w:t xml:space="preserve">an assessment of the benefit conferred under </w:t>
      </w:r>
      <w:r>
        <w:t>Article </w:t>
      </w:r>
      <w:r w:rsidRPr="00A83B75">
        <w:t xml:space="preserve">1.1(b) of </w:t>
      </w:r>
      <w:r w:rsidRPr="003A5062">
        <w:t>the SCM Agreement relates to the adverse effects analysis that must be conducted by a panel pursuant to Articles 5 and 6".</w:t>
      </w:r>
      <w:r w:rsidRPr="003A5062">
        <w:rPr>
          <w:rStyle w:val="FootnoteReference"/>
        </w:rPr>
        <w:footnoteReference w:id="963"/>
      </w:r>
      <w:r w:rsidRPr="003A5062">
        <w:t xml:space="preserve"> Upon examining the text of Article 1.1 of the SCM Agreemen</w:t>
      </w:r>
      <w:r w:rsidR="00F91606">
        <w:t>t and its relevant context, the </w:t>
      </w:r>
      <w:r w:rsidRPr="003A5062">
        <w:t>Appellate Body stated:</w:t>
      </w:r>
    </w:p>
    <w:p w:rsidR="00AE4AC1" w:rsidRPr="00A83B75" w:rsidRDefault="00AE4AC1" w:rsidP="00267BCB">
      <w:pPr>
        <w:pStyle w:val="Quotation"/>
      </w:pPr>
      <w:r w:rsidRPr="003A5062">
        <w:t xml:space="preserve">The ordinary meaning of Article 1.1, read in the light of Article 14 of the SCM Agreement, confirms … that a benefit analysis under Article 1.1(b) is </w:t>
      </w:r>
      <w:r w:rsidRPr="003A5062">
        <w:rPr>
          <w:u w:val="single"/>
        </w:rPr>
        <w:t>forward</w:t>
      </w:r>
      <w:r w:rsidRPr="003A5062">
        <w:rPr>
          <w:u w:val="single"/>
        </w:rPr>
        <w:noBreakHyphen/>
        <w:t>looking and focuses on future</w:t>
      </w:r>
      <w:r w:rsidRPr="007A4407">
        <w:rPr>
          <w:u w:val="single"/>
        </w:rPr>
        <w:t xml:space="preserve"> projections</w:t>
      </w:r>
      <w:r w:rsidRPr="00A83B75">
        <w:t xml:space="preserve">. The </w:t>
      </w:r>
      <w:r w:rsidRPr="00793F76">
        <w:rPr>
          <w:u w:val="single"/>
        </w:rPr>
        <w:t>nature, amount, and projected use of the challenged subsidy</w:t>
      </w:r>
      <w:r w:rsidRPr="00A83B75">
        <w:t xml:space="preserve"> may be relevant factors to consider in an assessment of </w:t>
      </w:r>
      <w:r w:rsidRPr="001F66C9">
        <w:rPr>
          <w:u w:val="single"/>
        </w:rPr>
        <w:t xml:space="preserve">the period over which the benefit from a financial contribution </w:t>
      </w:r>
      <w:r w:rsidRPr="001F66C9">
        <w:rPr>
          <w:i/>
          <w:u w:val="single"/>
        </w:rPr>
        <w:t>might be expected</w:t>
      </w:r>
      <w:r w:rsidRPr="001F66C9">
        <w:rPr>
          <w:u w:val="single"/>
        </w:rPr>
        <w:t xml:space="preserve"> to flow</w:t>
      </w:r>
      <w:r w:rsidRPr="00A83B75">
        <w:t xml:space="preserve">. A panel may consider, for example, as part of its </w:t>
      </w:r>
      <w:r w:rsidRPr="00A83B75">
        <w:rPr>
          <w:i/>
        </w:rPr>
        <w:t>ex ante</w:t>
      </w:r>
      <w:r w:rsidRPr="00A83B75">
        <w:t xml:space="preserve"> analysis of benefit, </w:t>
      </w:r>
      <w:r w:rsidRPr="00793F76">
        <w:rPr>
          <w:u w:val="single"/>
        </w:rPr>
        <w:t xml:space="preserve">whether the subsidy is allocated to purchase inputs or fixed assets; the useful life of </w:t>
      </w:r>
      <w:r w:rsidRPr="00793F76">
        <w:rPr>
          <w:u w:val="single"/>
        </w:rPr>
        <w:lastRenderedPageBreak/>
        <w:t>these inputs or assets; whether the subsidy is large or small; and the period of time over which the subsidy is expected to be used for future production</w:t>
      </w:r>
      <w:r w:rsidRPr="00A83B75">
        <w:t>.</w:t>
      </w:r>
      <w:r w:rsidRPr="00A83B75">
        <w:rPr>
          <w:rStyle w:val="FootnoteReference"/>
        </w:rPr>
        <w:footnoteReference w:id="964"/>
      </w:r>
      <w:r w:rsidRPr="00A83B75">
        <w:t xml:space="preserve"> </w:t>
      </w:r>
    </w:p>
    <w:p w:rsidR="00AE4AC1" w:rsidRPr="00A83B75" w:rsidRDefault="00AE4AC1" w:rsidP="009E6402">
      <w:pPr>
        <w:pStyle w:val="BodyText"/>
      </w:pPr>
      <w:r>
        <w:t>The Appellate Body further considered that</w:t>
      </w:r>
      <w:r w:rsidRPr="00A83B75">
        <w:t xml:space="preserve"> "the fact that a subsidy is 'deemed to exist' under </w:t>
      </w:r>
      <w:r>
        <w:t>Article </w:t>
      </w:r>
      <w:r w:rsidRPr="00A83B75">
        <w:t>1.1 once there is a financial contribution that confers a benefit does not mean that a subsidy does not continue to exist after the act of granting the financial contribution."</w:t>
      </w:r>
      <w:r w:rsidRPr="00A83B75">
        <w:rPr>
          <w:rStyle w:val="FootnoteReference"/>
        </w:rPr>
        <w:footnoteReference w:id="965"/>
      </w:r>
      <w:r w:rsidRPr="00A83B75">
        <w:t xml:space="preserve"> </w:t>
      </w:r>
      <w:r w:rsidR="00F91606">
        <w:t>The </w:t>
      </w:r>
      <w:r>
        <w:t>Appellate Body added that</w:t>
      </w:r>
      <w:r w:rsidRPr="00A83B75">
        <w:t xml:space="preserve"> the </w:t>
      </w:r>
      <w:r w:rsidRPr="00A83B75">
        <w:rPr>
          <w:i/>
        </w:rPr>
        <w:t>ex ante</w:t>
      </w:r>
      <w:r w:rsidRPr="00A83B75">
        <w:t xml:space="preserve"> </w:t>
      </w:r>
      <w:r w:rsidR="00910BF9">
        <w:t>"</w:t>
      </w:r>
      <w:r w:rsidRPr="00A83B75">
        <w:t>life</w:t>
      </w:r>
      <w:r w:rsidR="00910BF9">
        <w:t>"</w:t>
      </w:r>
      <w:r w:rsidRPr="00A83B75">
        <w:t xml:space="preserve"> of a subsidy, as projected at the time of its grant, may be affected by subsequent "intervening events". As the </w:t>
      </w:r>
      <w:r>
        <w:t>Appellate Body</w:t>
      </w:r>
      <w:r w:rsidRPr="00A83B75">
        <w:t xml:space="preserve"> </w:t>
      </w:r>
      <w:r>
        <w:t>explained</w:t>
      </w:r>
      <w:r w:rsidRPr="00A83B75">
        <w:t>:</w:t>
      </w:r>
    </w:p>
    <w:p w:rsidR="00AE4AC1" w:rsidRPr="00A83B75" w:rsidRDefault="00AE4AC1" w:rsidP="00267BCB">
      <w:pPr>
        <w:pStyle w:val="Quotation"/>
      </w:pPr>
      <w:r w:rsidRPr="00A83B75">
        <w:t xml:space="preserve">At the time of the grant of a subsidy, the subsidy will necessarily be projected to have </w:t>
      </w:r>
      <w:r w:rsidRPr="00390440">
        <w:rPr>
          <w:i/>
        </w:rPr>
        <w:t>a finite life</w:t>
      </w:r>
      <w:r w:rsidRPr="00A83B75">
        <w:t xml:space="preserve"> and to be utilized over that </w:t>
      </w:r>
      <w:r w:rsidRPr="00390440">
        <w:rPr>
          <w:i/>
        </w:rPr>
        <w:t>finite period</w:t>
      </w:r>
      <w:r w:rsidRPr="00A83B75">
        <w:t xml:space="preserve">. In order properly to assess a complaint under </w:t>
      </w:r>
      <w:r>
        <w:t>Article </w:t>
      </w:r>
      <w:r w:rsidRPr="00A83B75">
        <w:t xml:space="preserve">5 that a subsidy causes adverse effects, a panel must take into account that a subsidy provided accrues and diminishes over time, and will have a finite life. </w:t>
      </w:r>
      <w:r w:rsidRPr="00E20560">
        <w:t xml:space="preserve">The adverse effects analysis under Article 5 is distinct from the "benefit" analysis under Article 1.1(b) of the </w:t>
      </w:r>
      <w:r w:rsidRPr="00D56D87">
        <w:t xml:space="preserve">SCM Agreement </w:t>
      </w:r>
      <w:r w:rsidRPr="00E20560">
        <w:t xml:space="preserve">and </w:t>
      </w:r>
      <w:r w:rsidRPr="00D56D87">
        <w:t xml:space="preserve">there is consequently no need to re-evaluate under Article 5 the amount of the benefit </w:t>
      </w:r>
      <w:r w:rsidRPr="00E20560">
        <w:t xml:space="preserve">conferred pursuant to Article 1.1(b). Rather, </w:t>
      </w:r>
      <w:r>
        <w:t xml:space="preserve">an </w:t>
      </w:r>
      <w:r w:rsidRPr="00A83B75">
        <w:t xml:space="preserve">adverse effects analysis under </w:t>
      </w:r>
      <w:r>
        <w:t>Article </w:t>
      </w:r>
      <w:r w:rsidRPr="00A83B75">
        <w:t xml:space="preserve">5 must consider </w:t>
      </w:r>
      <w:r w:rsidRPr="00A83B75">
        <w:rPr>
          <w:i/>
        </w:rPr>
        <w:t>the trajectory of the subsidy as it was projected</w:t>
      </w:r>
      <w:r w:rsidRPr="00A83B75">
        <w:t xml:space="preserve"> to materialize over a certain period at the time of the grant. Separately, </w:t>
      </w:r>
      <w:r w:rsidRPr="00A83B75">
        <w:rPr>
          <w:i/>
        </w:rPr>
        <w:t xml:space="preserve">where it is so argued, a panel must assess whether there are "intervening events" that occurred after the grant of the subsidy that may affect the projected value </w:t>
      </w:r>
      <w:r w:rsidRPr="00A83B75">
        <w:t xml:space="preserve">of the subsidy as determined under the </w:t>
      </w:r>
      <w:r w:rsidRPr="00A83B75">
        <w:rPr>
          <w:i/>
        </w:rPr>
        <w:t>ex ante</w:t>
      </w:r>
      <w:r w:rsidRPr="00A83B75">
        <w:t xml:space="preserve"> analysis. Such events may be relevant to an adverse effects analysis because they may affect the link that a complaining party is seeking to establish between the subsidy and its alleged effects.</w:t>
      </w:r>
      <w:r w:rsidRPr="00A83B75">
        <w:rPr>
          <w:rStyle w:val="FootnoteReference"/>
        </w:rPr>
        <w:footnoteReference w:id="966"/>
      </w:r>
    </w:p>
    <w:p w:rsidR="00AE4AC1" w:rsidRPr="00A83B75" w:rsidRDefault="00AE4AC1" w:rsidP="009E6402">
      <w:pPr>
        <w:pStyle w:val="BodyText"/>
      </w:pPr>
      <w:r w:rsidRPr="00A83B75">
        <w:t xml:space="preserve">Thus, </w:t>
      </w:r>
      <w:r>
        <w:t xml:space="preserve">the Appellate Body considered that </w:t>
      </w:r>
      <w:r w:rsidRPr="00E20560">
        <w:rPr>
          <w:color w:val="000000"/>
        </w:rPr>
        <w:t>a</w:t>
      </w:r>
      <w:r w:rsidRPr="00E20560">
        <w:rPr>
          <w:b/>
          <w:color w:val="000000"/>
        </w:rPr>
        <w:t xml:space="preserve"> </w:t>
      </w:r>
      <w:r w:rsidRPr="00E20560">
        <w:t xml:space="preserve">panel's analysis of the adverse effects must take into account </w:t>
      </w:r>
      <w:r>
        <w:t>"</w:t>
      </w:r>
      <w:r w:rsidRPr="00E20560">
        <w:t xml:space="preserve">how the subsidy has </w:t>
      </w:r>
      <w:r w:rsidRPr="0050157F">
        <w:rPr>
          <w:i/>
        </w:rPr>
        <w:t>materialized over time</w:t>
      </w:r>
      <w:r>
        <w:t>".</w:t>
      </w:r>
      <w:r w:rsidRPr="00A83B75">
        <w:rPr>
          <w:rStyle w:val="FootnoteReference"/>
        </w:rPr>
        <w:footnoteReference w:id="967"/>
      </w:r>
      <w:r>
        <w:t xml:space="preserve"> </w:t>
      </w:r>
      <w:r w:rsidRPr="00E37AF5">
        <w:t>These</w:t>
      </w:r>
      <w:r>
        <w:t xml:space="preserve"> findings of the Appellate Body set out the conceptual framework for understanding</w:t>
      </w:r>
      <w:r w:rsidR="00F91606">
        <w:t xml:space="preserve"> the "life" of a subsidy. Under </w:t>
      </w:r>
      <w:r>
        <w:t xml:space="preserve">this framework, it </w:t>
      </w:r>
      <w:r w:rsidRPr="00A83B75">
        <w:t xml:space="preserve">is relevant "to examine </w:t>
      </w:r>
      <w:r w:rsidRPr="00A83B75">
        <w:rPr>
          <w:i/>
        </w:rPr>
        <w:t>the trajectory of the life</w:t>
      </w:r>
      <w:r w:rsidRPr="00A83B75">
        <w:t xml:space="preserve"> of a subsidy" from both an </w:t>
      </w:r>
      <w:r w:rsidRPr="00A83B75">
        <w:rPr>
          <w:i/>
        </w:rPr>
        <w:t>ex</w:t>
      </w:r>
      <w:r>
        <w:rPr>
          <w:i/>
        </w:rPr>
        <w:t> </w:t>
      </w:r>
      <w:r w:rsidRPr="00A83B75">
        <w:rPr>
          <w:i/>
        </w:rPr>
        <w:t>ante</w:t>
      </w:r>
      <w:r w:rsidRPr="00A83B75">
        <w:t xml:space="preserve"> </w:t>
      </w:r>
      <w:r>
        <w:t xml:space="preserve">perspective </w:t>
      </w:r>
      <w:r w:rsidRPr="00A83B75">
        <w:t xml:space="preserve">and </w:t>
      </w:r>
      <w:r>
        <w:t xml:space="preserve">from the </w:t>
      </w:r>
      <w:r w:rsidRPr="00A83B75">
        <w:t>perspective</w:t>
      </w:r>
      <w:r>
        <w:t xml:space="preserve"> of intervening events</w:t>
      </w:r>
      <w:r w:rsidRPr="00A83B75">
        <w:t>.</w:t>
      </w:r>
      <w:r w:rsidRPr="00A83B75">
        <w:rPr>
          <w:rStyle w:val="FootnoteReference"/>
        </w:rPr>
        <w:footnoteReference w:id="968"/>
      </w:r>
      <w:r w:rsidRPr="00A83B75">
        <w:t xml:space="preserve"> The </w:t>
      </w:r>
      <w:r w:rsidRPr="00A83B75">
        <w:rPr>
          <w:i/>
        </w:rPr>
        <w:t>ex ante</w:t>
      </w:r>
      <w:r w:rsidRPr="00A83B75">
        <w:t xml:space="preserve"> analysis concerns "how the subsidy is affected</w:t>
      </w:r>
      <w:r>
        <w:t xml:space="preserve"> …</w:t>
      </w:r>
      <w:r w:rsidRPr="00A83B75">
        <w:t xml:space="preserve"> by the depreciation of the subsidy that was projected" </w:t>
      </w:r>
      <w:r w:rsidR="006B1423">
        <w:rPr>
          <w:i/>
        </w:rPr>
        <w:t>at </w:t>
      </w:r>
      <w:r w:rsidRPr="00A83B75">
        <w:rPr>
          <w:i/>
        </w:rPr>
        <w:t>the time it was granted</w:t>
      </w:r>
      <w:r w:rsidRPr="00A83B75">
        <w:t xml:space="preserve">, and the </w:t>
      </w:r>
      <w:r>
        <w:t xml:space="preserve">analysis </w:t>
      </w:r>
      <w:r w:rsidRPr="00A83B75">
        <w:t xml:space="preserve">of intervening </w:t>
      </w:r>
      <w:r>
        <w:t>events</w:t>
      </w:r>
      <w:r w:rsidRPr="00A83B75">
        <w:t xml:space="preserve"> </w:t>
      </w:r>
      <w:r>
        <w:t xml:space="preserve">involves the evaluation of events </w:t>
      </w:r>
      <w:r w:rsidRPr="00A83B75">
        <w:t>that occurred</w:t>
      </w:r>
      <w:r w:rsidRPr="00A83B75">
        <w:rPr>
          <w:i/>
        </w:rPr>
        <w:t xml:space="preserve"> after the grant of the subsidy </w:t>
      </w:r>
      <w:r w:rsidRPr="00C36741">
        <w:t>that may affect the projected value</w:t>
      </w:r>
      <w:r w:rsidRPr="00A83B75">
        <w:rPr>
          <w:i/>
        </w:rPr>
        <w:t xml:space="preserve"> </w:t>
      </w:r>
      <w:r w:rsidRPr="00A83B75">
        <w:t xml:space="preserve">of the subsidy as determined under the </w:t>
      </w:r>
      <w:r w:rsidRPr="00A83B75">
        <w:rPr>
          <w:i/>
        </w:rPr>
        <w:t>ex ante</w:t>
      </w:r>
      <w:r w:rsidRPr="00A83B75">
        <w:t xml:space="preserve"> analysis.</w:t>
      </w:r>
      <w:r w:rsidRPr="00A83B75">
        <w:rPr>
          <w:rStyle w:val="FootnoteReference"/>
        </w:rPr>
        <w:footnoteReference w:id="969"/>
      </w:r>
      <w:r w:rsidRPr="00A83B75">
        <w:t xml:space="preserve"> </w:t>
      </w:r>
      <w:r>
        <w:t>Furthermore, i</w:t>
      </w:r>
      <w:r w:rsidRPr="00A83B75">
        <w:t xml:space="preserve">n its examination of the claims of serious prejudice under </w:t>
      </w:r>
      <w:r>
        <w:t>Article </w:t>
      </w:r>
      <w:r w:rsidRPr="00A83B75">
        <w:t xml:space="preserve">5 of the </w:t>
      </w:r>
      <w:r>
        <w:t>SCM Agreement</w:t>
      </w:r>
      <w:r w:rsidRPr="00A83B75">
        <w:t xml:space="preserve">, the </w:t>
      </w:r>
      <w:r>
        <w:t>Appellate Body</w:t>
      </w:r>
      <w:r w:rsidRPr="00A83B75">
        <w:t xml:space="preserve"> </w:t>
      </w:r>
      <w:r>
        <w:t>identified certain</w:t>
      </w:r>
      <w:r w:rsidRPr="00A83B75">
        <w:t xml:space="preserve"> factors that may be relevant to assessing t</w:t>
      </w:r>
      <w:r>
        <w:t>he "trajectory of the life of a </w:t>
      </w:r>
      <w:r w:rsidRPr="00A83B75">
        <w:t>subsidy":</w:t>
      </w:r>
    </w:p>
    <w:p w:rsidR="00AE4AC1" w:rsidRPr="00A83B75" w:rsidRDefault="00AE4AC1" w:rsidP="00267BCB">
      <w:pPr>
        <w:pStyle w:val="Quotation"/>
        <w:rPr>
          <w:color w:val="000000"/>
        </w:rPr>
      </w:pPr>
      <w:r w:rsidRPr="00A83B75">
        <w:t xml:space="preserve">{I}n order properly to assess a claim under </w:t>
      </w:r>
      <w:r>
        <w:t>Article </w:t>
      </w:r>
      <w:r w:rsidRPr="00A83B75">
        <w:t xml:space="preserve">5 of </w:t>
      </w:r>
      <w:r w:rsidRPr="003A5062">
        <w:t>the SCM Agreement, a panel</w:t>
      </w:r>
      <w:r w:rsidRPr="00A83B75">
        <w:t xml:space="preserve"> must take into account in its </w:t>
      </w:r>
      <w:r w:rsidRPr="00A83B75">
        <w:rPr>
          <w:i/>
        </w:rPr>
        <w:t>ex ante</w:t>
      </w:r>
      <w:r w:rsidRPr="00A83B75">
        <w:t xml:space="preserve"> analysis how a subsidy is expected to materialize over time. A panel is also required to consider </w:t>
      </w:r>
      <w:r w:rsidRPr="00A83B75">
        <w:rPr>
          <w:color w:val="000000"/>
        </w:rPr>
        <w:t>whether the life of a subsidy has ended, for example, by reason of the amortization of the subsidy over the relevant period or because the subsidy was removed from the recipient. …</w:t>
      </w:r>
    </w:p>
    <w:p w:rsidR="00AE4AC1" w:rsidRPr="00A83B75" w:rsidRDefault="00AE4AC1" w:rsidP="00267BCB">
      <w:pPr>
        <w:pStyle w:val="Quotation"/>
      </w:pPr>
      <w:r w:rsidRPr="00A83B75">
        <w:t xml:space="preserve">Although we neither endorse nor reject the specific amortization methodology proposed by the </w:t>
      </w:r>
      <w:r>
        <w:t>European Union</w:t>
      </w:r>
      <w:r w:rsidRPr="00A83B75">
        <w:t xml:space="preserve"> in this case, we see no reason to disagree with the notion that allocation of a subsidy over the anticipated marketing life of an aircraft programme may be one way to assess the duration of a subsidy over time.</w:t>
      </w:r>
      <w:r w:rsidRPr="00A83B75">
        <w:rPr>
          <w:rStyle w:val="FootnoteReference"/>
        </w:rPr>
        <w:footnoteReference w:id="970"/>
      </w:r>
    </w:p>
    <w:p w:rsidR="00AE4AC1" w:rsidRPr="00A83B75" w:rsidRDefault="00AE4AC1" w:rsidP="009E6402">
      <w:pPr>
        <w:pStyle w:val="BodyText"/>
      </w:pPr>
      <w:r w:rsidRPr="00A83B75">
        <w:lastRenderedPageBreak/>
        <w:t xml:space="preserve">The </w:t>
      </w:r>
      <w:r>
        <w:t>Appellate Body thus</w:t>
      </w:r>
      <w:r w:rsidRPr="00A83B75">
        <w:t xml:space="preserve"> </w:t>
      </w:r>
      <w:r>
        <w:t>noted that</w:t>
      </w:r>
      <w:r w:rsidRPr="00A83B75">
        <w:t xml:space="preserve"> the allocation of a subsidy over the anticipated marketing life of an aircraft </w:t>
      </w:r>
      <w:r>
        <w:t>project</w:t>
      </w:r>
      <w:r w:rsidRPr="00A83B75">
        <w:t xml:space="preserve"> </w:t>
      </w:r>
      <w:r>
        <w:t>may constitute</w:t>
      </w:r>
      <w:r w:rsidRPr="00A83B75">
        <w:t xml:space="preserve"> one way of assessing the </w:t>
      </w:r>
      <w:r>
        <w:t>expected duration</w:t>
      </w:r>
      <w:r w:rsidRPr="00A83B75">
        <w:t xml:space="preserve"> of a subsidy, and that subsequent events</w:t>
      </w:r>
      <w:r>
        <w:t>,</w:t>
      </w:r>
      <w:r w:rsidRPr="00A83B75">
        <w:t xml:space="preserve"> such as "removal" of the subsidy</w:t>
      </w:r>
      <w:r>
        <w:t>,</w:t>
      </w:r>
      <w:r w:rsidRPr="00A83B75">
        <w:t xml:space="preserve"> may </w:t>
      </w:r>
      <w:r>
        <w:t xml:space="preserve">also </w:t>
      </w:r>
      <w:r w:rsidRPr="00A83B75">
        <w:t>be relevant</w:t>
      </w:r>
      <w:r>
        <w:t xml:space="preserve"> for assessing whether the </w:t>
      </w:r>
      <w:r w:rsidR="00910BF9">
        <w:t>"</w:t>
      </w:r>
      <w:r>
        <w:t>life</w:t>
      </w:r>
      <w:r w:rsidR="00910BF9">
        <w:t>"</w:t>
      </w:r>
      <w:r>
        <w:t xml:space="preserve"> of a subsidy has ended</w:t>
      </w:r>
      <w:r w:rsidRPr="00A83B75">
        <w:t xml:space="preserve">. </w:t>
      </w:r>
    </w:p>
    <w:p w:rsidR="00AE4AC1" w:rsidRDefault="00AE4AC1" w:rsidP="009E6402">
      <w:pPr>
        <w:pStyle w:val="BodyText"/>
      </w:pPr>
      <w:r>
        <w:t xml:space="preserve">In these compliance proceedings, the Panel began its review of the United States' claim that the European Union had failed to withdraw </w:t>
      </w:r>
      <w:r w:rsidRPr="003A5062">
        <w:t xml:space="preserve">the LA/MSF subsidies at issue by considering the European Union's argument that the </w:t>
      </w:r>
      <w:r w:rsidRPr="003A5062">
        <w:rPr>
          <w:i/>
        </w:rPr>
        <w:t xml:space="preserve">ex ante </w:t>
      </w:r>
      <w:r w:rsidR="00910BF9">
        <w:t>"</w:t>
      </w:r>
      <w:r w:rsidRPr="003A5062">
        <w:t>lives</w:t>
      </w:r>
      <w:r w:rsidR="00910BF9">
        <w:t>"</w:t>
      </w:r>
      <w:r w:rsidRPr="003A5062">
        <w:t xml:space="preserve"> of several challenged subsidies had expired due to the amortization of benefit. Referring to the Amortization Report</w:t>
      </w:r>
      <w:r w:rsidRPr="003A5062">
        <w:rPr>
          <w:rStyle w:val="FootnoteReference"/>
        </w:rPr>
        <w:footnoteReference w:id="971"/>
      </w:r>
      <w:r w:rsidRPr="003A5062">
        <w:t xml:space="preserve"> issued by PricewaterhouseCoopers (PwC Amortization Report), the European Union had advanced before the Panel two ways of determining the </w:t>
      </w:r>
      <w:r w:rsidR="00910BF9">
        <w:t>"</w:t>
      </w:r>
      <w:r w:rsidRPr="003A5062">
        <w:t>lives</w:t>
      </w:r>
      <w:r w:rsidR="00910BF9">
        <w:t>"</w:t>
      </w:r>
      <w:r w:rsidRPr="003A5062">
        <w:t xml:space="preserve"> of the challenged LA/MSF subsidies: (i) by amortizing them over the period it was anticipated Airbus would take to repay fully the loaned principal plus interest (Loan Life</w:t>
      </w:r>
      <w:r w:rsidR="008C597E">
        <w:t xml:space="preserve"> approach</w:t>
      </w:r>
      <w:r w:rsidRPr="003A5062">
        <w:t>); or (ii) by looking at the expected marketing life of each of the financed LCA projects (Marketing Life</w:t>
      </w:r>
      <w:r w:rsidR="008C597E">
        <w:t xml:space="preserve"> approach</w:t>
      </w:r>
      <w:r w:rsidRPr="003A5062">
        <w:t>). The Panel observed that both approaches proposed were based on the actual terms of the LA/MSF contracts, read</w:t>
      </w:r>
      <w:r>
        <w:t xml:space="preserve"> alone or in conjunction with the expected delivery schedules.</w:t>
      </w:r>
      <w:r>
        <w:rPr>
          <w:rStyle w:val="FootnoteReference"/>
        </w:rPr>
        <w:footnoteReference w:id="972"/>
      </w:r>
      <w:r>
        <w:t xml:space="preserve"> The Panel added that, although</w:t>
      </w:r>
      <w:r w:rsidRPr="001306D4">
        <w:t xml:space="preserve"> </w:t>
      </w:r>
      <w:r>
        <w:t xml:space="preserve">the United States "appear{ed} to accept that the </w:t>
      </w:r>
      <w:r w:rsidR="006B1423">
        <w:rPr>
          <w:i/>
        </w:rPr>
        <w:t>ex </w:t>
      </w:r>
      <w:r w:rsidRPr="009C2AA6">
        <w:rPr>
          <w:i/>
        </w:rPr>
        <w:t>ante</w:t>
      </w:r>
      <w:r>
        <w:t xml:space="preserve"> lives of the LA/MSF subsidies {would} be dictated by the extent to which the contracting parties expected Airbus to continue to have outstanding repayment</w:t>
      </w:r>
      <w:r w:rsidR="000A1C11">
        <w:t xml:space="preserve"> obligations</w:t>
      </w:r>
      <w:r>
        <w:t>"</w:t>
      </w:r>
      <w:r>
        <w:rPr>
          <w:rStyle w:val="FootnoteReference"/>
        </w:rPr>
        <w:footnoteReference w:id="973"/>
      </w:r>
      <w:r>
        <w:t xml:space="preserve">, the United States nonetheless maintained that such expectations should be determined on the basis of the repayment obligations that a hypothetical commercial provider of financing such as LA/MSF would have demanded Airbus to assume. To the Panel, therefore, the United States' approach did not concern the expectations of the subsidizing governments at the time they agreed to the terms of the LA/MSF, and </w:t>
      </w:r>
      <w:r w:rsidRPr="00C519B3">
        <w:t>it</w:t>
      </w:r>
      <w:r>
        <w:t xml:space="preserve"> thus rejected the United States' approach. </w:t>
      </w:r>
    </w:p>
    <w:p w:rsidR="00AE4AC1" w:rsidRPr="00A83B75" w:rsidRDefault="00AE4AC1" w:rsidP="009E6402">
      <w:pPr>
        <w:pStyle w:val="BodyText"/>
      </w:pPr>
      <w:r>
        <w:t xml:space="preserve">The Panel went on to examine the two approaches proposed by the European Union. </w:t>
      </w:r>
      <w:r w:rsidR="00F91606">
        <w:t>The </w:t>
      </w:r>
      <w:r w:rsidRPr="00A83B75">
        <w:t xml:space="preserve">Panel recalled that the </w:t>
      </w:r>
      <w:r>
        <w:t>Appellate Body</w:t>
      </w:r>
      <w:r w:rsidRPr="00A83B75">
        <w:t xml:space="preserve">'s discussion of the </w:t>
      </w:r>
      <w:r w:rsidRPr="0029145F">
        <w:rPr>
          <w:i/>
        </w:rPr>
        <w:t>ex ante</w:t>
      </w:r>
      <w:r w:rsidRPr="00A83B75">
        <w:t xml:space="preserve"> </w:t>
      </w:r>
      <w:r w:rsidR="00910BF9">
        <w:t>"</w:t>
      </w:r>
      <w:r w:rsidRPr="00A83B75">
        <w:t>life</w:t>
      </w:r>
      <w:r w:rsidR="00910BF9">
        <w:t>"</w:t>
      </w:r>
      <w:r w:rsidRPr="00A83B75">
        <w:t xml:space="preserve"> of a subsidy in the original proceedings tended to focus on the </w:t>
      </w:r>
      <w:r w:rsidRPr="0029145F">
        <w:rPr>
          <w:i/>
        </w:rPr>
        <w:t>projected uses</w:t>
      </w:r>
      <w:r w:rsidRPr="00A83B75">
        <w:t xml:space="preserve"> to which a subsidy has been put, rather than the expected duration of a financial contribution. The Panel thus expressed doubts as to whether the Loan Life approach </w:t>
      </w:r>
      <w:r w:rsidRPr="00553991">
        <w:t>"</w:t>
      </w:r>
      <w:r w:rsidRPr="00A83B75">
        <w:t xml:space="preserve">would be the most appropriate methodology for determining the 'projected value' of the subsidies provided under the LA/MSF agreements", given this approach's apparent focus on the expectations surrounding the </w:t>
      </w:r>
      <w:r w:rsidRPr="0029145F">
        <w:rPr>
          <w:i/>
        </w:rPr>
        <w:t>mere duration</w:t>
      </w:r>
      <w:r w:rsidRPr="00A83B75">
        <w:t xml:space="preserve"> o</w:t>
      </w:r>
      <w:r>
        <w:t>f the existence of a "financial </w:t>
      </w:r>
      <w:r w:rsidRPr="00A83B75">
        <w:t>contribution".</w:t>
      </w:r>
      <w:r w:rsidRPr="00A83B75">
        <w:rPr>
          <w:rStyle w:val="FootnoteReference"/>
        </w:rPr>
        <w:footnoteReference w:id="974"/>
      </w:r>
      <w:r w:rsidRPr="00A83B75">
        <w:t xml:space="preserve"> </w:t>
      </w:r>
      <w:r>
        <w:t>In the Panel's view,</w:t>
      </w:r>
      <w:r w:rsidRPr="0055707B">
        <w:t xml:space="preserve"> </w:t>
      </w:r>
      <w:r>
        <w:t xml:space="preserve">"it would be at least equally appropriate to equate the </w:t>
      </w:r>
      <w:r w:rsidRPr="00FB6DCE">
        <w:rPr>
          <w:i/>
        </w:rPr>
        <w:t>ex ante</w:t>
      </w:r>
      <w:r>
        <w:t xml:space="preserve"> </w:t>
      </w:r>
      <w:r w:rsidR="00910BF9">
        <w:t>l</w:t>
      </w:r>
      <w:r>
        <w:t>ives of the relevant LA/MSF subsidies with the anticipated marketing lives of the relevant LCA"</w:t>
      </w:r>
      <w:r w:rsidR="00910BF9">
        <w:t>.</w:t>
      </w:r>
      <w:r w:rsidRPr="00A83B75">
        <w:rPr>
          <w:rStyle w:val="FootnoteReference"/>
        </w:rPr>
        <w:footnoteReference w:id="975"/>
      </w:r>
      <w:r>
        <w:t xml:space="preserve"> </w:t>
      </w:r>
      <w:r w:rsidRPr="00A83B75">
        <w:t>Nonetheless, the Panel found it unnecessary to "e</w:t>
      </w:r>
      <w:r w:rsidR="00F91606">
        <w:t>xpress any definitive views" on </w:t>
      </w:r>
      <w:r w:rsidRPr="00A83B75">
        <w:t xml:space="preserve">which of the two methodologies relied upon by the </w:t>
      </w:r>
      <w:r>
        <w:t>European Union</w:t>
      </w:r>
      <w:r w:rsidRPr="00A83B75">
        <w:t xml:space="preserve"> to determine the </w:t>
      </w:r>
      <w:r w:rsidRPr="00EC480A">
        <w:rPr>
          <w:i/>
        </w:rPr>
        <w:t>ex ante</w:t>
      </w:r>
      <w:r w:rsidRPr="00A83B75">
        <w:t xml:space="preserve"> </w:t>
      </w:r>
      <w:r w:rsidR="00910BF9">
        <w:t>"</w:t>
      </w:r>
      <w:r w:rsidRPr="00A83B75">
        <w:t>lives</w:t>
      </w:r>
      <w:r w:rsidR="00910BF9">
        <w:t>"</w:t>
      </w:r>
      <w:r w:rsidRPr="00A83B75">
        <w:t xml:space="preserve"> of the LA/MSF subsidies should be accepted.</w:t>
      </w:r>
      <w:r w:rsidRPr="00A83B75">
        <w:rPr>
          <w:rStyle w:val="FootnoteReference"/>
        </w:rPr>
        <w:footnoteReference w:id="976"/>
      </w:r>
      <w:r w:rsidRPr="00A83B75">
        <w:t xml:space="preserve"> This is because, for the Panel, it was "apparent {from the PwC Amortization Report} that under either methodology, the </w:t>
      </w:r>
      <w:r w:rsidRPr="00EC480A">
        <w:rPr>
          <w:i/>
        </w:rPr>
        <w:t>ex ante</w:t>
      </w:r>
      <w:r w:rsidRPr="00A83B75">
        <w:t xml:space="preserve"> </w:t>
      </w:r>
      <w:r w:rsidR="00910BF9">
        <w:t>"</w:t>
      </w:r>
      <w:r w:rsidRPr="00A83B75">
        <w:t>lives</w:t>
      </w:r>
      <w:r w:rsidR="00910BF9">
        <w:t>"</w:t>
      </w:r>
      <w:r w:rsidRPr="00A83B75">
        <w:t xml:space="preserve"> of most of the identified LA/MSF subsidies will have come to an end before the end of the implementation period".</w:t>
      </w:r>
      <w:r w:rsidRPr="00A83B75">
        <w:rPr>
          <w:rStyle w:val="FootnoteReference"/>
        </w:rPr>
        <w:footnoteReference w:id="977"/>
      </w:r>
      <w:r w:rsidRPr="00A83B75">
        <w:t xml:space="preserve"> The Panel therefore found, in paragraph 6.879 of its Report, that:</w:t>
      </w:r>
    </w:p>
    <w:p w:rsidR="00AE4AC1" w:rsidRPr="00A83B75" w:rsidRDefault="00AE4AC1" w:rsidP="00267BCB">
      <w:pPr>
        <w:pStyle w:val="Quotation"/>
        <w:rPr>
          <w:lang w:eastAsia="en-US"/>
        </w:rPr>
      </w:pPr>
      <w:r>
        <w:t>the</w:t>
      </w:r>
      <w:r w:rsidRPr="00A83B75">
        <w:t xml:space="preserve"> </w:t>
      </w:r>
      <w:r>
        <w:t>European Union</w:t>
      </w:r>
      <w:r w:rsidRPr="00A83B75">
        <w:t xml:space="preserve"> ha</w:t>
      </w:r>
      <w:r>
        <w:t>{d}</w:t>
      </w:r>
      <w:r w:rsidRPr="00A83B75">
        <w:t xml:space="preserve"> demonstrated that the </w:t>
      </w:r>
      <w:r w:rsidRPr="00A83B75">
        <w:rPr>
          <w:i/>
        </w:rPr>
        <w:t>ex ante</w:t>
      </w:r>
      <w:r w:rsidRPr="00A83B75">
        <w:t xml:space="preserve"> lives of the following LA/MSF subsidies "</w:t>
      </w:r>
      <w:r w:rsidRPr="00A83B75">
        <w:rPr>
          <w:u w:val="single"/>
        </w:rPr>
        <w:t>expired</w:t>
      </w:r>
      <w:r w:rsidRPr="00A83B75">
        <w:t xml:space="preserve">" before 1 June 2011 as a result of </w:t>
      </w:r>
      <w:r w:rsidRPr="00A83B75">
        <w:rPr>
          <w:i/>
        </w:rPr>
        <w:t>the amortization of benefit</w:t>
      </w:r>
      <w:r w:rsidRPr="00A83B75">
        <w:t>: the French, German and Spanish government LA/MSF for the A300B/B2/B4, A300-600, A310, A320, A330/A340; and the UK government LA/MSF for the A320 and A330/A340.</w:t>
      </w:r>
      <w:r w:rsidRPr="00A83B75">
        <w:rPr>
          <w:rStyle w:val="FootnoteReference"/>
        </w:rPr>
        <w:footnoteReference w:id="978"/>
      </w:r>
      <w:r w:rsidRPr="00A83B75">
        <w:rPr>
          <w:lang w:eastAsia="zh-CN"/>
        </w:rPr>
        <w:t xml:space="preserve"> </w:t>
      </w:r>
    </w:p>
    <w:p w:rsidR="00AE4AC1" w:rsidRPr="00C36741" w:rsidRDefault="00AE4AC1" w:rsidP="009E6402">
      <w:pPr>
        <w:pStyle w:val="BodyText"/>
        <w:numPr>
          <w:ilvl w:val="0"/>
          <w:numId w:val="0"/>
        </w:numPr>
      </w:pPr>
      <w:r>
        <w:lastRenderedPageBreak/>
        <w:t>T</w:t>
      </w:r>
      <w:r w:rsidRPr="0090005D">
        <w:t xml:space="preserve">he Panel also noted </w:t>
      </w:r>
      <w:r>
        <w:t xml:space="preserve">in a footnote </w:t>
      </w:r>
      <w:r w:rsidRPr="0090005D">
        <w:t xml:space="preserve">that the </w:t>
      </w:r>
      <w:r>
        <w:t>European Union</w:t>
      </w:r>
      <w:r w:rsidRPr="0090005D">
        <w:t xml:space="preserve"> had established that the </w:t>
      </w:r>
      <w:r w:rsidRPr="00F37EB4">
        <w:rPr>
          <w:i/>
        </w:rPr>
        <w:t>ex ante</w:t>
      </w:r>
      <w:r w:rsidRPr="0090005D">
        <w:t xml:space="preserve"> </w:t>
      </w:r>
      <w:r w:rsidR="00910BF9">
        <w:t>"</w:t>
      </w:r>
      <w:r w:rsidRPr="0090005D">
        <w:t>lives</w:t>
      </w:r>
      <w:r w:rsidR="00910BF9">
        <w:t>"</w:t>
      </w:r>
      <w:r w:rsidRPr="0090005D">
        <w:t xml:space="preserve"> of the French LA/MSF for the A330-200 and the French and Spanish LA/MSF for the A340</w:t>
      </w:r>
      <w:r>
        <w:noBreakHyphen/>
      </w:r>
      <w:r w:rsidRPr="0090005D">
        <w:t>500/600 expired</w:t>
      </w:r>
      <w:r>
        <w:t xml:space="preserve"> in</w:t>
      </w:r>
      <w:r w:rsidRPr="0090005D">
        <w:t xml:space="preserve">, respectively, </w:t>
      </w:r>
      <w:r w:rsidRPr="00F37EB4">
        <w:rPr>
          <w:b/>
        </w:rPr>
        <w:t>[</w:t>
      </w:r>
      <w:r w:rsidR="00E8168B" w:rsidRPr="00C8434D">
        <w:rPr>
          <w:b/>
          <w:szCs w:val="16"/>
        </w:rPr>
        <w:t>BCI</w:t>
      </w:r>
      <w:r w:rsidRPr="0090005D">
        <w:rPr>
          <w:b/>
        </w:rPr>
        <w:t>]</w:t>
      </w:r>
      <w:r w:rsidRPr="0090005D">
        <w:t xml:space="preserve"> and </w:t>
      </w:r>
      <w:r w:rsidRPr="0090005D">
        <w:rPr>
          <w:b/>
        </w:rPr>
        <w:t>[</w:t>
      </w:r>
      <w:r w:rsidR="00E8168B" w:rsidRPr="00C8434D">
        <w:rPr>
          <w:b/>
          <w:szCs w:val="16"/>
        </w:rPr>
        <w:t>BCI</w:t>
      </w:r>
      <w:r w:rsidRPr="00F37EB4">
        <w:rPr>
          <w:b/>
        </w:rPr>
        <w:t>]</w:t>
      </w:r>
      <w:r w:rsidRPr="00C36741">
        <w:t>.</w:t>
      </w:r>
      <w:r>
        <w:rPr>
          <w:rStyle w:val="FootnoteReference"/>
        </w:rPr>
        <w:footnoteReference w:id="979"/>
      </w:r>
    </w:p>
    <w:p w:rsidR="00AE4AC1" w:rsidRPr="00A83B75" w:rsidRDefault="00AE4AC1" w:rsidP="009E6402">
      <w:pPr>
        <w:pStyle w:val="BodyText"/>
      </w:pPr>
      <w:r>
        <w:t>A</w:t>
      </w:r>
      <w:r w:rsidRPr="00A83B75">
        <w:t xml:space="preserve">fter reaching its findings on the </w:t>
      </w:r>
      <w:r w:rsidRPr="00A83B75">
        <w:rPr>
          <w:i/>
        </w:rPr>
        <w:t>ex ante</w:t>
      </w:r>
      <w:r w:rsidRPr="00A83B75">
        <w:t xml:space="preserve"> expiry of the subsidies, the Panel </w:t>
      </w:r>
      <w:r>
        <w:t>proceeded</w:t>
      </w:r>
      <w:r w:rsidRPr="00A83B75">
        <w:t xml:space="preserve"> to examine the arguments concerning alleged "intervening events" that affected the </w:t>
      </w:r>
      <w:r w:rsidRPr="00A83B75">
        <w:rPr>
          <w:i/>
        </w:rPr>
        <w:t>ex ante</w:t>
      </w:r>
      <w:r w:rsidRPr="00A83B75">
        <w:t xml:space="preserve"> </w:t>
      </w:r>
      <w:r w:rsidR="00910BF9">
        <w:t>"</w:t>
      </w:r>
      <w:r w:rsidRPr="00A83B75">
        <w:t>lives</w:t>
      </w:r>
      <w:r w:rsidR="00910BF9">
        <w:t>"</w:t>
      </w:r>
      <w:r w:rsidRPr="00A83B75">
        <w:t xml:space="preserve"> of certain LA/MSF subsidies. In the Panel's view, an intervening event is "one that takes place after the grant of a subsidy and alters its </w:t>
      </w:r>
      <w:r w:rsidRPr="00A83B75">
        <w:rPr>
          <w:i/>
        </w:rPr>
        <w:t>ex ante</w:t>
      </w:r>
      <w:r w:rsidRPr="00A83B75">
        <w:t xml:space="preserve"> 'life' – that is, an event that changes how a subsidy has 'materialized over time' </w:t>
      </w:r>
      <w:r w:rsidRPr="00A14C3B">
        <w:rPr>
          <w:i/>
        </w:rPr>
        <w:t>relative to the expectations held at the time it was granted</w:t>
      </w:r>
      <w:r w:rsidRPr="00A83B75">
        <w:t>."</w:t>
      </w:r>
      <w:r w:rsidRPr="00A83B75">
        <w:rPr>
          <w:rStyle w:val="FootnoteReference"/>
        </w:rPr>
        <w:footnoteReference w:id="980"/>
      </w:r>
      <w:r w:rsidR="00F91606">
        <w:t xml:space="preserve"> The </w:t>
      </w:r>
      <w:r w:rsidRPr="00A83B75">
        <w:t xml:space="preserve">Panel rejected the </w:t>
      </w:r>
      <w:r>
        <w:t>European Union</w:t>
      </w:r>
      <w:r w:rsidRPr="00A83B75">
        <w:t>'s argument that the alleged "extraction" of subsidies, and alleged "extinction" of benefit through partial privatization and sales of shares and ownership, were</w:t>
      </w:r>
      <w:r>
        <w:t>, in the circumstances of this case,</w:t>
      </w:r>
      <w:r w:rsidRPr="00A83B75">
        <w:t xml:space="preserve"> "intervening events" that b</w:t>
      </w:r>
      <w:r w:rsidR="00910BF9">
        <w:t>rought the lives of certain pre</w:t>
      </w:r>
      <w:r w:rsidR="00910BF9">
        <w:noBreakHyphen/>
      </w:r>
      <w:r w:rsidRPr="00A83B75">
        <w:t>A350XWB subsidies to an end.</w:t>
      </w:r>
      <w:r>
        <w:rPr>
          <w:rStyle w:val="FootnoteReference"/>
        </w:rPr>
        <w:footnoteReference w:id="981"/>
      </w:r>
      <w:r w:rsidRPr="00A83B75">
        <w:t xml:space="preserve"> The Panel also rejected the </w:t>
      </w:r>
      <w:r>
        <w:t>United States</w:t>
      </w:r>
      <w:r w:rsidRPr="00A83B75">
        <w:t xml:space="preserve">' claim that the </w:t>
      </w:r>
      <w:r w:rsidR="00910BF9">
        <w:rPr>
          <w:i/>
        </w:rPr>
        <w:t>ex </w:t>
      </w:r>
      <w:r w:rsidRPr="00A83B75">
        <w:rPr>
          <w:i/>
        </w:rPr>
        <w:t>ante</w:t>
      </w:r>
      <w:r w:rsidRPr="00A83B75">
        <w:t xml:space="preserve"> </w:t>
      </w:r>
      <w:r w:rsidR="00910BF9">
        <w:t>"</w:t>
      </w:r>
      <w:r w:rsidRPr="00A83B75">
        <w:t>lives</w:t>
      </w:r>
      <w:r w:rsidR="00910BF9">
        <w:t>"</w:t>
      </w:r>
      <w:r w:rsidRPr="00A83B75">
        <w:t xml:space="preserve"> of the LA/MSF subsidies </w:t>
      </w:r>
      <w:r>
        <w:t xml:space="preserve">for the </w:t>
      </w:r>
      <w:r w:rsidRPr="00A83B75">
        <w:t>A300</w:t>
      </w:r>
      <w:r>
        <w:t xml:space="preserve"> and A</w:t>
      </w:r>
      <w:r w:rsidRPr="00A83B75">
        <w:t xml:space="preserve">310 increased because of </w:t>
      </w:r>
      <w:r>
        <w:t>t</w:t>
      </w:r>
      <w:r w:rsidRPr="00A83B75">
        <w:t>he launch of the A330/</w:t>
      </w:r>
      <w:r>
        <w:t>A</w:t>
      </w:r>
      <w:r w:rsidRPr="00A83B75">
        <w:t>340</w:t>
      </w:r>
      <w:r>
        <w:rPr>
          <w:rStyle w:val="FootnoteReference"/>
        </w:rPr>
        <w:footnoteReference w:id="982"/>
      </w:r>
      <w:r>
        <w:t xml:space="preserve">, </w:t>
      </w:r>
      <w:r w:rsidRPr="00A83B75">
        <w:t xml:space="preserve">and </w:t>
      </w:r>
      <w:r>
        <w:t xml:space="preserve">that the </w:t>
      </w:r>
      <w:r w:rsidRPr="00A83B75">
        <w:rPr>
          <w:i/>
        </w:rPr>
        <w:t>ex ante</w:t>
      </w:r>
      <w:r w:rsidRPr="00A83B75">
        <w:t xml:space="preserve"> </w:t>
      </w:r>
      <w:r w:rsidR="00910BF9">
        <w:t>"</w:t>
      </w:r>
      <w:r w:rsidRPr="00A83B75">
        <w:t>li</w:t>
      </w:r>
      <w:r>
        <w:t>fe</w:t>
      </w:r>
      <w:r w:rsidR="00910BF9">
        <w:t>"</w:t>
      </w:r>
      <w:r>
        <w:t xml:space="preserve"> of the LA/MSF for the </w:t>
      </w:r>
      <w:r w:rsidRPr="00A83B75">
        <w:t xml:space="preserve">A340 </w:t>
      </w:r>
      <w:r>
        <w:t>ended due to the</w:t>
      </w:r>
      <w:r w:rsidRPr="00A83B75">
        <w:t xml:space="preserve"> termination of the A340</w:t>
      </w:r>
      <w:r>
        <w:t>-500/600</w:t>
      </w:r>
      <w:r w:rsidRPr="00A83B75">
        <w:t xml:space="preserve"> </w:t>
      </w:r>
      <w:r>
        <w:t>project</w:t>
      </w:r>
      <w:r w:rsidRPr="00A83B75">
        <w:t xml:space="preserve"> in 2011.</w:t>
      </w:r>
      <w:r>
        <w:rPr>
          <w:rStyle w:val="FootnoteReference"/>
        </w:rPr>
        <w:footnoteReference w:id="983"/>
      </w:r>
      <w:r w:rsidRPr="00A83B75">
        <w:t xml:space="preserve"> Finally, the Panel reviewed and rejected the </w:t>
      </w:r>
      <w:r>
        <w:t>European Union</w:t>
      </w:r>
      <w:r w:rsidRPr="00A83B75">
        <w:t>'s argument that the actual repayment of the LA/MSF loans with interest brought these loans to an end.</w:t>
      </w:r>
      <w:r w:rsidRPr="00A83B75">
        <w:rPr>
          <w:rStyle w:val="FootnoteReference"/>
        </w:rPr>
        <w:footnoteReference w:id="984"/>
      </w:r>
      <w:r w:rsidRPr="00A83B75">
        <w:t xml:space="preserve"> </w:t>
      </w:r>
      <w:r>
        <w:t>Based on its analysis</w:t>
      </w:r>
      <w:r w:rsidRPr="00A83B75">
        <w:t>, the Panel concluded</w:t>
      </w:r>
      <w:r>
        <w:t>,</w:t>
      </w:r>
      <w:r w:rsidRPr="00A14C3B">
        <w:rPr>
          <w:lang w:eastAsia="zh-CN"/>
        </w:rPr>
        <w:t xml:space="preserve"> </w:t>
      </w:r>
      <w:r w:rsidR="00F91606">
        <w:rPr>
          <w:lang w:eastAsia="zh-CN"/>
        </w:rPr>
        <w:t>in paragraph 6.1076 of its </w:t>
      </w:r>
      <w:r w:rsidRPr="00A83B75">
        <w:rPr>
          <w:lang w:eastAsia="zh-CN"/>
        </w:rPr>
        <w:t>Report</w:t>
      </w:r>
      <w:r w:rsidRPr="00A83B75">
        <w:t>:</w:t>
      </w:r>
    </w:p>
    <w:p w:rsidR="00AE4AC1" w:rsidRPr="00A83B75" w:rsidRDefault="00AE4AC1" w:rsidP="00267BCB">
      <w:pPr>
        <w:pStyle w:val="Quotation"/>
      </w:pPr>
      <w:r w:rsidRPr="00A83B75">
        <w:t xml:space="preserve">{W}e have determined that the "lives" of these subsidies have come to an end because the total period of time over which their "projected value" was expected to "materialize" has </w:t>
      </w:r>
      <w:r w:rsidRPr="00A83B75">
        <w:rPr>
          <w:i/>
        </w:rPr>
        <w:t>passively</w:t>
      </w:r>
      <w:r w:rsidRPr="00A83B75">
        <w:t xml:space="preserve"> transpired </w:t>
      </w:r>
      <w:r w:rsidRPr="0066759D">
        <w:rPr>
          <w:u w:val="single"/>
        </w:rPr>
        <w:t>in the absence of any "intervening event"</w:t>
      </w:r>
      <w:r w:rsidRPr="00A83B75">
        <w:t>.</w:t>
      </w:r>
      <w:r w:rsidRPr="00A14C3B">
        <w:t xml:space="preserve"> </w:t>
      </w:r>
      <w:r w:rsidR="00F91606">
        <w:t>In </w:t>
      </w:r>
      <w:r w:rsidRPr="00A83B75">
        <w:t xml:space="preserve">other words, we have found that the </w:t>
      </w:r>
      <w:r w:rsidRPr="00A83B75">
        <w:rPr>
          <w:i/>
        </w:rPr>
        <w:t>ex ante</w:t>
      </w:r>
      <w:r w:rsidRPr="00A83B75">
        <w:t xml:space="preserve"> "lives" of the relevant subsidies have "expired" simply because they have been fully provided to Airbus as originally planned and expected.</w:t>
      </w:r>
      <w:r w:rsidRPr="00A83B75">
        <w:rPr>
          <w:rStyle w:val="FootnoteReference"/>
        </w:rPr>
        <w:footnoteReference w:id="985"/>
      </w:r>
    </w:p>
    <w:p w:rsidR="00AE4AC1" w:rsidRPr="00A83B75" w:rsidRDefault="00AE4AC1" w:rsidP="009E6402">
      <w:pPr>
        <w:pStyle w:val="BodyText"/>
      </w:pPr>
      <w:r w:rsidRPr="00BD691E">
        <w:t>The Panel's findings in paragraphs 6.879 and 6.1076</w:t>
      </w:r>
      <w:r>
        <w:t>, quoted above,</w:t>
      </w:r>
      <w:r w:rsidRPr="00BD691E">
        <w:t xml:space="preserve"> suggest that the Panel examined the issue of "expiry" from two angles – both </w:t>
      </w:r>
      <w:r>
        <w:t xml:space="preserve">from an </w:t>
      </w:r>
      <w:r w:rsidRPr="00BD691E">
        <w:rPr>
          <w:i/>
        </w:rPr>
        <w:t>ex ante</w:t>
      </w:r>
      <w:r w:rsidRPr="00BD691E">
        <w:t xml:space="preserve"> </w:t>
      </w:r>
      <w:r>
        <w:t xml:space="preserve">perspective </w:t>
      </w:r>
      <w:r w:rsidRPr="00BD691E">
        <w:t xml:space="preserve">and </w:t>
      </w:r>
      <w:r>
        <w:t>in light of alleged intervening events that occurred after the grant of the subsidy</w:t>
      </w:r>
      <w:r w:rsidR="00F91606">
        <w:t>. In </w:t>
      </w:r>
      <w:r w:rsidRPr="00BD691E">
        <w:t>paragraph</w:t>
      </w:r>
      <w:r>
        <w:t> 6.879</w:t>
      </w:r>
      <w:r w:rsidRPr="00BD691E">
        <w:t xml:space="preserve">, the Panel used the word "expired" to refer to the </w:t>
      </w:r>
      <w:r w:rsidRPr="00BD691E">
        <w:rPr>
          <w:i/>
        </w:rPr>
        <w:t>passage of the time</w:t>
      </w:r>
      <w:r>
        <w:rPr>
          <w:i/>
        </w:rPr>
        <w:t xml:space="preserve"> </w:t>
      </w:r>
      <w:r w:rsidRPr="00BD691E">
        <w:rPr>
          <w:i/>
        </w:rPr>
        <w:t>period</w:t>
      </w:r>
      <w:r w:rsidRPr="00A83B75">
        <w:t xml:space="preserve"> over which the subsidies were </w:t>
      </w:r>
      <w:r w:rsidRPr="00C4239D">
        <w:rPr>
          <w:i/>
        </w:rPr>
        <w:t>projected</w:t>
      </w:r>
      <w:r w:rsidRPr="00A83B75">
        <w:t xml:space="preserve"> to be amortized, without regard to any alleged "intervening events</w:t>
      </w:r>
      <w:r>
        <w:t>"</w:t>
      </w:r>
      <w:r w:rsidRPr="00A83B75">
        <w:t xml:space="preserve"> or actual repayment. In other w</w:t>
      </w:r>
      <w:r>
        <w:t xml:space="preserve">ords, the </w:t>
      </w:r>
      <w:r w:rsidRPr="00F84FB1">
        <w:t xml:space="preserve">"expiry" refers to the fact that the expected duration of the subsidies – </w:t>
      </w:r>
      <w:r w:rsidRPr="008563C9">
        <w:rPr>
          <w:i/>
        </w:rPr>
        <w:t>projected</w:t>
      </w:r>
      <w:r w:rsidRPr="008563C9">
        <w:t xml:space="preserve"> at the time </w:t>
      </w:r>
      <w:r w:rsidRPr="008C5646">
        <w:t>they were</w:t>
      </w:r>
      <w:r w:rsidRPr="004A0017">
        <w:t xml:space="preserve"> granted – had l</w:t>
      </w:r>
      <w:r w:rsidR="00F91606">
        <w:t>apsed. The </w:t>
      </w:r>
      <w:r w:rsidRPr="004A0017">
        <w:t xml:space="preserve">use of the word "expired" in paragraph 6.879 therefore does not speak to the question of whether the </w:t>
      </w:r>
      <w:r w:rsidR="00910BF9">
        <w:t>"</w:t>
      </w:r>
      <w:r w:rsidRPr="004A0017">
        <w:t>life</w:t>
      </w:r>
      <w:r w:rsidR="00910BF9">
        <w:t>"</w:t>
      </w:r>
      <w:r w:rsidRPr="004A0017">
        <w:t xml:space="preserve"> of the subsidies </w:t>
      </w:r>
      <w:r w:rsidRPr="004A0017">
        <w:rPr>
          <w:i/>
        </w:rPr>
        <w:t>actually</w:t>
      </w:r>
      <w:r w:rsidRPr="00587435">
        <w:t xml:space="preserve"> ended. Subsequently, in paragraph 6.1076, the Panel again </w:t>
      </w:r>
      <w:r>
        <w:t xml:space="preserve">used </w:t>
      </w:r>
      <w:r w:rsidRPr="00587435">
        <w:t>the word "expired" aft</w:t>
      </w:r>
      <w:r w:rsidRPr="00E54648">
        <w:t xml:space="preserve">er having examined the alleged intervening events and alleged repayment of loans, that is, after reviewing relevant arguments and evidence concerning what actually happened once the subsidies were granted. </w:t>
      </w:r>
      <w:r w:rsidRPr="00C30AEC">
        <w:t xml:space="preserve">We understand the Panel to have found, therefore, that the </w:t>
      </w:r>
      <w:r w:rsidRPr="00581807">
        <w:t xml:space="preserve">relevant </w:t>
      </w:r>
      <w:r w:rsidRPr="00974660">
        <w:t xml:space="preserve">subsidies came to an end by reason of the </w:t>
      </w:r>
      <w:r w:rsidRPr="00974660">
        <w:rPr>
          <w:i/>
        </w:rPr>
        <w:t>amortization</w:t>
      </w:r>
      <w:r w:rsidRPr="00974660">
        <w:t xml:space="preserve"> </w:t>
      </w:r>
      <w:r w:rsidRPr="00974660">
        <w:rPr>
          <w:i/>
        </w:rPr>
        <w:t>of benefit</w:t>
      </w:r>
      <w:r w:rsidR="00F91606">
        <w:t>, in </w:t>
      </w:r>
      <w:r w:rsidRPr="00974660">
        <w:t>the absence of any intervening event that would</w:t>
      </w:r>
      <w:r w:rsidRPr="00793F76">
        <w:t xml:space="preserve"> have changed how th</w:t>
      </w:r>
      <w:r>
        <w:t>ose</w:t>
      </w:r>
      <w:r w:rsidRPr="00793F76">
        <w:t xml:space="preserve"> subsid</w:t>
      </w:r>
      <w:r>
        <w:t>ies</w:t>
      </w:r>
      <w:r w:rsidRPr="00793F76">
        <w:t xml:space="preserve"> materialized over time relative to the expectations held at the time </w:t>
      </w:r>
      <w:r>
        <w:t>they were</w:t>
      </w:r>
      <w:r w:rsidRPr="00793F76">
        <w:t xml:space="preserve"> granted</w:t>
      </w:r>
      <w:r w:rsidRPr="00A83B75">
        <w:t>.</w:t>
      </w:r>
    </w:p>
    <w:p w:rsidR="00AE4AC1" w:rsidRDefault="00AE4AC1" w:rsidP="009E6402">
      <w:pPr>
        <w:pStyle w:val="BodyText"/>
      </w:pPr>
      <w:r>
        <w:lastRenderedPageBreak/>
        <w:t>The United States has appealed the Panel's finding in pa</w:t>
      </w:r>
      <w:r w:rsidR="00F91606">
        <w:t>ragraph 6.879 of its Report, as </w:t>
      </w:r>
      <w:r>
        <w:t>well as the Panel's final conclusion regarding the expiry of the LA/MS</w:t>
      </w:r>
      <w:r w:rsidR="00910BF9">
        <w:t>F subsidies at issue in section </w:t>
      </w:r>
      <w:r>
        <w:t>7 of its Report.</w:t>
      </w:r>
      <w:r>
        <w:rPr>
          <w:rStyle w:val="FootnoteReference"/>
        </w:rPr>
        <w:footnoteReference w:id="986"/>
      </w:r>
      <w:r>
        <w:t xml:space="preserve"> The United States, however, has not specifically challenged the Panel's examination of the alleged intervening events. Rather, its</w:t>
      </w:r>
      <w:r w:rsidRPr="00A83B75">
        <w:t xml:space="preserve"> appeal focuse</w:t>
      </w:r>
      <w:r>
        <w:t>s</w:t>
      </w:r>
      <w:r w:rsidRPr="00A83B75">
        <w:t xml:space="preserve"> on the Panel's </w:t>
      </w:r>
      <w:r w:rsidRPr="0029145F">
        <w:rPr>
          <w:i/>
        </w:rPr>
        <w:t>ex ante</w:t>
      </w:r>
      <w:r w:rsidRPr="00A83B75">
        <w:t xml:space="preserve"> analysis</w:t>
      </w:r>
      <w:r>
        <w:t xml:space="preserve">, that is, the periods of time over which the benefit of the pre-A380 LA/MSF subsidies were </w:t>
      </w:r>
      <w:r w:rsidRPr="00190F45">
        <w:rPr>
          <w:i/>
        </w:rPr>
        <w:t>projected</w:t>
      </w:r>
      <w:r>
        <w:t xml:space="preserve"> to materialize</w:t>
      </w:r>
      <w:r w:rsidRPr="00A83B75">
        <w:t xml:space="preserve">. </w:t>
      </w:r>
      <w:r>
        <w:t xml:space="preserve">The United States maintains that, in finding that the </w:t>
      </w:r>
      <w:r w:rsidRPr="00793F76">
        <w:rPr>
          <w:i/>
        </w:rPr>
        <w:t>ex ante</w:t>
      </w:r>
      <w:r>
        <w:t xml:space="preserve"> </w:t>
      </w:r>
      <w:r w:rsidR="00910BF9">
        <w:t>"</w:t>
      </w:r>
      <w:r>
        <w:t>lives</w:t>
      </w:r>
      <w:r w:rsidR="00910BF9">
        <w:t>"</w:t>
      </w:r>
      <w:r>
        <w:t xml:space="preserve"> of the relevant pre-A380 LA/MSF</w:t>
      </w:r>
      <w:r w:rsidRPr="00A83B75">
        <w:t xml:space="preserve"> </w:t>
      </w:r>
      <w:r w:rsidRPr="00267BCB">
        <w:t xml:space="preserve">passively expired before 1 December 2011, the Panel erroneously viewed the </w:t>
      </w:r>
      <w:r w:rsidRPr="00267BCB">
        <w:rPr>
          <w:i/>
        </w:rPr>
        <w:t>ex ante</w:t>
      </w:r>
      <w:r w:rsidRPr="00267BCB">
        <w:t xml:space="preserve"> </w:t>
      </w:r>
      <w:r w:rsidR="00910BF9">
        <w:t>"</w:t>
      </w:r>
      <w:r w:rsidRPr="00267BCB">
        <w:t>lives</w:t>
      </w:r>
      <w:r w:rsidR="00910BF9">
        <w:t>"</w:t>
      </w:r>
      <w:r w:rsidRPr="00267BCB">
        <w:t xml:space="preserve"> of the LA/MSF subsidies at issue as extending</w:t>
      </w:r>
      <w:r>
        <w:t xml:space="preserve"> over a </w:t>
      </w:r>
      <w:r w:rsidRPr="00793F76">
        <w:rPr>
          <w:i/>
        </w:rPr>
        <w:t>fixed number</w:t>
      </w:r>
      <w:r>
        <w:t xml:space="preserve"> of years. However, the United States argues, "{n}either the SCM Agreement nor reasoning of the Appellate Body suggests that the </w:t>
      </w:r>
      <w:r w:rsidRPr="00A274FD">
        <w:rPr>
          <w:i/>
        </w:rPr>
        <w:t>ex ante</w:t>
      </w:r>
      <w:r>
        <w:t xml:space="preserve"> life of a subsidy must always be a fixed number."</w:t>
      </w:r>
      <w:r>
        <w:rPr>
          <w:rStyle w:val="FootnoteReference"/>
        </w:rPr>
        <w:footnoteReference w:id="987"/>
      </w:r>
    </w:p>
    <w:p w:rsidR="00AE4AC1" w:rsidRPr="00962A93" w:rsidRDefault="00AE4AC1" w:rsidP="009E6402">
      <w:pPr>
        <w:pStyle w:val="BodyText"/>
      </w:pPr>
      <w:r>
        <w:t xml:space="preserve">We recognize that, depending on the circumstances of a case, it may not always be feasible to determine, </w:t>
      </w:r>
      <w:r w:rsidRPr="00662A0F">
        <w:rPr>
          <w:i/>
        </w:rPr>
        <w:t>ex ante</w:t>
      </w:r>
      <w:r>
        <w:t xml:space="preserve">, a </w:t>
      </w:r>
      <w:r w:rsidRPr="00654AB6">
        <w:rPr>
          <w:i/>
        </w:rPr>
        <w:t>fixed number</w:t>
      </w:r>
      <w:r>
        <w:t xml:space="preserve"> of years over which the benefit of a subsidy is expected to flow. For example, it</w:t>
      </w:r>
      <w:r w:rsidRPr="00A83B75">
        <w:t xml:space="preserve"> is conceivable that the circumstances of a case may allow for only an estimate of </w:t>
      </w:r>
      <w:r w:rsidRPr="00A83B75">
        <w:rPr>
          <w:i/>
        </w:rPr>
        <w:t>the range of years</w:t>
      </w:r>
      <w:r w:rsidRPr="00A83B75">
        <w:t xml:space="preserve"> in which the benefit is expected to last.</w:t>
      </w:r>
      <w:r>
        <w:t xml:space="preserve"> Nonetheless, as </w:t>
      </w:r>
      <w:r w:rsidRPr="00A83B75">
        <w:t xml:space="preserve">the </w:t>
      </w:r>
      <w:r>
        <w:t>Appellate Body emphasized in the original proceedings, "{a}t </w:t>
      </w:r>
      <w:r w:rsidRPr="00A83B75">
        <w:t xml:space="preserve">the time of the grant of a subsidy, the subsidy will necessarily be projected to have </w:t>
      </w:r>
      <w:r w:rsidRPr="00F94FAF">
        <w:rPr>
          <w:i/>
        </w:rPr>
        <w:t>a finite life</w:t>
      </w:r>
      <w:r w:rsidRPr="00A83B75">
        <w:t xml:space="preserve"> and to be utilized over that </w:t>
      </w:r>
      <w:r w:rsidRPr="00B33BD0">
        <w:rPr>
          <w:i/>
        </w:rPr>
        <w:t xml:space="preserve">finite </w:t>
      </w:r>
      <w:r w:rsidRPr="00A83B75">
        <w:t>period</w:t>
      </w:r>
      <w:r>
        <w:t>.</w:t>
      </w:r>
      <w:r w:rsidRPr="00A83B75">
        <w:t>"</w:t>
      </w:r>
      <w:r w:rsidRPr="00A83B75">
        <w:rPr>
          <w:rStyle w:val="FootnoteReference"/>
        </w:rPr>
        <w:footnoteReference w:id="988"/>
      </w:r>
      <w:r>
        <w:t xml:space="preserve"> Furthermore, the Appellate Body stated </w:t>
      </w:r>
      <w:r w:rsidRPr="00962A93">
        <w:t xml:space="preserve">that it had "no reason to disagree with the notion that allocation of a subsidy over the anticipated marketing life of an aircraft programme </w:t>
      </w:r>
      <w:r>
        <w:t>may</w:t>
      </w:r>
      <w:r w:rsidRPr="00962A93">
        <w:t xml:space="preserve"> be one way to assess the d</w:t>
      </w:r>
      <w:r>
        <w:t>uration of a subsidy over time".</w:t>
      </w:r>
      <w:r w:rsidRPr="00962A93">
        <w:rPr>
          <w:rStyle w:val="FootnoteReference"/>
        </w:rPr>
        <w:footnoteReference w:id="989"/>
      </w:r>
      <w:r>
        <w:t xml:space="preserve"> </w:t>
      </w:r>
      <w:r w:rsidRPr="00962A93">
        <w:t>We do not share the United</w:t>
      </w:r>
      <w:r>
        <w:t> </w:t>
      </w:r>
      <w:r w:rsidRPr="00962A93">
        <w:t>States' view that the Panel</w:t>
      </w:r>
      <w:r>
        <w:t>, by relying on the anticipated marketing lives of the relevant LCA,</w:t>
      </w:r>
      <w:r w:rsidRPr="00962A93">
        <w:t xml:space="preserve"> erroneously viewed the </w:t>
      </w:r>
      <w:r w:rsidRPr="00F94FAF">
        <w:rPr>
          <w:i/>
        </w:rPr>
        <w:t>ex ante</w:t>
      </w:r>
      <w:r w:rsidRPr="00962A93">
        <w:t xml:space="preserve"> </w:t>
      </w:r>
      <w:r w:rsidR="00910BF9">
        <w:t>"</w:t>
      </w:r>
      <w:r>
        <w:t>lives</w:t>
      </w:r>
      <w:r w:rsidR="00910BF9">
        <w:t>"</w:t>
      </w:r>
      <w:r w:rsidRPr="00962A93">
        <w:t xml:space="preserve"> of the LA/MSF subsid</w:t>
      </w:r>
      <w:r w:rsidR="002A79B9">
        <w:t>i</w:t>
      </w:r>
      <w:r w:rsidRPr="00962A93">
        <w:t>es at issue as extending over a fixed number of years.</w:t>
      </w:r>
      <w:r>
        <w:rPr>
          <w:rStyle w:val="FootnoteReference"/>
        </w:rPr>
        <w:footnoteReference w:id="990"/>
      </w:r>
      <w:r w:rsidRPr="00962A93">
        <w:t xml:space="preserve"> </w:t>
      </w:r>
      <w:r>
        <w:t>Rather, t</w:t>
      </w:r>
      <w:r w:rsidRPr="00962A93">
        <w:t xml:space="preserve">he Panel's approach is appropriate in light of </w:t>
      </w:r>
      <w:r w:rsidR="00910BF9">
        <w:t>the Appellate </w:t>
      </w:r>
      <w:r>
        <w:t xml:space="preserve">Body's guidance that a subsidy has a </w:t>
      </w:r>
      <w:r w:rsidRPr="00654AB6">
        <w:rPr>
          <w:i/>
        </w:rPr>
        <w:t>finite</w:t>
      </w:r>
      <w:r>
        <w:t xml:space="preserve"> </w:t>
      </w:r>
      <w:r w:rsidR="00910BF9">
        <w:t>"</w:t>
      </w:r>
      <w:r>
        <w:t>life</w:t>
      </w:r>
      <w:r w:rsidR="00910BF9">
        <w:t>"</w:t>
      </w:r>
      <w:r>
        <w:t xml:space="preserve">, as well as </w:t>
      </w:r>
      <w:r w:rsidRPr="00962A93">
        <w:t xml:space="preserve">the evidence before the Panel regarding how the </w:t>
      </w:r>
      <w:r w:rsidRPr="00F94FAF">
        <w:rPr>
          <w:i/>
        </w:rPr>
        <w:t>ex ante</w:t>
      </w:r>
      <w:r w:rsidRPr="00962A93">
        <w:t xml:space="preserve"> </w:t>
      </w:r>
      <w:r w:rsidR="00910BF9">
        <w:t>"</w:t>
      </w:r>
      <w:r w:rsidRPr="00962A93">
        <w:t>lives</w:t>
      </w:r>
      <w:r w:rsidR="00910BF9">
        <w:t>"</w:t>
      </w:r>
      <w:r w:rsidRPr="00962A93">
        <w:t xml:space="preserve"> of the</w:t>
      </w:r>
      <w:r>
        <w:t xml:space="preserve"> LA/MSF </w:t>
      </w:r>
      <w:r w:rsidRPr="00962A93">
        <w:t xml:space="preserve">subsidies </w:t>
      </w:r>
      <w:r>
        <w:t xml:space="preserve">at issue </w:t>
      </w:r>
      <w:r w:rsidRPr="00962A93">
        <w:t xml:space="preserve">should be ascertained, </w:t>
      </w:r>
      <w:r>
        <w:t>including</w:t>
      </w:r>
      <w:r w:rsidRPr="00962A93">
        <w:t xml:space="preserve"> the PwC Amortization Report</w:t>
      </w:r>
      <w:r>
        <w:t>. Contrary to the United States' argument, such an approach is</w:t>
      </w:r>
      <w:r w:rsidRPr="00962A93">
        <w:t xml:space="preserve"> not a "speculative" exercise that "the parties themselves did not undertake".</w:t>
      </w:r>
      <w:r w:rsidRPr="00962A93">
        <w:rPr>
          <w:rStyle w:val="FootnoteReference"/>
        </w:rPr>
        <w:footnoteReference w:id="991"/>
      </w:r>
      <w:r w:rsidRPr="00962A93">
        <w:t xml:space="preserve"> </w:t>
      </w:r>
    </w:p>
    <w:p w:rsidR="00AE4AC1" w:rsidRPr="00A83B75" w:rsidRDefault="00AE4AC1" w:rsidP="009E6402">
      <w:pPr>
        <w:pStyle w:val="BodyText"/>
      </w:pPr>
      <w:bookmarkStart w:id="116" w:name="para4172"/>
      <w:bookmarkEnd w:id="116"/>
      <w:r>
        <w:t>Moreover</w:t>
      </w:r>
      <w:r w:rsidRPr="00A83B75">
        <w:t xml:space="preserve">, while the </w:t>
      </w:r>
      <w:r>
        <w:t>United States</w:t>
      </w:r>
      <w:r w:rsidRPr="00A83B75">
        <w:t xml:space="preserve"> maintains that the </w:t>
      </w:r>
      <w:r w:rsidRPr="00A83B75">
        <w:rPr>
          <w:i/>
        </w:rPr>
        <w:t>ex ante</w:t>
      </w:r>
      <w:r w:rsidRPr="00A83B75">
        <w:t xml:space="preserve"> </w:t>
      </w:r>
      <w:r w:rsidR="00910BF9">
        <w:t>"</w:t>
      </w:r>
      <w:r w:rsidRPr="00A83B75">
        <w:t>lives</w:t>
      </w:r>
      <w:r w:rsidR="00910BF9">
        <w:t>"</w:t>
      </w:r>
      <w:r w:rsidRPr="00A83B75">
        <w:t xml:space="preserve"> of the subsidies need not be a fixed number</w:t>
      </w:r>
      <w:r w:rsidRPr="00A83B75">
        <w:rPr>
          <w:rStyle w:val="FootnoteReference"/>
        </w:rPr>
        <w:footnoteReference w:id="992"/>
      </w:r>
      <w:r w:rsidRPr="00A83B75">
        <w:t>, it</w:t>
      </w:r>
      <w:r>
        <w:t>s argument does not offer</w:t>
      </w:r>
      <w:r w:rsidRPr="00A83B75">
        <w:t xml:space="preserve"> a</w:t>
      </w:r>
      <w:r>
        <w:t xml:space="preserve"> proper </w:t>
      </w:r>
      <w:r w:rsidRPr="00A83B75">
        <w:t xml:space="preserve">basis on which such </w:t>
      </w:r>
      <w:r w:rsidR="00910BF9">
        <w:t>"</w:t>
      </w:r>
      <w:r w:rsidRPr="00A83B75">
        <w:t>lives</w:t>
      </w:r>
      <w:r w:rsidR="00910BF9">
        <w:t>"</w:t>
      </w:r>
      <w:r w:rsidRPr="00A83B75">
        <w:t xml:space="preserve"> </w:t>
      </w:r>
      <w:r>
        <w:t>may be</w:t>
      </w:r>
      <w:r w:rsidRPr="00A83B75">
        <w:t xml:space="preserve"> determined. The </w:t>
      </w:r>
      <w:r>
        <w:t>United States</w:t>
      </w:r>
      <w:r w:rsidRPr="00A83B75">
        <w:t xml:space="preserve"> contends that the use of the LA/MSF loans "suggests that the parties expected the benefit of LA/MSF </w:t>
      </w:r>
      <w:r w:rsidRPr="00A83B75">
        <w:rPr>
          <w:i/>
        </w:rPr>
        <w:t>to last throughout the life of the subsidized aircraft programs</w:t>
      </w:r>
      <w:r w:rsidRPr="00A83B75">
        <w:t>".</w:t>
      </w:r>
      <w:r w:rsidRPr="00A83B75">
        <w:rPr>
          <w:rStyle w:val="FootnoteReference"/>
        </w:rPr>
        <w:footnoteReference w:id="993"/>
      </w:r>
      <w:r w:rsidRPr="00A83B75">
        <w:t xml:space="preserve"> </w:t>
      </w:r>
      <w:r>
        <w:t>In other words,</w:t>
      </w:r>
      <w:r w:rsidRPr="00A83B75">
        <w:t xml:space="preserve"> </w:t>
      </w:r>
      <w:r>
        <w:t xml:space="preserve">according to the United States, </w:t>
      </w:r>
      <w:r w:rsidRPr="00A83B75">
        <w:t xml:space="preserve">the </w:t>
      </w:r>
      <w:r w:rsidR="00910BF9">
        <w:t>"</w:t>
      </w:r>
      <w:r w:rsidRPr="00A83B75">
        <w:t>lives</w:t>
      </w:r>
      <w:r w:rsidR="00910BF9">
        <w:t>"</w:t>
      </w:r>
      <w:r w:rsidRPr="00A83B75">
        <w:t xml:space="preserve"> of the subsidies should </w:t>
      </w:r>
      <w:r>
        <w:t>last as long as</w:t>
      </w:r>
      <w:r w:rsidRPr="00A83B75">
        <w:t xml:space="preserve"> the</w:t>
      </w:r>
      <w:r>
        <w:t xml:space="preserve"> commercial life of the</w:t>
      </w:r>
      <w:r w:rsidRPr="00A83B75">
        <w:t xml:space="preserve"> funded aircraft </w:t>
      </w:r>
      <w:r w:rsidRPr="00553991">
        <w:t>project</w:t>
      </w:r>
      <w:r w:rsidRPr="00A83B75">
        <w:t>.</w:t>
      </w:r>
      <w:r w:rsidRPr="00A83B75">
        <w:rPr>
          <w:rStyle w:val="FootnoteReference"/>
        </w:rPr>
        <w:footnoteReference w:id="994"/>
      </w:r>
      <w:r w:rsidRPr="00A83B75">
        <w:t xml:space="preserve"> </w:t>
      </w:r>
      <w:r>
        <w:t xml:space="preserve">In our view, the duration of the funded aircraft project depends on the success of the project, and such success, while it might be pertinent for assessing the </w:t>
      </w:r>
      <w:r w:rsidRPr="00B33BD0">
        <w:rPr>
          <w:i/>
        </w:rPr>
        <w:t>effects</w:t>
      </w:r>
      <w:r>
        <w:t xml:space="preserve"> of the subsidy, does not bear upon the question of how the subsidy is anticipated to materialize. To us, t</w:t>
      </w:r>
      <w:r w:rsidRPr="00A83B75">
        <w:t xml:space="preserve">he </w:t>
      </w:r>
      <w:r>
        <w:t>United States' argument conflates</w:t>
      </w:r>
      <w:r w:rsidRPr="00A83B75">
        <w:t xml:space="preserve"> the </w:t>
      </w:r>
      <w:r w:rsidRPr="00A83B75">
        <w:rPr>
          <w:i/>
        </w:rPr>
        <w:t>effects</w:t>
      </w:r>
      <w:r w:rsidRPr="00A83B75">
        <w:t xml:space="preserve"> of the subsidy – i.e. its </w:t>
      </w:r>
      <w:r>
        <w:t>"</w:t>
      </w:r>
      <w:r w:rsidRPr="00A83B75">
        <w:t>product</w:t>
      </w:r>
      <w:r>
        <w:t>"</w:t>
      </w:r>
      <w:r w:rsidRPr="00A83B75">
        <w:t xml:space="preserve"> effects</w:t>
      </w:r>
      <w:r w:rsidRPr="00A83B75">
        <w:rPr>
          <w:rStyle w:val="FootnoteReference"/>
        </w:rPr>
        <w:footnoteReference w:id="995"/>
      </w:r>
      <w:r w:rsidRPr="00A83B75">
        <w:t xml:space="preserve"> – with the </w:t>
      </w:r>
      <w:r w:rsidRPr="00A83B75">
        <w:rPr>
          <w:i/>
        </w:rPr>
        <w:t>benefit</w:t>
      </w:r>
      <w:r w:rsidRPr="00A83B75">
        <w:t xml:space="preserve"> of the subsidy.</w:t>
      </w:r>
      <w:r w:rsidRPr="00A83B75">
        <w:rPr>
          <w:rStyle w:val="FootnoteReference"/>
        </w:rPr>
        <w:footnoteReference w:id="996"/>
      </w:r>
      <w:r>
        <w:t xml:space="preserve"> </w:t>
      </w:r>
    </w:p>
    <w:p w:rsidR="00AE4AC1" w:rsidRPr="00A83B75" w:rsidRDefault="00AE4AC1" w:rsidP="009E6402">
      <w:pPr>
        <w:pStyle w:val="BodyText"/>
      </w:pPr>
      <w:r>
        <w:lastRenderedPageBreak/>
        <w:t xml:space="preserve">The United States further argues that </w:t>
      </w:r>
      <w:r w:rsidRPr="00A83B75">
        <w:t xml:space="preserve">the Panel failed to engage with "the central legal point" of the </w:t>
      </w:r>
      <w:r>
        <w:t>United States</w:t>
      </w:r>
      <w:r w:rsidRPr="00A83B75">
        <w:t>' argument, namely, "for contingent financing, the grantor and recipient would expect the benefit to continue as long as payments were due, or for the life of any forgiveness if the program failed prior to full repayment."</w:t>
      </w:r>
      <w:r w:rsidRPr="00A83B75">
        <w:rPr>
          <w:rStyle w:val="FootnoteReference"/>
        </w:rPr>
        <w:footnoteReference w:id="997"/>
      </w:r>
      <w:r w:rsidR="00F91606">
        <w:t xml:space="preserve"> By "contingent financing", the </w:t>
      </w:r>
      <w:r>
        <w:t>United States</w:t>
      </w:r>
      <w:r w:rsidRPr="00A83B75">
        <w:t xml:space="preserve"> refers to the fact that "the grantor expects the benefit to flow over a period whose length is defined to be contingent on some other </w:t>
      </w:r>
      <w:r w:rsidRPr="00A83B75">
        <w:rPr>
          <w:i/>
        </w:rPr>
        <w:t>variable event</w:t>
      </w:r>
      <w:r w:rsidRPr="00A83B75">
        <w:t>, such as a large civil aircraft program selling a particular number of aircraft, that triggers an obligation to repay the principal and accrued interest".</w:t>
      </w:r>
      <w:r w:rsidRPr="00A83B75">
        <w:rPr>
          <w:rStyle w:val="FootnoteReference"/>
        </w:rPr>
        <w:footnoteReference w:id="998"/>
      </w:r>
      <w:r w:rsidRPr="00A83B75">
        <w:t xml:space="preserve"> </w:t>
      </w:r>
      <w:r>
        <w:t>The United States adds that, if, at the tim</w:t>
      </w:r>
      <w:r w:rsidR="00F91606">
        <w:t>e of the grant, the </w:t>
      </w:r>
      <w:r>
        <w:t>benefit "is expected to convert to loan forgiveness upon the satisfaction of a particular condition (e.g., the premature failure of an aircraft program), then the life of the subsidy should be measured accordingly."</w:t>
      </w:r>
      <w:r>
        <w:rPr>
          <w:rStyle w:val="FootnoteReference"/>
        </w:rPr>
        <w:footnoteReference w:id="999"/>
      </w:r>
    </w:p>
    <w:p w:rsidR="00AE4AC1" w:rsidRDefault="00AE4AC1" w:rsidP="009E6402">
      <w:pPr>
        <w:pStyle w:val="BodyText"/>
      </w:pPr>
      <w:r w:rsidRPr="00A83B75">
        <w:t xml:space="preserve">As the </w:t>
      </w:r>
      <w:r>
        <w:t>Appellate Body</w:t>
      </w:r>
      <w:r w:rsidRPr="00A83B75">
        <w:t xml:space="preserve"> made clear in the original proceedings, "a benefit analysis under </w:t>
      </w:r>
      <w:r>
        <w:t>Article </w:t>
      </w:r>
      <w:r w:rsidRPr="00A83B75">
        <w:t>1.1(b) is forward-looking and focuses on future projections."</w:t>
      </w:r>
      <w:r w:rsidRPr="00A83B75">
        <w:rPr>
          <w:rStyle w:val="FootnoteReference"/>
        </w:rPr>
        <w:footnoteReference w:id="1000"/>
      </w:r>
      <w:r w:rsidRPr="00A83B75">
        <w:t xml:space="preserve"> The </w:t>
      </w:r>
      <w:r>
        <w:t>Appellate Body</w:t>
      </w:r>
      <w:r w:rsidRPr="00A83B75">
        <w:t xml:space="preserve"> also stated that "{t}he nature, amount, and projected use of the challenged subsidy may be relevant factors to consider in an assessment of the period over which the benefit from a financial contribution </w:t>
      </w:r>
      <w:r w:rsidRPr="00DF1F8B">
        <w:rPr>
          <w:i/>
        </w:rPr>
        <w:t xml:space="preserve">might be expected </w:t>
      </w:r>
      <w:r w:rsidRPr="004130B7">
        <w:t>to flow</w:t>
      </w:r>
      <w:r w:rsidRPr="00A83B75">
        <w:t>."</w:t>
      </w:r>
      <w:r w:rsidRPr="00A83B75">
        <w:rPr>
          <w:rStyle w:val="FootnoteReference"/>
        </w:rPr>
        <w:footnoteReference w:id="1001"/>
      </w:r>
      <w:r w:rsidRPr="00A83B75">
        <w:t xml:space="preserve"> Thus, the evaluation of how long the benefit </w:t>
      </w:r>
      <w:r>
        <w:t>under Article 1.1(b) of the SCM Agreement</w:t>
      </w:r>
      <w:r w:rsidRPr="00A83B75">
        <w:t xml:space="preserve"> might be "</w:t>
      </w:r>
      <w:r w:rsidRPr="00DF1F8B">
        <w:rPr>
          <w:i/>
        </w:rPr>
        <w:t>expected</w:t>
      </w:r>
      <w:r w:rsidRPr="00A83B75">
        <w:t xml:space="preserve">" to flow </w:t>
      </w:r>
      <w:r>
        <w:t>is based on projections made at the time of the granting of the subsidy</w:t>
      </w:r>
      <w:r w:rsidRPr="00A83B75">
        <w:t xml:space="preserve">. </w:t>
      </w:r>
      <w:r>
        <w:t xml:space="preserve">We do not see </w:t>
      </w:r>
      <w:r w:rsidRPr="007A4407">
        <w:t xml:space="preserve">the existence of a "variable event" in a loan agreement </w:t>
      </w:r>
      <w:r>
        <w:t>as permitting departure from this</w:t>
      </w:r>
      <w:r w:rsidRPr="007A4407">
        <w:t xml:space="preserve"> </w:t>
      </w:r>
      <w:r w:rsidRPr="00DF1F8B">
        <w:rPr>
          <w:i/>
        </w:rPr>
        <w:t>ex ante</w:t>
      </w:r>
      <w:r w:rsidRPr="007A4407">
        <w:t xml:space="preserve"> approach for determining the expected </w:t>
      </w:r>
      <w:r w:rsidR="00910BF9">
        <w:t>"</w:t>
      </w:r>
      <w:r w:rsidRPr="007A4407">
        <w:t>life</w:t>
      </w:r>
      <w:r w:rsidR="00910BF9">
        <w:t>"</w:t>
      </w:r>
      <w:r w:rsidRPr="007A4407">
        <w:t xml:space="preserve"> of a subsidy pursuant to </w:t>
      </w:r>
      <w:r>
        <w:t>Article </w:t>
      </w:r>
      <w:r w:rsidRPr="007A4407">
        <w:t>1.1</w:t>
      </w:r>
      <w:r>
        <w:t>(b)</w:t>
      </w:r>
      <w:r w:rsidRPr="007A4407">
        <w:t xml:space="preserve"> of the </w:t>
      </w:r>
      <w:r>
        <w:t>SCM Agreement</w:t>
      </w:r>
      <w:r w:rsidRPr="007A4407">
        <w:t>.</w:t>
      </w:r>
      <w:r w:rsidRPr="007A4407">
        <w:rPr>
          <w:rStyle w:val="FootnoteReference"/>
        </w:rPr>
        <w:footnoteReference w:id="1002"/>
      </w:r>
    </w:p>
    <w:p w:rsidR="00AE4AC1" w:rsidRDefault="00AE4AC1" w:rsidP="009E6402">
      <w:pPr>
        <w:pStyle w:val="BodyText"/>
      </w:pPr>
      <w:r>
        <w:t xml:space="preserve">By arguing that the </w:t>
      </w:r>
      <w:r w:rsidRPr="00307C75">
        <w:t xml:space="preserve">anticipated </w:t>
      </w:r>
      <w:r w:rsidR="00910BF9">
        <w:t>"</w:t>
      </w:r>
      <w:r w:rsidRPr="00307C75">
        <w:t>life</w:t>
      </w:r>
      <w:r w:rsidR="00910BF9">
        <w:t>"</w:t>
      </w:r>
      <w:r w:rsidRPr="00307C75">
        <w:t xml:space="preserve"> of a subsidy depends on certain "variable event</w:t>
      </w:r>
      <w:r w:rsidR="00910BF9">
        <w:t>{</w:t>
      </w:r>
      <w:r w:rsidRPr="00307C75">
        <w:t>s</w:t>
      </w:r>
      <w:r w:rsidR="00910BF9">
        <w:t>}</w:t>
      </w:r>
      <w:r w:rsidRPr="00307C75">
        <w:t xml:space="preserve">", such as the timing of delivery and payment, or potential failure of the </w:t>
      </w:r>
      <w:r w:rsidRPr="00674378">
        <w:t xml:space="preserve">project before full repayment, the United States' approach does not comport with an </w:t>
      </w:r>
      <w:r w:rsidRPr="00674378">
        <w:rPr>
          <w:i/>
        </w:rPr>
        <w:t>ex ante</w:t>
      </w:r>
      <w:r w:rsidRPr="00674378">
        <w:t xml:space="preserve"> analysis of the projected duration of benefit. Rather, its argument concerns how the </w:t>
      </w:r>
      <w:r w:rsidRPr="00674378">
        <w:rPr>
          <w:i/>
        </w:rPr>
        <w:t>actual performance</w:t>
      </w:r>
      <w:r w:rsidRPr="00674378">
        <w:t xml:space="preserve"> of a subsidy affects the </w:t>
      </w:r>
      <w:r w:rsidR="00910BF9">
        <w:t>"</w:t>
      </w:r>
      <w:r w:rsidRPr="00674378">
        <w:t>life</w:t>
      </w:r>
      <w:r w:rsidR="00910BF9">
        <w:t>"</w:t>
      </w:r>
      <w:r w:rsidRPr="00674378">
        <w:t xml:space="preserve"> of that subsidy and, as such, is more pertinent to an examination of any alleged intervening events that may have affected the </w:t>
      </w:r>
      <w:r w:rsidRPr="004D26D9">
        <w:t>anticipated</w:t>
      </w:r>
      <w:r w:rsidRPr="00307C75">
        <w:t xml:space="preserve"> </w:t>
      </w:r>
      <w:r w:rsidR="00910BF9">
        <w:t>"</w:t>
      </w:r>
      <w:r w:rsidRPr="00674378">
        <w:t>life</w:t>
      </w:r>
      <w:r w:rsidR="00910BF9">
        <w:t>"</w:t>
      </w:r>
      <w:r w:rsidRPr="00674378">
        <w:t xml:space="preserve"> of the subsid</w:t>
      </w:r>
      <w:r>
        <w:t>y</w:t>
      </w:r>
      <w:r w:rsidRPr="00674378">
        <w:t>. Indeed, before the Panel, the United</w:t>
      </w:r>
      <w:r>
        <w:t> </w:t>
      </w:r>
      <w:r w:rsidR="00910BF9">
        <w:t xml:space="preserve">States referred to </w:t>
      </w:r>
      <w:r w:rsidRPr="00674378">
        <w:t>debt forgiveness as a result of the termination of a project as an "intervening event" that extended the anticipated</w:t>
      </w:r>
      <w:r w:rsidRPr="008032E8">
        <w:t xml:space="preserve"> </w:t>
      </w:r>
      <w:r w:rsidR="00910BF9">
        <w:t>"</w:t>
      </w:r>
      <w:r w:rsidRPr="008032E8">
        <w:t>life</w:t>
      </w:r>
      <w:r w:rsidR="00910BF9">
        <w:t>"</w:t>
      </w:r>
      <w:r>
        <w:t xml:space="preserve"> of the LA/MSF subsidy for the A340-500/600. Specifically, the United States argued</w:t>
      </w:r>
      <w:r w:rsidRPr="00A83B75">
        <w:t xml:space="preserve"> that</w:t>
      </w:r>
      <w:r>
        <w:t>, had the LA/MSF for the A340</w:t>
      </w:r>
      <w:r>
        <w:noBreakHyphen/>
      </w:r>
      <w:r w:rsidRPr="00A83B75">
        <w:t xml:space="preserve">500/600 not </w:t>
      </w:r>
      <w:r>
        <w:t>been terminated in 2011, the subsidy would have continued t</w:t>
      </w:r>
      <w:r w:rsidR="00910BF9">
        <w:t>o be provided through the below</w:t>
      </w:r>
      <w:r w:rsidR="00910BF9">
        <w:noBreakHyphen/>
      </w:r>
      <w:r>
        <w:t>market repayments outstanding at the time.</w:t>
      </w:r>
      <w:r w:rsidRPr="00A83B75">
        <w:t xml:space="preserve"> </w:t>
      </w:r>
      <w:r>
        <w:t xml:space="preserve">The </w:t>
      </w:r>
      <w:r w:rsidRPr="009447F5">
        <w:t>termination of the A340</w:t>
      </w:r>
      <w:r w:rsidRPr="009447F5">
        <w:noBreakHyphen/>
        <w:t>500/600 project, according to the United States, turned that subsidy into "a grant to Airbus equivalent to the amount of outstanding debt" on the loans under the French and Spanish LA/MSF contracts for the A340-500/600.</w:t>
      </w:r>
      <w:r w:rsidRPr="009447F5">
        <w:rPr>
          <w:rStyle w:val="FootnoteReference"/>
        </w:rPr>
        <w:footnoteReference w:id="1003"/>
      </w:r>
      <w:r w:rsidRPr="009447F5">
        <w:t xml:space="preserve"> The United States further argued that, as a result of the debt</w:t>
      </w:r>
      <w:r>
        <w:t xml:space="preserve"> </w:t>
      </w:r>
      <w:r w:rsidR="00C826B3">
        <w:t>forgiveness, the </w:t>
      </w:r>
      <w:r w:rsidRPr="009447F5">
        <w:t>life of the LA/MSF was extended by the average life of a generic a</w:t>
      </w:r>
      <w:r w:rsidR="00C826B3">
        <w:t>ircraft project, that is, until </w:t>
      </w:r>
      <w:r w:rsidRPr="009447F5">
        <w:t>approximately 2028</w:t>
      </w:r>
      <w:r w:rsidRPr="00F27A5B">
        <w:t>.</w:t>
      </w:r>
      <w:r w:rsidRPr="009447F5">
        <w:rPr>
          <w:rStyle w:val="FootnoteReference"/>
        </w:rPr>
        <w:footnoteReference w:id="1004"/>
      </w:r>
    </w:p>
    <w:p w:rsidR="00AE4AC1" w:rsidRDefault="00AE4AC1" w:rsidP="009E6402">
      <w:pPr>
        <w:pStyle w:val="BodyText"/>
      </w:pPr>
      <w:r w:rsidRPr="009447F5">
        <w:t xml:space="preserve">The Panel rejected the view that the termination of the A340-500/600 project was an intervening event that </w:t>
      </w:r>
      <w:r w:rsidRPr="00DD4F77">
        <w:t xml:space="preserve">extended the </w:t>
      </w:r>
      <w:r w:rsidR="00910BF9">
        <w:t>"</w:t>
      </w:r>
      <w:r w:rsidRPr="00DD4F77">
        <w:t>life</w:t>
      </w:r>
      <w:r w:rsidR="00910BF9">
        <w:t>"</w:t>
      </w:r>
      <w:r w:rsidRPr="00DD4F77">
        <w:t xml:space="preserve"> of the LA/MSF subsidy.</w:t>
      </w:r>
      <w:r w:rsidRPr="00DD4F77">
        <w:rPr>
          <w:rStyle w:val="FootnoteReference"/>
        </w:rPr>
        <w:footnoteReference w:id="1005"/>
      </w:r>
      <w:r w:rsidRPr="00DD4F77">
        <w:t xml:space="preserve"> </w:t>
      </w:r>
      <w:r w:rsidRPr="00793F76">
        <w:t xml:space="preserve">In </w:t>
      </w:r>
      <w:r>
        <w:t>so doing</w:t>
      </w:r>
      <w:r w:rsidRPr="00793F76">
        <w:t xml:space="preserve">, the Panel explained that the termination of the A340 </w:t>
      </w:r>
      <w:r w:rsidR="00910BF9">
        <w:t>project</w:t>
      </w:r>
      <w:r w:rsidRPr="00793F76">
        <w:t xml:space="preserve"> </w:t>
      </w:r>
      <w:r w:rsidRPr="00DD4F77">
        <w:t>was</w:t>
      </w:r>
      <w:r w:rsidRPr="00793F76">
        <w:t xml:space="preserve"> </w:t>
      </w:r>
      <w:r w:rsidRPr="00DD4F77">
        <w:t>"</w:t>
      </w:r>
      <w:r w:rsidRPr="00793F76">
        <w:t xml:space="preserve">not an event that can be said to have </w:t>
      </w:r>
      <w:r w:rsidRPr="00793F76">
        <w:lastRenderedPageBreak/>
        <w:t>altered the expectations held at the time of the grant of the relevant LA/MSF subsidies about how the 'projected value' of those subsidies would 'materialize over time</w:t>
      </w:r>
      <w:r w:rsidRPr="00DD4F77">
        <w:t>'."</w:t>
      </w:r>
      <w:r>
        <w:rPr>
          <w:rStyle w:val="FootnoteReference"/>
        </w:rPr>
        <w:footnoteReference w:id="1006"/>
      </w:r>
      <w:r w:rsidRPr="00DD4F77">
        <w:t xml:space="preserve"> The Panel added that </w:t>
      </w:r>
      <w:r>
        <w:t>"</w:t>
      </w:r>
      <w:r w:rsidRPr="00793F76">
        <w:t>the termination of the A340 programme only one year ahead of the expected</w:t>
      </w:r>
      <w:r w:rsidRPr="00793F76">
        <w:rPr>
          <w:i/>
        </w:rPr>
        <w:t xml:space="preserve"> </w:t>
      </w:r>
      <w:r w:rsidRPr="00793F76">
        <w:t xml:space="preserve">duration of its marketing life did not prevent Airbus from using the relevant LA/MSF subsidies, </w:t>
      </w:r>
      <w:r w:rsidRPr="00793F76">
        <w:rPr>
          <w:i/>
        </w:rPr>
        <w:t>precisely as originally envisaged</w:t>
      </w:r>
      <w:r w:rsidRPr="00793F76">
        <w:t>, to develop and bring to market the A340-500/600 derivatives."</w:t>
      </w:r>
      <w:r>
        <w:rPr>
          <w:rStyle w:val="FootnoteReference"/>
        </w:rPr>
        <w:footnoteReference w:id="1007"/>
      </w:r>
      <w:r w:rsidRPr="00793F76">
        <w:t xml:space="preserve"> </w:t>
      </w:r>
      <w:r>
        <w:t>T</w:t>
      </w:r>
      <w:r w:rsidRPr="00793F76">
        <w:t xml:space="preserve">he Panel </w:t>
      </w:r>
      <w:r>
        <w:t xml:space="preserve">also </w:t>
      </w:r>
      <w:r w:rsidRPr="00793F76">
        <w:t>noted that "the fact that the repayment terms of the relevant LA/MSF agreements were unsecured and success-dependent reveal</w:t>
      </w:r>
      <w:r>
        <w:t>{ed}</w:t>
      </w:r>
      <w:r w:rsidRPr="00793F76">
        <w:t xml:space="preserve"> that the p</w:t>
      </w:r>
      <w:r w:rsidR="00C826B3">
        <w:t>ossible termination of the A340 </w:t>
      </w:r>
      <w:r w:rsidRPr="00793F76">
        <w:t>programme before the full repayment could be achieved was an inherent feature of the LA/MSF agreements</w:t>
      </w:r>
      <w:r w:rsidRPr="00DD4F77">
        <w:t xml:space="preserve"> themselves</w:t>
      </w:r>
      <w:r>
        <w:t>."</w:t>
      </w:r>
      <w:r>
        <w:rPr>
          <w:rStyle w:val="FootnoteReference"/>
        </w:rPr>
        <w:footnoteReference w:id="1008"/>
      </w:r>
      <w:r w:rsidRPr="00DD4F77">
        <w:t xml:space="preserve"> </w:t>
      </w:r>
      <w:r>
        <w:t>For the Panel</w:t>
      </w:r>
      <w:r w:rsidRPr="00DD4F77">
        <w:t xml:space="preserve">, </w:t>
      </w:r>
      <w:r w:rsidRPr="00793F76">
        <w:t xml:space="preserve">this implied that </w:t>
      </w:r>
      <w:r>
        <w:t>"</w:t>
      </w:r>
      <w:r w:rsidRPr="00793F76">
        <w:t>the French and Spanish governments (and Airbus) must have included in their anticipated scenarios for the use of the LA/MSF subsidies, the possibility that the A340 programme may not have been as successful as planned."</w:t>
      </w:r>
      <w:r>
        <w:rPr>
          <w:rStyle w:val="FootnoteReference"/>
        </w:rPr>
        <w:footnoteReference w:id="1009"/>
      </w:r>
      <w:r w:rsidRPr="00793F76">
        <w:t xml:space="preserve"> The Panel added that it was "precisely because the full repayment of the LA/MSF agreements could not be guaranteed and was dependent upon the fortunes of the A340-500/600 that both the European Union and the United States agreed that it was appropriate (and required) for the relevant European Union member States to charge a product-specific risk premium on their loans."</w:t>
      </w:r>
      <w:r>
        <w:rPr>
          <w:rStyle w:val="FootnoteReference"/>
        </w:rPr>
        <w:footnoteReference w:id="1010"/>
      </w:r>
      <w:r w:rsidRPr="00793F76">
        <w:t xml:space="preserve"> For the Panel</w:t>
      </w:r>
      <w:r>
        <w:t>,</w:t>
      </w:r>
      <w:r w:rsidRPr="00793F76">
        <w:t xml:space="preserve"> it followed from this "that the possibility</w:t>
      </w:r>
      <w:r w:rsidR="00C826B3">
        <w:t xml:space="preserve"> of the termination of the A340 </w:t>
      </w:r>
      <w:r w:rsidRPr="00793F76">
        <w:t xml:space="preserve">programme before full repayment </w:t>
      </w:r>
      <w:r>
        <w:t>…</w:t>
      </w:r>
      <w:r w:rsidRPr="00DD4F77">
        <w:t xml:space="preserve"> must have been contemplated and used to inform the expectations about how the </w:t>
      </w:r>
      <w:r>
        <w:t>'</w:t>
      </w:r>
      <w:r w:rsidRPr="00DD4F77">
        <w:t>projected value</w:t>
      </w:r>
      <w:r>
        <w:t>'</w:t>
      </w:r>
      <w:r w:rsidRPr="00DD4F77">
        <w:t xml:space="preserve"> of the relevant LA/MSF subsidies would </w:t>
      </w:r>
      <w:r>
        <w:t>'</w:t>
      </w:r>
      <w:r w:rsidRPr="00DD4F77">
        <w:t>materialize over time</w:t>
      </w:r>
      <w:r>
        <w:t>'</w:t>
      </w:r>
      <w:r w:rsidRPr="00DD4F77">
        <w:t xml:space="preserve"> when they were granted</w:t>
      </w:r>
      <w:r>
        <w:t>."</w:t>
      </w:r>
      <w:r>
        <w:rPr>
          <w:rStyle w:val="FootnoteReference"/>
        </w:rPr>
        <w:footnoteReference w:id="1011"/>
      </w:r>
      <w:r>
        <w:t xml:space="preserve"> The United States has not appealed this reasoning by the Panel, and we see no reason why it would not apply equally to the arguments that the United States makes on appeal regarding the "contingent" nature of the LA/MSF </w:t>
      </w:r>
      <w:r w:rsidRPr="00DD4F77">
        <w:t xml:space="preserve">financing, </w:t>
      </w:r>
      <w:r>
        <w:t xml:space="preserve">including the </w:t>
      </w:r>
      <w:r w:rsidRPr="00DD4F77">
        <w:t>fact that</w:t>
      </w:r>
      <w:r>
        <w:t xml:space="preserve"> the </w:t>
      </w:r>
      <w:r w:rsidR="00910BF9">
        <w:t>four</w:t>
      </w:r>
      <w:r w:rsidRPr="00DD4F77">
        <w:t xml:space="preserve"> </w:t>
      </w:r>
      <w:r>
        <w:t xml:space="preserve">member States may have </w:t>
      </w:r>
      <w:r w:rsidRPr="00DD4F77">
        <w:t>expect</w:t>
      </w:r>
      <w:r>
        <w:t>ed</w:t>
      </w:r>
      <w:r w:rsidRPr="00DD4F77">
        <w:t xml:space="preserve"> </w:t>
      </w:r>
      <w:r>
        <w:t>the lives of LA/MSF subsidies</w:t>
      </w:r>
      <w:r w:rsidRPr="00DD4F77">
        <w:t xml:space="preserve"> to </w:t>
      </w:r>
      <w:r>
        <w:t>depend</w:t>
      </w:r>
      <w:r w:rsidRPr="00DD4F77">
        <w:t xml:space="preserve"> on </w:t>
      </w:r>
      <w:r>
        <w:t>a</w:t>
      </w:r>
      <w:r w:rsidRPr="00DD4F77">
        <w:t xml:space="preserve"> </w:t>
      </w:r>
      <w:r>
        <w:t>"</w:t>
      </w:r>
      <w:r w:rsidRPr="00DD4F77">
        <w:rPr>
          <w:i/>
        </w:rPr>
        <w:t>variable event</w:t>
      </w:r>
      <w:r w:rsidRPr="00DD4F77">
        <w:t>, such as a large civil aircraft program selling a particular number of aircraft, that triggers an obligation to repay the principal and accrued interest".</w:t>
      </w:r>
      <w:r w:rsidRPr="00DD4F77">
        <w:rPr>
          <w:vertAlign w:val="superscript"/>
        </w:rPr>
        <w:footnoteReference w:id="1012"/>
      </w:r>
      <w:r>
        <w:t xml:space="preserve"> As we see it, such "variable events" are</w:t>
      </w:r>
      <w:r w:rsidRPr="00E302D8">
        <w:t xml:space="preserve"> an inherent feature of the LA/MSF </w:t>
      </w:r>
      <w:r>
        <w:t xml:space="preserve">financing, which the </w:t>
      </w:r>
      <w:r w:rsidR="00910BF9">
        <w:t>four</w:t>
      </w:r>
      <w:r>
        <w:t xml:space="preserve"> member State governments can be expected to </w:t>
      </w:r>
      <w:r w:rsidRPr="00E302D8">
        <w:t>have included in their anticipated scenarios for the use of the LA/MSF subsidies</w:t>
      </w:r>
      <w:r>
        <w:t>.</w:t>
      </w:r>
      <w:r w:rsidRPr="00E302D8">
        <w:t xml:space="preserve"> </w:t>
      </w:r>
      <w:r>
        <w:t>Such uncertainties involved in the LA/MSF financing are, as we understand it, already reflected in the</w:t>
      </w:r>
      <w:r w:rsidRPr="00E302D8">
        <w:t xml:space="preserve"> </w:t>
      </w:r>
      <w:r>
        <w:t xml:space="preserve">project-specific </w:t>
      </w:r>
      <w:r w:rsidRPr="00E302D8">
        <w:t>risk premium</w:t>
      </w:r>
      <w:r>
        <w:t xml:space="preserve"> calculated, by the original panel and by the Panel in these compliance proceedings, in the context of the benefit analysis for each of the underlying LA/MSF subsidies</w:t>
      </w:r>
      <w:r w:rsidRPr="00E302D8">
        <w:t>.</w:t>
      </w:r>
      <w:r w:rsidRPr="00674378">
        <w:t xml:space="preserve"> </w:t>
      </w:r>
      <w:r>
        <w:t xml:space="preserve">We therefore disagree with the United States that the Panel failed to engage with the arguments </w:t>
      </w:r>
      <w:r w:rsidR="00910BF9">
        <w:t xml:space="preserve">that </w:t>
      </w:r>
      <w:r>
        <w:t>the United States made in this regard.</w:t>
      </w:r>
    </w:p>
    <w:p w:rsidR="00AE4AC1" w:rsidRPr="00A83B75" w:rsidRDefault="00AE4AC1" w:rsidP="009E6402">
      <w:pPr>
        <w:pStyle w:val="BodyText"/>
      </w:pPr>
      <w:r>
        <w:t xml:space="preserve">Moving on, we recall that </w:t>
      </w:r>
      <w:r w:rsidRPr="00A83B75">
        <w:t xml:space="preserve">an </w:t>
      </w:r>
      <w:r w:rsidRPr="003A71D5">
        <w:rPr>
          <w:i/>
        </w:rPr>
        <w:t>ex ante</w:t>
      </w:r>
      <w:r w:rsidRPr="00A83B75">
        <w:t xml:space="preserve"> analysis regarding the benefit of </w:t>
      </w:r>
      <w:r>
        <w:t>a</w:t>
      </w:r>
      <w:r w:rsidRPr="00A83B75">
        <w:t xml:space="preserve"> subsidy serves as </w:t>
      </w:r>
      <w:r w:rsidRPr="003A71D5">
        <w:rPr>
          <w:i/>
        </w:rPr>
        <w:t>the starting point</w:t>
      </w:r>
      <w:r w:rsidRPr="00A83B75">
        <w:t xml:space="preserve"> of the analysis</w:t>
      </w:r>
      <w:r>
        <w:t xml:space="preserve"> to determine</w:t>
      </w:r>
      <w:r w:rsidRPr="00A83B75">
        <w:t xml:space="preserve"> whether a subsidy continues to exist at the end o</w:t>
      </w:r>
      <w:r>
        <w:t>f the implementation period</w:t>
      </w:r>
      <w:r w:rsidRPr="00A83B75">
        <w:t xml:space="preserve">. For </w:t>
      </w:r>
      <w:r>
        <w:t>such a determination</w:t>
      </w:r>
      <w:r w:rsidRPr="00A83B75">
        <w:t xml:space="preserve">, it is also necessary to conduct an analysis regarding "whether there are 'intervening events' that occurred after the grant of the subsidy that may affect the projected value of the subsidy as determined under the </w:t>
      </w:r>
      <w:r w:rsidRPr="003A71D5">
        <w:rPr>
          <w:i/>
        </w:rPr>
        <w:t>ex ante</w:t>
      </w:r>
      <w:r w:rsidRPr="00A83B75">
        <w:t xml:space="preserve"> analysis."</w:t>
      </w:r>
      <w:r w:rsidRPr="00A83B75">
        <w:rPr>
          <w:rStyle w:val="FootnoteReference"/>
        </w:rPr>
        <w:footnoteReference w:id="1013"/>
      </w:r>
      <w:r w:rsidR="00C826B3">
        <w:t xml:space="preserve"> Thus, </w:t>
      </w:r>
      <w:r w:rsidRPr="00A83B75">
        <w:t xml:space="preserve">an examination of the </w:t>
      </w:r>
      <w:r w:rsidRPr="003A71D5">
        <w:rPr>
          <w:i/>
        </w:rPr>
        <w:t>ex ante</w:t>
      </w:r>
      <w:r w:rsidRPr="00A83B75">
        <w:t xml:space="preserve"> </w:t>
      </w:r>
      <w:r w:rsidR="00910BF9">
        <w:t>"</w:t>
      </w:r>
      <w:r w:rsidRPr="00A83B75">
        <w:t>life</w:t>
      </w:r>
      <w:r w:rsidR="00910BF9">
        <w:t>"</w:t>
      </w:r>
      <w:r w:rsidRPr="00A83B75">
        <w:t xml:space="preserve"> of a subsidy, based on the expectation </w:t>
      </w:r>
      <w:r w:rsidRPr="003A71D5">
        <w:rPr>
          <w:i/>
        </w:rPr>
        <w:t>at the time the subsidy was granted</w:t>
      </w:r>
      <w:r w:rsidRPr="00A83B75">
        <w:t xml:space="preserve">, should be complemented by </w:t>
      </w:r>
      <w:r>
        <w:t>an evaluation</w:t>
      </w:r>
      <w:r w:rsidRPr="00A83B75">
        <w:t xml:space="preserve"> of subsequent </w:t>
      </w:r>
      <w:r w:rsidRPr="003A5062">
        <w:rPr>
          <w:i/>
        </w:rPr>
        <w:t>intervening</w:t>
      </w:r>
      <w:r w:rsidRPr="00A83B75">
        <w:t xml:space="preserve"> </w:t>
      </w:r>
      <w:r w:rsidRPr="003A5062">
        <w:rPr>
          <w:i/>
        </w:rPr>
        <w:t>events</w:t>
      </w:r>
      <w:r w:rsidRPr="00A83B75">
        <w:t xml:space="preserve"> </w:t>
      </w:r>
      <w:r>
        <w:t xml:space="preserve">that were alleged to have occurred after the grant of the subsidy </w:t>
      </w:r>
      <w:r w:rsidRPr="00A83B75">
        <w:t xml:space="preserve">so as to determine whether the subsidy </w:t>
      </w:r>
      <w:r w:rsidRPr="003A5062">
        <w:rPr>
          <w:i/>
        </w:rPr>
        <w:t>materialized</w:t>
      </w:r>
      <w:r w:rsidRPr="00A83B75">
        <w:t xml:space="preserve"> as expected. </w:t>
      </w:r>
    </w:p>
    <w:p w:rsidR="00AE4AC1" w:rsidRDefault="00AE4AC1" w:rsidP="009E6402">
      <w:pPr>
        <w:pStyle w:val="BodyText"/>
      </w:pPr>
      <w:r>
        <w:t>Having made</w:t>
      </w:r>
      <w:r w:rsidRPr="00A83B75">
        <w:t xml:space="preserve"> findings on the </w:t>
      </w:r>
      <w:r>
        <w:t>projected</w:t>
      </w:r>
      <w:r w:rsidRPr="00A83B75">
        <w:t xml:space="preserve"> expiry of the subsidies, the Panel went on to examine the arguments concerning </w:t>
      </w:r>
      <w:r>
        <w:t xml:space="preserve">the </w:t>
      </w:r>
      <w:r w:rsidRPr="00A83B75">
        <w:t xml:space="preserve">alleged intervening events that affected the </w:t>
      </w:r>
      <w:r w:rsidRPr="00974660">
        <w:t>actual duration of</w:t>
      </w:r>
      <w:r>
        <w:rPr>
          <w:i/>
        </w:rPr>
        <w:t xml:space="preserve"> </w:t>
      </w:r>
      <w:r w:rsidRPr="00A83B75">
        <w:t xml:space="preserve">certain LA/MSF subsidies. </w:t>
      </w:r>
      <w:r>
        <w:t>Based on its analysis, the Panel concluded that "the '</w:t>
      </w:r>
      <w:r w:rsidRPr="00A83B75">
        <w:t>lives</w:t>
      </w:r>
      <w:r>
        <w:t>'</w:t>
      </w:r>
      <w:r w:rsidRPr="00A83B75">
        <w:t xml:space="preserve"> of these subsidies have come to an end because the total period of time over which their </w:t>
      </w:r>
      <w:r>
        <w:t>'</w:t>
      </w:r>
      <w:r w:rsidRPr="00A83B75">
        <w:t>projected value</w:t>
      </w:r>
      <w:r>
        <w:t>'</w:t>
      </w:r>
      <w:r w:rsidRPr="00A83B75">
        <w:t xml:space="preserve"> was expected to </w:t>
      </w:r>
      <w:r>
        <w:t>'</w:t>
      </w:r>
      <w:r w:rsidRPr="00A83B75">
        <w:t>materialize</w:t>
      </w:r>
      <w:r>
        <w:t>'</w:t>
      </w:r>
      <w:r w:rsidRPr="00A83B75">
        <w:t xml:space="preserve"> has </w:t>
      </w:r>
      <w:r w:rsidRPr="00A724D3">
        <w:rPr>
          <w:i/>
        </w:rPr>
        <w:t>passively</w:t>
      </w:r>
      <w:r w:rsidRPr="00A83B75">
        <w:t xml:space="preserve"> transpired </w:t>
      </w:r>
      <w:r w:rsidRPr="0066759D">
        <w:rPr>
          <w:u w:val="single"/>
        </w:rPr>
        <w:t>in the absence of any 'intervening event'</w:t>
      </w:r>
      <w:r w:rsidRPr="00A14C3B">
        <w:t>"</w:t>
      </w:r>
      <w:r w:rsidRPr="00A83B75">
        <w:t>.</w:t>
      </w:r>
      <w:r w:rsidRPr="00A83B75">
        <w:rPr>
          <w:rStyle w:val="FootnoteReference"/>
        </w:rPr>
        <w:footnoteReference w:id="1014"/>
      </w:r>
      <w:r>
        <w:t xml:space="preserve"> In our view, </w:t>
      </w:r>
      <w:r w:rsidRPr="00A83B75">
        <w:t xml:space="preserve">the Panel's ultimate conclusion regarding the </w:t>
      </w:r>
      <w:r w:rsidRPr="00A724D3">
        <w:rPr>
          <w:i/>
        </w:rPr>
        <w:t>actual</w:t>
      </w:r>
      <w:r w:rsidRPr="00A83B75">
        <w:t xml:space="preserve"> </w:t>
      </w:r>
      <w:r>
        <w:t>duration</w:t>
      </w:r>
      <w:r w:rsidRPr="00A83B75">
        <w:t xml:space="preserve"> of these subsidies </w:t>
      </w:r>
      <w:r>
        <w:t>was</w:t>
      </w:r>
      <w:r w:rsidRPr="00A83B75">
        <w:t xml:space="preserve"> based on </w:t>
      </w:r>
      <w:r>
        <w:t>a proper</w:t>
      </w:r>
      <w:r w:rsidRPr="00A83B75">
        <w:t xml:space="preserve"> analysis</w:t>
      </w:r>
      <w:r>
        <w:t xml:space="preserve"> of </w:t>
      </w:r>
      <w:r w:rsidRPr="00267BCB">
        <w:t>both the projected duration of the subsidies and</w:t>
      </w:r>
      <w:r w:rsidRPr="00A83B75">
        <w:t xml:space="preserve"> </w:t>
      </w:r>
      <w:r>
        <w:t>the a</w:t>
      </w:r>
      <w:r w:rsidRPr="00A83B75">
        <w:t>lleged intervening events</w:t>
      </w:r>
      <w:r w:rsidR="00783DB8">
        <w:t xml:space="preserve"> after the granting of the subsidies</w:t>
      </w:r>
      <w:r w:rsidRPr="00A83B75">
        <w:t xml:space="preserve">. This </w:t>
      </w:r>
      <w:r>
        <w:t>is</w:t>
      </w:r>
      <w:r w:rsidRPr="00A83B75">
        <w:t xml:space="preserve"> consistent with the </w:t>
      </w:r>
      <w:r>
        <w:lastRenderedPageBreak/>
        <w:t>Appellate Body</w:t>
      </w:r>
      <w:r w:rsidRPr="00A83B75">
        <w:t xml:space="preserve">'s approach in the original proceedings, whereby the assessment of the </w:t>
      </w:r>
      <w:r w:rsidR="00910BF9">
        <w:t>"</w:t>
      </w:r>
      <w:r w:rsidRPr="00A83B75">
        <w:t>life</w:t>
      </w:r>
      <w:r w:rsidR="00910BF9">
        <w:t>"</w:t>
      </w:r>
      <w:r w:rsidRPr="00A83B75">
        <w:t xml:space="preserve"> of a subsidy should encompass both an </w:t>
      </w:r>
      <w:r w:rsidRPr="00A724D3">
        <w:rPr>
          <w:i/>
        </w:rPr>
        <w:t>ex ante</w:t>
      </w:r>
      <w:r w:rsidRPr="00A83B75">
        <w:t xml:space="preserve"> </w:t>
      </w:r>
      <w:r>
        <w:t xml:space="preserve">analysis </w:t>
      </w:r>
      <w:r w:rsidRPr="00A83B75">
        <w:t xml:space="preserve">and an </w:t>
      </w:r>
      <w:r>
        <w:t>evaluation of intervening events</w:t>
      </w:r>
      <w:r w:rsidRPr="00A83B75">
        <w:t xml:space="preserve">. </w:t>
      </w:r>
    </w:p>
    <w:p w:rsidR="00AE4AC1" w:rsidRDefault="00AE4AC1" w:rsidP="009E6402">
      <w:pPr>
        <w:pStyle w:val="BodyText"/>
      </w:pPr>
      <w:r>
        <w:t xml:space="preserve">For these reasons, </w:t>
      </w:r>
      <w:r w:rsidRPr="009447F5">
        <w:t xml:space="preserve">we </w:t>
      </w:r>
      <w:r w:rsidRPr="003A5062">
        <w:rPr>
          <w:u w:val="single"/>
        </w:rPr>
        <w:t>uphold</w:t>
      </w:r>
      <w:r w:rsidRPr="009447F5">
        <w:t xml:space="preserve"> the Panel's finding</w:t>
      </w:r>
      <w:r>
        <w:t>, in paragraph</w:t>
      </w:r>
      <w:r w:rsidR="00D26FEE">
        <w:t>s 6.879, 6.1076, and</w:t>
      </w:r>
      <w:r>
        <w:t xml:space="preserve"> </w:t>
      </w:r>
      <w:r w:rsidRPr="00A83B75">
        <w:t>7.1</w:t>
      </w:r>
      <w:r>
        <w:t>.</w:t>
      </w:r>
      <w:r w:rsidRPr="00A83B75">
        <w:t>d</w:t>
      </w:r>
      <w:r>
        <w:t>.</w:t>
      </w:r>
      <w:r w:rsidRPr="00A83B75">
        <w:t>ii</w:t>
      </w:r>
      <w:r>
        <w:t xml:space="preserve"> of its Report,</w:t>
      </w:r>
      <w:r w:rsidRPr="009447F5">
        <w:t xml:space="preserve"> that the European Union ha</w:t>
      </w:r>
      <w:r>
        <w:t>s</w:t>
      </w:r>
      <w:r w:rsidRPr="009447F5">
        <w:t xml:space="preserve"> demonstrated that the </w:t>
      </w:r>
      <w:r w:rsidRPr="009447F5">
        <w:rPr>
          <w:i/>
        </w:rPr>
        <w:t>ex ante</w:t>
      </w:r>
      <w:r w:rsidRPr="00F27A5B">
        <w:t xml:space="preserve"> </w:t>
      </w:r>
      <w:r w:rsidR="00910BF9">
        <w:t>"</w:t>
      </w:r>
      <w:r w:rsidRPr="00F27A5B">
        <w:t>lives</w:t>
      </w:r>
      <w:r w:rsidR="00910BF9">
        <w:t>"</w:t>
      </w:r>
      <w:r w:rsidRPr="00F27A5B">
        <w:t xml:space="preserve"> of the French, German,</w:t>
      </w:r>
      <w:r w:rsidRPr="00256A79">
        <w:t xml:space="preserve"> and Spanish LA/MSF subsidies for the A300B/B2/B4, A300-600, A310, A320, </w:t>
      </w:r>
      <w:r w:rsidR="00910BF9">
        <w:t>and A330/A340, and the UK </w:t>
      </w:r>
      <w:r w:rsidRPr="00256A79">
        <w:t>LA/MSF subsidies for the A320 and A330/A340, expired before 1</w:t>
      </w:r>
      <w:r w:rsidR="00D26FEE">
        <w:t> </w:t>
      </w:r>
      <w:r w:rsidRPr="00256A79">
        <w:t>June</w:t>
      </w:r>
      <w:r w:rsidR="00D26FEE">
        <w:t> </w:t>
      </w:r>
      <w:r w:rsidRPr="00256A79">
        <w:t>2011</w:t>
      </w:r>
      <w:r>
        <w:t xml:space="preserve">. </w:t>
      </w:r>
    </w:p>
    <w:p w:rsidR="00AE4AC1" w:rsidRDefault="00AE4AC1" w:rsidP="009E6402">
      <w:pPr>
        <w:pStyle w:val="BodyText"/>
      </w:pPr>
      <w:r>
        <w:t xml:space="preserve">The United States also appeals the Panel's finding that the European Union had demonstrated that the </w:t>
      </w:r>
      <w:r w:rsidRPr="003F2C86">
        <w:rPr>
          <w:i/>
        </w:rPr>
        <w:t>ex ante</w:t>
      </w:r>
      <w:r>
        <w:t xml:space="preserve"> </w:t>
      </w:r>
      <w:r w:rsidR="00910BF9">
        <w:t>"</w:t>
      </w:r>
      <w:r>
        <w:t>lives</w:t>
      </w:r>
      <w:r w:rsidR="00910BF9">
        <w:t>"</w:t>
      </w:r>
      <w:r>
        <w:t xml:space="preserve"> of the French LA/MSF subsidy for the A330-200 and the French and Spanish LA/MSF subsidies for the A340-500/600 expired in, respectively, </w:t>
      </w:r>
      <w:r w:rsidRPr="003F2C86">
        <w:rPr>
          <w:b/>
        </w:rPr>
        <w:t>[</w:t>
      </w:r>
      <w:r w:rsidR="00E8168B" w:rsidRPr="00C8434D">
        <w:rPr>
          <w:b/>
          <w:szCs w:val="16"/>
        </w:rPr>
        <w:t>BCI</w:t>
      </w:r>
      <w:r w:rsidRPr="003F2C86">
        <w:rPr>
          <w:b/>
        </w:rPr>
        <w:t>]</w:t>
      </w:r>
      <w:r>
        <w:t xml:space="preserve"> and </w:t>
      </w:r>
      <w:r w:rsidRPr="003F2C86">
        <w:rPr>
          <w:b/>
        </w:rPr>
        <w:t>[</w:t>
      </w:r>
      <w:r w:rsidR="00E8168B" w:rsidRPr="00C8434D">
        <w:rPr>
          <w:b/>
          <w:szCs w:val="16"/>
        </w:rPr>
        <w:t>BCI</w:t>
      </w:r>
      <w:r w:rsidRPr="003F2C86">
        <w:rPr>
          <w:b/>
        </w:rPr>
        <w:t>]</w:t>
      </w:r>
      <w:r w:rsidRPr="00703ABD">
        <w:t>.</w:t>
      </w:r>
      <w:r w:rsidRPr="008C3E56">
        <w:rPr>
          <w:rStyle w:val="FootnoteReference"/>
        </w:rPr>
        <w:footnoteReference w:id="1015"/>
      </w:r>
      <w:r>
        <w:t xml:space="preserve"> This aspect of the United States' appeal is premised on the condition that we find that the passive expiry of these subsidies </w:t>
      </w:r>
      <w:r w:rsidRPr="003F2C86">
        <w:rPr>
          <w:i/>
        </w:rPr>
        <w:t>after</w:t>
      </w:r>
      <w:r>
        <w:t xml:space="preserve"> 1 December 2011 meets th</w:t>
      </w:r>
      <w:r w:rsidR="00C826B3">
        <w:t>e requirement to "withdraw </w:t>
      </w:r>
      <w:r>
        <w:t>the subsidy" within the meaning of Article 7.8 of the SCM Agreement.</w:t>
      </w:r>
      <w:r>
        <w:rPr>
          <w:rStyle w:val="FootnoteReference"/>
        </w:rPr>
        <w:footnoteReference w:id="1016"/>
      </w:r>
      <w:r>
        <w:t xml:space="preserve"> We recall that, following the adoption of the panel and Appellate Body reports in the original proceedings on</w:t>
      </w:r>
      <w:r w:rsidR="00C826B3">
        <w:t> </w:t>
      </w:r>
      <w:r>
        <w:t>1 June 2011, the European Union, pursuant to Article 7.</w:t>
      </w:r>
      <w:r w:rsidR="00C826B3">
        <w:t>9 of the SCM Agreement, had six </w:t>
      </w:r>
      <w:r>
        <w:t>months to "take appropriate steps to remove the adverse effects" or to "withd</w:t>
      </w:r>
      <w:r w:rsidR="00D26FEE">
        <w:t>raw the subsidy". On 1 December </w:t>
      </w:r>
      <w:r>
        <w:t>2011, the European Union informed the DSB, in its Compliance Communication, that it had taken the appropriate steps to bring its measures "ful</w:t>
      </w:r>
      <w:r w:rsidR="00D26FEE">
        <w:t>ly into conformity with its WTO </w:t>
      </w:r>
      <w:r>
        <w:t>obligations".</w:t>
      </w:r>
      <w:r>
        <w:rPr>
          <w:rStyle w:val="FootnoteReference"/>
        </w:rPr>
        <w:footnoteReference w:id="1017"/>
      </w:r>
      <w:r>
        <w:t xml:space="preserve"> Subsequently, the Panel was established to examine the United States' claim that "the actions and events listed in the {European Union's Complian</w:t>
      </w:r>
      <w:r w:rsidR="00910BF9">
        <w:t>ce Communication</w:t>
      </w:r>
      <w:r>
        <w:t>} do not withdraw the subsidies or remove their adverse effects for purposes of Article 7.8 of the SCM Agreement".</w:t>
      </w:r>
      <w:r>
        <w:rPr>
          <w:rStyle w:val="FootnoteReference"/>
        </w:rPr>
        <w:footnoteReference w:id="1018"/>
      </w:r>
      <w:r>
        <w:t xml:space="preserve"> </w:t>
      </w:r>
    </w:p>
    <w:p w:rsidR="00AE4AC1" w:rsidRPr="00A83B75" w:rsidRDefault="00AE4AC1" w:rsidP="009E6402">
      <w:pPr>
        <w:pStyle w:val="BodyText"/>
      </w:pPr>
      <w:r>
        <w:t>In examining whether the European Union complied with its obligation under Article </w:t>
      </w:r>
      <w:r w:rsidRPr="00A83B75">
        <w:t xml:space="preserve">7.8 of the </w:t>
      </w:r>
      <w:r>
        <w:t xml:space="preserve">SCM Agreement, the relevant question before the Panel was </w:t>
      </w:r>
      <w:r w:rsidRPr="00A83B75">
        <w:t xml:space="preserve">whether the </w:t>
      </w:r>
      <w:r>
        <w:t>European Union</w:t>
      </w:r>
      <w:r w:rsidRPr="00A83B75">
        <w:t xml:space="preserve"> had brought itself into compliance </w:t>
      </w:r>
      <w:r w:rsidRPr="00FC0D4B">
        <w:rPr>
          <w:i/>
        </w:rPr>
        <w:t>by the end of the implementation period</w:t>
      </w:r>
      <w:r>
        <w:t xml:space="preserve">, that is, before 1 December 2011. </w:t>
      </w:r>
      <w:r w:rsidRPr="00F14F6B">
        <w:t xml:space="preserve">For purposes of </w:t>
      </w:r>
      <w:r w:rsidRPr="00F14F6B">
        <w:rPr>
          <w:i/>
        </w:rPr>
        <w:t>these compliance proceedings</w:t>
      </w:r>
      <w:r w:rsidRPr="00F14F6B">
        <w:t xml:space="preserve">, therefore, the expiry of the subsidies </w:t>
      </w:r>
      <w:r w:rsidRPr="00756960">
        <w:rPr>
          <w:i/>
        </w:rPr>
        <w:t>subsequent to</w:t>
      </w:r>
      <w:r w:rsidRPr="00756960">
        <w:t xml:space="preserve"> 1 December 2011 does not bear </w:t>
      </w:r>
      <w:r w:rsidRPr="00756960">
        <w:rPr>
          <w:i/>
        </w:rPr>
        <w:t>directly</w:t>
      </w:r>
      <w:r w:rsidRPr="00756960">
        <w:t xml:space="preserve"> on the question that the Panel was called upon to examine, namely, </w:t>
      </w:r>
      <w:r w:rsidRPr="00F14F6B">
        <w:t>whether compliance had been achieved by the end of the implementation period</w:t>
      </w:r>
      <w:r>
        <w:t xml:space="preserve">. </w:t>
      </w:r>
      <w:r>
        <w:rPr>
          <w:lang w:val="en-CA"/>
        </w:rPr>
        <w:t>In these circumstances, we see no need further to address this</w:t>
      </w:r>
      <w:r>
        <w:t xml:space="preserve"> aspect of the United States' appeal.</w:t>
      </w:r>
    </w:p>
    <w:p w:rsidR="00AE4AC1" w:rsidRPr="00A83B75" w:rsidRDefault="00AE4AC1" w:rsidP="009E6402">
      <w:pPr>
        <w:pStyle w:val="Heading3"/>
      </w:pPr>
      <w:bookmarkStart w:id="117" w:name="_Toc478561900"/>
      <w:bookmarkStart w:id="118" w:name="_Toc514059252"/>
      <w:r w:rsidRPr="00A83B75">
        <w:t xml:space="preserve">Whether the Panel erred in its finding </w:t>
      </w:r>
      <w:r>
        <w:t>regarding</w:t>
      </w:r>
      <w:r w:rsidRPr="00A83B75">
        <w:t xml:space="preserve"> the repayment of financial contribution</w:t>
      </w:r>
      <w:bookmarkEnd w:id="117"/>
      <w:r>
        <w:t xml:space="preserve"> – conditional appeal by the European Union</w:t>
      </w:r>
      <w:bookmarkEnd w:id="118"/>
    </w:p>
    <w:p w:rsidR="00AE4AC1" w:rsidRPr="002A3B57" w:rsidRDefault="00AE4AC1" w:rsidP="009E6402">
      <w:pPr>
        <w:pStyle w:val="BodyText"/>
      </w:pPr>
      <w:r>
        <w:t>The</w:t>
      </w:r>
      <w:r w:rsidRPr="00A83B75">
        <w:t xml:space="preserve"> </w:t>
      </w:r>
      <w:r>
        <w:t>European Union</w:t>
      </w:r>
      <w:r w:rsidRPr="00A83B75">
        <w:t xml:space="preserve"> </w:t>
      </w:r>
      <w:r>
        <w:t xml:space="preserve">conditionally </w:t>
      </w:r>
      <w:r w:rsidRPr="00A83B75">
        <w:t>ap</w:t>
      </w:r>
      <w:r>
        <w:t>peals the Panel's finding that "</w:t>
      </w:r>
      <w:r w:rsidRPr="00A83B75">
        <w:t>repayment of a financial contribution does not bring the life of a subsidy to an end".</w:t>
      </w:r>
      <w:r w:rsidRPr="00A83B75">
        <w:rPr>
          <w:rStyle w:val="FootnoteReference"/>
          <w:color w:val="000000"/>
        </w:rPr>
        <w:footnoteReference w:id="1019"/>
      </w:r>
      <w:r w:rsidRPr="00A83B75">
        <w:t xml:space="preserve"> </w:t>
      </w:r>
      <w:r w:rsidR="00C826B3">
        <w:t>The European Union requests, in </w:t>
      </w:r>
      <w:r w:rsidRPr="002A3B57">
        <w:t>particular, that we</w:t>
      </w:r>
      <w:r w:rsidRPr="00DB3B04">
        <w:t xml:space="preserve"> find that the "lives" of the following subsidies came to an end due to </w:t>
      </w:r>
      <w:r w:rsidRPr="002A3B57">
        <w:t xml:space="preserve">the </w:t>
      </w:r>
      <w:r>
        <w:t>"</w:t>
      </w:r>
      <w:r w:rsidRPr="002A3B57">
        <w:t>repayment</w:t>
      </w:r>
      <w:r>
        <w:t>"</w:t>
      </w:r>
      <w:r w:rsidRPr="002A3B57">
        <w:t xml:space="preserve"> of the </w:t>
      </w:r>
      <w:r>
        <w:t>underlying LA/MSF loans on their subsidized terms</w:t>
      </w:r>
      <w:r w:rsidRPr="002A3B57">
        <w:t xml:space="preserve">: the French LA/MSF for the A310-300 and </w:t>
      </w:r>
      <w:r w:rsidRPr="00BA5050">
        <w:t>A330-200</w:t>
      </w:r>
      <w:r w:rsidRPr="002A3B57">
        <w:t>, the French and Spanish LA/MSF for the A300B/B2/B4 and A300</w:t>
      </w:r>
      <w:r>
        <w:noBreakHyphen/>
      </w:r>
      <w:r w:rsidRPr="002A3B57">
        <w:t>600, and the French, Spanish, and UK LA/MSF for the A320 and A330/A340.</w:t>
      </w:r>
      <w:r w:rsidRPr="007F68BD">
        <w:rPr>
          <w:vertAlign w:val="superscript"/>
        </w:rPr>
        <w:footnoteReference w:id="1020"/>
      </w:r>
      <w:r w:rsidRPr="002A3B57">
        <w:t xml:space="preserve"> </w:t>
      </w:r>
    </w:p>
    <w:p w:rsidR="00AE4AC1" w:rsidRPr="001075BE" w:rsidRDefault="00AE4AC1" w:rsidP="009E6402">
      <w:pPr>
        <w:pStyle w:val="BodyText"/>
      </w:pPr>
      <w:r w:rsidRPr="007F68BD">
        <w:t xml:space="preserve">We have </w:t>
      </w:r>
      <w:r>
        <w:t xml:space="preserve">upheld the Panel's finding </w:t>
      </w:r>
      <w:r w:rsidRPr="004F1723">
        <w:t>that almost all</w:t>
      </w:r>
      <w:r>
        <w:t xml:space="preserve"> pre-A380 LA/MSF subsidies, including the ones referred to above,</w:t>
      </w:r>
      <w:r w:rsidRPr="007F68BD">
        <w:t xml:space="preserve"> expired before the beginning of the implementation period in this dispute, that is, before 1 June 2011.</w:t>
      </w:r>
      <w:r>
        <w:rPr>
          <w:rStyle w:val="FootnoteReference"/>
        </w:rPr>
        <w:footnoteReference w:id="1021"/>
      </w:r>
      <w:r w:rsidRPr="007F68BD">
        <w:t xml:space="preserve"> We have also found that the European Union has </w:t>
      </w:r>
      <w:r w:rsidRPr="009E35F5">
        <w:rPr>
          <w:i/>
        </w:rPr>
        <w:lastRenderedPageBreak/>
        <w:t>no</w:t>
      </w:r>
      <w:r w:rsidR="003560D6">
        <w:t> </w:t>
      </w:r>
      <w:r w:rsidRPr="007F68BD">
        <w:t>further compliance obligation</w:t>
      </w:r>
      <w:r>
        <w:t xml:space="preserve">, </w:t>
      </w:r>
      <w:r w:rsidRPr="007F68BD">
        <w:t>under Article 7.8 of the SCM Agreement</w:t>
      </w:r>
      <w:r>
        <w:t>,</w:t>
      </w:r>
      <w:r w:rsidRPr="007F68BD">
        <w:t xml:space="preserve"> with respect to </w:t>
      </w:r>
      <w:r>
        <w:t>such expired</w:t>
      </w:r>
      <w:r w:rsidRPr="007F68BD">
        <w:t xml:space="preserve"> subsidies. </w:t>
      </w:r>
      <w:r>
        <w:t>W</w:t>
      </w:r>
      <w:r w:rsidRPr="007F68BD">
        <w:t xml:space="preserve">e </w:t>
      </w:r>
      <w:r w:rsidRPr="009E35F5">
        <w:rPr>
          <w:lang w:val="en-US"/>
        </w:rPr>
        <w:t>see no reason</w:t>
      </w:r>
      <w:r>
        <w:rPr>
          <w:lang w:val="en-US"/>
        </w:rPr>
        <w:t>, in order to resolve this dispute,</w:t>
      </w:r>
      <w:r w:rsidRPr="009E35F5">
        <w:rPr>
          <w:lang w:val="en-US"/>
        </w:rPr>
        <w:t xml:space="preserve"> to make additional findings on whether </w:t>
      </w:r>
      <w:r>
        <w:rPr>
          <w:lang w:val="en-US"/>
        </w:rPr>
        <w:t xml:space="preserve">the </w:t>
      </w:r>
      <w:r w:rsidRPr="007F68BD">
        <w:t>French LA/MSF for the A310-300, the French and Spanish LA/MSF for the A300B/B2/B4 and A300</w:t>
      </w:r>
      <w:r>
        <w:noBreakHyphen/>
      </w:r>
      <w:r w:rsidRPr="007F68BD">
        <w:t>600, and the French, Spanish, and UK LA/MSF for the A320 and A330/A340</w:t>
      </w:r>
      <w:r>
        <w:t xml:space="preserve"> </w:t>
      </w:r>
      <w:r w:rsidRPr="009E35F5">
        <w:rPr>
          <w:i/>
        </w:rPr>
        <w:t>also</w:t>
      </w:r>
      <w:r w:rsidR="0082278D">
        <w:t xml:space="preserve"> </w:t>
      </w:r>
      <w:r w:rsidRPr="007F68BD">
        <w:t>came to an end due to the actual repayment of the loans with interests.</w:t>
      </w:r>
      <w:r w:rsidRPr="007F68BD">
        <w:rPr>
          <w:vertAlign w:val="superscript"/>
        </w:rPr>
        <w:footnoteReference w:id="1022"/>
      </w:r>
    </w:p>
    <w:p w:rsidR="007141CF" w:rsidRDefault="0082278D" w:rsidP="009E6402">
      <w:pPr>
        <w:pStyle w:val="Heading2"/>
      </w:pPr>
      <w:bookmarkStart w:id="119" w:name="_Toc514059253"/>
      <w:r>
        <w:t>European Union's consequential appeal under Article 7.8 of the SCM Agreement</w:t>
      </w:r>
      <w:bookmarkEnd w:id="119"/>
    </w:p>
    <w:p w:rsidR="00234B56" w:rsidRDefault="00234B56" w:rsidP="009E6402">
      <w:pPr>
        <w:pStyle w:val="BodyText"/>
        <w:numPr>
          <w:ilvl w:val="6"/>
          <w:numId w:val="2"/>
        </w:numPr>
      </w:pPr>
      <w:r>
        <w:t>The European Union maintains that, due to the Panel's error in its interpretation of Article 7.8 of the SCM Agreement, the Panel's findings regarding the adverse effects caused by the challenged subsidies must also be reversed. According to the European Union, this is because the Panel failed to recognize that an expired subsidy "could no longer be used to ground a finding of non</w:t>
      </w:r>
      <w:r>
        <w:noBreakHyphen/>
        <w:t>compliance, including on the basis that it causes present adverse effects after the end of the implementation period".</w:t>
      </w:r>
      <w:r>
        <w:rPr>
          <w:rStyle w:val="FootnoteReference"/>
        </w:rPr>
        <w:footnoteReference w:id="1023"/>
      </w:r>
      <w:r>
        <w:rPr>
          <w:bCs/>
        </w:rPr>
        <w:t xml:space="preserve"> </w:t>
      </w:r>
      <w:r>
        <w:t>The European Union also argues that, pursuant to a proper interpretation of Article 7.8, an analysis of adverse effects must be based on a "re-constituted basket of subsidies" from which the expired subsidies are excluded</w:t>
      </w:r>
      <w:r>
        <w:rPr>
          <w:rStyle w:val="FootnoteReference"/>
        </w:rPr>
        <w:footnoteReference w:id="1024"/>
      </w:r>
      <w:r>
        <w:t>, and that the Panel failed to conduct such an analysis.</w:t>
      </w:r>
      <w:r>
        <w:rPr>
          <w:rStyle w:val="FootnoteReference"/>
        </w:rPr>
        <w:footnoteReference w:id="1025"/>
      </w:r>
      <w:r>
        <w:t xml:space="preserve"> </w:t>
      </w:r>
      <w:r>
        <w:rPr>
          <w:bCs/>
        </w:rPr>
        <w:t>On this basis, the European Union requests us to reverse a series of intermediate findings made in the context of the Panel's adverse effects analysis</w:t>
      </w:r>
      <w:r>
        <w:rPr>
          <w:rStyle w:val="FootnoteReference"/>
          <w:bCs/>
        </w:rPr>
        <w:footnoteReference w:id="1026"/>
      </w:r>
      <w:r>
        <w:rPr>
          <w:bCs/>
        </w:rPr>
        <w:t>, as well as its final conclusion that the challenged LA/MSF subsidies continue to be a "genuine and substantial" cause of serious prejudice within the meaning of Articles 5(c), 6.3(a), 6.3(b), and 6.3(c) of the SCM Agreement.</w:t>
      </w:r>
      <w:r>
        <w:rPr>
          <w:rStyle w:val="FootnoteReference"/>
          <w:bCs/>
        </w:rPr>
        <w:footnoteReference w:id="1027"/>
      </w:r>
      <w:r>
        <w:rPr>
          <w:bCs/>
        </w:rPr>
        <w:t xml:space="preserve"> Furthermore</w:t>
      </w:r>
      <w:r>
        <w:t>, the European Union requests us to reverse the Panel's conclusion that</w:t>
      </w:r>
      <w:r>
        <w:rPr>
          <w:bCs/>
        </w:rPr>
        <w:t xml:space="preserve"> the non</w:t>
      </w:r>
      <w:r>
        <w:rPr>
          <w:bCs/>
        </w:rPr>
        <w:noBreakHyphen/>
        <w:t>LA/MSF subsidies at issue (including capital contributions</w:t>
      </w:r>
      <w:r>
        <w:rPr>
          <w:rStyle w:val="FootnoteReference"/>
          <w:bCs/>
        </w:rPr>
        <w:footnoteReference w:id="1028"/>
      </w:r>
      <w:r>
        <w:rPr>
          <w:bCs/>
        </w:rPr>
        <w:t xml:space="preserve"> and certain regional development grants) are a "genuine" cause of such serious prejudice and can be "cumulated" with the effects of the challenged LA/MSF subsidies.</w:t>
      </w:r>
      <w:r>
        <w:rPr>
          <w:rStyle w:val="FootnoteReference"/>
          <w:bCs/>
        </w:rPr>
        <w:footnoteReference w:id="1029"/>
      </w:r>
    </w:p>
    <w:p w:rsidR="00234B56" w:rsidRDefault="00234B56" w:rsidP="009E6402">
      <w:pPr>
        <w:pStyle w:val="BodyText"/>
        <w:numPr>
          <w:ilvl w:val="6"/>
          <w:numId w:val="2"/>
        </w:numPr>
      </w:pPr>
      <w:r>
        <w:t xml:space="preserve">For its part, the United States contends that the European Union's consequential appeal should be rejected. The United States highlights that these compliance proceedings involve findings that a group of subsidies collectively caused current adverse effects with respect to a number of models of aircraft. Even assuming </w:t>
      </w:r>
      <w:r>
        <w:rPr>
          <w:i/>
        </w:rPr>
        <w:t>arguendo</w:t>
      </w:r>
      <w:r>
        <w:t xml:space="preserve"> that the expiry of some of the subsidies within that group satisfied a Member's obligation under Article 7.8 </w:t>
      </w:r>
      <w:r>
        <w:rPr>
          <w:i/>
        </w:rPr>
        <w:t>with respect to the expired subsidies</w:t>
      </w:r>
      <w:r>
        <w:t xml:space="preserve">, "there would remain a question of how to evaluate the </w:t>
      </w:r>
      <w:r w:rsidR="0082278D">
        <w:t>{</w:t>
      </w:r>
      <w:r>
        <w:t>European Union's</w:t>
      </w:r>
      <w:r w:rsidR="0082278D">
        <w:t>}</w:t>
      </w:r>
      <w:r>
        <w:t xml:space="preserve"> obligation under Article 7.8 with respect to the rest of the group of subsidies."</w:t>
      </w:r>
      <w:r>
        <w:rPr>
          <w:rStyle w:val="FootnoteReference"/>
        </w:rPr>
        <w:footnoteReference w:id="1030"/>
      </w:r>
      <w:r>
        <w:t xml:space="preserve"> In the United States' view, an analysis of the existing subsidies in these compliance proceedings should account for the "aggravating effects of the expired subsidies" and "could not simply pretend that those effects were related to WTO</w:t>
      </w:r>
      <w:r>
        <w:noBreakHyphen/>
        <w:t>consistent behavior."</w:t>
      </w:r>
      <w:r>
        <w:rPr>
          <w:rStyle w:val="FootnoteReference"/>
        </w:rPr>
        <w:footnoteReference w:id="1031"/>
      </w:r>
      <w:r>
        <w:t xml:space="preserve"> The United States emphasizes in this regard that, </w:t>
      </w:r>
      <w:r>
        <w:lastRenderedPageBreak/>
        <w:t>because "the current adverse effects of those expired subsi</w:t>
      </w:r>
      <w:r w:rsidR="00C826B3">
        <w:t>dies are inconsistent with {the </w:t>
      </w:r>
      <w:r>
        <w:t>European Union's} obligations under Article 5", a compliance panel "would properly aggregate any expired subsidies that continued to cause adverse effects".</w:t>
      </w:r>
      <w:r>
        <w:rPr>
          <w:rStyle w:val="FootnoteReference"/>
        </w:rPr>
        <w:footnoteReference w:id="1032"/>
      </w:r>
      <w:r>
        <w:t xml:space="preserve"> This, in the United States' view, would "especially be the case if those expired subsidies put the recipients of the subsidy in a position where subsequent subsidies had more pronounced effects".</w:t>
      </w:r>
      <w:r>
        <w:rPr>
          <w:rStyle w:val="FootnoteReference"/>
        </w:rPr>
        <w:footnoteReference w:id="1033"/>
      </w:r>
    </w:p>
    <w:p w:rsidR="00234B56" w:rsidRDefault="00234B56" w:rsidP="009E6402">
      <w:pPr>
        <w:pStyle w:val="BodyText"/>
        <w:numPr>
          <w:ilvl w:val="6"/>
          <w:numId w:val="2"/>
        </w:numPr>
        <w:rPr>
          <w:bCs/>
        </w:rPr>
      </w:pPr>
      <w:r>
        <w:t>We note that Article 21.5 of the DSU identifies the task of a panel operating pursuant to th</w:t>
      </w:r>
      <w:r w:rsidR="0082278D">
        <w:t>is</w:t>
      </w:r>
      <w:r>
        <w:t xml:space="preserve"> provision, namely to examine whether the </w:t>
      </w:r>
      <w:r w:rsidR="0082278D">
        <w:t xml:space="preserve">DSB </w:t>
      </w:r>
      <w:r>
        <w:t>recommendations and rulings from the original dispute have been implemented consistently with the covered agreements. Proceedings under Article 21.5 do not occur in isolation, but are part of a "continuum of events".</w:t>
      </w:r>
      <w:r>
        <w:rPr>
          <w:rStyle w:val="FootnoteReference"/>
        </w:rPr>
        <w:footnoteReference w:id="1034"/>
      </w:r>
      <w:r>
        <w:t xml:space="preserve"> It is for this reason that </w:t>
      </w:r>
      <w:r w:rsidR="0082278D">
        <w:t>a compliance</w:t>
      </w:r>
      <w:r>
        <w:t xml:space="preserve"> panel assessing whether an implementing Member has complied with its obligations under Article 7.8 must take due account of the reasoning and findings from the original proceedings.</w:t>
      </w:r>
      <w:r>
        <w:rPr>
          <w:rStyle w:val="FootnoteReference"/>
        </w:rPr>
        <w:footnoteReference w:id="1035"/>
      </w:r>
    </w:p>
    <w:p w:rsidR="00234B56" w:rsidRDefault="00234B56" w:rsidP="009E6402">
      <w:pPr>
        <w:pStyle w:val="BodyText"/>
        <w:numPr>
          <w:ilvl w:val="6"/>
          <w:numId w:val="2"/>
        </w:numPr>
        <w:rPr>
          <w:bCs/>
        </w:rPr>
      </w:pPr>
      <w:r>
        <w:rPr>
          <w:bCs/>
        </w:rPr>
        <w:t>Having said that, we recall that Article 7.8 of the SCM Agreement is concerned with the "granting or maintaining" of subsidies that cause adverse effects, and requires cessation of such conduct.</w:t>
      </w:r>
      <w:r>
        <w:t xml:space="preserve"> </w:t>
      </w:r>
      <w:r>
        <w:rPr>
          <w:bCs/>
        </w:rPr>
        <w:t xml:space="preserve">To the extent that the underlying subsidy has ceased to exist, </w:t>
      </w:r>
      <w:r>
        <w:t xml:space="preserve">there is no additional requirement, under </w:t>
      </w:r>
      <w:r w:rsidR="0082278D">
        <w:t>this provision</w:t>
      </w:r>
      <w:r>
        <w:t>, to remove any lingering effects that may flow from that subsidy.</w:t>
      </w:r>
      <w:r w:rsidR="00D26FEE">
        <w:rPr>
          <w:rStyle w:val="FootnoteReference"/>
        </w:rPr>
        <w:footnoteReference w:id="1036"/>
      </w:r>
      <w:r>
        <w:rPr>
          <w:bCs/>
        </w:rPr>
        <w:t xml:space="preserve"> The pertinent question for purposes of these compliance proceedings</w:t>
      </w:r>
      <w:r w:rsidR="0082278D">
        <w:rPr>
          <w:bCs/>
        </w:rPr>
        <w:t xml:space="preserve"> is</w:t>
      </w:r>
      <w:r>
        <w:rPr>
          <w:bCs/>
        </w:rPr>
        <w:t>, therefore, whether the United States has established that the subsidies exist</w:t>
      </w:r>
      <w:r w:rsidR="0082278D">
        <w:rPr>
          <w:bCs/>
        </w:rPr>
        <w:t>ing</w:t>
      </w:r>
      <w:r>
        <w:rPr>
          <w:bCs/>
        </w:rPr>
        <w:t xml:space="preserve"> in the post</w:t>
      </w:r>
      <w:r>
        <w:rPr>
          <w:bCs/>
        </w:rPr>
        <w:noBreakHyphen/>
        <w:t xml:space="preserve">implementation period </w:t>
      </w:r>
      <w:r w:rsidR="0082278D">
        <w:rPr>
          <w:bCs/>
        </w:rPr>
        <w:t xml:space="preserve">(i.e. after 1 December 2011) </w:t>
      </w:r>
      <w:r>
        <w:rPr>
          <w:bCs/>
        </w:rPr>
        <w:t xml:space="preserve">cause adverse effects. An evaluation of the effects of such subsidies may be informed, in part, by findings from the original proceedings concerning the effects of </w:t>
      </w:r>
      <w:r w:rsidR="0082278D">
        <w:rPr>
          <w:bCs/>
        </w:rPr>
        <w:t xml:space="preserve">the </w:t>
      </w:r>
      <w:r>
        <w:rPr>
          <w:bCs/>
        </w:rPr>
        <w:t>LA/MSF subsidies, including the expired subsidies, on Airbus' ability to launch LCA products at issue in the original proceedings as and when it did.</w:t>
      </w:r>
      <w:r>
        <w:rPr>
          <w:rStyle w:val="FootnoteReference"/>
          <w:bCs/>
        </w:rPr>
        <w:footnoteReference w:id="1037"/>
      </w:r>
      <w:r>
        <w:t xml:space="preserve"> </w:t>
      </w:r>
      <w:r>
        <w:rPr>
          <w:bCs/>
        </w:rPr>
        <w:t>Those findings describe the design, structure</w:t>
      </w:r>
      <w:r w:rsidR="0082278D">
        <w:rPr>
          <w:bCs/>
        </w:rPr>
        <w:t>,</w:t>
      </w:r>
      <w:r>
        <w:rPr>
          <w:bCs/>
        </w:rPr>
        <w:t xml:space="preserve"> and ope</w:t>
      </w:r>
      <w:r w:rsidR="0082278D">
        <w:rPr>
          <w:bCs/>
        </w:rPr>
        <w:t>ration of the expired subsidies</w:t>
      </w:r>
      <w:r>
        <w:rPr>
          <w:bCs/>
        </w:rPr>
        <w:t xml:space="preserve"> and how they "impacted Airbus' operations until the end of 2006."</w:t>
      </w:r>
      <w:r>
        <w:rPr>
          <w:rStyle w:val="FootnoteReference"/>
          <w:bCs/>
        </w:rPr>
        <w:footnoteReference w:id="1038"/>
      </w:r>
      <w:r>
        <w:rPr>
          <w:bCs/>
        </w:rPr>
        <w:t xml:space="preserve"> </w:t>
      </w:r>
      <w:r>
        <w:t xml:space="preserve">Therefore, we do not preclude that </w:t>
      </w:r>
      <w:r>
        <w:rPr>
          <w:bCs/>
        </w:rPr>
        <w:t>the</w:t>
      </w:r>
      <w:r>
        <w:t xml:space="preserve"> expired subsidies may be relevant for our review of the Panel's findings as part of a matrix of analysis that seeks to understand the effects of </w:t>
      </w:r>
      <w:r w:rsidR="0082278D">
        <w:t xml:space="preserve">the </w:t>
      </w:r>
      <w:r>
        <w:t>subsidies existing in the post</w:t>
      </w:r>
      <w:r>
        <w:noBreakHyphen/>
        <w:t>implementation period.</w:t>
      </w:r>
    </w:p>
    <w:p w:rsidR="00234B56" w:rsidRDefault="00234B56" w:rsidP="009E6402">
      <w:pPr>
        <w:pStyle w:val="BodyText"/>
        <w:numPr>
          <w:ilvl w:val="6"/>
          <w:numId w:val="2"/>
        </w:numPr>
      </w:pPr>
      <w:r>
        <w:t xml:space="preserve">In light of the foregoing, we disagree with the European Union that it </w:t>
      </w:r>
      <w:r>
        <w:rPr>
          <w:i/>
        </w:rPr>
        <w:t>necessarily</w:t>
      </w:r>
      <w:r>
        <w:t xml:space="preserve"> follows from the manner in which the Panel characterized the scope of the compliance obligation under Article 7.8 </w:t>
      </w:r>
      <w:r w:rsidR="00D26FEE">
        <w:t xml:space="preserve">of the SCM Agreement </w:t>
      </w:r>
      <w:r>
        <w:t>that the Panel's findings of adverse effects must be reversed for each of the specific country and product markets with respect to which the United States brought its claims.</w:t>
      </w:r>
      <w:r>
        <w:rPr>
          <w:rStyle w:val="FootnoteReference"/>
        </w:rPr>
        <w:footnoteReference w:id="1039"/>
      </w:r>
      <w:r>
        <w:t xml:space="preserve"> We note that the Panel's adverse effects analysis led to</w:t>
      </w:r>
      <w:r w:rsidR="00C826B3">
        <w:t xml:space="preserve"> its final conclusion that "the </w:t>
      </w:r>
      <w:r>
        <w:t>European Union and certain member States hav</w:t>
      </w:r>
      <w:r w:rsidR="00C826B3">
        <w:t>e failed to comply with the DSB </w:t>
      </w:r>
      <w:r>
        <w:t>recommendations and rulings and, in particular, the obligati</w:t>
      </w:r>
      <w:r w:rsidR="00C826B3">
        <w:t>on under Article 7.8 of the SCM </w:t>
      </w:r>
      <w:r>
        <w:t xml:space="preserve">Agreement 'to take appropriate steps to remove the adverse effects or … withdraw the </w:t>
      </w:r>
      <w:r>
        <w:lastRenderedPageBreak/>
        <w:t>subsidy'</w:t>
      </w:r>
      <w:r w:rsidR="00D26FEE">
        <w:t>.</w:t>
      </w:r>
      <w:r>
        <w:t>"</w:t>
      </w:r>
      <w:r>
        <w:rPr>
          <w:rStyle w:val="FootnoteReference"/>
        </w:rPr>
        <w:footnoteReference w:id="1040"/>
      </w:r>
      <w:r>
        <w:t xml:space="preserve"> In our view, whether the Panel had a sufficient basis for this ultimate conclusion is a question that can only be answered following a careful review of the Panel's reason</w:t>
      </w:r>
      <w:r w:rsidR="0082278D">
        <w:t>ing and analysis, in particular</w:t>
      </w:r>
      <w:r>
        <w:t xml:space="preserve"> its analysis relating to the adverse effects of the </w:t>
      </w:r>
      <w:r>
        <w:rPr>
          <w:i/>
        </w:rPr>
        <w:t>existing</w:t>
      </w:r>
      <w:r>
        <w:t xml:space="preserve"> LA/MSF subsidies </w:t>
      </w:r>
      <w:r>
        <w:rPr>
          <w:bCs/>
        </w:rPr>
        <w:t xml:space="preserve">that are maintained or granted </w:t>
      </w:r>
      <w:r>
        <w:t>in the post</w:t>
      </w:r>
      <w:r>
        <w:noBreakHyphen/>
        <w:t>implementation period. Thus, we do not dismiss the totality of the Panel's adverse effects analysis solely on the basis of its interpretation of Article 7.8 of the SCM Agreement. Rather, we do not preclude that the pertinent question in thes</w:t>
      </w:r>
      <w:r w:rsidR="0082278D">
        <w:t>e compliance proceedings – i.e.</w:t>
      </w:r>
      <w:r>
        <w:t xml:space="preserve"> </w:t>
      </w:r>
      <w:r>
        <w:rPr>
          <w:bCs/>
        </w:rPr>
        <w:t>whether the subsidies exist</w:t>
      </w:r>
      <w:r w:rsidR="0082278D">
        <w:rPr>
          <w:bCs/>
        </w:rPr>
        <w:t>ing</w:t>
      </w:r>
      <w:r>
        <w:rPr>
          <w:bCs/>
        </w:rPr>
        <w:t xml:space="preserve"> in the post</w:t>
      </w:r>
      <w:r>
        <w:rPr>
          <w:bCs/>
        </w:rPr>
        <w:noBreakHyphen/>
        <w:t xml:space="preserve">implementation period cause adverse effects – may still be answered on the basis of the Panel's analysis </w:t>
      </w:r>
      <w:r w:rsidR="00D26FEE">
        <w:rPr>
          <w:bCs/>
        </w:rPr>
        <w:t>of</w:t>
      </w:r>
      <w:r>
        <w:rPr>
          <w:bCs/>
        </w:rPr>
        <w:t xml:space="preserve"> the existing subsidies. </w:t>
      </w:r>
      <w:r w:rsidR="00C826B3">
        <w:t>A </w:t>
      </w:r>
      <w:r>
        <w:t>consideration of expired subsidies is relevant for this purpose insofar as it sheds light on whether LA/MSF subsidies granted or maintained by the European Union in the post</w:t>
      </w:r>
      <w:r>
        <w:noBreakHyphen/>
        <w:t xml:space="preserve">implementation period cause adverse effects. </w:t>
      </w:r>
    </w:p>
    <w:p w:rsidR="00234B56" w:rsidRDefault="00234B56" w:rsidP="009E6402">
      <w:pPr>
        <w:pStyle w:val="BodyText"/>
        <w:numPr>
          <w:ilvl w:val="6"/>
          <w:numId w:val="2"/>
        </w:numPr>
      </w:pPr>
      <w:r>
        <w:t>With these considerations in mind, we turn to review the Panel's analysis in reaching its ultimate conclusion on adverse effects. As further explained below, our review will focus on the Panel's findings regarding the effects of the subsidies that the European Union continued to grant or maintain in the post</w:t>
      </w:r>
      <w:r>
        <w:noBreakHyphen/>
        <w:t xml:space="preserve">implementation period, including, in particular, the LA/MSF subsidies for the </w:t>
      </w:r>
      <w:r w:rsidR="0082278D">
        <w:t xml:space="preserve">Airbus </w:t>
      </w:r>
      <w:r>
        <w:t>A380 and the A350XWB, which have not expired.</w:t>
      </w:r>
      <w:r>
        <w:rPr>
          <w:rStyle w:val="FootnoteReference"/>
        </w:rPr>
        <w:footnoteReference w:id="1041"/>
      </w:r>
    </w:p>
    <w:p w:rsidR="00234B56" w:rsidRDefault="00234B56" w:rsidP="009E6402">
      <w:pPr>
        <w:pStyle w:val="Heading2"/>
      </w:pPr>
      <w:bookmarkStart w:id="120" w:name="_Toc514059254"/>
      <w:r>
        <w:t>Articles 5, 6, and 7.8 of the SCM Agreement –</w:t>
      </w:r>
      <w:r w:rsidR="00C752B3">
        <w:t xml:space="preserve"> </w:t>
      </w:r>
      <w:r>
        <w:t>adverse effects</w:t>
      </w:r>
      <w:bookmarkEnd w:id="120"/>
    </w:p>
    <w:p w:rsidR="00234B56" w:rsidRDefault="00234B56" w:rsidP="009E6402">
      <w:pPr>
        <w:pStyle w:val="BodyText"/>
        <w:numPr>
          <w:ilvl w:val="6"/>
          <w:numId w:val="2"/>
        </w:numPr>
      </w:pPr>
      <w:r>
        <w:t>Having found that the United States had established that the European Union ha</w:t>
      </w:r>
      <w:r w:rsidR="00193515">
        <w:t>s</w:t>
      </w:r>
      <w:r>
        <w:t xml:space="preserve"> failed to "withdraw the subsidy" within the meaning of Article 7.8 of the SCM Agreement</w:t>
      </w:r>
      <w:r>
        <w:rPr>
          <w:rStyle w:val="FootnoteReference"/>
        </w:rPr>
        <w:footnoteReference w:id="1042"/>
      </w:r>
      <w:r>
        <w:t xml:space="preserve">, the Panel went on to examine the </w:t>
      </w:r>
      <w:r w:rsidR="00D26FEE">
        <w:t xml:space="preserve">United States' </w:t>
      </w:r>
      <w:r>
        <w:t>claim that the European Union had failed to "take appropriate steps to remove the adverse effects"</w:t>
      </w:r>
      <w:r w:rsidR="00193515">
        <w:t>,</w:t>
      </w:r>
      <w:r>
        <w:t xml:space="preserve"> as required under th</w:t>
      </w:r>
      <w:r w:rsidR="00193515">
        <w:t>is</w:t>
      </w:r>
      <w:r>
        <w:t xml:space="preserve"> provision. The Panel considered the question before it to be "whether … the challenged subsidies </w:t>
      </w:r>
      <w:r>
        <w:rPr>
          <w:i/>
        </w:rPr>
        <w:t>continue</w:t>
      </w:r>
      <w:r>
        <w:t xml:space="preserve"> to cause serious prejudice to the interests of the United States after 1 December 2011, that is, after the end of the implementation period".</w:t>
      </w:r>
      <w:r>
        <w:rPr>
          <w:rStyle w:val="FootnoteReference"/>
        </w:rPr>
        <w:footnoteReference w:id="1043"/>
      </w:r>
      <w:r>
        <w:t xml:space="preserve"> At the outset, having rejected the European Union's claim that it ha</w:t>
      </w:r>
      <w:r w:rsidR="00193515">
        <w:t>s</w:t>
      </w:r>
      <w:r>
        <w:t xml:space="preserve"> withdrawn certain LA/MSF subsidies within the meaning o</w:t>
      </w:r>
      <w:r w:rsidR="00193515">
        <w:t>f Article 7.8 of the SCM </w:t>
      </w:r>
      <w:r>
        <w:t>Agreement as a result of their expiry</w:t>
      </w:r>
      <w:r>
        <w:rPr>
          <w:rStyle w:val="FootnoteReference"/>
        </w:rPr>
        <w:footnoteReference w:id="1044"/>
      </w:r>
      <w:r>
        <w:t>, the Panel dismissed the European Union's contention that it should exclude from the adverse effects analysis those challenged subsidies that had expired.</w:t>
      </w:r>
      <w:r>
        <w:rPr>
          <w:rStyle w:val="FootnoteReference"/>
        </w:rPr>
        <w:footnoteReference w:id="1045"/>
      </w:r>
      <w:r>
        <w:t xml:space="preserve"> Thus, under the Panel's adverse effects analysis, the reference to the "challenged" LA/MSF subsidies covers </w:t>
      </w:r>
      <w:r>
        <w:rPr>
          <w:i/>
        </w:rPr>
        <w:t>all</w:t>
      </w:r>
      <w:r>
        <w:t xml:space="preserve"> of the LA/MSF subsidies granted by the European Union to date, including those the Panel found to have expired, as well as those exist</w:t>
      </w:r>
      <w:r w:rsidR="00193515">
        <w:t>ing</w:t>
      </w:r>
      <w:r>
        <w:t xml:space="preserve"> in the post</w:t>
      </w:r>
      <w:r>
        <w:noBreakHyphen/>
        <w:t>implementation period.</w:t>
      </w:r>
      <w:r>
        <w:rPr>
          <w:rStyle w:val="FootnoteReference"/>
        </w:rPr>
        <w:footnoteReference w:id="1046"/>
      </w:r>
      <w:r>
        <w:t xml:space="preserve"> </w:t>
      </w:r>
    </w:p>
    <w:p w:rsidR="00234B56" w:rsidRDefault="00234B56" w:rsidP="009E6402">
      <w:pPr>
        <w:pStyle w:val="BodyText"/>
        <w:numPr>
          <w:ilvl w:val="6"/>
          <w:numId w:val="2"/>
        </w:numPr>
      </w:pPr>
      <w:r>
        <w:t>The Panel began by addressing two "threshold" issues.</w:t>
      </w:r>
      <w:r>
        <w:rPr>
          <w:rStyle w:val="FootnoteReference"/>
        </w:rPr>
        <w:footnoteReference w:id="1047"/>
      </w:r>
      <w:r>
        <w:t xml:space="preserve"> First, the Panel </w:t>
      </w:r>
      <w:r>
        <w:rPr>
          <w:szCs w:val="18"/>
        </w:rPr>
        <w:t xml:space="preserve">dismissed the European Union's argument that, </w:t>
      </w:r>
      <w:r>
        <w:rPr>
          <w:szCs w:val="18"/>
          <w:lang w:val="en-US"/>
        </w:rPr>
        <w:t>in order for the United States to make out its claims of displacement or imped</w:t>
      </w:r>
      <w:r w:rsidR="00193515">
        <w:rPr>
          <w:szCs w:val="18"/>
          <w:lang w:val="en-US"/>
        </w:rPr>
        <w:t>ance</w:t>
      </w:r>
      <w:r>
        <w:rPr>
          <w:szCs w:val="18"/>
          <w:lang w:val="en-US"/>
        </w:rPr>
        <w:t xml:space="preserve"> of exports within the meaning of Article 6.3(b) of the SCM Agreement, the United States must demonstrate that its product allegedly being displaced or impeded is a "non</w:t>
      </w:r>
      <w:r>
        <w:rPr>
          <w:szCs w:val="18"/>
          <w:lang w:val="en-US"/>
        </w:rPr>
        <w:noBreakHyphen/>
        <w:t>subsidized like product".</w:t>
      </w:r>
      <w:r>
        <w:rPr>
          <w:rStyle w:val="FootnoteReference"/>
          <w:szCs w:val="18"/>
          <w:lang w:val="en-US"/>
        </w:rPr>
        <w:footnoteReference w:id="1048"/>
      </w:r>
      <w:r>
        <w:rPr>
          <w:szCs w:val="18"/>
          <w:lang w:eastAsia="zh-CN"/>
        </w:rPr>
        <w:t xml:space="preserve"> Second, the Panel disagreed with the European Union's contention that </w:t>
      </w:r>
      <w:r>
        <w:t xml:space="preserve">the United States had failed to establish the existence of the three alleged LCA product markets </w:t>
      </w:r>
      <w:r>
        <w:rPr>
          <w:szCs w:val="18"/>
        </w:rPr>
        <w:t>for purposes of its complaint</w:t>
      </w:r>
      <w:r>
        <w:rPr>
          <w:rStyle w:val="FootnoteReference"/>
          <w:szCs w:val="18"/>
        </w:rPr>
        <w:footnoteReference w:id="1049"/>
      </w:r>
      <w:r>
        <w:rPr>
          <w:szCs w:val="18"/>
        </w:rPr>
        <w:t xml:space="preserve">, finding instead that the markets identified by </w:t>
      </w:r>
      <w:r>
        <w:rPr>
          <w:szCs w:val="18"/>
        </w:rPr>
        <w:lastRenderedPageBreak/>
        <w:t>the United States represented the three segments within which most competitive interactions between the relevant aircraft would commonly take place.</w:t>
      </w:r>
      <w:r>
        <w:rPr>
          <w:rStyle w:val="FootnoteReference"/>
          <w:szCs w:val="18"/>
        </w:rPr>
        <w:footnoteReference w:id="1050"/>
      </w:r>
      <w:r>
        <w:rPr>
          <w:szCs w:val="18"/>
        </w:rPr>
        <w:t xml:space="preserve"> </w:t>
      </w:r>
    </w:p>
    <w:p w:rsidR="00234B56" w:rsidRDefault="00234B56" w:rsidP="009E6402">
      <w:pPr>
        <w:pStyle w:val="BodyText"/>
        <w:numPr>
          <w:ilvl w:val="6"/>
          <w:numId w:val="2"/>
        </w:numPr>
      </w:pPr>
      <w:r>
        <w:t>Turning to the present-day effects of the challenged LA/MSF subsidies in the three relevant product market segments</w:t>
      </w:r>
      <w:r>
        <w:rPr>
          <w:rStyle w:val="FootnoteReference"/>
        </w:rPr>
        <w:footnoteReference w:id="1051"/>
      </w:r>
      <w:r>
        <w:t>, the Panel sought to determine whether the challenged LA/MSF subsidies, as an aggregated group</w:t>
      </w:r>
      <w:r>
        <w:rPr>
          <w:rStyle w:val="FootnoteReference"/>
        </w:rPr>
        <w:footnoteReference w:id="1052"/>
      </w:r>
      <w:r>
        <w:t>, are a "genuine and substantial" cause of serious prejudice to the United States' interests within the meaning of Article 6.3(a), 6.3(b), and 6.3(c) of the SCM Agreement. The Panel divided its analysis into three parts.</w:t>
      </w:r>
      <w:r>
        <w:rPr>
          <w:rStyle w:val="FootnoteReference"/>
        </w:rPr>
        <w:t xml:space="preserve"> </w:t>
      </w:r>
    </w:p>
    <w:p w:rsidR="00234B56" w:rsidRDefault="00234B56" w:rsidP="009E6402">
      <w:pPr>
        <w:pStyle w:val="BodyText"/>
        <w:numPr>
          <w:ilvl w:val="6"/>
          <w:numId w:val="2"/>
        </w:numPr>
      </w:pPr>
      <w:r>
        <w:t xml:space="preserve">The first two parts concern the "product effects" of LA/MSF subsidies, that is, the effects of such subsidies </w:t>
      </w:r>
      <w:r w:rsidRPr="00193515">
        <w:rPr>
          <w:i/>
        </w:rPr>
        <w:t xml:space="preserve">on the ability of Airbus to launch and bring to </w:t>
      </w:r>
      <w:r w:rsidR="00193515" w:rsidRPr="00193515">
        <w:rPr>
          <w:i/>
        </w:rPr>
        <w:t>m</w:t>
      </w:r>
      <w:r w:rsidRPr="00193515">
        <w:rPr>
          <w:i/>
        </w:rPr>
        <w:t>arket</w:t>
      </w:r>
      <w:r>
        <w:t xml:space="preserve"> </w:t>
      </w:r>
      <w:r w:rsidR="00193515">
        <w:t>particular</w:t>
      </w:r>
      <w:r>
        <w:t xml:space="preserve"> Airbus LCA </w:t>
      </w:r>
      <w:r w:rsidR="00193515">
        <w:t xml:space="preserve">models </w:t>
      </w:r>
      <w:r>
        <w:t>as and when it did.</w:t>
      </w:r>
      <w:r>
        <w:rPr>
          <w:rStyle w:val="FootnoteReference"/>
        </w:rPr>
        <w:footnoteReference w:id="1053"/>
      </w:r>
      <w:r>
        <w:t xml:space="preserve"> First, the Panel examined the "product effects" of the pre</w:t>
      </w:r>
      <w:r>
        <w:noBreakHyphen/>
        <w:t>A350XWB LA/MSF subsidies on the A320, A330, and A380, and found that the pre</w:t>
      </w:r>
      <w:r>
        <w:noBreakHyphen/>
        <w:t>A350XWB LA/MSF subsidies continue to be a genuine and substantial cause of the current market presence of the A320, A330, and A380 families of Airbus LCA.</w:t>
      </w:r>
      <w:r>
        <w:rPr>
          <w:rStyle w:val="FootnoteReference"/>
        </w:rPr>
        <w:footnoteReference w:id="1054"/>
      </w:r>
      <w:r>
        <w:t xml:space="preserve"> Second, having analysed the "product effects" of </w:t>
      </w:r>
      <w:r>
        <w:rPr>
          <w:i/>
        </w:rPr>
        <w:t xml:space="preserve">all </w:t>
      </w:r>
      <w:r w:rsidR="00193515">
        <w:rPr>
          <w:i/>
        </w:rPr>
        <w:t xml:space="preserve">of the </w:t>
      </w:r>
      <w:r>
        <w:t xml:space="preserve">challenged LA/MSF </w:t>
      </w:r>
      <w:r w:rsidR="00193515">
        <w:t xml:space="preserve">subsidies </w:t>
      </w:r>
      <w:r>
        <w:t>on the A350XWB, the Panel found that these subsidies, with the exception of LA/MSF for the A300 and A310, are a genuine and substantial cause of the current market presence of the A350XWB family of Airbus LCA.</w:t>
      </w:r>
      <w:r>
        <w:rPr>
          <w:rStyle w:val="FootnoteReference"/>
        </w:rPr>
        <w:footnoteReference w:id="1055"/>
      </w:r>
      <w:r>
        <w:t xml:space="preserve"> </w:t>
      </w:r>
    </w:p>
    <w:p w:rsidR="00234B56" w:rsidRDefault="00234B56" w:rsidP="009E6402">
      <w:pPr>
        <w:pStyle w:val="BodyText"/>
        <w:numPr>
          <w:ilvl w:val="6"/>
          <w:numId w:val="2"/>
        </w:numPr>
      </w:pPr>
      <w:r>
        <w:t>Third, examining the impact of the "product effects" of the challenged LA/MSF subsidies in the relevant product markets, the Panel found that all of the orders of Airbus LCA identified by the United States in the post</w:t>
      </w:r>
      <w:r>
        <w:noBreakHyphen/>
        <w:t xml:space="preserve">implementation period represented "significant" lost sales </w:t>
      </w:r>
      <w:r w:rsidR="00193515">
        <w:t>to the US</w:t>
      </w:r>
      <w:r>
        <w:t xml:space="preserve"> LCA industry.</w:t>
      </w:r>
      <w:r>
        <w:rPr>
          <w:rStyle w:val="FootnoteReference"/>
        </w:rPr>
        <w:footnoteReference w:id="1056"/>
      </w:r>
      <w:r>
        <w:t xml:space="preserve"> Thus, the Panel concluded that the "product effects" of the challenged LA/MSF subsidies are a genuine and substantial cause of: </w:t>
      </w:r>
    </w:p>
    <w:p w:rsidR="00234B56" w:rsidRDefault="00234B56" w:rsidP="00234B56">
      <w:pPr>
        <w:pStyle w:val="Quotation"/>
      </w:pPr>
      <w:r>
        <w:t>significant lost sales in the global markets for single-aisle, twin-aisle and {VLA}, within the meaning of Article 6.3(c) of the SCM Agreement, constituting serious prejudice to the interests of the United States within the meaning of Article 5(c) of the SCM Agreement … .</w:t>
      </w:r>
      <w:r>
        <w:rPr>
          <w:rStyle w:val="FootnoteReference"/>
        </w:rPr>
        <w:t xml:space="preserve"> </w:t>
      </w:r>
      <w:r>
        <w:rPr>
          <w:rStyle w:val="FootnoteReference"/>
        </w:rPr>
        <w:footnoteReference w:id="1057"/>
      </w:r>
    </w:p>
    <w:p w:rsidR="00234B56" w:rsidRDefault="00234B56" w:rsidP="009E6402">
      <w:pPr>
        <w:pStyle w:val="BodyText"/>
        <w:numPr>
          <w:ilvl w:val="0"/>
          <w:numId w:val="0"/>
        </w:numPr>
      </w:pPr>
      <w:r>
        <w:t>The Panel further found that</w:t>
      </w:r>
      <w:r w:rsidR="00D26FEE">
        <w:t>, in the absence of the LA/MSF subsidies,</w:t>
      </w:r>
      <w:r>
        <w:t xml:space="preserve"> the volume of deliveries and market shares that would have been achieved </w:t>
      </w:r>
      <w:r w:rsidR="00193515">
        <w:t>in</w:t>
      </w:r>
      <w:r>
        <w:t xml:space="preserve"> the U</w:t>
      </w:r>
      <w:r w:rsidR="00193515">
        <w:t>S</w:t>
      </w:r>
      <w:r>
        <w:t xml:space="preserve"> LCA industry would have been higher than its actual level in </w:t>
      </w:r>
      <w:r w:rsidR="00D26FEE">
        <w:t>all relevant product markets</w:t>
      </w:r>
      <w:r>
        <w:t>.</w:t>
      </w:r>
      <w:r>
        <w:rPr>
          <w:rStyle w:val="FootnoteReference"/>
        </w:rPr>
        <w:footnoteReference w:id="1058"/>
      </w:r>
      <w:r>
        <w:t xml:space="preserve"> Thus, the Pa</w:t>
      </w:r>
      <w:r w:rsidR="00C826B3">
        <w:t>nel concluded that the "product </w:t>
      </w:r>
      <w:r>
        <w:t xml:space="preserve">effects" of the challenged LA/MSF subsidies are a "genuine and substantial" cause of: </w:t>
      </w:r>
    </w:p>
    <w:p w:rsidR="00234B56" w:rsidRDefault="00234B56" w:rsidP="009E6402">
      <w:pPr>
        <w:pStyle w:val="Quotation"/>
      </w:pPr>
      <w:r>
        <w:t xml:space="preserve">displacement and/or impedance of the imports of a like product of the United States into the markets for single-aisle, twin-aisle and {VLA} in the European Union, within the meaning of Article 6.3(a) of the SCM Agreement, constituting serious prejudice to </w:t>
      </w:r>
      <w:r>
        <w:lastRenderedPageBreak/>
        <w:t>the interests of the United States within the meaning of Article 5(c) of the SCM Agreement</w:t>
      </w:r>
      <w:r w:rsidR="00193515">
        <w:rPr>
          <w:rStyle w:val="FootnoteReference"/>
        </w:rPr>
        <w:footnoteReference w:id="1059"/>
      </w:r>
      <w:r>
        <w:t>; {and}</w:t>
      </w:r>
    </w:p>
    <w:p w:rsidR="00234B56" w:rsidRDefault="00234B56" w:rsidP="009E6402">
      <w:pPr>
        <w:pStyle w:val="Quotation"/>
      </w:pPr>
      <w:r>
        <w:t>displacement and/or impedance of exports from the market for single</w:t>
      </w:r>
      <w:r>
        <w:noBreakHyphen/>
        <w:t>aisle LCA in Australia, China and India, the market for twin-aisle LCA in China, Korea and Singapore and the market for {VLA} in Australia, China, Korea, Singapore and the United Arab Emirates, within the meaning of Article 6.3(b) of the SCM Agreement, constituting serious prejudice to the interests of the United States within the meaning of Article 5(c) of the SCM Agreement.</w:t>
      </w:r>
      <w:r>
        <w:rPr>
          <w:rStyle w:val="FootnoteReference"/>
        </w:rPr>
        <w:footnoteReference w:id="1060"/>
      </w:r>
      <w:r>
        <w:t xml:space="preserve"> </w:t>
      </w:r>
    </w:p>
    <w:p w:rsidR="00234B56" w:rsidRDefault="00234B56" w:rsidP="009E6402">
      <w:pPr>
        <w:pStyle w:val="BodyText"/>
        <w:numPr>
          <w:ilvl w:val="6"/>
          <w:numId w:val="2"/>
        </w:numPr>
      </w:pPr>
      <w:r>
        <w:rPr>
          <w:szCs w:val="18"/>
          <w:lang w:eastAsia="zh-CN"/>
        </w:rPr>
        <w:t xml:space="preserve">The </w:t>
      </w:r>
      <w:r>
        <w:t xml:space="preserve">European Union appeals the Panel's findings with respect to both "threshold" issues, alleging that the Panel failed to </w:t>
      </w:r>
      <w:r>
        <w:rPr>
          <w:lang w:val="en-US"/>
        </w:rPr>
        <w:t>take into account the existence of subsidization of United States LCA products</w:t>
      </w:r>
      <w:r>
        <w:rPr>
          <w:rStyle w:val="FootnoteReference"/>
          <w:lang w:val="en-US"/>
        </w:rPr>
        <w:footnoteReference w:id="1061"/>
      </w:r>
      <w:r>
        <w:rPr>
          <w:lang w:val="en-US"/>
        </w:rPr>
        <w:t xml:space="preserve">, and erred in its identification of </w:t>
      </w:r>
      <w:r w:rsidR="00E657A5">
        <w:rPr>
          <w:lang w:val="en-US"/>
        </w:rPr>
        <w:t xml:space="preserve">the </w:t>
      </w:r>
      <w:r>
        <w:rPr>
          <w:lang w:val="en-US"/>
        </w:rPr>
        <w:t>relevant product markets for purposes of its adverse effects analysis</w:t>
      </w:r>
      <w:r>
        <w:t>.</w:t>
      </w:r>
      <w:r>
        <w:rPr>
          <w:rStyle w:val="FootnoteReference"/>
        </w:rPr>
        <w:footnoteReference w:id="1062"/>
      </w:r>
      <w:r>
        <w:t xml:space="preserve"> The European Union also alleges that the Panel erred in reaching its findings on: (i) </w:t>
      </w:r>
      <w:r w:rsidR="00E657A5">
        <w:t xml:space="preserve">the </w:t>
      </w:r>
      <w:r>
        <w:t xml:space="preserve">"product effects" of the pre-A350XWB LA/MSF </w:t>
      </w:r>
      <w:r w:rsidR="00E657A5">
        <w:t xml:space="preserve">subsidies </w:t>
      </w:r>
      <w:r>
        <w:t>on the A320, A330, and A380</w:t>
      </w:r>
      <w:r>
        <w:rPr>
          <w:rStyle w:val="FootnoteReference"/>
        </w:rPr>
        <w:footnoteReference w:id="1063"/>
      </w:r>
      <w:r>
        <w:t xml:space="preserve">; (ii) </w:t>
      </w:r>
      <w:r w:rsidR="00E657A5">
        <w:t xml:space="preserve">the </w:t>
      </w:r>
      <w:r>
        <w:t xml:space="preserve">"product effects" of the LA/MSF </w:t>
      </w:r>
      <w:r w:rsidR="00E657A5">
        <w:t xml:space="preserve">subsidies </w:t>
      </w:r>
      <w:r>
        <w:t>for the A380 and A350XWB on the A350XWB</w:t>
      </w:r>
      <w:r>
        <w:rPr>
          <w:rStyle w:val="FootnoteReference"/>
        </w:rPr>
        <w:footnoteReference w:id="1064"/>
      </w:r>
      <w:r>
        <w:t xml:space="preserve">; </w:t>
      </w:r>
      <w:r w:rsidR="00E657A5">
        <w:t xml:space="preserve">and </w:t>
      </w:r>
      <w:r>
        <w:t>(ii</w:t>
      </w:r>
      <w:r w:rsidR="00E657A5">
        <w:t xml:space="preserve">i) </w:t>
      </w:r>
      <w:r>
        <w:t>the causal link between the relevant subsidies</w:t>
      </w:r>
      <w:r w:rsidR="00E657A5">
        <w:t>, on the one hand,</w:t>
      </w:r>
      <w:r>
        <w:t xml:space="preserve"> and lost sales and "displacement and/or impedance" in specific country and product markets</w:t>
      </w:r>
      <w:r w:rsidR="00E657A5">
        <w:t>, on the other hand</w:t>
      </w:r>
      <w:r>
        <w:t>.</w:t>
      </w:r>
      <w:r>
        <w:rPr>
          <w:rStyle w:val="FootnoteReference"/>
        </w:rPr>
        <w:footnoteReference w:id="1065"/>
      </w:r>
      <w:r>
        <w:t xml:space="preserve"> We address these allegations of error in turn.</w:t>
      </w:r>
    </w:p>
    <w:p w:rsidR="00AE4AC1" w:rsidRPr="00D762D2" w:rsidRDefault="00AE4AC1" w:rsidP="009E6402">
      <w:pPr>
        <w:pStyle w:val="Heading3"/>
        <w:numPr>
          <w:ilvl w:val="2"/>
          <w:numId w:val="22"/>
        </w:numPr>
      </w:pPr>
      <w:bookmarkStart w:id="121" w:name="_Toc491243767"/>
      <w:bookmarkStart w:id="122" w:name="_Toc495062865"/>
      <w:bookmarkStart w:id="123" w:name="_Toc514059255"/>
      <w:r>
        <w:t>N</w:t>
      </w:r>
      <w:r w:rsidRPr="00D762D2">
        <w:t>on-subsidized like product</w:t>
      </w:r>
      <w:bookmarkEnd w:id="121"/>
      <w:bookmarkEnd w:id="122"/>
      <w:bookmarkEnd w:id="123"/>
    </w:p>
    <w:p w:rsidR="00AE4AC1" w:rsidRPr="00D762D2" w:rsidRDefault="00AE4AC1" w:rsidP="009E6402">
      <w:pPr>
        <w:pStyle w:val="BodyText"/>
      </w:pPr>
      <w:r>
        <w:t>We turn next to</w:t>
      </w:r>
      <w:r w:rsidRPr="00D762D2">
        <w:t xml:space="preserve"> examine the </w:t>
      </w:r>
      <w:r>
        <w:t>European Union</w:t>
      </w:r>
      <w:r w:rsidRPr="00D762D2">
        <w:t xml:space="preserve">'s appeal </w:t>
      </w:r>
      <w:r>
        <w:t>regarding</w:t>
      </w:r>
      <w:r w:rsidRPr="00D762D2">
        <w:t xml:space="preserve"> </w:t>
      </w:r>
      <w:r>
        <w:t>the relevance of the term "non</w:t>
      </w:r>
      <w:r>
        <w:noBreakHyphen/>
        <w:t xml:space="preserve">subsidized like product" in Article 6.4 of the SCM Agreement for purposes of assessing </w:t>
      </w:r>
      <w:r w:rsidRPr="00D762D2">
        <w:t xml:space="preserve">claims of serious prejudice </w:t>
      </w:r>
      <w:r>
        <w:t xml:space="preserve">brought </w:t>
      </w:r>
      <w:r w:rsidRPr="00D762D2">
        <w:t xml:space="preserve">under </w:t>
      </w:r>
      <w:r>
        <w:t>Article </w:t>
      </w:r>
      <w:r w:rsidRPr="00D762D2">
        <w:t>6.3(b) of th</w:t>
      </w:r>
      <w:r>
        <w:t>e SCM Agreement</w:t>
      </w:r>
      <w:r w:rsidRPr="00D762D2">
        <w:t xml:space="preserve">. </w:t>
      </w:r>
      <w:r>
        <w:t>According to the European Union,</w:t>
      </w:r>
      <w:r w:rsidRPr="00D762D2">
        <w:t xml:space="preserve"> the Panel erred </w:t>
      </w:r>
      <w:r>
        <w:t xml:space="preserve">in finding that: (i) </w:t>
      </w:r>
      <w:r w:rsidRPr="005659DC">
        <w:t xml:space="preserve">there was no </w:t>
      </w:r>
      <w:r>
        <w:t>"</w:t>
      </w:r>
      <w:r w:rsidRPr="005659DC">
        <w:t>new matter</w:t>
      </w:r>
      <w:r>
        <w:t>"</w:t>
      </w:r>
      <w:r w:rsidRPr="005659DC">
        <w:t xml:space="preserve"> before </w:t>
      </w:r>
      <w:r>
        <w:t>it</w:t>
      </w:r>
      <w:r>
        <w:rPr>
          <w:rStyle w:val="FootnoteReference"/>
        </w:rPr>
        <w:footnoteReference w:id="1066"/>
      </w:r>
      <w:r>
        <w:t>; and (ii) there were, in any event, no</w:t>
      </w:r>
      <w:r w:rsidRPr="00450B5F">
        <w:t xml:space="preserve"> "cogent reasons" for the Panel to depart from the findings made by the original panel </w:t>
      </w:r>
      <w:r w:rsidRPr="004E0FFF">
        <w:rPr>
          <w:lang w:val="en-US"/>
        </w:rPr>
        <w:t xml:space="preserve">regarding the relationship </w:t>
      </w:r>
      <w:r>
        <w:rPr>
          <w:lang w:val="en-US"/>
        </w:rPr>
        <w:t>between</w:t>
      </w:r>
      <w:r w:rsidRPr="004E0FFF">
        <w:rPr>
          <w:lang w:val="en-US"/>
        </w:rPr>
        <w:t xml:space="preserve"> </w:t>
      </w:r>
      <w:r>
        <w:rPr>
          <w:lang w:val="en-US"/>
        </w:rPr>
        <w:t>Article </w:t>
      </w:r>
      <w:r w:rsidRPr="004E0FFF">
        <w:rPr>
          <w:lang w:val="en-US"/>
        </w:rPr>
        <w:t xml:space="preserve">6.3(b) and </w:t>
      </w:r>
      <w:r>
        <w:rPr>
          <w:lang w:val="en-US"/>
        </w:rPr>
        <w:t>Article </w:t>
      </w:r>
      <w:r w:rsidRPr="004E0FFF">
        <w:rPr>
          <w:lang w:val="en-US"/>
        </w:rPr>
        <w:t>6.4 of the SCM</w:t>
      </w:r>
      <w:r>
        <w:rPr>
          <w:lang w:val="en-US"/>
        </w:rPr>
        <w:t> Agreement.</w:t>
      </w:r>
      <w:r>
        <w:rPr>
          <w:rStyle w:val="FootnoteReference"/>
          <w:lang w:val="en-US"/>
        </w:rPr>
        <w:footnoteReference w:id="1067"/>
      </w:r>
      <w:r>
        <w:rPr>
          <w:lang w:val="en-US"/>
        </w:rPr>
        <w:t xml:space="preserve"> Moreover, the European Union submits that the Panel </w:t>
      </w:r>
      <w:r>
        <w:t>failed to make an objective assessment of the matter before it, contrary to its duty under Article 11 of the DSU.</w:t>
      </w:r>
      <w:r w:rsidR="00E657A5">
        <w:rPr>
          <w:rStyle w:val="FootnoteReference"/>
        </w:rPr>
        <w:footnoteReference w:id="1068"/>
      </w:r>
    </w:p>
    <w:p w:rsidR="00AE4AC1" w:rsidRPr="00D762D2" w:rsidRDefault="00AE4AC1" w:rsidP="009E6402">
      <w:pPr>
        <w:pStyle w:val="BodyText"/>
      </w:pPr>
      <w:r>
        <w:t>Before the Panel</w:t>
      </w:r>
      <w:r w:rsidRPr="00D762D2">
        <w:t xml:space="preserve">, the </w:t>
      </w:r>
      <w:r>
        <w:t>European Union</w:t>
      </w:r>
      <w:r w:rsidRPr="00D762D2">
        <w:t xml:space="preserve"> </w:t>
      </w:r>
      <w:r>
        <w:t xml:space="preserve">advanced two main lines of argumentation in this regard. First, the European Union argued that </w:t>
      </w:r>
      <w:r w:rsidRPr="00D762D2">
        <w:t>the SCM</w:t>
      </w:r>
      <w:r>
        <w:t> Agreement</w:t>
      </w:r>
      <w:r w:rsidRPr="00D762D2">
        <w:t xml:space="preserve"> establishes a remedy under </w:t>
      </w:r>
      <w:r>
        <w:t>Article </w:t>
      </w:r>
      <w:r w:rsidRPr="00D762D2">
        <w:t xml:space="preserve">6.3(b) </w:t>
      </w:r>
      <w:r w:rsidRPr="00602672">
        <w:rPr>
          <w:i/>
        </w:rPr>
        <w:t>only</w:t>
      </w:r>
      <w:r w:rsidRPr="00D46D46">
        <w:rPr>
          <w:b/>
          <w:bCs/>
        </w:rPr>
        <w:t xml:space="preserve"> </w:t>
      </w:r>
      <w:r w:rsidRPr="00D762D2">
        <w:t>in situations where the complaining Member</w:t>
      </w:r>
      <w:r>
        <w:t xml:space="preserve"> has</w:t>
      </w:r>
      <w:r w:rsidRPr="00D762D2">
        <w:t xml:space="preserve"> demonstrated</w:t>
      </w:r>
      <w:r>
        <w:t xml:space="preserve"> that its</w:t>
      </w:r>
      <w:r w:rsidRPr="00D762D2">
        <w:t xml:space="preserve"> like </w:t>
      </w:r>
      <w:r>
        <w:t>product is non</w:t>
      </w:r>
      <w:r>
        <w:noBreakHyphen/>
        <w:t>subsidized. According to the European Union, the United States</w:t>
      </w:r>
      <w:r w:rsidRPr="00D762D2">
        <w:t xml:space="preserve"> was </w:t>
      </w:r>
      <w:r>
        <w:t xml:space="preserve">therefore required </w:t>
      </w:r>
      <w:r w:rsidRPr="00D762D2">
        <w:t xml:space="preserve">to </w:t>
      </w:r>
      <w:r>
        <w:t>establish</w:t>
      </w:r>
      <w:r w:rsidRPr="00D762D2">
        <w:t xml:space="preserve"> that Boeing LCA </w:t>
      </w:r>
      <w:r>
        <w:t>(the like product at issue) were</w:t>
      </w:r>
      <w:r w:rsidRPr="00D762D2">
        <w:t xml:space="preserve"> "</w:t>
      </w:r>
      <w:r>
        <w:t>non</w:t>
      </w:r>
      <w:r>
        <w:noBreakHyphen/>
      </w:r>
      <w:r w:rsidRPr="00D762D2">
        <w:t xml:space="preserve">subsidized" in order to make out its claims of serious prejudice under </w:t>
      </w:r>
      <w:r>
        <w:t>this provision</w:t>
      </w:r>
      <w:r w:rsidRPr="00D762D2">
        <w:t>.</w:t>
      </w:r>
      <w:r w:rsidR="00E657A5">
        <w:rPr>
          <w:rStyle w:val="FootnoteReference"/>
        </w:rPr>
        <w:footnoteReference w:id="1069"/>
      </w:r>
      <w:r w:rsidRPr="00D762D2">
        <w:t xml:space="preserve"> </w:t>
      </w:r>
      <w:r>
        <w:t>The European Union referred to this as its "clean hands" argument.</w:t>
      </w:r>
      <w:r>
        <w:rPr>
          <w:rStyle w:val="FootnoteReference"/>
        </w:rPr>
        <w:footnoteReference w:id="1070"/>
      </w:r>
      <w:r>
        <w:t xml:space="preserve"> In addition, the European Union claimed that</w:t>
      </w:r>
      <w:r w:rsidRPr="00D46D46">
        <w:t xml:space="preserve"> subsidizati</w:t>
      </w:r>
      <w:r>
        <w:t>on of the like product had, "in </w:t>
      </w:r>
      <w:r w:rsidRPr="00D46D46">
        <w:t xml:space="preserve">any event, to be taken into account in </w:t>
      </w:r>
      <w:r w:rsidR="00C826B3">
        <w:t>the assessment of causation, in </w:t>
      </w:r>
      <w:r w:rsidRPr="00D46D46">
        <w:t xml:space="preserve">an appropriately balanced way, guided by the Appellate Body's intervening clarifications of the relationship between Articles 6.3(b) and </w:t>
      </w:r>
      <w:r>
        <w:t>Article </w:t>
      </w:r>
      <w:r w:rsidRPr="00D46D46">
        <w:t>6.4"</w:t>
      </w:r>
      <w:r>
        <w:t>.</w:t>
      </w:r>
      <w:r w:rsidRPr="004A76F9">
        <w:rPr>
          <w:rStyle w:val="FootnoteReference"/>
        </w:rPr>
        <w:footnoteReference w:id="1071"/>
      </w:r>
      <w:r w:rsidRPr="004A76F9">
        <w:rPr>
          <w:bCs/>
        </w:rPr>
        <w:t xml:space="preserve"> The </w:t>
      </w:r>
      <w:r>
        <w:rPr>
          <w:bCs/>
        </w:rPr>
        <w:t>European Union</w:t>
      </w:r>
      <w:r w:rsidRPr="004A76F9">
        <w:rPr>
          <w:bCs/>
        </w:rPr>
        <w:t xml:space="preserve"> referred to this second argument as its "causation</w:t>
      </w:r>
      <w:r>
        <w:rPr>
          <w:bCs/>
        </w:rPr>
        <w:t>"</w:t>
      </w:r>
      <w:r w:rsidRPr="004A76F9">
        <w:rPr>
          <w:bCs/>
        </w:rPr>
        <w:t xml:space="preserve"> argument</w:t>
      </w:r>
      <w:r w:rsidRPr="004A76F9">
        <w:rPr>
          <w:rStyle w:val="FootnoteReference"/>
          <w:bCs/>
        </w:rPr>
        <w:footnoteReference w:id="1072"/>
      </w:r>
      <w:r>
        <w:rPr>
          <w:bCs/>
        </w:rPr>
        <w:t>,</w:t>
      </w:r>
      <w:r w:rsidRPr="004A76F9">
        <w:rPr>
          <w:bCs/>
        </w:rPr>
        <w:t xml:space="preserve"> </w:t>
      </w:r>
      <w:r>
        <w:rPr>
          <w:bCs/>
        </w:rPr>
        <w:t xml:space="preserve">explaining </w:t>
      </w:r>
      <w:r w:rsidRPr="004A76F9">
        <w:t xml:space="preserve">on appeal that </w:t>
      </w:r>
      <w:r>
        <w:t>this</w:t>
      </w:r>
      <w:r w:rsidRPr="004A76F9">
        <w:t xml:space="preserve"> was its main </w:t>
      </w:r>
      <w:r w:rsidRPr="004A76F9">
        <w:lastRenderedPageBreak/>
        <w:t>argument</w:t>
      </w:r>
      <w:r w:rsidRPr="004A76F9">
        <w:rPr>
          <w:rStyle w:val="FootnoteReference"/>
          <w:bCs/>
        </w:rPr>
        <w:footnoteReference w:id="1073"/>
      </w:r>
      <w:r w:rsidRPr="004A76F9">
        <w:t xml:space="preserve"> regarding the relevance of </w:t>
      </w:r>
      <w:r>
        <w:t>Article </w:t>
      </w:r>
      <w:r w:rsidRPr="004A76F9">
        <w:t xml:space="preserve">6.4 in this dispute. </w:t>
      </w:r>
      <w:r>
        <w:t xml:space="preserve">According to the European Union, </w:t>
      </w:r>
      <w:r w:rsidRPr="004A76F9">
        <w:t xml:space="preserve">the Panel erred in declining to rule on these arguments based on </w:t>
      </w:r>
      <w:r>
        <w:t>its</w:t>
      </w:r>
      <w:r w:rsidRPr="004A76F9">
        <w:t xml:space="preserve"> view that the "matter" had been decided by the original panel and there were no "cogent reasons" to "re-open" the matter and decide otherwise.</w:t>
      </w:r>
      <w:r>
        <w:rPr>
          <w:rStyle w:val="FootnoteReference"/>
        </w:rPr>
        <w:footnoteReference w:id="1074"/>
      </w:r>
    </w:p>
    <w:p w:rsidR="00AE4AC1" w:rsidRPr="00D762D2" w:rsidRDefault="00AE4AC1" w:rsidP="009E6402">
      <w:pPr>
        <w:pStyle w:val="BodyText"/>
      </w:pPr>
      <w:r w:rsidRPr="00D762D2">
        <w:t xml:space="preserve"> We begin by providing a brief summary of the</w:t>
      </w:r>
      <w:r>
        <w:t xml:space="preserve"> relevant findings in the original proceedings,</w:t>
      </w:r>
      <w:r w:rsidRPr="00D762D2">
        <w:t xml:space="preserve"> </w:t>
      </w:r>
      <w:r>
        <w:t xml:space="preserve">before we turn to the parties' </w:t>
      </w:r>
      <w:r w:rsidRPr="00D762D2">
        <w:t>arguments before the Panel and the Panel's findings</w:t>
      </w:r>
      <w:r>
        <w:t xml:space="preserve"> in these compliance proceedings.</w:t>
      </w:r>
      <w:r w:rsidRPr="00D762D2">
        <w:t xml:space="preserve"> </w:t>
      </w:r>
      <w:r>
        <w:t xml:space="preserve">Thereafter, we </w:t>
      </w:r>
      <w:r w:rsidRPr="00D762D2">
        <w:t xml:space="preserve">set out the </w:t>
      </w:r>
      <w:r>
        <w:t>arguments</w:t>
      </w:r>
      <w:r w:rsidRPr="00D762D2">
        <w:t xml:space="preserve"> raised</w:t>
      </w:r>
      <w:r>
        <w:t xml:space="preserve"> by the participants on appeal, beginning by reviewing the approach that the Panel took to the questions raised by the European Union.</w:t>
      </w:r>
    </w:p>
    <w:p w:rsidR="00AE4AC1" w:rsidRPr="00FD3138" w:rsidRDefault="00AE4AC1" w:rsidP="009E6402">
      <w:pPr>
        <w:pStyle w:val="Heading4"/>
        <w:numPr>
          <w:ilvl w:val="3"/>
          <w:numId w:val="18"/>
        </w:numPr>
      </w:pPr>
      <w:bookmarkStart w:id="124" w:name="_Toc491243772"/>
      <w:bookmarkStart w:id="125" w:name="_Toc495062870"/>
      <w:bookmarkStart w:id="126" w:name="_Toc514059256"/>
      <w:bookmarkStart w:id="127" w:name="_Toc477863437"/>
      <w:r w:rsidRPr="00FD3138">
        <w:t>Findings in the original proceedings</w:t>
      </w:r>
      <w:bookmarkEnd w:id="124"/>
      <w:bookmarkEnd w:id="125"/>
      <w:bookmarkEnd w:id="126"/>
    </w:p>
    <w:p w:rsidR="00AE4AC1" w:rsidRPr="00537500" w:rsidRDefault="00AE4AC1" w:rsidP="009E6402">
      <w:pPr>
        <w:pStyle w:val="BodyText"/>
      </w:pPr>
      <w:r>
        <w:rPr>
          <w:lang w:val="en-US"/>
        </w:rPr>
        <w:t>Before</w:t>
      </w:r>
      <w:r w:rsidRPr="00D762D2">
        <w:rPr>
          <w:lang w:val="en-US"/>
        </w:rPr>
        <w:t xml:space="preserve"> the original panel, the European </w:t>
      </w:r>
      <w:r>
        <w:rPr>
          <w:lang w:val="en-US"/>
        </w:rPr>
        <w:t>Communities</w:t>
      </w:r>
      <w:r w:rsidRPr="00D762D2">
        <w:rPr>
          <w:lang w:val="en-US"/>
        </w:rPr>
        <w:t xml:space="preserve"> </w:t>
      </w:r>
      <w:r>
        <w:rPr>
          <w:lang w:val="en-US"/>
        </w:rPr>
        <w:t xml:space="preserve">had </w:t>
      </w:r>
      <w:r w:rsidRPr="00D762D2">
        <w:rPr>
          <w:lang w:val="en-US"/>
        </w:rPr>
        <w:t xml:space="preserve">claimed that </w:t>
      </w:r>
      <w:r w:rsidRPr="00D762D2">
        <w:t xml:space="preserve">displacement or impedance </w:t>
      </w:r>
      <w:r w:rsidR="00AE2E7A">
        <w:t>under</w:t>
      </w:r>
      <w:r w:rsidRPr="00D762D2">
        <w:t xml:space="preserve"> </w:t>
      </w:r>
      <w:r w:rsidR="00AE2E7A">
        <w:t>"</w:t>
      </w:r>
      <w:r>
        <w:t>Article </w:t>
      </w:r>
      <w:r w:rsidRPr="00D762D2">
        <w:t xml:space="preserve">6.3(b) can be demonstrated only if the complaining Member does not provide a subsidy within the meaning of </w:t>
      </w:r>
      <w:r>
        <w:t>Article </w:t>
      </w:r>
      <w:r w:rsidRPr="00D762D2">
        <w:t>1 of the SCM</w:t>
      </w:r>
      <w:r>
        <w:t> Agreement</w:t>
      </w:r>
      <w:r w:rsidRPr="00D762D2">
        <w:t xml:space="preserve"> in respect of the like product exported"</w:t>
      </w:r>
      <w:r w:rsidR="00AE2E7A">
        <w:t>.</w:t>
      </w:r>
      <w:r>
        <w:rPr>
          <w:rStyle w:val="FootnoteReference"/>
        </w:rPr>
        <w:footnoteReference w:id="1075"/>
      </w:r>
      <w:r w:rsidRPr="00D762D2">
        <w:t xml:space="preserve"> The original panel </w:t>
      </w:r>
      <w:r>
        <w:t>considered that the European Communities' argument relied upon the assumption that</w:t>
      </w:r>
      <w:r w:rsidRPr="00D762D2">
        <w:t xml:space="preserve"> </w:t>
      </w:r>
      <w:r>
        <w:t>Article </w:t>
      </w:r>
      <w:r w:rsidRPr="00D762D2">
        <w:t xml:space="preserve">6.4 </w:t>
      </w:r>
      <w:r>
        <w:t>of the SCM Agreement sets out an</w:t>
      </w:r>
      <w:r w:rsidRPr="00D762D2">
        <w:t xml:space="preserve"> </w:t>
      </w:r>
      <w:r>
        <w:t>"</w:t>
      </w:r>
      <w:r w:rsidRPr="00D762D2">
        <w:t xml:space="preserve">exclusive mechanism for demonstrating displacement or </w:t>
      </w:r>
      <w:r>
        <w:t>impedance of exports to a third </w:t>
      </w:r>
      <w:r w:rsidRPr="00D762D2">
        <w:t xml:space="preserve">country market under </w:t>
      </w:r>
      <w:r>
        <w:t>Article </w:t>
      </w:r>
      <w:r w:rsidRPr="00D762D2">
        <w:t>6.3(b)</w:t>
      </w:r>
      <w:r>
        <w:t>".</w:t>
      </w:r>
      <w:r>
        <w:rPr>
          <w:rStyle w:val="FootnoteReference"/>
        </w:rPr>
        <w:footnoteReference w:id="1076"/>
      </w:r>
      <w:r>
        <w:t xml:space="preserve"> It therefore proceeded to examine whether this was the case, </w:t>
      </w:r>
      <w:r w:rsidR="00C826B3">
        <w:t>or </w:t>
      </w:r>
      <w:r w:rsidRPr="00D762D2">
        <w:t xml:space="preserve">whether, to the contrary, displacement and impedance under </w:t>
      </w:r>
      <w:r>
        <w:t>Article </w:t>
      </w:r>
      <w:r w:rsidRPr="00D762D2">
        <w:t xml:space="preserve">6.3(b) </w:t>
      </w:r>
      <w:r>
        <w:t>could</w:t>
      </w:r>
      <w:r w:rsidRPr="00D762D2">
        <w:t xml:space="preserve"> be demonstrated without reference to </w:t>
      </w:r>
      <w:r>
        <w:t>Article </w:t>
      </w:r>
      <w:r w:rsidRPr="00D762D2">
        <w:t>6.4.</w:t>
      </w:r>
    </w:p>
    <w:p w:rsidR="00AE4AC1" w:rsidRPr="00537500" w:rsidRDefault="00AE4AC1" w:rsidP="009E6402">
      <w:pPr>
        <w:pStyle w:val="BodyText"/>
      </w:pPr>
      <w:r w:rsidRPr="00D762D2">
        <w:t xml:space="preserve">Recalling the panel's finding in </w:t>
      </w:r>
      <w:r w:rsidRPr="00D762D2">
        <w:rPr>
          <w:i/>
        </w:rPr>
        <w:t>Indonesia – Autos</w:t>
      </w:r>
      <w:r w:rsidRPr="00460DE9">
        <w:rPr>
          <w:rStyle w:val="FootnoteReference"/>
        </w:rPr>
        <w:footnoteReference w:id="1077"/>
      </w:r>
      <w:r w:rsidRPr="00D762D2">
        <w:t xml:space="preserve">, the original panel </w:t>
      </w:r>
      <w:r>
        <w:t>found</w:t>
      </w:r>
      <w:r w:rsidRPr="00D762D2">
        <w:t xml:space="preserve"> that "</w:t>
      </w:r>
      <w:r>
        <w:t>Article </w:t>
      </w:r>
      <w:r w:rsidRPr="00D762D2">
        <w:t>6.4 describes a particular situation</w:t>
      </w:r>
      <w:r>
        <w:t>"</w:t>
      </w:r>
      <w:r w:rsidRPr="00D762D2">
        <w:t xml:space="preserve"> where </w:t>
      </w:r>
      <w:r>
        <w:t>"</w:t>
      </w:r>
      <w:r w:rsidRPr="00D762D2">
        <w:t xml:space="preserve">the </w:t>
      </w:r>
      <w:r>
        <w:t xml:space="preserve">like product of the complaining </w:t>
      </w:r>
      <w:r w:rsidRPr="00D762D2">
        <w:t>Member is not subsidized</w:t>
      </w:r>
      <w:r>
        <w:t>" and where</w:t>
      </w:r>
      <w:r w:rsidRPr="00D762D2">
        <w:t xml:space="preserve"> </w:t>
      </w:r>
      <w:r>
        <w:t xml:space="preserve">an increase in </w:t>
      </w:r>
      <w:r w:rsidRPr="00D762D2">
        <w:t>th</w:t>
      </w:r>
      <w:r>
        <w:t>e</w:t>
      </w:r>
      <w:r w:rsidRPr="00D762D2">
        <w:t xml:space="preserve"> market share of the subsidized product </w:t>
      </w:r>
      <w:r>
        <w:t>would</w:t>
      </w:r>
      <w:r w:rsidRPr="00D762D2">
        <w:t xml:space="preserve"> </w:t>
      </w:r>
      <w:r>
        <w:t>"</w:t>
      </w:r>
      <w:r w:rsidRPr="00D762D2">
        <w:t>suffice</w:t>
      </w:r>
      <w:r>
        <w:t>{}</w:t>
      </w:r>
      <w:r w:rsidRPr="00D762D2">
        <w:t xml:space="preserve"> to make a prima facie case of displacement or impedance under </w:t>
      </w:r>
      <w:r>
        <w:t>Article </w:t>
      </w:r>
      <w:r w:rsidRPr="00D762D2">
        <w:t>6.3(b)"</w:t>
      </w:r>
      <w:r>
        <w:t>.</w:t>
      </w:r>
      <w:r>
        <w:rPr>
          <w:rStyle w:val="FootnoteReference"/>
        </w:rPr>
        <w:footnoteReference w:id="1078"/>
      </w:r>
      <w:r w:rsidRPr="00D762D2">
        <w:t xml:space="preserve"> However, the </w:t>
      </w:r>
      <w:r w:rsidR="00AE2E7A">
        <w:t xml:space="preserve">original </w:t>
      </w:r>
      <w:r w:rsidRPr="00D762D2">
        <w:t>panel noted that</w:t>
      </w:r>
      <w:r>
        <w:t>,</w:t>
      </w:r>
      <w:r w:rsidRPr="00D762D2">
        <w:t xml:space="preserve"> while the </w:t>
      </w:r>
      <w:r>
        <w:t>United States</w:t>
      </w:r>
      <w:r w:rsidRPr="00D762D2">
        <w:t xml:space="preserve"> had made a claim under </w:t>
      </w:r>
      <w:r>
        <w:t>Article </w:t>
      </w:r>
      <w:r w:rsidRPr="00D762D2">
        <w:t>6.3(b)</w:t>
      </w:r>
      <w:r>
        <w:t xml:space="preserve"> of the SCM Agreement</w:t>
      </w:r>
      <w:r w:rsidRPr="00D762D2">
        <w:t>, t</w:t>
      </w:r>
      <w:r>
        <w:t>o which Article 6.4 of that Agreement refers, it </w:t>
      </w:r>
      <w:r w:rsidRPr="00D762D2">
        <w:t xml:space="preserve">did </w:t>
      </w:r>
      <w:r>
        <w:t>"</w:t>
      </w:r>
      <w:r w:rsidR="00C826B3">
        <w:t>not </w:t>
      </w:r>
      <w:r w:rsidRPr="00D762D2">
        <w:t xml:space="preserve">purport to rely on the </w:t>
      </w:r>
      <w:r w:rsidRPr="007C4F68">
        <w:rPr>
          <w:i/>
        </w:rPr>
        <w:t>special rule</w:t>
      </w:r>
      <w:r w:rsidRPr="00D762D2">
        <w:t xml:space="preserve"> set out in </w:t>
      </w:r>
      <w:r>
        <w:t>Article </w:t>
      </w:r>
      <w:r w:rsidRPr="00D762D2">
        <w:t xml:space="preserve">6.4, but rather, assert{ed} that it ha{d} demonstrated that displacement or impedance of its exports </w:t>
      </w:r>
      <w:r>
        <w:t>{in}</w:t>
      </w:r>
      <w:r w:rsidRPr="00D762D2">
        <w:t xml:space="preserve"> third country markets </w:t>
      </w:r>
      <w:r>
        <w:t>{was}</w:t>
      </w:r>
      <w:r w:rsidRPr="00D762D2">
        <w:t xml:space="preserve"> the effect of the subsidies in dispute."</w:t>
      </w:r>
      <w:r>
        <w:rPr>
          <w:rStyle w:val="FootnoteReference"/>
        </w:rPr>
        <w:footnoteReference w:id="1079"/>
      </w:r>
      <w:r w:rsidRPr="00D762D2">
        <w:t xml:space="preserve"> The original panel considered that its reading of </w:t>
      </w:r>
      <w:r>
        <w:t>Article </w:t>
      </w:r>
      <w:r w:rsidRPr="00D762D2">
        <w:t xml:space="preserve">6.4 led </w:t>
      </w:r>
      <w:r>
        <w:t>"</w:t>
      </w:r>
      <w:r w:rsidRPr="00D762D2">
        <w:t xml:space="preserve">to the conclusion that if the circumstances set out in </w:t>
      </w:r>
      <w:r>
        <w:t>Article </w:t>
      </w:r>
      <w:r w:rsidRPr="00D762D2">
        <w:t xml:space="preserve">6.4 are satisfied, a further assessment of whether the changes in market share </w:t>
      </w:r>
      <w:r>
        <w:t>{were}</w:t>
      </w:r>
      <w:r w:rsidRPr="00D762D2">
        <w:t xml:space="preserve"> 'the effect of the subsidy' {was} not necessary."</w:t>
      </w:r>
      <w:r>
        <w:rPr>
          <w:rStyle w:val="FootnoteReference"/>
        </w:rPr>
        <w:footnoteReference w:id="1080"/>
      </w:r>
    </w:p>
    <w:p w:rsidR="00AE4AC1" w:rsidRPr="0027262E" w:rsidRDefault="00AE4AC1" w:rsidP="009E6402">
      <w:pPr>
        <w:pStyle w:val="BodyText"/>
      </w:pPr>
      <w:r w:rsidRPr="00D762D2">
        <w:t xml:space="preserve">Having made these observations, the original panel found nothing in </w:t>
      </w:r>
      <w:r>
        <w:t>Article </w:t>
      </w:r>
      <w:r w:rsidRPr="00D762D2">
        <w:t xml:space="preserve">6.4 </w:t>
      </w:r>
      <w:r>
        <w:t>to "</w:t>
      </w:r>
      <w:r w:rsidRPr="00D762D2">
        <w:t xml:space="preserve">suggest that the analysis set out therein is the exclusive means of demonstrating displacement or impedance of exports for purposes of </w:t>
      </w:r>
      <w:r>
        <w:t>Article </w:t>
      </w:r>
      <w:r w:rsidRPr="00D762D2">
        <w:t>6.3(b)"</w:t>
      </w:r>
      <w:r>
        <w:t>.</w:t>
      </w:r>
      <w:r>
        <w:rPr>
          <w:rStyle w:val="FootnoteReference"/>
        </w:rPr>
        <w:footnoteReference w:id="1081"/>
      </w:r>
      <w:r w:rsidRPr="00D762D2">
        <w:t xml:space="preserve"> The</w:t>
      </w:r>
      <w:r>
        <w:t xml:space="preserve"> </w:t>
      </w:r>
      <w:r w:rsidR="00AE2E7A">
        <w:t xml:space="preserve">original </w:t>
      </w:r>
      <w:r w:rsidRPr="00D762D2">
        <w:t xml:space="preserve">panel considered that the use of the phrase </w:t>
      </w:r>
      <w:r w:rsidR="00AE2E7A">
        <w:t xml:space="preserve">"shall include" indicated that </w:t>
      </w:r>
      <w:r w:rsidRPr="00D762D2">
        <w:t xml:space="preserve">there may be other circumstances, not set out in </w:t>
      </w:r>
      <w:r>
        <w:t>Article </w:t>
      </w:r>
      <w:r w:rsidRPr="00D762D2">
        <w:t xml:space="preserve">6.4, in which a Member could demonstrate displacement or impedance for purposes of </w:t>
      </w:r>
      <w:r>
        <w:t>Article </w:t>
      </w:r>
      <w:r w:rsidRPr="00D762D2">
        <w:t xml:space="preserve">6.3(b). The </w:t>
      </w:r>
      <w:r>
        <w:t xml:space="preserve">original </w:t>
      </w:r>
      <w:r w:rsidRPr="00D762D2">
        <w:t>panel added that</w:t>
      </w:r>
      <w:r>
        <w:t>,</w:t>
      </w:r>
      <w:r w:rsidRPr="00D762D2">
        <w:t xml:space="preserve"> "{r}ather than limiting the circumstances in which </w:t>
      </w:r>
      <w:r>
        <w:t>Article </w:t>
      </w:r>
      <w:r w:rsidRPr="00D762D2">
        <w:t xml:space="preserve">6.3(b) may be satisfied", </w:t>
      </w:r>
      <w:r>
        <w:t>Article </w:t>
      </w:r>
      <w:r w:rsidRPr="00D762D2">
        <w:t xml:space="preserve">6.4 simply </w:t>
      </w:r>
      <w:r>
        <w:t>"</w:t>
      </w:r>
      <w:r w:rsidRPr="00D762D2">
        <w:t>set</w:t>
      </w:r>
      <w:r>
        <w:t>{</w:t>
      </w:r>
      <w:r w:rsidRPr="00D762D2">
        <w:t>s</w:t>
      </w:r>
      <w:r>
        <w:t>}</w:t>
      </w:r>
      <w:r w:rsidRPr="00D762D2">
        <w:t xml:space="preserve"> out additional guidance for the application of </w:t>
      </w:r>
      <w:r>
        <w:t>Article </w:t>
      </w:r>
      <w:r w:rsidRPr="00D762D2">
        <w:t>6.3(b) in certain particular circumstances"</w:t>
      </w:r>
      <w:r>
        <w:t>.</w:t>
      </w:r>
      <w:r>
        <w:rPr>
          <w:rStyle w:val="FootnoteReference"/>
        </w:rPr>
        <w:footnoteReference w:id="1082"/>
      </w:r>
      <w:r w:rsidRPr="00D762D2">
        <w:t xml:space="preserve"> </w:t>
      </w:r>
    </w:p>
    <w:p w:rsidR="00AE4AC1" w:rsidRPr="00537500" w:rsidRDefault="00AE4AC1" w:rsidP="009E6402">
      <w:pPr>
        <w:pStyle w:val="BodyText"/>
      </w:pPr>
      <w:r>
        <w:t>Based on this reasoning, t</w:t>
      </w:r>
      <w:r w:rsidRPr="00D762D2">
        <w:t xml:space="preserve">he </w:t>
      </w:r>
      <w:r>
        <w:t xml:space="preserve">original </w:t>
      </w:r>
      <w:r w:rsidRPr="00D762D2">
        <w:t xml:space="preserve">panel rejected the European Communities' view that </w:t>
      </w:r>
      <w:r>
        <w:t>"Article </w:t>
      </w:r>
      <w:r w:rsidRPr="00D762D2">
        <w:t xml:space="preserve">6.4 {was} the exclusive basis for a finding of displacement or impedance under </w:t>
      </w:r>
      <w:r>
        <w:t>Article </w:t>
      </w:r>
      <w:r w:rsidRPr="00D762D2">
        <w:t>6.3(b)".</w:t>
      </w:r>
      <w:r>
        <w:rPr>
          <w:rStyle w:val="FootnoteReference"/>
        </w:rPr>
        <w:footnoteReference w:id="1083"/>
      </w:r>
      <w:r>
        <w:t xml:space="preserve"> In so doing, </w:t>
      </w:r>
      <w:r w:rsidRPr="00D762D2">
        <w:t xml:space="preserve">the </w:t>
      </w:r>
      <w:r>
        <w:t xml:space="preserve">original </w:t>
      </w:r>
      <w:r w:rsidRPr="00D762D2">
        <w:t xml:space="preserve">panel emphasized that the interpretation suggested by the European Communities would </w:t>
      </w:r>
      <w:r>
        <w:t>mean</w:t>
      </w:r>
      <w:r w:rsidRPr="00D762D2">
        <w:t xml:space="preserve"> that the SCM</w:t>
      </w:r>
      <w:r>
        <w:t> Agreement</w:t>
      </w:r>
      <w:r w:rsidRPr="00D762D2">
        <w:t xml:space="preserve"> "establishes a remedy for displacement or impedance of exports in third country markets only in situations where the complaining Member's product is demonstrated to be unsubsidized</w:t>
      </w:r>
      <w:r>
        <w:t>".</w:t>
      </w:r>
      <w:r>
        <w:rPr>
          <w:rStyle w:val="FootnoteReference"/>
        </w:rPr>
        <w:footnoteReference w:id="1084"/>
      </w:r>
      <w:r>
        <w:t xml:space="preserve"> The original panel characterized this as</w:t>
      </w:r>
      <w:r w:rsidRPr="00D762D2">
        <w:t xml:space="preserve"> </w:t>
      </w:r>
      <w:r>
        <w:t>"</w:t>
      </w:r>
      <w:r w:rsidRPr="00D762D2">
        <w:t xml:space="preserve">a sort of 'clean hands' requirement for complaining Members </w:t>
      </w:r>
      <w:r w:rsidRPr="00F06F6B">
        <w:rPr>
          <w:i/>
        </w:rPr>
        <w:t>as a prerequisite</w:t>
      </w:r>
      <w:r w:rsidRPr="00D762D2">
        <w:t xml:space="preserve"> to a claim under </w:t>
      </w:r>
      <w:r>
        <w:t>Article </w:t>
      </w:r>
      <w:r w:rsidRPr="00D762D2">
        <w:t>6.3(b)".</w:t>
      </w:r>
      <w:r>
        <w:rPr>
          <w:rStyle w:val="FootnoteReference"/>
        </w:rPr>
        <w:footnoteReference w:id="1085"/>
      </w:r>
      <w:r>
        <w:t xml:space="preserve"> </w:t>
      </w:r>
    </w:p>
    <w:p w:rsidR="00AE4AC1" w:rsidRDefault="00AE4AC1" w:rsidP="009E6402">
      <w:pPr>
        <w:pStyle w:val="BodyText"/>
      </w:pPr>
      <w:r w:rsidRPr="00D762D2">
        <w:t xml:space="preserve">The original panel </w:t>
      </w:r>
      <w:r>
        <w:t>found support for</w:t>
      </w:r>
      <w:r w:rsidRPr="00D762D2">
        <w:t xml:space="preserve"> its view </w:t>
      </w:r>
      <w:r>
        <w:t>in</w:t>
      </w:r>
      <w:r w:rsidRPr="00D762D2">
        <w:t xml:space="preserve"> the </w:t>
      </w:r>
      <w:r>
        <w:t>negotiating</w:t>
      </w:r>
      <w:r w:rsidRPr="00D762D2">
        <w:t xml:space="preserve"> history of </w:t>
      </w:r>
      <w:r>
        <w:t>Article 6 of the SCM Agreement</w:t>
      </w:r>
      <w:r w:rsidRPr="00D762D2">
        <w:t xml:space="preserve">. </w:t>
      </w:r>
      <w:r>
        <w:t xml:space="preserve">In particular, it </w:t>
      </w:r>
      <w:r w:rsidRPr="00D762D2">
        <w:t xml:space="preserve">considered </w:t>
      </w:r>
      <w:r w:rsidR="00AE2E7A">
        <w:t xml:space="preserve">that </w:t>
      </w:r>
      <w:r>
        <w:t>its reading of Article 6.3:</w:t>
      </w:r>
    </w:p>
    <w:p w:rsidR="00AE4AC1" w:rsidRPr="00537500" w:rsidRDefault="00AE4AC1" w:rsidP="00267BCB">
      <w:pPr>
        <w:pStyle w:val="Quotation"/>
      </w:pPr>
      <w:r>
        <w:t>fit{s} with the </w:t>
      </w:r>
      <w:r w:rsidRPr="00D762D2">
        <w:t xml:space="preserve">overall architecture of </w:t>
      </w:r>
      <w:r>
        <w:t>Article </w:t>
      </w:r>
      <w:r w:rsidRPr="00D762D2">
        <w:t xml:space="preserve">6 as originally negotiated and adopted, with different burdens for establishing serious prejudice, ranging from </w:t>
      </w:r>
      <w:r w:rsidR="00AE2E7A">
        <w:t>"</w:t>
      </w:r>
      <w:r w:rsidRPr="00D762D2">
        <w:t>deemed</w:t>
      </w:r>
      <w:r w:rsidR="00AE2E7A">
        <w:t>"</w:t>
      </w:r>
      <w:r w:rsidRPr="00D762D2">
        <w:t xml:space="preserve"> serious prejudice in the case of certain subsidies under </w:t>
      </w:r>
      <w:r>
        <w:t>Article </w:t>
      </w:r>
      <w:r w:rsidRPr="00D762D2">
        <w:t xml:space="preserve">6.1, to a lesser burden for complaining Members with </w:t>
      </w:r>
      <w:r>
        <w:t>"</w:t>
      </w:r>
      <w:r w:rsidRPr="00D762D2">
        <w:t>clean hands</w:t>
      </w:r>
      <w:r>
        <w:t>"</w:t>
      </w:r>
      <w:r w:rsidRPr="00D762D2">
        <w:t xml:space="preserve">, </w:t>
      </w:r>
      <w:r w:rsidRPr="00D51E73">
        <w:rPr>
          <w:i/>
          <w:iCs/>
        </w:rPr>
        <w:t>i.e.</w:t>
      </w:r>
      <w:r>
        <w:rPr>
          <w:iCs/>
        </w:rPr>
        <w:t>,</w:t>
      </w:r>
      <w:r w:rsidRPr="00D762D2">
        <w:t xml:space="preserve"> an unsubsidized competing product, to the requirement to prove that the market effects of displacement or impedance are the effect of the subsidies.</w:t>
      </w:r>
      <w:r>
        <w:rPr>
          <w:rStyle w:val="FootnoteReference"/>
        </w:rPr>
        <w:footnoteReference w:id="1086"/>
      </w:r>
    </w:p>
    <w:p w:rsidR="00AE4AC1" w:rsidRDefault="00AE4AC1" w:rsidP="009E6402">
      <w:pPr>
        <w:pStyle w:val="BodyText"/>
      </w:pPr>
      <w:r w:rsidRPr="00584F5A">
        <w:t xml:space="preserve">Neither party appealed these findings, and the original panel report as modified by the </w:t>
      </w:r>
      <w:r>
        <w:t>Appellate Body</w:t>
      </w:r>
      <w:r w:rsidRPr="00584F5A">
        <w:t xml:space="preserve"> report in relation to other matters</w:t>
      </w:r>
      <w:r>
        <w:t>,</w:t>
      </w:r>
      <w:r w:rsidRPr="00584F5A">
        <w:t xml:space="preserve"> was adopted by the DSB. Thus, the </w:t>
      </w:r>
      <w:r>
        <w:t>Appellate Body</w:t>
      </w:r>
      <w:r w:rsidRPr="00584F5A">
        <w:t xml:space="preserve"> did not have the occasion to </w:t>
      </w:r>
      <w:r>
        <w:t>review</w:t>
      </w:r>
      <w:r w:rsidRPr="00584F5A">
        <w:t xml:space="preserve"> the original panel's findings in this respect. </w:t>
      </w:r>
      <w:r>
        <w:t>However, while completing – at least to some extent – the legal analysis of the United States' claims of displacement under Article</w:t>
      </w:r>
      <w:r w:rsidR="00AE2E7A">
        <w:t>s</w:t>
      </w:r>
      <w:r>
        <w:t xml:space="preserve"> 6.3(a) and 6.3(b) of the SCM Agreement, the Appellate Body made certain statements regarding Article 6.3 and </w:t>
      </w:r>
      <w:r w:rsidR="00AE2E7A">
        <w:t xml:space="preserve">Article </w:t>
      </w:r>
      <w:r>
        <w:t>6.4. The Appellate Body found that, while displacement under Article 6.3(a) arises "</w:t>
      </w:r>
      <w:r w:rsidRPr="00185B13">
        <w:t>where imports of a like product of the complaining Member are declining in the market of the subsidizing Member, and are being substitu</w:t>
      </w:r>
      <w:r>
        <w:t>ted by the subsidized product", under Article 6.3(b), displacement occurs "</w:t>
      </w:r>
      <w:r w:rsidRPr="00185B13">
        <w:t xml:space="preserve">where exports </w:t>
      </w:r>
      <w:r>
        <w:t>{of}</w:t>
      </w:r>
      <w:r w:rsidRPr="00185B13">
        <w:t xml:space="preserve"> the </w:t>
      </w:r>
      <w:r w:rsidR="00A44458">
        <w:rPr>
          <w:i/>
        </w:rPr>
        <w:t>like </w:t>
      </w:r>
      <w:r w:rsidRPr="00584F5A">
        <w:rPr>
          <w:i/>
        </w:rPr>
        <w:t>product of the complaining Member</w:t>
      </w:r>
      <w:r w:rsidRPr="00185B13">
        <w:t xml:space="preserve"> are declining </w:t>
      </w:r>
      <w:r w:rsidRPr="00185B13" w:rsidDel="000931E8">
        <w:t xml:space="preserve">in </w:t>
      </w:r>
      <w:r w:rsidRPr="00185B13">
        <w:t>the third country market concerned, and are being substituted</w:t>
      </w:r>
      <w:r w:rsidRPr="00185B13" w:rsidDel="000931E8">
        <w:t xml:space="preserve"> by exports of the subsidized product</w:t>
      </w:r>
      <w:r>
        <w:t>"</w:t>
      </w:r>
      <w:r w:rsidRPr="00185B13">
        <w:t>.</w:t>
      </w:r>
      <w:r>
        <w:rPr>
          <w:rStyle w:val="FootnoteReference"/>
        </w:rPr>
        <w:footnoteReference w:id="1087"/>
      </w:r>
      <w:r>
        <w:t xml:space="preserve"> </w:t>
      </w:r>
      <w:r w:rsidR="00C826B3">
        <w:t>With regard to Article 6.4, the </w:t>
      </w:r>
      <w:r>
        <w:t>Appellate Body noted that, under this provision,</w:t>
      </w:r>
      <w:r w:rsidRPr="00E20560">
        <w:t xml:space="preserve"> the change in relative market shares shall be demonstrated "over an appropriately representative period sufficient to demonstrate clear trends in the development of the market for the product concerned".</w:t>
      </w:r>
      <w:r>
        <w:rPr>
          <w:rStyle w:val="FootnoteReference"/>
        </w:rPr>
        <w:footnoteReference w:id="1088"/>
      </w:r>
      <w:r>
        <w:t xml:space="preserve"> </w:t>
      </w:r>
    </w:p>
    <w:p w:rsidR="00AE4AC1" w:rsidRPr="00FD3138" w:rsidRDefault="00AE4AC1" w:rsidP="009E6402">
      <w:pPr>
        <w:pStyle w:val="Heading4"/>
      </w:pPr>
      <w:bookmarkStart w:id="128" w:name="_Toc491243773"/>
      <w:bookmarkStart w:id="129" w:name="_Toc495062871"/>
      <w:bookmarkStart w:id="130" w:name="_Toc514059257"/>
      <w:r>
        <w:t xml:space="preserve">Arguments before the Panel and </w:t>
      </w:r>
      <w:r w:rsidRPr="00FD3138">
        <w:t>Panel findings</w:t>
      </w:r>
      <w:bookmarkEnd w:id="127"/>
      <w:bookmarkEnd w:id="128"/>
      <w:bookmarkEnd w:id="129"/>
      <w:r>
        <w:t xml:space="preserve"> in the compliance proceedings</w:t>
      </w:r>
      <w:bookmarkEnd w:id="130"/>
    </w:p>
    <w:p w:rsidR="00AE4AC1" w:rsidRPr="00D762D2" w:rsidRDefault="00AE4AC1" w:rsidP="009E6402">
      <w:pPr>
        <w:pStyle w:val="BodyText"/>
      </w:pPr>
      <w:r w:rsidRPr="00D762D2">
        <w:t xml:space="preserve">Before the Panel, the </w:t>
      </w:r>
      <w:r>
        <w:t>European Union</w:t>
      </w:r>
      <w:r w:rsidRPr="00D762D2">
        <w:t xml:space="preserve"> argued that, </w:t>
      </w:r>
      <w:r w:rsidRPr="00D762D2">
        <w:rPr>
          <w:lang w:val="en-US"/>
        </w:rPr>
        <w:t xml:space="preserve">in order for the </w:t>
      </w:r>
      <w:r>
        <w:rPr>
          <w:lang w:val="en-US"/>
        </w:rPr>
        <w:t>United States</w:t>
      </w:r>
      <w:r w:rsidRPr="00D762D2">
        <w:rPr>
          <w:lang w:val="en-US"/>
        </w:rPr>
        <w:t xml:space="preserve"> to make out its claims of displacement or impedance of exports within the meaning of </w:t>
      </w:r>
      <w:r>
        <w:rPr>
          <w:lang w:val="en-US"/>
        </w:rPr>
        <w:t>Article </w:t>
      </w:r>
      <w:r w:rsidRPr="00D762D2">
        <w:rPr>
          <w:lang w:val="en-US"/>
        </w:rPr>
        <w:t>6.3(b) of the SCM</w:t>
      </w:r>
      <w:r>
        <w:rPr>
          <w:lang w:val="en-US"/>
        </w:rPr>
        <w:t> Agreement</w:t>
      </w:r>
      <w:r w:rsidRPr="00D762D2">
        <w:rPr>
          <w:lang w:val="en-US"/>
        </w:rPr>
        <w:t xml:space="preserve">, "the </w:t>
      </w:r>
      <w:r>
        <w:rPr>
          <w:lang w:val="en-US"/>
        </w:rPr>
        <w:t>United States</w:t>
      </w:r>
      <w:r w:rsidRPr="00D762D2">
        <w:rPr>
          <w:lang w:val="en-US"/>
        </w:rPr>
        <w:t xml:space="preserve"> </w:t>
      </w:r>
      <w:r>
        <w:rPr>
          <w:lang w:val="en-US"/>
        </w:rPr>
        <w:t>{had to}</w:t>
      </w:r>
      <w:r w:rsidRPr="00D762D2">
        <w:rPr>
          <w:lang w:val="en-US"/>
        </w:rPr>
        <w:t xml:space="preserve"> demonstrate, by virtue of </w:t>
      </w:r>
      <w:r>
        <w:rPr>
          <w:lang w:val="en-US"/>
        </w:rPr>
        <w:t>Article </w:t>
      </w:r>
      <w:r w:rsidRPr="00D762D2">
        <w:rPr>
          <w:lang w:val="en-US"/>
        </w:rPr>
        <w:t>6.4, that {its} product being allegedly displaced o</w:t>
      </w:r>
      <w:r>
        <w:rPr>
          <w:lang w:val="en-US"/>
        </w:rPr>
        <w:t>r impeded in any relevant third </w:t>
      </w:r>
      <w:r w:rsidRPr="00D762D2">
        <w:rPr>
          <w:lang w:val="en-US"/>
        </w:rPr>
        <w:t xml:space="preserve">country market </w:t>
      </w:r>
      <w:r>
        <w:rPr>
          <w:lang w:val="en-US"/>
        </w:rPr>
        <w:t>{was}</w:t>
      </w:r>
      <w:r w:rsidRPr="00D762D2">
        <w:rPr>
          <w:lang w:val="en-US"/>
        </w:rPr>
        <w:t xml:space="preserve"> a '</w:t>
      </w:r>
      <w:r>
        <w:rPr>
          <w:lang w:val="en-US"/>
        </w:rPr>
        <w:t>non</w:t>
      </w:r>
      <w:r>
        <w:rPr>
          <w:lang w:val="en-US"/>
        </w:rPr>
        <w:noBreakHyphen/>
      </w:r>
      <w:r w:rsidRPr="00D762D2">
        <w:rPr>
          <w:lang w:val="en-US"/>
        </w:rPr>
        <w:t>subsidized like product'."</w:t>
      </w:r>
      <w:r>
        <w:rPr>
          <w:rStyle w:val="FootnoteReference"/>
          <w:lang w:val="en-US"/>
        </w:rPr>
        <w:footnoteReference w:id="1089"/>
      </w:r>
      <w:r w:rsidRPr="00D762D2">
        <w:rPr>
          <w:lang w:val="en-US"/>
        </w:rPr>
        <w:t xml:space="preserve"> The </w:t>
      </w:r>
      <w:r>
        <w:rPr>
          <w:lang w:val="en-US"/>
        </w:rPr>
        <w:t>European Union</w:t>
      </w:r>
      <w:r w:rsidRPr="00D762D2">
        <w:rPr>
          <w:lang w:val="en-US"/>
        </w:rPr>
        <w:t xml:space="preserve"> submitted that "the fact that there {was} now a multilateral determination {in </w:t>
      </w:r>
      <w:r w:rsidRPr="00D762D2">
        <w:rPr>
          <w:i/>
          <w:iCs/>
        </w:rPr>
        <w:t>US – Large Civil Aircraft (2</w:t>
      </w:r>
      <w:r w:rsidRPr="00D762D2">
        <w:rPr>
          <w:i/>
          <w:iCs/>
          <w:vertAlign w:val="superscript"/>
        </w:rPr>
        <w:t>nd</w:t>
      </w:r>
      <w:r w:rsidRPr="00D762D2">
        <w:rPr>
          <w:i/>
          <w:iCs/>
        </w:rPr>
        <w:t> complaint)</w:t>
      </w:r>
      <w:r w:rsidRPr="00D762D2">
        <w:rPr>
          <w:lang w:val="en-US"/>
        </w:rPr>
        <w:t xml:space="preserve">} that the </w:t>
      </w:r>
      <w:r>
        <w:rPr>
          <w:lang w:val="en-US"/>
        </w:rPr>
        <w:t>United States</w:t>
      </w:r>
      <w:r w:rsidRPr="00D762D2">
        <w:rPr>
          <w:lang w:val="en-US"/>
        </w:rPr>
        <w:t xml:space="preserve">' 'like products' {were} subsidized mean{t} that the relevant factual circumstances ha{d} changed" such that "there {was} now a new 'matter' before the compliance Panel that </w:t>
      </w:r>
      <w:r w:rsidR="00D26FEE">
        <w:rPr>
          <w:lang w:val="en-US"/>
        </w:rPr>
        <w:t>{had </w:t>
      </w:r>
      <w:r>
        <w:rPr>
          <w:lang w:val="en-US"/>
        </w:rPr>
        <w:t>to}</w:t>
      </w:r>
      <w:r w:rsidRPr="00D762D2">
        <w:rPr>
          <w:lang w:val="en-US"/>
        </w:rPr>
        <w:t xml:space="preserve"> be resolved".</w:t>
      </w:r>
      <w:r>
        <w:rPr>
          <w:rStyle w:val="FootnoteReference"/>
          <w:lang w:val="en-US"/>
        </w:rPr>
        <w:footnoteReference w:id="1090"/>
      </w:r>
      <w:r w:rsidRPr="00D762D2">
        <w:rPr>
          <w:lang w:val="en-US"/>
        </w:rPr>
        <w:t xml:space="preserve"> </w:t>
      </w:r>
      <w:r>
        <w:rPr>
          <w:lang w:val="en-US"/>
        </w:rPr>
        <w:t>Additionally, the European Union argued that given the context of Article 6.4, "the existence of such subsidisation" was something that the Panel had to take into account in its assessment of causation and non</w:t>
      </w:r>
      <w:r>
        <w:rPr>
          <w:lang w:val="en-US"/>
        </w:rPr>
        <w:noBreakHyphen/>
        <w:t>attribution.</w:t>
      </w:r>
      <w:r>
        <w:rPr>
          <w:rStyle w:val="FootnoteReference"/>
          <w:lang w:val="en-US"/>
        </w:rPr>
        <w:footnoteReference w:id="1091"/>
      </w:r>
      <w:r>
        <w:rPr>
          <w:lang w:val="en-US"/>
        </w:rPr>
        <w:t xml:space="preserve"> </w:t>
      </w:r>
      <w:r w:rsidRPr="00D762D2">
        <w:rPr>
          <w:lang w:val="en-US"/>
        </w:rPr>
        <w:t xml:space="preserve">The </w:t>
      </w:r>
      <w:r>
        <w:rPr>
          <w:lang w:val="en-US"/>
        </w:rPr>
        <w:t>European Union</w:t>
      </w:r>
      <w:r w:rsidRPr="00D762D2">
        <w:rPr>
          <w:lang w:val="en-US"/>
        </w:rPr>
        <w:t xml:space="preserve"> alleged that there were, in any event, "cogent reasons" to review the original panel's interpretation of the relationship between </w:t>
      </w:r>
      <w:r>
        <w:rPr>
          <w:lang w:val="en-US"/>
        </w:rPr>
        <w:t>Article </w:t>
      </w:r>
      <w:r w:rsidRPr="00D762D2">
        <w:rPr>
          <w:lang w:val="en-US"/>
        </w:rPr>
        <w:t xml:space="preserve">6.3(b) and </w:t>
      </w:r>
      <w:r>
        <w:rPr>
          <w:lang w:val="en-US"/>
        </w:rPr>
        <w:t>Article </w:t>
      </w:r>
      <w:r w:rsidRPr="00D762D2">
        <w:rPr>
          <w:lang w:val="en-US"/>
        </w:rPr>
        <w:t xml:space="preserve">6.4 of </w:t>
      </w:r>
      <w:r w:rsidRPr="00D762D2">
        <w:t>the</w:t>
      </w:r>
      <w:r w:rsidRPr="00D762D2">
        <w:rPr>
          <w:lang w:val="en-US"/>
        </w:rPr>
        <w:t xml:space="preserve"> SCM</w:t>
      </w:r>
      <w:r>
        <w:rPr>
          <w:lang w:val="en-US"/>
        </w:rPr>
        <w:t> Agreement</w:t>
      </w:r>
      <w:r w:rsidRPr="00D762D2">
        <w:rPr>
          <w:lang w:val="en-US"/>
        </w:rPr>
        <w:t>.</w:t>
      </w:r>
      <w:r>
        <w:rPr>
          <w:rStyle w:val="FootnoteReference"/>
          <w:lang w:val="en-US"/>
        </w:rPr>
        <w:footnoteReference w:id="1092"/>
      </w:r>
    </w:p>
    <w:p w:rsidR="00AE4AC1" w:rsidRPr="00D762D2" w:rsidRDefault="00AE4AC1" w:rsidP="009E6402">
      <w:pPr>
        <w:pStyle w:val="BodyText"/>
      </w:pPr>
      <w:r w:rsidRPr="00D762D2">
        <w:rPr>
          <w:lang w:val="en-US"/>
        </w:rPr>
        <w:t xml:space="preserve">In response, the </w:t>
      </w:r>
      <w:r>
        <w:rPr>
          <w:lang w:val="en-US"/>
        </w:rPr>
        <w:t>United States</w:t>
      </w:r>
      <w:r w:rsidRPr="00D762D2">
        <w:rPr>
          <w:lang w:val="en-US"/>
        </w:rPr>
        <w:t xml:space="preserve"> submitted that "the '</w:t>
      </w:r>
      <w:r>
        <w:rPr>
          <w:lang w:val="en-US"/>
        </w:rPr>
        <w:t>non</w:t>
      </w:r>
      <w:r>
        <w:rPr>
          <w:lang w:val="en-US"/>
        </w:rPr>
        <w:noBreakHyphen/>
      </w:r>
      <w:r w:rsidRPr="00D762D2">
        <w:rPr>
          <w:lang w:val="en-US"/>
        </w:rPr>
        <w:t xml:space="preserve">subsidized like product' arguments … in this compliance dispute were already addressed and rejected in the unappealed findings from the original proceeding that were adopted by the DSB", which "impl{ied} that the </w:t>
      </w:r>
      <w:r>
        <w:rPr>
          <w:lang w:val="en-US"/>
        </w:rPr>
        <w:t>European Union</w:t>
      </w:r>
      <w:r w:rsidRPr="00D762D2">
        <w:rPr>
          <w:lang w:val="en-US"/>
        </w:rPr>
        <w:t xml:space="preserve"> {was} not entitled to reopen the matter"</w:t>
      </w:r>
      <w:r>
        <w:rPr>
          <w:lang w:val="en-US"/>
        </w:rPr>
        <w:t>.</w:t>
      </w:r>
      <w:r>
        <w:rPr>
          <w:rStyle w:val="FootnoteReference"/>
          <w:lang w:val="en-US"/>
        </w:rPr>
        <w:footnoteReference w:id="1093"/>
      </w:r>
      <w:r w:rsidRPr="00D762D2">
        <w:rPr>
          <w:lang w:val="en-US"/>
        </w:rPr>
        <w:t xml:space="preserve"> According to the </w:t>
      </w:r>
      <w:r>
        <w:rPr>
          <w:lang w:val="en-US"/>
        </w:rPr>
        <w:t>United States</w:t>
      </w:r>
      <w:r w:rsidRPr="00D762D2">
        <w:rPr>
          <w:lang w:val="en-US"/>
        </w:rPr>
        <w:t xml:space="preserve">, the </w:t>
      </w:r>
      <w:r>
        <w:rPr>
          <w:lang w:val="en-US"/>
        </w:rPr>
        <w:t>European Union</w:t>
      </w:r>
      <w:r w:rsidRPr="00D762D2">
        <w:rPr>
          <w:lang w:val="en-US"/>
        </w:rPr>
        <w:t>'s submission that there was a new "matter" before the Panel "in th</w:t>
      </w:r>
      <w:r w:rsidR="00A44458">
        <w:rPr>
          <w:lang w:val="en-US"/>
        </w:rPr>
        <w:t>e light of the alleged 'changed </w:t>
      </w:r>
      <w:r w:rsidRPr="00D762D2">
        <w:rPr>
          <w:lang w:val="en-US"/>
        </w:rPr>
        <w:t>facts' {was} premised on a mischaracterization of the original panel's findings"</w:t>
      </w:r>
      <w:r>
        <w:rPr>
          <w:lang w:val="en-US"/>
        </w:rPr>
        <w:t>.</w:t>
      </w:r>
      <w:r>
        <w:rPr>
          <w:rStyle w:val="FootnoteReference"/>
          <w:lang w:val="en-US"/>
        </w:rPr>
        <w:footnoteReference w:id="1094"/>
      </w:r>
      <w:r w:rsidR="00A44458">
        <w:rPr>
          <w:lang w:val="en-US"/>
        </w:rPr>
        <w:t xml:space="preserve"> The </w:t>
      </w:r>
      <w:r>
        <w:rPr>
          <w:lang w:val="en-US"/>
        </w:rPr>
        <w:t>United States</w:t>
      </w:r>
      <w:r w:rsidRPr="00D762D2">
        <w:rPr>
          <w:lang w:val="en-US"/>
        </w:rPr>
        <w:t xml:space="preserve"> submitted that "the original panel's rejection of the European Communities' arguments regarding the relationship between Articles 6.3(b) and 6.4 was based on a legal interpretation, rendering the factual question of the subsidization of the </w:t>
      </w:r>
      <w:r>
        <w:rPr>
          <w:lang w:val="en-US"/>
        </w:rPr>
        <w:t>United States</w:t>
      </w:r>
      <w:r w:rsidRPr="00D762D2">
        <w:rPr>
          <w:lang w:val="en-US"/>
        </w:rPr>
        <w:t>' like products 'irrelevant in this case'."</w:t>
      </w:r>
      <w:r>
        <w:rPr>
          <w:rStyle w:val="FootnoteReference"/>
          <w:lang w:val="en-US"/>
        </w:rPr>
        <w:footnoteReference w:id="1095"/>
      </w:r>
      <w:r w:rsidRPr="00D762D2">
        <w:rPr>
          <w:lang w:val="en-US"/>
        </w:rPr>
        <w:t xml:space="preserve"> Furthermore, the </w:t>
      </w:r>
      <w:r>
        <w:rPr>
          <w:lang w:val="en-US"/>
        </w:rPr>
        <w:t>United States</w:t>
      </w:r>
      <w:r w:rsidRPr="00D762D2">
        <w:rPr>
          <w:lang w:val="en-US"/>
        </w:rPr>
        <w:t xml:space="preserve"> disagreed with the </w:t>
      </w:r>
      <w:r>
        <w:rPr>
          <w:lang w:val="en-US"/>
        </w:rPr>
        <w:t>European Union</w:t>
      </w:r>
      <w:r w:rsidRPr="00D762D2">
        <w:rPr>
          <w:lang w:val="en-US"/>
        </w:rPr>
        <w:t>'s contention that there were "cogent reasons" for the Panel to review the original panel's findings.</w:t>
      </w:r>
      <w:r>
        <w:rPr>
          <w:rStyle w:val="FootnoteReference"/>
          <w:lang w:val="en-US"/>
        </w:rPr>
        <w:footnoteReference w:id="1096"/>
      </w:r>
    </w:p>
    <w:p w:rsidR="00AE4AC1" w:rsidRPr="00D762D2" w:rsidRDefault="00AE4AC1" w:rsidP="009E6402">
      <w:pPr>
        <w:pStyle w:val="BodyText"/>
      </w:pPr>
      <w:r w:rsidRPr="00D762D2">
        <w:t xml:space="preserve">The Panel </w:t>
      </w:r>
      <w:r>
        <w:t>began its analysis</w:t>
      </w:r>
      <w:r w:rsidRPr="00D762D2">
        <w:t xml:space="preserve"> by noting that, in the orig</w:t>
      </w:r>
      <w:r w:rsidR="00AE2E7A">
        <w:t>inal proceedings, "the European </w:t>
      </w:r>
      <w:r w:rsidRPr="00D762D2">
        <w:t xml:space="preserve">Communities </w:t>
      </w:r>
      <w:r>
        <w:t xml:space="preserve">{had} </w:t>
      </w:r>
      <w:r w:rsidRPr="00D762D2">
        <w:t xml:space="preserve">advanced essentially the same line of argument" </w:t>
      </w:r>
      <w:r>
        <w:t>i</w:t>
      </w:r>
      <w:r w:rsidR="00AE2E7A">
        <w:t>t</w:t>
      </w:r>
      <w:r>
        <w:t xml:space="preserve"> now advanced in these compliance proceedings </w:t>
      </w:r>
      <w:r w:rsidRPr="00D762D2">
        <w:t xml:space="preserve">to support its proposition that the </w:t>
      </w:r>
      <w:r>
        <w:t>United States</w:t>
      </w:r>
      <w:r w:rsidRPr="00D762D2">
        <w:t xml:space="preserve">' </w:t>
      </w:r>
      <w:r w:rsidRPr="00C46C03">
        <w:rPr>
          <w:lang w:val="en-US"/>
        </w:rPr>
        <w:t xml:space="preserve">claims under </w:t>
      </w:r>
      <w:r>
        <w:rPr>
          <w:lang w:val="en-US"/>
        </w:rPr>
        <w:t>Article </w:t>
      </w:r>
      <w:r w:rsidRPr="00C46C03">
        <w:rPr>
          <w:lang w:val="en-US"/>
        </w:rPr>
        <w:t>6.3(b) should be rejected</w:t>
      </w:r>
      <w:r w:rsidRPr="00D762D2">
        <w:t>.</w:t>
      </w:r>
      <w:r>
        <w:rPr>
          <w:rStyle w:val="FootnoteReference"/>
        </w:rPr>
        <w:footnoteReference w:id="1097"/>
      </w:r>
      <w:r>
        <w:t xml:space="preserve"> </w:t>
      </w:r>
      <w:r w:rsidRPr="00D762D2">
        <w:t>The Panel recalled the original</w:t>
      </w:r>
      <w:r w:rsidR="00C826B3">
        <w:t xml:space="preserve"> panel's finding that "the </w:t>
      </w:r>
      <w:r>
        <w:t>'non</w:t>
      </w:r>
      <w:r>
        <w:noBreakHyphen/>
      </w:r>
      <w:r w:rsidRPr="00D762D2">
        <w:t xml:space="preserve">subsidized like product' language appearing in </w:t>
      </w:r>
      <w:r>
        <w:t>Article </w:t>
      </w:r>
      <w:r w:rsidRPr="00D762D2">
        <w:t xml:space="preserve">6.4 … 'may well require </w:t>
      </w:r>
      <w:r w:rsidRPr="00C46C03">
        <w:rPr>
          <w:lang w:val="en-US"/>
        </w:rPr>
        <w:t>that a complaining Member demonstrate, in the circumstances of that provis</w:t>
      </w:r>
      <w:r w:rsidR="00A44458">
        <w:rPr>
          <w:lang w:val="en-US"/>
        </w:rPr>
        <w:t>ion, that its like product … is </w:t>
      </w:r>
      <w:r w:rsidRPr="00C46C03">
        <w:rPr>
          <w:lang w:val="en-US"/>
        </w:rPr>
        <w:t>not subsidized</w:t>
      </w:r>
      <w:r w:rsidRPr="00D762D2">
        <w:t>'."</w:t>
      </w:r>
      <w:r>
        <w:rPr>
          <w:rStyle w:val="FootnoteReference"/>
        </w:rPr>
        <w:footnoteReference w:id="1098"/>
      </w:r>
      <w:r w:rsidRPr="00D762D2">
        <w:t xml:space="preserve"> However, the Panel noted that the original panel had proceeded to examine</w:t>
      </w:r>
      <w:r w:rsidRPr="00C46C03">
        <w:rPr>
          <w:lang w:val="en-US"/>
        </w:rPr>
        <w:t xml:space="preserve"> "another question, namely, 'whether </w:t>
      </w:r>
      <w:r>
        <w:rPr>
          <w:lang w:val="en-US"/>
        </w:rPr>
        <w:t>Article </w:t>
      </w:r>
      <w:r w:rsidRPr="00C46C03">
        <w:rPr>
          <w:lang w:val="en-US"/>
        </w:rPr>
        <w:t>6.4 {was} the neces</w:t>
      </w:r>
      <w:r w:rsidR="00C826B3">
        <w:rPr>
          <w:lang w:val="en-US"/>
        </w:rPr>
        <w:t>sary or exclusive mechanism for </w:t>
      </w:r>
      <w:r w:rsidRPr="00C46C03">
        <w:rPr>
          <w:lang w:val="en-US"/>
        </w:rPr>
        <w:t xml:space="preserve">demonstrating displacement or impedance of exports … under </w:t>
      </w:r>
      <w:r>
        <w:rPr>
          <w:lang w:val="en-US"/>
        </w:rPr>
        <w:t>Article</w:t>
      </w:r>
      <w:r w:rsidR="00C826B3">
        <w:rPr>
          <w:lang w:val="en-US"/>
        </w:rPr>
        <w:t xml:space="preserve"> 6.3(b), or </w:t>
      </w:r>
      <w:r w:rsidRPr="00C46C03">
        <w:rPr>
          <w:lang w:val="en-US"/>
        </w:rPr>
        <w:t xml:space="preserve">whether … displacement and impedance under </w:t>
      </w:r>
      <w:r>
        <w:rPr>
          <w:lang w:val="en-US"/>
        </w:rPr>
        <w:t>Article </w:t>
      </w:r>
      <w:r w:rsidRPr="00C46C03">
        <w:rPr>
          <w:lang w:val="en-US"/>
        </w:rPr>
        <w:t xml:space="preserve">6.3(b) {could} be demonstrated without reference to </w:t>
      </w:r>
      <w:r>
        <w:rPr>
          <w:lang w:val="en-US"/>
        </w:rPr>
        <w:t>Article </w:t>
      </w:r>
      <w:r w:rsidRPr="00C46C03">
        <w:rPr>
          <w:lang w:val="en-US"/>
        </w:rPr>
        <w:t>6.4'.</w:t>
      </w:r>
      <w:r w:rsidRPr="00D762D2">
        <w:t>"</w:t>
      </w:r>
      <w:r>
        <w:rPr>
          <w:rStyle w:val="FootnoteReference"/>
        </w:rPr>
        <w:footnoteReference w:id="1099"/>
      </w:r>
      <w:r w:rsidRPr="00D762D2">
        <w:t xml:space="preserve"> The Panel considered that </w:t>
      </w:r>
      <w:r w:rsidRPr="00C46C03">
        <w:rPr>
          <w:lang w:val="en-US"/>
        </w:rPr>
        <w:t>the ori</w:t>
      </w:r>
      <w:r>
        <w:rPr>
          <w:lang w:val="en-US"/>
        </w:rPr>
        <w:t>ginal panel's finding that "the </w:t>
      </w:r>
      <w:r w:rsidRPr="00C46C03">
        <w:rPr>
          <w:lang w:val="en-US"/>
        </w:rPr>
        <w:t xml:space="preserve">language of </w:t>
      </w:r>
      <w:r>
        <w:rPr>
          <w:lang w:val="en-US"/>
        </w:rPr>
        <w:t>Article </w:t>
      </w:r>
      <w:r w:rsidRPr="00C46C03">
        <w:rPr>
          <w:lang w:val="en-US"/>
        </w:rPr>
        <w:t xml:space="preserve">6.4 did not prescribe the exclusive means through which a complaining Member could demonstrate displacement or impedance for the purpose of </w:t>
      </w:r>
      <w:r>
        <w:rPr>
          <w:lang w:val="en-US"/>
        </w:rPr>
        <w:t>Article </w:t>
      </w:r>
      <w:r w:rsidRPr="00C46C03">
        <w:rPr>
          <w:lang w:val="en-US"/>
        </w:rPr>
        <w:t>6.3(b) was sufficient to dispose of the European Communities' argument."</w:t>
      </w:r>
      <w:r>
        <w:rPr>
          <w:rStyle w:val="FootnoteReference"/>
          <w:lang w:val="en-US"/>
        </w:rPr>
        <w:footnoteReference w:id="1100"/>
      </w:r>
      <w:r w:rsidRPr="00D762D2">
        <w:t xml:space="preserve"> The Panel further noted that "{</w:t>
      </w:r>
      <w:r w:rsidRPr="00C46C03">
        <w:rPr>
          <w:lang w:val="en-US"/>
        </w:rPr>
        <w:t>t}he </w:t>
      </w:r>
      <w:r>
        <w:rPr>
          <w:lang w:val="en-US"/>
        </w:rPr>
        <w:t>European Union</w:t>
      </w:r>
      <w:r w:rsidRPr="00C46C03">
        <w:rPr>
          <w:lang w:val="en-US"/>
        </w:rPr>
        <w:t xml:space="preserve"> did not appeal the original panel's findings on this point; and the </w:t>
      </w:r>
      <w:r w:rsidR="00AE2E7A">
        <w:rPr>
          <w:lang w:val="en-US"/>
        </w:rPr>
        <w:t xml:space="preserve">{original} </w:t>
      </w:r>
      <w:r w:rsidRPr="00D762D2">
        <w:t xml:space="preserve">panel report, as modified by the </w:t>
      </w:r>
      <w:r>
        <w:t>Appellate Body</w:t>
      </w:r>
      <w:r w:rsidRPr="00D762D2">
        <w:t xml:space="preserve"> in relation to ot</w:t>
      </w:r>
      <w:r w:rsidR="00AE2E7A">
        <w:t>her matters, was adopted by the </w:t>
      </w:r>
      <w:r w:rsidRPr="00D762D2">
        <w:t>DSB."</w:t>
      </w:r>
      <w:r>
        <w:rPr>
          <w:rStyle w:val="FootnoteReference"/>
        </w:rPr>
        <w:footnoteReference w:id="1101"/>
      </w:r>
      <w:r w:rsidRPr="00D762D2">
        <w:t xml:space="preserve"> </w:t>
      </w:r>
    </w:p>
    <w:p w:rsidR="00AE4AC1" w:rsidRPr="00D762D2" w:rsidRDefault="00AE4AC1" w:rsidP="009E6402">
      <w:pPr>
        <w:pStyle w:val="BodyText"/>
      </w:pPr>
      <w:r w:rsidRPr="00D762D2">
        <w:t>T</w:t>
      </w:r>
      <w:r w:rsidRPr="00D762D2">
        <w:rPr>
          <w:lang w:val="en-US"/>
        </w:rPr>
        <w:t xml:space="preserve">he Panel understood </w:t>
      </w:r>
      <w:r w:rsidRPr="00D762D2">
        <w:t xml:space="preserve">the </w:t>
      </w:r>
      <w:r>
        <w:t>European Union</w:t>
      </w:r>
      <w:r w:rsidRPr="00D762D2">
        <w:t xml:space="preserve"> to now request that it "rule on what is essentially the same legal question that was resolved in the original proceeding and/or review and modify the original panel's legal findings.</w:t>
      </w:r>
      <w:r w:rsidRPr="00D762D2">
        <w:rPr>
          <w:lang w:val="en-US"/>
        </w:rPr>
        <w:t>"</w:t>
      </w:r>
      <w:r>
        <w:rPr>
          <w:rStyle w:val="FootnoteReference"/>
          <w:lang w:val="en-US"/>
        </w:rPr>
        <w:footnoteReference w:id="1102"/>
      </w:r>
      <w:r w:rsidRPr="00D762D2">
        <w:rPr>
          <w:lang w:val="en-US"/>
        </w:rPr>
        <w:t xml:space="preserve"> </w:t>
      </w:r>
      <w:r w:rsidRPr="00D762D2">
        <w:t xml:space="preserve">The Panel first considered the </w:t>
      </w:r>
      <w:r>
        <w:t>European Union</w:t>
      </w:r>
      <w:r w:rsidRPr="00D762D2">
        <w:t xml:space="preserve">'s argument that "new </w:t>
      </w:r>
      <w:r w:rsidRPr="00D762D2">
        <w:rPr>
          <w:lang w:val="en-US"/>
        </w:rPr>
        <w:t xml:space="preserve">factual circumstances mean{t} that there {was} a new 'matter' before the … Panel" and, therefore, that the Panel was </w:t>
      </w:r>
      <w:r>
        <w:rPr>
          <w:lang w:val="en-US"/>
        </w:rPr>
        <w:t>"</w:t>
      </w:r>
      <w:r w:rsidRPr="00D762D2">
        <w:rPr>
          <w:lang w:val="en-US"/>
        </w:rPr>
        <w:t xml:space="preserve">not precluded from addressing the </w:t>
      </w:r>
      <w:r>
        <w:rPr>
          <w:lang w:val="en-US"/>
        </w:rPr>
        <w:t>European Union</w:t>
      </w:r>
      <w:r w:rsidRPr="00D762D2">
        <w:rPr>
          <w:lang w:val="en-US"/>
        </w:rPr>
        <w:t>'s arguments concerning the interpretation of Articles 6.3(b) and 6.4"</w:t>
      </w:r>
      <w:r w:rsidRPr="00D762D2">
        <w:t>.</w:t>
      </w:r>
      <w:r>
        <w:rPr>
          <w:rStyle w:val="FootnoteReference"/>
        </w:rPr>
        <w:footnoteReference w:id="1103"/>
      </w:r>
      <w:r w:rsidRPr="00D762D2">
        <w:t xml:space="preserve"> </w:t>
      </w:r>
      <w:r w:rsidRPr="006A5330">
        <w:t xml:space="preserve">The Panel found, however, that the original panel's </w:t>
      </w:r>
      <w:r w:rsidRPr="006A5330">
        <w:rPr>
          <w:lang w:val="en-US"/>
        </w:rPr>
        <w:t xml:space="preserve">interpretation of the relationship between </w:t>
      </w:r>
      <w:r>
        <w:rPr>
          <w:lang w:val="en-US"/>
        </w:rPr>
        <w:t>Article </w:t>
      </w:r>
      <w:r w:rsidRPr="006A5330">
        <w:rPr>
          <w:lang w:val="en-US"/>
        </w:rPr>
        <w:t xml:space="preserve">6.3(b) and </w:t>
      </w:r>
      <w:r>
        <w:rPr>
          <w:lang w:val="en-US"/>
        </w:rPr>
        <w:t>Article </w:t>
      </w:r>
      <w:r w:rsidRPr="006A5330">
        <w:rPr>
          <w:lang w:val="en-US"/>
        </w:rPr>
        <w:t>6.4 had "decided the matter</w:t>
      </w:r>
      <w:r w:rsidRPr="006A5330">
        <w:t>"</w:t>
      </w:r>
      <w:r>
        <w:rPr>
          <w:rStyle w:val="FootnoteReference"/>
        </w:rPr>
        <w:footnoteReference w:id="1104"/>
      </w:r>
      <w:r w:rsidRPr="006A5330">
        <w:t>, and considered that "</w:t>
      </w:r>
      <w:r w:rsidRPr="006A5330">
        <w:rPr>
          <w:lang w:val="en-US"/>
        </w:rPr>
        <w:t>the extent to which Boeing LCA were subsidized played no role at all in the original panel's legal analysis</w:t>
      </w:r>
      <w:r w:rsidRPr="006A5330">
        <w:t>".</w:t>
      </w:r>
      <w:r>
        <w:rPr>
          <w:rStyle w:val="FootnoteReference"/>
        </w:rPr>
        <w:footnoteReference w:id="1105"/>
      </w:r>
      <w:r w:rsidRPr="00D762D2">
        <w:t xml:space="preserve"> For the Panel, the </w:t>
      </w:r>
      <w:r w:rsidRPr="00D762D2">
        <w:rPr>
          <w:lang w:val="en-US"/>
        </w:rPr>
        <w:t xml:space="preserve">adopted recommendations and rulings in </w:t>
      </w:r>
      <w:r w:rsidRPr="00D762D2">
        <w:rPr>
          <w:i/>
          <w:lang w:val="en-US"/>
        </w:rPr>
        <w:t>US – Large Civil Aircraft (2</w:t>
      </w:r>
      <w:r w:rsidRPr="00D762D2">
        <w:rPr>
          <w:i/>
          <w:vertAlign w:val="superscript"/>
          <w:lang w:val="en-US"/>
        </w:rPr>
        <w:t>nd</w:t>
      </w:r>
      <w:r w:rsidRPr="00D762D2">
        <w:rPr>
          <w:i/>
          <w:lang w:val="en-US"/>
        </w:rPr>
        <w:t> complaint)</w:t>
      </w:r>
      <w:r>
        <w:rPr>
          <w:lang w:val="en-US"/>
        </w:rPr>
        <w:t xml:space="preserve"> in relation to "the </w:t>
      </w:r>
      <w:r w:rsidRPr="00D762D2">
        <w:rPr>
          <w:lang w:val="en-US"/>
        </w:rPr>
        <w:t xml:space="preserve">subsidization of Boeing LCA" therefore did not mean there was "now a new 'matter'" before the Panel "as regards the </w:t>
      </w:r>
      <w:r>
        <w:rPr>
          <w:lang w:val="en-US"/>
        </w:rPr>
        <w:t>European Union</w:t>
      </w:r>
      <w:r w:rsidRPr="00D762D2">
        <w:rPr>
          <w:lang w:val="en-US"/>
        </w:rPr>
        <w:t xml:space="preserve">'s reliance on </w:t>
      </w:r>
      <w:r>
        <w:rPr>
          <w:lang w:val="en-US"/>
        </w:rPr>
        <w:t>Article </w:t>
      </w:r>
      <w:r w:rsidRPr="00D762D2">
        <w:rPr>
          <w:lang w:val="en-US"/>
        </w:rPr>
        <w:t xml:space="preserve">6.4 to reject the </w:t>
      </w:r>
      <w:r>
        <w:rPr>
          <w:lang w:val="en-US"/>
        </w:rPr>
        <w:t>United States</w:t>
      </w:r>
      <w:r w:rsidRPr="00D762D2">
        <w:rPr>
          <w:lang w:val="en-US"/>
        </w:rPr>
        <w:t xml:space="preserve">' claims made under </w:t>
      </w:r>
      <w:r>
        <w:rPr>
          <w:lang w:val="en-US"/>
        </w:rPr>
        <w:t>Article </w:t>
      </w:r>
      <w:r w:rsidRPr="00D762D2">
        <w:rPr>
          <w:lang w:val="en-US"/>
        </w:rPr>
        <w:t>6.3(b)".</w:t>
      </w:r>
      <w:r>
        <w:rPr>
          <w:rStyle w:val="FootnoteReference"/>
          <w:lang w:val="en-US"/>
        </w:rPr>
        <w:footnoteReference w:id="1106"/>
      </w:r>
    </w:p>
    <w:p w:rsidR="00AE4AC1" w:rsidRPr="00D762D2" w:rsidRDefault="00AE4AC1" w:rsidP="009E6402">
      <w:pPr>
        <w:pStyle w:val="BodyText"/>
      </w:pPr>
      <w:r w:rsidRPr="00D762D2">
        <w:t xml:space="preserve">The Panel next turned to address the </w:t>
      </w:r>
      <w:r>
        <w:t>European Union</w:t>
      </w:r>
      <w:r w:rsidRPr="00D762D2">
        <w:t>'s argument that "</w:t>
      </w:r>
      <w:r w:rsidRPr="00C46C03">
        <w:rPr>
          <w:lang w:val="en-US"/>
        </w:rPr>
        <w:t>there {were} 'cogent reasons' for the … Panel to review the original panel's interpretation of the relationship between Articles 6.3(b) and 6.4</w:t>
      </w:r>
      <w:r w:rsidRPr="00D762D2">
        <w:t>"</w:t>
      </w:r>
      <w:r>
        <w:t xml:space="preserve"> of the SCM Agreement</w:t>
      </w:r>
      <w:r w:rsidRPr="00D762D2">
        <w:t>.</w:t>
      </w:r>
      <w:r>
        <w:rPr>
          <w:rStyle w:val="FootnoteReference"/>
        </w:rPr>
        <w:footnoteReference w:id="1107"/>
      </w:r>
      <w:r w:rsidRPr="00D762D2">
        <w:t xml:space="preserve"> The Panel began by noting that "</w:t>
      </w:r>
      <w:r w:rsidRPr="00C46C03">
        <w:rPr>
          <w:lang w:val="en-US"/>
        </w:rPr>
        <w:t xml:space="preserve">the concept of 'cogent reasons' has generally been raised in cases where panels have departed or been asked to depart from previous adopted </w:t>
      </w:r>
      <w:r w:rsidRPr="00C46C03">
        <w:rPr>
          <w:i/>
          <w:lang w:val="en-US"/>
        </w:rPr>
        <w:t>Appellate Body</w:t>
      </w:r>
      <w:r w:rsidRPr="00C46C03">
        <w:rPr>
          <w:lang w:val="en-US"/>
        </w:rPr>
        <w:t xml:space="preserve"> findings in </w:t>
      </w:r>
      <w:r w:rsidRPr="00C46C03">
        <w:rPr>
          <w:i/>
          <w:lang w:val="en-US"/>
        </w:rPr>
        <w:t>different disputes.</w:t>
      </w:r>
      <w:r w:rsidRPr="00C46C03">
        <w:rPr>
          <w:lang w:val="en-US"/>
        </w:rPr>
        <w:t>"</w:t>
      </w:r>
      <w:r>
        <w:rPr>
          <w:rStyle w:val="FootnoteReference"/>
          <w:lang w:val="en-US"/>
        </w:rPr>
        <w:footnoteReference w:id="1108"/>
      </w:r>
      <w:r w:rsidR="00A44458">
        <w:rPr>
          <w:lang w:val="en-US"/>
        </w:rPr>
        <w:t xml:space="preserve"> The </w:t>
      </w:r>
      <w:r w:rsidRPr="00C46C03">
        <w:rPr>
          <w:lang w:val="en-US"/>
        </w:rPr>
        <w:t xml:space="preserve">Panel recalled the findings in </w:t>
      </w:r>
      <w:r w:rsidRPr="00C46C03">
        <w:rPr>
          <w:i/>
          <w:lang w:val="en-US"/>
        </w:rPr>
        <w:t>US – Countervailing and Anti</w:t>
      </w:r>
      <w:r w:rsidRPr="00C46C03">
        <w:rPr>
          <w:i/>
          <w:lang w:val="en-US"/>
        </w:rPr>
        <w:noBreakHyphen/>
        <w:t>Dumping Measures (China)</w:t>
      </w:r>
      <w:r w:rsidRPr="00C46C03">
        <w:rPr>
          <w:lang w:val="en-US"/>
        </w:rPr>
        <w:t xml:space="preserve"> where the panel had indicated the types of considerations that could, in appropriate cases, justify a panel adopting a different interpretation.</w:t>
      </w:r>
      <w:r>
        <w:rPr>
          <w:rStyle w:val="FootnoteReference"/>
          <w:lang w:val="en-US"/>
        </w:rPr>
        <w:footnoteReference w:id="1109"/>
      </w:r>
      <w:r w:rsidRPr="00C46C03">
        <w:rPr>
          <w:lang w:val="en-US"/>
        </w:rPr>
        <w:t xml:space="preserve"> </w:t>
      </w:r>
      <w:r>
        <w:rPr>
          <w:lang w:val="en-US"/>
        </w:rPr>
        <w:t>Referring to</w:t>
      </w:r>
      <w:r w:rsidRPr="00C46C03">
        <w:rPr>
          <w:lang w:val="en-US"/>
        </w:rPr>
        <w:t xml:space="preserve"> the Appellate Body</w:t>
      </w:r>
      <w:r>
        <w:rPr>
          <w:lang w:val="en-US"/>
        </w:rPr>
        <w:t xml:space="preserve"> report</w:t>
      </w:r>
      <w:r w:rsidRPr="00C46C03">
        <w:rPr>
          <w:lang w:val="en-US"/>
        </w:rPr>
        <w:t xml:space="preserve"> in </w:t>
      </w:r>
      <w:r w:rsidRPr="001340A6">
        <w:rPr>
          <w:i/>
        </w:rPr>
        <w:t>US – Stainless Steel (Mexico</w:t>
      </w:r>
      <w:r w:rsidRPr="00C46C03">
        <w:rPr>
          <w:i/>
        </w:rPr>
        <w:t>)</w:t>
      </w:r>
      <w:r w:rsidRPr="00AF525D">
        <w:t>,</w:t>
      </w:r>
      <w:r>
        <w:t xml:space="preserve"> </w:t>
      </w:r>
      <w:r w:rsidRPr="00D762D2">
        <w:t>the Panel</w:t>
      </w:r>
      <w:r>
        <w:t xml:space="preserve"> expressed</w:t>
      </w:r>
      <w:r w:rsidRPr="00602672">
        <w:t xml:space="preserve"> the </w:t>
      </w:r>
      <w:r>
        <w:t xml:space="preserve">view </w:t>
      </w:r>
      <w:r w:rsidRPr="00C46C03">
        <w:rPr>
          <w:lang w:val="en-US"/>
        </w:rPr>
        <w:t xml:space="preserve">that </w:t>
      </w:r>
      <w:r>
        <w:rPr>
          <w:lang w:val="en-US"/>
        </w:rPr>
        <w:t>"</w:t>
      </w:r>
      <w:r w:rsidRPr="00C46C03">
        <w:rPr>
          <w:lang w:val="en-US"/>
        </w:rPr>
        <w:t xml:space="preserve">a </w:t>
      </w:r>
      <w:r w:rsidRPr="00C46C03">
        <w:rPr>
          <w:i/>
          <w:lang w:val="en-US"/>
        </w:rPr>
        <w:t>compliance panel</w:t>
      </w:r>
      <w:r w:rsidRPr="00C46C03">
        <w:rPr>
          <w:lang w:val="en-US"/>
        </w:rPr>
        <w:t xml:space="preserve"> would be committing a legal error" if it were </w:t>
      </w:r>
      <w:r w:rsidRPr="001340A6">
        <w:rPr>
          <w:lang w:val="en-US"/>
        </w:rPr>
        <w:t>to review and reconsider the merits of a legal interpretation developed by the panel serving in the original proceedings</w:t>
      </w:r>
      <w:r w:rsidRPr="00C46C03">
        <w:rPr>
          <w:lang w:val="en-US"/>
        </w:rPr>
        <w:t xml:space="preserve"> of the same dispute, when "that legal interpretation was left unappealed and ultimately the subject of recommendations and rulings adopted by the DSB".</w:t>
      </w:r>
      <w:r>
        <w:rPr>
          <w:rStyle w:val="FootnoteReference"/>
          <w:lang w:val="en-US"/>
        </w:rPr>
        <w:footnoteReference w:id="1110"/>
      </w:r>
      <w:r w:rsidRPr="00C46C03">
        <w:rPr>
          <w:lang w:val="en-US"/>
        </w:rPr>
        <w:t xml:space="preserve"> Thus, the Panel concluded that it was not convinced that "the </w:t>
      </w:r>
      <w:r>
        <w:rPr>
          <w:lang w:val="en-US"/>
        </w:rPr>
        <w:t>European Union</w:t>
      </w:r>
      <w:r w:rsidRPr="00C46C03">
        <w:rPr>
          <w:lang w:val="en-US"/>
        </w:rPr>
        <w:t xml:space="preserve"> {was} entitled to reopen the original panel's findings with respect to its arguments concerning the relevance of </w:t>
      </w:r>
      <w:r>
        <w:rPr>
          <w:lang w:val="en-US"/>
        </w:rPr>
        <w:t>Article </w:t>
      </w:r>
      <w:r w:rsidRPr="00C46C03">
        <w:rPr>
          <w:lang w:val="en-US"/>
        </w:rPr>
        <w:t xml:space="preserve">6.4 … to the </w:t>
      </w:r>
      <w:r>
        <w:rPr>
          <w:lang w:val="en-US"/>
        </w:rPr>
        <w:t>United States</w:t>
      </w:r>
      <w:r w:rsidRPr="00C46C03">
        <w:rPr>
          <w:lang w:val="en-US"/>
        </w:rPr>
        <w:t xml:space="preserve">' claims under </w:t>
      </w:r>
      <w:r>
        <w:rPr>
          <w:lang w:val="en-US"/>
        </w:rPr>
        <w:t>Article </w:t>
      </w:r>
      <w:r w:rsidRPr="00C46C03">
        <w:rPr>
          <w:lang w:val="en-US"/>
        </w:rPr>
        <w:t>6.3(b)."</w:t>
      </w:r>
      <w:r>
        <w:rPr>
          <w:rStyle w:val="FootnoteReference"/>
          <w:lang w:val="en-US"/>
        </w:rPr>
        <w:footnoteReference w:id="1111"/>
      </w:r>
      <w:r w:rsidRPr="00C46C03">
        <w:rPr>
          <w:lang w:val="en-US"/>
        </w:rPr>
        <w:t xml:space="preserve"> </w:t>
      </w:r>
      <w:r w:rsidRPr="00D762D2">
        <w:t>In any event, the Panel found that, "</w:t>
      </w:r>
      <w:r w:rsidRPr="00C46C03">
        <w:rPr>
          <w:lang w:val="en-US"/>
        </w:rPr>
        <w:t>even if it were legally permissible for a compliance panel to review a legal interpretation developed by an original panel that was unappealed and adopted by the DSB in the same dispute"</w:t>
      </w:r>
      <w:r>
        <w:rPr>
          <w:rStyle w:val="FootnoteReference"/>
          <w:lang w:val="en-US"/>
        </w:rPr>
        <w:footnoteReference w:id="1112"/>
      </w:r>
      <w:r w:rsidRPr="00C46C03">
        <w:rPr>
          <w:lang w:val="en-US"/>
        </w:rPr>
        <w:t xml:space="preserve">, the explanations provided by the </w:t>
      </w:r>
      <w:r>
        <w:rPr>
          <w:lang w:val="en-US"/>
        </w:rPr>
        <w:t>European Union</w:t>
      </w:r>
      <w:r w:rsidRPr="00C46C03">
        <w:rPr>
          <w:lang w:val="en-US"/>
        </w:rPr>
        <w:t xml:space="preserve"> did </w:t>
      </w:r>
      <w:r>
        <w:rPr>
          <w:lang w:val="en-US"/>
        </w:rPr>
        <w:t>"</w:t>
      </w:r>
      <w:r w:rsidR="00C826B3">
        <w:rPr>
          <w:lang w:val="en-US"/>
        </w:rPr>
        <w:t>not amount to 'cogent </w:t>
      </w:r>
      <w:r w:rsidRPr="00C46C03">
        <w:rPr>
          <w:lang w:val="en-US"/>
        </w:rPr>
        <w:t>reasons'".</w:t>
      </w:r>
      <w:r>
        <w:rPr>
          <w:rStyle w:val="FootnoteReference"/>
          <w:lang w:val="en-US"/>
        </w:rPr>
        <w:footnoteReference w:id="1113"/>
      </w:r>
      <w:r w:rsidRPr="00C46C03">
        <w:rPr>
          <w:lang w:val="en-US"/>
        </w:rPr>
        <w:t xml:space="preserve"> </w:t>
      </w:r>
      <w:r w:rsidRPr="00D762D2">
        <w:t>On this basis, the Panel dismiss</w:t>
      </w:r>
      <w:r>
        <w:t>ed</w:t>
      </w:r>
      <w:r w:rsidRPr="00D762D2">
        <w:t xml:space="preserve"> </w:t>
      </w:r>
      <w:r w:rsidRPr="00C46C03">
        <w:rPr>
          <w:lang w:val="en-US"/>
        </w:rPr>
        <w:t xml:space="preserve">the </w:t>
      </w:r>
      <w:r>
        <w:rPr>
          <w:lang w:val="en-US"/>
        </w:rPr>
        <w:t>European Union</w:t>
      </w:r>
      <w:r w:rsidRPr="00C46C03">
        <w:rPr>
          <w:lang w:val="en-US"/>
        </w:rPr>
        <w:t xml:space="preserve">'s request to reject the </w:t>
      </w:r>
      <w:r>
        <w:rPr>
          <w:lang w:val="en-US"/>
        </w:rPr>
        <w:t>United States</w:t>
      </w:r>
      <w:r w:rsidRPr="00C46C03">
        <w:rPr>
          <w:lang w:val="en-US"/>
        </w:rPr>
        <w:t xml:space="preserve">' claim under </w:t>
      </w:r>
      <w:r>
        <w:rPr>
          <w:lang w:val="en-US"/>
        </w:rPr>
        <w:t>Article </w:t>
      </w:r>
      <w:r w:rsidRPr="00C46C03">
        <w:rPr>
          <w:lang w:val="en-US"/>
        </w:rPr>
        <w:t>6.3(b) of the SCM</w:t>
      </w:r>
      <w:r>
        <w:rPr>
          <w:lang w:val="en-US"/>
        </w:rPr>
        <w:t> Agreement</w:t>
      </w:r>
      <w:r w:rsidRPr="00C46C03">
        <w:rPr>
          <w:lang w:val="en-US"/>
        </w:rPr>
        <w:t xml:space="preserve"> in light of the adopted recommendations and rulings in </w:t>
      </w:r>
      <w:r w:rsidRPr="00C46C03">
        <w:rPr>
          <w:i/>
          <w:lang w:val="en-US"/>
        </w:rPr>
        <w:t>US – Large Civil Aircraft (2</w:t>
      </w:r>
      <w:r w:rsidRPr="00C46C03">
        <w:rPr>
          <w:i/>
          <w:vertAlign w:val="superscript"/>
          <w:lang w:val="en-US"/>
        </w:rPr>
        <w:t>nd</w:t>
      </w:r>
      <w:r w:rsidRPr="00C46C03">
        <w:rPr>
          <w:i/>
          <w:lang w:val="en-US"/>
        </w:rPr>
        <w:t xml:space="preserve"> complaint)</w:t>
      </w:r>
      <w:r w:rsidRPr="00C46C03">
        <w:rPr>
          <w:lang w:val="en-US"/>
        </w:rPr>
        <w:t xml:space="preserve"> regarding </w:t>
      </w:r>
      <w:r w:rsidR="007065C3">
        <w:rPr>
          <w:lang w:val="en-US"/>
        </w:rPr>
        <w:t xml:space="preserve">the </w:t>
      </w:r>
      <w:r w:rsidRPr="00C46C03">
        <w:rPr>
          <w:lang w:val="en-US"/>
        </w:rPr>
        <w:t>subsidization of Boeing LCA.</w:t>
      </w:r>
      <w:r>
        <w:rPr>
          <w:rStyle w:val="FootnoteReference"/>
          <w:lang w:val="en-US"/>
        </w:rPr>
        <w:footnoteReference w:id="1114"/>
      </w:r>
    </w:p>
    <w:p w:rsidR="00AE4AC1" w:rsidRPr="00D762D2" w:rsidRDefault="00AE4AC1" w:rsidP="009E6402">
      <w:pPr>
        <w:pStyle w:val="Heading4"/>
      </w:pPr>
      <w:bookmarkStart w:id="131" w:name="_Toc491243774"/>
      <w:bookmarkStart w:id="132" w:name="_Toc495062872"/>
      <w:bookmarkStart w:id="133" w:name="_Toc514059258"/>
      <w:r w:rsidRPr="00D762D2">
        <w:t>Claims and arguments on appeal</w:t>
      </w:r>
      <w:bookmarkEnd w:id="131"/>
      <w:bookmarkEnd w:id="132"/>
      <w:bookmarkEnd w:id="133"/>
    </w:p>
    <w:p w:rsidR="00AE4AC1" w:rsidRPr="005659DC" w:rsidRDefault="00AE4AC1" w:rsidP="009E6402">
      <w:pPr>
        <w:pStyle w:val="BodyText"/>
      </w:pPr>
      <w:r>
        <w:t>As noted, t</w:t>
      </w:r>
      <w:r w:rsidRPr="005659DC">
        <w:t xml:space="preserve">he </w:t>
      </w:r>
      <w:r>
        <w:t>European Union</w:t>
      </w:r>
      <w:r w:rsidRPr="005659DC">
        <w:t xml:space="preserve"> argued before the Panel that in dealing with the </w:t>
      </w:r>
      <w:r>
        <w:t>United States</w:t>
      </w:r>
      <w:r w:rsidRPr="005659DC">
        <w:t xml:space="preserve">' claim under </w:t>
      </w:r>
      <w:r>
        <w:t>Article </w:t>
      </w:r>
      <w:r w:rsidRPr="005659DC">
        <w:t>6.3(b) of the SCM</w:t>
      </w:r>
      <w:r>
        <w:t> Agreement</w:t>
      </w:r>
      <w:r w:rsidRPr="005659DC">
        <w:t xml:space="preserve">, the Panel was required to take into account the context of </w:t>
      </w:r>
      <w:r>
        <w:t>Article </w:t>
      </w:r>
      <w:r w:rsidRPr="005659DC">
        <w:t xml:space="preserve">6.4, including, particularly, the phrase </w:t>
      </w:r>
      <w:r w:rsidR="007065C3">
        <w:t>"</w:t>
      </w:r>
      <w:r>
        <w:t>non</w:t>
      </w:r>
      <w:r>
        <w:noBreakHyphen/>
      </w:r>
      <w:r w:rsidRPr="005659DC">
        <w:t>subsidized like product</w:t>
      </w:r>
      <w:r w:rsidR="007065C3">
        <w:t>"</w:t>
      </w:r>
      <w:r w:rsidRPr="005659DC">
        <w:t xml:space="preserve">, when assessing the </w:t>
      </w:r>
      <w:r>
        <w:t>United States</w:t>
      </w:r>
      <w:r w:rsidRPr="005659DC">
        <w:t>' assertions on the issue of causation.</w:t>
      </w:r>
      <w:r w:rsidRPr="005659DC">
        <w:rPr>
          <w:rStyle w:val="FootnoteReference"/>
        </w:rPr>
        <w:footnoteReference w:id="1115"/>
      </w:r>
      <w:r w:rsidRPr="005659DC">
        <w:t xml:space="preserve"> On appeal, the </w:t>
      </w:r>
      <w:r>
        <w:t>European Union</w:t>
      </w:r>
      <w:r w:rsidRPr="005659DC">
        <w:t xml:space="preserve"> emphasizes that it</w:t>
      </w:r>
      <w:r w:rsidRPr="005659DC">
        <w:rPr>
          <w:lang w:val="en-US"/>
        </w:rPr>
        <w:t xml:space="preserve"> had argued not only that "any subsidisation of the like product would preclude or defeat a claim under </w:t>
      </w:r>
      <w:r>
        <w:rPr>
          <w:lang w:val="en-US"/>
        </w:rPr>
        <w:t>Article </w:t>
      </w:r>
      <w:r w:rsidRPr="005659DC">
        <w:rPr>
          <w:lang w:val="en-US"/>
        </w:rPr>
        <w:t xml:space="preserve">6.3(b) (the original 'clean hands' argument)", but also that "the existence of such subsidisation was something that the … Panel had to take into account, in any event, in its </w:t>
      </w:r>
      <w:r>
        <w:rPr>
          <w:lang w:val="en-US"/>
        </w:rPr>
        <w:t>assessment of causation and non</w:t>
      </w:r>
      <w:r>
        <w:rPr>
          <w:lang w:val="en-US"/>
        </w:rPr>
        <w:noBreakHyphen/>
      </w:r>
      <w:r w:rsidRPr="005659DC">
        <w:rPr>
          <w:lang w:val="en-US"/>
        </w:rPr>
        <w:t xml:space="preserve">attribution under </w:t>
      </w:r>
      <w:r>
        <w:rPr>
          <w:lang w:val="en-US"/>
        </w:rPr>
        <w:t>Article </w:t>
      </w:r>
      <w:r w:rsidRPr="005659DC">
        <w:rPr>
          <w:lang w:val="en-US"/>
        </w:rPr>
        <w:t>6.3(b) (the 'causation' argument)".</w:t>
      </w:r>
      <w:r w:rsidRPr="005659DC">
        <w:rPr>
          <w:rStyle w:val="FootnoteReference"/>
          <w:lang w:val="en-US"/>
        </w:rPr>
        <w:footnoteReference w:id="1116"/>
      </w:r>
      <w:r w:rsidRPr="005659DC">
        <w:t xml:space="preserve"> The </w:t>
      </w:r>
      <w:r>
        <w:t>European Union</w:t>
      </w:r>
      <w:r w:rsidRPr="005659DC">
        <w:t xml:space="preserve"> added that "there was now, for the first time, an express multilateral determination in {</w:t>
      </w:r>
      <w:r w:rsidRPr="005659DC">
        <w:rPr>
          <w:i/>
        </w:rPr>
        <w:t>US – Large Civil Aircraft (2</w:t>
      </w:r>
      <w:r w:rsidRPr="005659DC">
        <w:rPr>
          <w:i/>
          <w:vertAlign w:val="superscript"/>
        </w:rPr>
        <w:t>nd</w:t>
      </w:r>
      <w:r w:rsidRPr="005659DC">
        <w:rPr>
          <w:i/>
        </w:rPr>
        <w:t xml:space="preserve"> complaint)</w:t>
      </w:r>
      <w:r w:rsidRPr="005659DC">
        <w:t xml:space="preserve">} to the effect that the like products referred to by the </w:t>
      </w:r>
      <w:r>
        <w:t>United States</w:t>
      </w:r>
      <w:r w:rsidRPr="005659DC">
        <w:t xml:space="preserve"> (Boeing LCA) are subsidised".</w:t>
      </w:r>
      <w:r w:rsidRPr="005659DC">
        <w:rPr>
          <w:rStyle w:val="FootnoteReference"/>
        </w:rPr>
        <w:footnoteReference w:id="1117"/>
      </w:r>
      <w:r w:rsidRPr="005659DC">
        <w:t xml:space="preserve"> For the </w:t>
      </w:r>
      <w:r>
        <w:t>European Union</w:t>
      </w:r>
      <w:r w:rsidRPr="005659DC">
        <w:t>, the Panel's finding that "there was no new matter before it"</w:t>
      </w:r>
      <w:r w:rsidRPr="005659DC">
        <w:rPr>
          <w:rStyle w:val="FootnoteReference"/>
        </w:rPr>
        <w:footnoteReference w:id="1118"/>
      </w:r>
      <w:r w:rsidRPr="005659DC">
        <w:t xml:space="preserve"> </w:t>
      </w:r>
      <w:r>
        <w:t>is</w:t>
      </w:r>
      <w:r w:rsidRPr="005659DC">
        <w:t xml:space="preserve"> erroneous because "{</w:t>
      </w:r>
      <w:r w:rsidRPr="005659DC">
        <w:rPr>
          <w:lang w:val="en-US"/>
        </w:rPr>
        <w:t>a} 'matter' necessarily consists of the treaty terms identified by the parties as framing the obligation alleged to have been breached (duly clarified), as well as the particular facts identified by both the complainant and the defendant.</w:t>
      </w:r>
      <w:r w:rsidRPr="005659DC">
        <w:t>"</w:t>
      </w:r>
      <w:r w:rsidRPr="005659DC">
        <w:rPr>
          <w:rStyle w:val="FootnoteReference"/>
        </w:rPr>
        <w:footnoteReference w:id="1119"/>
      </w:r>
      <w:r w:rsidRPr="005659DC">
        <w:t xml:space="preserve"> The </w:t>
      </w:r>
      <w:r>
        <w:t>European Union</w:t>
      </w:r>
      <w:r w:rsidRPr="005659DC">
        <w:t xml:space="preserve"> therefore faults the Panel for disregarding "the fact that, as between the original proceedings and the compliance proceedings, the interpretative propositions advanced … and the facts referenced by the </w:t>
      </w:r>
      <w:r>
        <w:t>European Union</w:t>
      </w:r>
      <w:r w:rsidRPr="005659DC">
        <w:t xml:space="preserve"> when referring to </w:t>
      </w:r>
      <w:r>
        <w:t>Article </w:t>
      </w:r>
      <w:r w:rsidRPr="005659DC">
        <w:t>6.4 have changed."</w:t>
      </w:r>
      <w:r w:rsidRPr="005659DC">
        <w:rPr>
          <w:rStyle w:val="FootnoteReference"/>
        </w:rPr>
        <w:footnoteReference w:id="1120"/>
      </w:r>
    </w:p>
    <w:p w:rsidR="00AE4AC1" w:rsidRPr="008F63C5" w:rsidRDefault="00AE4AC1" w:rsidP="009E6402">
      <w:pPr>
        <w:pStyle w:val="BodyText"/>
      </w:pPr>
      <w:r w:rsidRPr="008F63C5">
        <w:t xml:space="preserve">The </w:t>
      </w:r>
      <w:r>
        <w:t>European Union</w:t>
      </w:r>
      <w:r w:rsidRPr="008F63C5">
        <w:t xml:space="preserve"> further submits that the </w:t>
      </w:r>
      <w:r>
        <w:t>United States</w:t>
      </w:r>
      <w:r w:rsidRPr="008F63C5">
        <w:t xml:space="preserve"> brought a claim under </w:t>
      </w:r>
      <w:r>
        <w:t>Article </w:t>
      </w:r>
      <w:r w:rsidRPr="008F63C5">
        <w:t xml:space="preserve">6.3(b) in response to which "the </w:t>
      </w:r>
      <w:r>
        <w:t>European Union</w:t>
      </w:r>
      <w:r w:rsidRPr="008F63C5">
        <w:t xml:space="preserve"> referred to </w:t>
      </w:r>
      <w:r>
        <w:t>Article </w:t>
      </w:r>
      <w:r w:rsidRPr="008F63C5">
        <w:t>6.4, and also made certain factual assertions and adduced certain evidence in support of its position</w:t>
      </w:r>
      <w:r>
        <w:t>.</w:t>
      </w:r>
      <w:r w:rsidRPr="008F63C5">
        <w:t>"</w:t>
      </w:r>
      <w:r w:rsidRPr="008F63C5">
        <w:rPr>
          <w:rStyle w:val="FootnoteReference"/>
        </w:rPr>
        <w:footnoteReference w:id="1121"/>
      </w:r>
      <w:r w:rsidRPr="008F63C5">
        <w:t xml:space="preserve"> According to the </w:t>
      </w:r>
      <w:r>
        <w:t>European Union</w:t>
      </w:r>
      <w:r w:rsidRPr="008F63C5">
        <w:t>, "this constituted the matter that the compliance Panel was obliged to objectively assess</w:t>
      </w:r>
      <w:r>
        <w:t>.</w:t>
      </w:r>
      <w:r w:rsidRPr="008F63C5">
        <w:t>"</w:t>
      </w:r>
      <w:r w:rsidRPr="008F63C5">
        <w:rPr>
          <w:rStyle w:val="FootnoteReference"/>
        </w:rPr>
        <w:footnoteReference w:id="1122"/>
      </w:r>
      <w:r w:rsidRPr="008F63C5">
        <w:t xml:space="preserve"> Thus, the </w:t>
      </w:r>
      <w:r>
        <w:t>European Union</w:t>
      </w:r>
      <w:r w:rsidRPr="008F63C5">
        <w:t xml:space="preserve"> </w:t>
      </w:r>
      <w:r>
        <w:t xml:space="preserve">submits that it </w:t>
      </w:r>
      <w:r w:rsidRPr="008F63C5">
        <w:t>was not asking the Panel to "reopen" the findings in the original proceedings</w:t>
      </w:r>
      <w:r>
        <w:t>,</w:t>
      </w:r>
      <w:r w:rsidRPr="008F63C5">
        <w:t xml:space="preserve"> but "simply asking" it "to clarify the relevant legal provisions, taking into account the intervening guidance prov</w:t>
      </w:r>
      <w:r w:rsidR="00C826B3">
        <w:t>ided by the Appellate Body, and </w:t>
      </w:r>
      <w:r w:rsidRPr="008F63C5">
        <w:t>apply them to the arguments and fact pattern arising in these compliance proceedings".</w:t>
      </w:r>
      <w:r w:rsidRPr="008F63C5">
        <w:rPr>
          <w:rStyle w:val="FootnoteReference"/>
        </w:rPr>
        <w:footnoteReference w:id="1123"/>
      </w:r>
      <w:r w:rsidRPr="008F63C5">
        <w:t xml:space="preserve"> </w:t>
      </w:r>
    </w:p>
    <w:p w:rsidR="00AE4AC1" w:rsidRPr="00D762D2" w:rsidRDefault="00AE4AC1" w:rsidP="009E6402">
      <w:pPr>
        <w:pStyle w:val="BodyText"/>
      </w:pPr>
      <w:r>
        <w:t>Referring to Article 11 of the DSU, t</w:t>
      </w:r>
      <w:r w:rsidRPr="00D762D2">
        <w:t xml:space="preserve">he </w:t>
      </w:r>
      <w:r>
        <w:t>European Union</w:t>
      </w:r>
      <w:r w:rsidRPr="00D762D2">
        <w:t xml:space="preserve"> </w:t>
      </w:r>
      <w:r>
        <w:t>also claims</w:t>
      </w:r>
      <w:r w:rsidRPr="00D762D2">
        <w:t xml:space="preserve"> that the Panel</w:t>
      </w:r>
      <w:r>
        <w:t xml:space="preserve">'s treatment of the arguments raised by the European Union </w:t>
      </w:r>
      <w:r w:rsidRPr="00D762D2">
        <w:t>reveal</w:t>
      </w:r>
      <w:r>
        <w:t>s</w:t>
      </w:r>
      <w:r w:rsidRPr="00D762D2">
        <w:t xml:space="preserve"> </w:t>
      </w:r>
      <w:r>
        <w:t>"</w:t>
      </w:r>
      <w:r w:rsidRPr="00D762D2">
        <w:t>a lack of even-handedness on the part of the Panel".</w:t>
      </w:r>
      <w:r>
        <w:rPr>
          <w:rStyle w:val="FootnoteReference"/>
        </w:rPr>
        <w:footnoteReference w:id="1124"/>
      </w:r>
      <w:r w:rsidRPr="00D762D2">
        <w:t xml:space="preserve"> The </w:t>
      </w:r>
      <w:r>
        <w:t>European Union</w:t>
      </w:r>
      <w:r w:rsidRPr="00D762D2">
        <w:t xml:space="preserve"> refers to a series of </w:t>
      </w:r>
      <w:r>
        <w:t>alleged "</w:t>
      </w:r>
      <w:r w:rsidRPr="00D762D2">
        <w:t xml:space="preserve">qualifications, omissions and misstatements", and </w:t>
      </w:r>
      <w:r>
        <w:t>maintains</w:t>
      </w:r>
      <w:r w:rsidRPr="00D762D2">
        <w:t xml:space="preserve"> that the Panel sought to shield from "review an interpretation of Articles 6.3(b) and 6.4 </w:t>
      </w:r>
      <w:r>
        <w:t xml:space="preserve">{by the original panel} </w:t>
      </w:r>
      <w:r w:rsidRPr="00D762D2">
        <w:t>that is clearly incorrect".</w:t>
      </w:r>
      <w:r>
        <w:rPr>
          <w:rStyle w:val="FootnoteReference"/>
        </w:rPr>
        <w:footnoteReference w:id="1125"/>
      </w:r>
      <w:r w:rsidRPr="00D762D2">
        <w:t xml:space="preserve"> </w:t>
      </w:r>
      <w:r w:rsidR="00A44458">
        <w:t>In </w:t>
      </w:r>
      <w:r>
        <w:t>particular</w:t>
      </w:r>
      <w:r w:rsidRPr="00D762D2">
        <w:t xml:space="preserve">, the </w:t>
      </w:r>
      <w:r>
        <w:t>European Union</w:t>
      </w:r>
      <w:r w:rsidRPr="00D762D2">
        <w:t xml:space="preserve"> alleges that the Panel </w:t>
      </w:r>
      <w:r>
        <w:t xml:space="preserve">denied </w:t>
      </w:r>
      <w:r w:rsidRPr="00D762D2">
        <w:t xml:space="preserve">"the </w:t>
      </w:r>
      <w:r>
        <w:t>European Union</w:t>
      </w:r>
      <w:r w:rsidRPr="00D762D2">
        <w:t xml:space="preserve"> its day in court on this matter"; and </w:t>
      </w:r>
      <w:r>
        <w:t xml:space="preserve">wrongly </w:t>
      </w:r>
      <w:r w:rsidRPr="00D762D2">
        <w:t>suggested</w:t>
      </w:r>
      <w:r>
        <w:t xml:space="preserve"> that the European Union was "precluded" from challenging a prior "adopted" interpretation</w:t>
      </w:r>
      <w:r w:rsidRPr="00D762D2">
        <w:t xml:space="preserve"> </w:t>
      </w:r>
      <w:r>
        <w:t>"</w:t>
      </w:r>
      <w:r w:rsidRPr="00D762D2">
        <w:t>whilst at the same time re-writing that very same interpretation by retroactively eliminating key elements of the reasoning"</w:t>
      </w:r>
      <w:r>
        <w:t>.</w:t>
      </w:r>
      <w:r>
        <w:rPr>
          <w:rStyle w:val="FootnoteReference"/>
        </w:rPr>
        <w:footnoteReference w:id="1126"/>
      </w:r>
      <w:r w:rsidRPr="00D762D2">
        <w:t xml:space="preserve"> </w:t>
      </w:r>
      <w:r w:rsidR="007065C3">
        <w:t>T</w:t>
      </w:r>
      <w:r w:rsidRPr="00D762D2">
        <w:t xml:space="preserve">he </w:t>
      </w:r>
      <w:r>
        <w:t>European Union</w:t>
      </w:r>
      <w:r w:rsidRPr="00D762D2">
        <w:t xml:space="preserve"> </w:t>
      </w:r>
      <w:r w:rsidR="007065C3">
        <w:t xml:space="preserve">also </w:t>
      </w:r>
      <w:r w:rsidRPr="00D762D2">
        <w:t xml:space="preserve">identifies </w:t>
      </w:r>
      <w:r>
        <w:t xml:space="preserve">several </w:t>
      </w:r>
      <w:r w:rsidRPr="00D762D2">
        <w:t>"additional elements" that it claims, "taken together or in any combination</w:t>
      </w:r>
      <w:r>
        <w:t>"</w:t>
      </w:r>
      <w:r w:rsidRPr="00D762D2">
        <w:t xml:space="preserve">, demonstrate a breach of </w:t>
      </w:r>
      <w:r>
        <w:t>Article </w:t>
      </w:r>
      <w:r w:rsidRPr="00D762D2">
        <w:t>11 of the DSU.</w:t>
      </w:r>
      <w:r>
        <w:rPr>
          <w:rStyle w:val="FootnoteReference"/>
        </w:rPr>
        <w:footnoteReference w:id="1127"/>
      </w:r>
      <w:r w:rsidRPr="00D762D2">
        <w:t xml:space="preserve"> </w:t>
      </w:r>
    </w:p>
    <w:p w:rsidR="00AE4AC1" w:rsidRDefault="00AE4AC1" w:rsidP="009E6402">
      <w:pPr>
        <w:pStyle w:val="BodyText"/>
      </w:pPr>
      <w:r>
        <w:t>For its part, t</w:t>
      </w:r>
      <w:r w:rsidRPr="00D762D2">
        <w:t xml:space="preserve">he </w:t>
      </w:r>
      <w:r>
        <w:t>United States</w:t>
      </w:r>
      <w:r w:rsidRPr="00D762D2">
        <w:t xml:space="preserve"> recalls that t</w:t>
      </w:r>
      <w:r w:rsidRPr="001838E4">
        <w:rPr>
          <w:lang w:val="en-US"/>
        </w:rPr>
        <w:t xml:space="preserve">he original panel framed the relevant question before it as "whether </w:t>
      </w:r>
      <w:r>
        <w:rPr>
          <w:lang w:val="en-US"/>
        </w:rPr>
        <w:t>Article </w:t>
      </w:r>
      <w:r w:rsidRPr="001838E4">
        <w:rPr>
          <w:lang w:val="en-US"/>
        </w:rPr>
        <w:t xml:space="preserve">6.4 </w:t>
      </w:r>
      <w:r>
        <w:rPr>
          <w:lang w:val="en-US"/>
        </w:rPr>
        <w:t>{was}</w:t>
      </w:r>
      <w:r w:rsidRPr="001838E4">
        <w:rPr>
          <w:lang w:val="en-US"/>
        </w:rPr>
        <w:t xml:space="preserve"> the necessary or exclusive mechanism for demonstrating displacement or impedance of exports to a third country market under </w:t>
      </w:r>
      <w:r>
        <w:rPr>
          <w:lang w:val="en-US"/>
        </w:rPr>
        <w:t>Article </w:t>
      </w:r>
      <w:r w:rsidRPr="001838E4">
        <w:rPr>
          <w:lang w:val="en-US"/>
        </w:rPr>
        <w:t xml:space="preserve">6.3(b), or whether, to the contrary, displacement and impedance under </w:t>
      </w:r>
      <w:r>
        <w:rPr>
          <w:lang w:val="en-US"/>
        </w:rPr>
        <w:t>Article </w:t>
      </w:r>
      <w:r w:rsidRPr="001838E4">
        <w:rPr>
          <w:lang w:val="en-US"/>
        </w:rPr>
        <w:t xml:space="preserve">6.3(b) </w:t>
      </w:r>
      <w:r>
        <w:rPr>
          <w:lang w:val="en-US"/>
        </w:rPr>
        <w:t>{could}</w:t>
      </w:r>
      <w:r w:rsidRPr="001838E4">
        <w:rPr>
          <w:lang w:val="en-US"/>
        </w:rPr>
        <w:t xml:space="preserve"> be demonstrated without reference to </w:t>
      </w:r>
      <w:r>
        <w:rPr>
          <w:lang w:val="en-US"/>
        </w:rPr>
        <w:t>Article </w:t>
      </w:r>
      <w:r w:rsidRPr="001838E4">
        <w:rPr>
          <w:lang w:val="en-US"/>
        </w:rPr>
        <w:t>6.4."</w:t>
      </w:r>
      <w:r>
        <w:rPr>
          <w:rStyle w:val="FootnoteReference"/>
          <w:lang w:val="en-US"/>
        </w:rPr>
        <w:footnoteReference w:id="1128"/>
      </w:r>
      <w:r w:rsidRPr="001838E4">
        <w:rPr>
          <w:lang w:val="en-US"/>
        </w:rPr>
        <w:t xml:space="preserve"> According to the </w:t>
      </w:r>
      <w:r>
        <w:rPr>
          <w:lang w:val="en-US"/>
        </w:rPr>
        <w:t>United States</w:t>
      </w:r>
      <w:r w:rsidRPr="001838E4">
        <w:rPr>
          <w:lang w:val="en-US"/>
        </w:rPr>
        <w:t>, this "</w:t>
      </w:r>
      <w:r w:rsidRPr="00D45BD8">
        <w:t xml:space="preserve">was a </w:t>
      </w:r>
      <w:r w:rsidRPr="001838E4">
        <w:rPr>
          <w:i/>
        </w:rPr>
        <w:t>legal</w:t>
      </w:r>
      <w:r w:rsidRPr="00D45BD8">
        <w:t xml:space="preserve"> question for which the existence (or not) of subsidization</w:t>
      </w:r>
      <w:r w:rsidRPr="00D762D2">
        <w:t xml:space="preserve"> to Boeing large civil aircraft was irrelevant</w:t>
      </w:r>
      <w:r w:rsidRPr="001838E4">
        <w:rPr>
          <w:lang w:val="en-US"/>
        </w:rPr>
        <w:t>"</w:t>
      </w:r>
      <w:r>
        <w:rPr>
          <w:rStyle w:val="FootnoteReference"/>
          <w:lang w:val="en-US"/>
        </w:rPr>
        <w:footnoteReference w:id="1129"/>
      </w:r>
      <w:r>
        <w:rPr>
          <w:lang w:val="en-US"/>
        </w:rPr>
        <w:t>,</w:t>
      </w:r>
      <w:r w:rsidRPr="001838E4">
        <w:rPr>
          <w:lang w:val="en-US"/>
        </w:rPr>
        <w:t xml:space="preserve"> and</w:t>
      </w:r>
      <w:r w:rsidR="00C826B3">
        <w:rPr>
          <w:lang w:val="en-US"/>
        </w:rPr>
        <w:t> </w:t>
      </w:r>
      <w:r w:rsidRPr="00D762D2">
        <w:t xml:space="preserve">the Panel "was correct in concluding that subsidization of Boeing large civil aircraft did not play a role in the original panel's unappealed and DSB-adopted legal interpretation of </w:t>
      </w:r>
      <w:r>
        <w:t>Article </w:t>
      </w:r>
      <w:r w:rsidRPr="00D762D2">
        <w:t>6.4."</w:t>
      </w:r>
      <w:r>
        <w:rPr>
          <w:rStyle w:val="FootnoteReference"/>
        </w:rPr>
        <w:footnoteReference w:id="1130"/>
      </w:r>
      <w:r>
        <w:t xml:space="preserve"> Referring to the Appellate Body reports in the original proceedings in this dispute</w:t>
      </w:r>
      <w:r w:rsidRPr="001838E4">
        <w:rPr>
          <w:i/>
          <w:lang w:val="en-US"/>
        </w:rPr>
        <w:t xml:space="preserve"> </w:t>
      </w:r>
      <w:r w:rsidRPr="001838E4">
        <w:rPr>
          <w:lang w:val="en-US"/>
        </w:rPr>
        <w:t xml:space="preserve">and </w:t>
      </w:r>
      <w:r>
        <w:rPr>
          <w:lang w:val="en-US"/>
        </w:rPr>
        <w:t xml:space="preserve">in </w:t>
      </w:r>
      <w:r w:rsidRPr="001838E4">
        <w:rPr>
          <w:i/>
          <w:lang w:val="en-US"/>
        </w:rPr>
        <w:t>US ‒ Large Civil Aircraft</w:t>
      </w:r>
      <w:r w:rsidRPr="001838E4">
        <w:rPr>
          <w:lang w:val="en-US"/>
        </w:rPr>
        <w:t xml:space="preserve"> </w:t>
      </w:r>
      <w:r w:rsidRPr="001838E4">
        <w:rPr>
          <w:i/>
          <w:lang w:val="en-US"/>
        </w:rPr>
        <w:t>(2</w:t>
      </w:r>
      <w:r w:rsidRPr="001838E4">
        <w:rPr>
          <w:i/>
          <w:vertAlign w:val="superscript"/>
          <w:lang w:val="en-US"/>
        </w:rPr>
        <w:t>nd</w:t>
      </w:r>
      <w:r w:rsidRPr="001838E4">
        <w:rPr>
          <w:i/>
          <w:lang w:val="en-US"/>
        </w:rPr>
        <w:t xml:space="preserve"> complaint)</w:t>
      </w:r>
      <w:r w:rsidRPr="001838E4">
        <w:rPr>
          <w:lang w:val="en-US"/>
        </w:rPr>
        <w:t>, t</w:t>
      </w:r>
      <w:r w:rsidRPr="00D762D2">
        <w:t xml:space="preserve">he </w:t>
      </w:r>
      <w:r>
        <w:t>United States</w:t>
      </w:r>
      <w:r w:rsidRPr="00D762D2">
        <w:t xml:space="preserve"> </w:t>
      </w:r>
      <w:r>
        <w:t>adds that,</w:t>
      </w:r>
      <w:r w:rsidRPr="001838E4">
        <w:rPr>
          <w:lang w:val="en-US"/>
        </w:rPr>
        <w:t xml:space="preserve"> </w:t>
      </w:r>
      <w:r w:rsidRPr="00D45BD8">
        <w:t xml:space="preserve">while the </w:t>
      </w:r>
      <w:r>
        <w:t>Appellate Body</w:t>
      </w:r>
      <w:r w:rsidRPr="00D45BD8">
        <w:t xml:space="preserve"> has found </w:t>
      </w:r>
      <w:r>
        <w:t xml:space="preserve">that </w:t>
      </w:r>
      <w:r w:rsidRPr="00D45BD8">
        <w:t xml:space="preserve">the phrase </w:t>
      </w:r>
      <w:r>
        <w:t xml:space="preserve">in Article 6.4 </w:t>
      </w:r>
      <w:r w:rsidRPr="00D45BD8">
        <w:t xml:space="preserve">"over an appropriately representative period sufficient to demonstrate clear trends in the development of the market for the product concerned" </w:t>
      </w:r>
      <w:r>
        <w:t>provides relevant context</w:t>
      </w:r>
      <w:r w:rsidRPr="00D45BD8">
        <w:t xml:space="preserve"> in interpreting </w:t>
      </w:r>
      <w:r>
        <w:t>Article </w:t>
      </w:r>
      <w:r w:rsidRPr="00D45BD8">
        <w:t>6.3(b)</w:t>
      </w:r>
      <w:r>
        <w:rPr>
          <w:rStyle w:val="FootnoteReference"/>
        </w:rPr>
        <w:footnoteReference w:id="1131"/>
      </w:r>
      <w:r>
        <w:t xml:space="preserve">, it has not </w:t>
      </w:r>
      <w:r w:rsidRPr="001838E4">
        <w:t>"</w:t>
      </w:r>
      <w:r w:rsidRPr="001838E4">
        <w:rPr>
          <w:lang w:val="en-US"/>
        </w:rPr>
        <w:t xml:space="preserve">found that claims under </w:t>
      </w:r>
      <w:r>
        <w:rPr>
          <w:lang w:val="en-US"/>
        </w:rPr>
        <w:t>Article </w:t>
      </w:r>
      <w:r w:rsidRPr="001838E4">
        <w:rPr>
          <w:lang w:val="en-US"/>
        </w:rPr>
        <w:t xml:space="preserve">6.3(b) must </w:t>
      </w:r>
      <w:r w:rsidRPr="007851AE">
        <w:rPr>
          <w:i/>
          <w:lang w:val="en-US"/>
        </w:rPr>
        <w:t>in all cases</w:t>
      </w:r>
      <w:r w:rsidRPr="007851AE">
        <w:rPr>
          <w:lang w:val="en-US"/>
        </w:rPr>
        <w:t xml:space="preserve"> also satisfy </w:t>
      </w:r>
      <w:r w:rsidRPr="007851AE">
        <w:rPr>
          <w:i/>
          <w:lang w:val="en-US"/>
        </w:rPr>
        <w:t>every provision</w:t>
      </w:r>
      <w:r w:rsidRPr="001838E4">
        <w:rPr>
          <w:lang w:val="en-US"/>
        </w:rPr>
        <w:t xml:space="preserve"> in </w:t>
      </w:r>
      <w:r>
        <w:rPr>
          <w:lang w:val="en-US"/>
        </w:rPr>
        <w:t>Article </w:t>
      </w:r>
      <w:r w:rsidRPr="001838E4">
        <w:rPr>
          <w:lang w:val="en-US"/>
        </w:rPr>
        <w:t>6.4".</w:t>
      </w:r>
      <w:r w:rsidRPr="001838E4">
        <w:rPr>
          <w:rStyle w:val="FootnoteReference"/>
          <w:lang w:val="en-US"/>
        </w:rPr>
        <w:footnoteReference w:id="1132"/>
      </w:r>
      <w:r w:rsidRPr="001838E4">
        <w:rPr>
          <w:lang w:val="en-US"/>
        </w:rPr>
        <w:t xml:space="preserve"> </w:t>
      </w:r>
      <w:r w:rsidR="00C826B3">
        <w:rPr>
          <w:lang w:val="en-US"/>
        </w:rPr>
        <w:t>The </w:t>
      </w:r>
      <w:r>
        <w:rPr>
          <w:lang w:val="en-US"/>
        </w:rPr>
        <w:t>United States adds that "Article </w:t>
      </w:r>
      <w:r w:rsidRPr="007851AE">
        <w:rPr>
          <w:lang w:val="en-US"/>
        </w:rPr>
        <w:t xml:space="preserve">6.4 does not describe the exclusive basis on which a claim under </w:t>
      </w:r>
      <w:r>
        <w:rPr>
          <w:lang w:val="en-US"/>
        </w:rPr>
        <w:t>Article </w:t>
      </w:r>
      <w:r w:rsidRPr="007851AE">
        <w:rPr>
          <w:lang w:val="en-US"/>
        </w:rPr>
        <w:t>6.3(b) may be demonstrated</w:t>
      </w:r>
      <w:r>
        <w:rPr>
          <w:lang w:val="en-US"/>
        </w:rPr>
        <w:t>"</w:t>
      </w:r>
      <w:r w:rsidRPr="001838E4">
        <w:rPr>
          <w:rStyle w:val="FootnoteReference"/>
          <w:lang w:val="en-US"/>
        </w:rPr>
        <w:footnoteReference w:id="1133"/>
      </w:r>
      <w:r>
        <w:rPr>
          <w:lang w:val="en-US"/>
        </w:rPr>
        <w:t>, and that, "</w:t>
      </w:r>
      <w:r w:rsidRPr="007851AE">
        <w:rPr>
          <w:i/>
          <w:lang w:val="en-US"/>
        </w:rPr>
        <w:t>even if</w:t>
      </w:r>
      <w:r w:rsidR="00C826B3">
        <w:rPr>
          <w:lang w:val="en-US"/>
        </w:rPr>
        <w:t xml:space="preserve"> relevant intervening Appellate </w:t>
      </w:r>
      <w:r w:rsidRPr="007851AE">
        <w:rPr>
          <w:lang w:val="en-US"/>
        </w:rPr>
        <w:t>Body statements in another dispute were to exist, it is not at all clear that such statements would allow a compliance panel to deviate from previously adopted DSB findings</w:t>
      </w:r>
      <w:r>
        <w:rPr>
          <w:lang w:val="en-US"/>
        </w:rPr>
        <w:t>."</w:t>
      </w:r>
      <w:r w:rsidRPr="001838E4">
        <w:rPr>
          <w:rStyle w:val="FootnoteReference"/>
          <w:lang w:val="en-US"/>
        </w:rPr>
        <w:footnoteReference w:id="1134"/>
      </w:r>
      <w:r w:rsidRPr="007851AE">
        <w:rPr>
          <w:lang w:val="en-US"/>
        </w:rPr>
        <w:t xml:space="preserve"> </w:t>
      </w:r>
    </w:p>
    <w:p w:rsidR="00AE4AC1" w:rsidRPr="00606459" w:rsidRDefault="00AE4AC1" w:rsidP="009E6402">
      <w:pPr>
        <w:pStyle w:val="BodyText"/>
      </w:pPr>
      <w:r>
        <w:t>Regarding the European Union's claims under</w:t>
      </w:r>
      <w:r w:rsidRPr="00D762D2">
        <w:t xml:space="preserve"> </w:t>
      </w:r>
      <w:r>
        <w:t>Article </w:t>
      </w:r>
      <w:r w:rsidRPr="00D762D2">
        <w:t>11 of the DSU</w:t>
      </w:r>
      <w:r>
        <w:t>, t</w:t>
      </w:r>
      <w:r w:rsidRPr="00D762D2">
        <w:t xml:space="preserve">he </w:t>
      </w:r>
      <w:r>
        <w:t>United States</w:t>
      </w:r>
      <w:r w:rsidRPr="00D762D2">
        <w:t xml:space="preserve"> submits that the Panel "did a careful and thoughtful job reviewing the issues before it" and that "</w:t>
      </w:r>
      <w:r w:rsidR="00A44458">
        <w:rPr>
          <w:lang w:val="en-US"/>
        </w:rPr>
        <w:t>it </w:t>
      </w:r>
      <w:r w:rsidRPr="00D762D2">
        <w:rPr>
          <w:lang w:val="en-US"/>
        </w:rPr>
        <w:t>is evident that the {</w:t>
      </w:r>
      <w:r>
        <w:t>European Union</w:t>
      </w:r>
      <w:r w:rsidRPr="00D762D2">
        <w:t>'s</w:t>
      </w:r>
      <w:r w:rsidRPr="00D762D2">
        <w:rPr>
          <w:lang w:val="en-US"/>
        </w:rPr>
        <w:t xml:space="preserve">} submission does not challenge a lack of objectivity in the Panel's assessment of the facts, but the correctness of the Panel's legal analysis that it {was} precluded from reviewing the original panel's interpretation of </w:t>
      </w:r>
      <w:r>
        <w:rPr>
          <w:lang w:val="en-US"/>
        </w:rPr>
        <w:t>Article </w:t>
      </w:r>
      <w:r w:rsidRPr="00D762D2">
        <w:rPr>
          <w:lang w:val="en-US"/>
        </w:rPr>
        <w:t>6.4.</w:t>
      </w:r>
      <w:r w:rsidRPr="00D762D2">
        <w:t>"</w:t>
      </w:r>
      <w:r>
        <w:rPr>
          <w:rStyle w:val="FootnoteReference"/>
        </w:rPr>
        <w:footnoteReference w:id="1135"/>
      </w:r>
      <w:r w:rsidRPr="00D762D2">
        <w:t xml:space="preserve"> According to the </w:t>
      </w:r>
      <w:r>
        <w:t>United States</w:t>
      </w:r>
      <w:r w:rsidRPr="00D762D2">
        <w:t>, "</w:t>
      </w:r>
      <w:r w:rsidRPr="00D762D2">
        <w:rPr>
          <w:lang w:val="en-US"/>
        </w:rPr>
        <w:t xml:space="preserve">if the </w:t>
      </w:r>
      <w:r>
        <w:rPr>
          <w:lang w:val="en-US"/>
        </w:rPr>
        <w:t>Appellate Body</w:t>
      </w:r>
      <w:r w:rsidRPr="00D762D2">
        <w:rPr>
          <w:lang w:val="en-US"/>
        </w:rPr>
        <w:t xml:space="preserve"> decides not to entertain the {</w:t>
      </w:r>
      <w:r>
        <w:t>European Union</w:t>
      </w:r>
      <w:r w:rsidRPr="00D762D2">
        <w:t>'s</w:t>
      </w:r>
      <w:r w:rsidRPr="00D762D2">
        <w:rPr>
          <w:lang w:val="en-US"/>
        </w:rPr>
        <w:t>} submission in resp</w:t>
      </w:r>
      <w:r>
        <w:rPr>
          <w:lang w:val="en-US"/>
        </w:rPr>
        <w:t>ect of the original panel's DSB</w:t>
      </w:r>
      <w:r>
        <w:rPr>
          <w:lang w:val="en-US"/>
        </w:rPr>
        <w:noBreakHyphen/>
      </w:r>
      <w:r w:rsidRPr="00D762D2">
        <w:rPr>
          <w:lang w:val="en-US"/>
        </w:rPr>
        <w:t xml:space="preserve">adopted legal interpretation of </w:t>
      </w:r>
      <w:r>
        <w:rPr>
          <w:lang w:val="en-US"/>
        </w:rPr>
        <w:t>Article </w:t>
      </w:r>
      <w:r w:rsidR="00A44458">
        <w:rPr>
          <w:lang w:val="en-US"/>
        </w:rPr>
        <w:t>6.4, the </w:t>
      </w:r>
      <w:r w:rsidRPr="00D762D2">
        <w:rPr>
          <w:lang w:val="en-US"/>
        </w:rPr>
        <w:t>{</w:t>
      </w:r>
      <w:r>
        <w:t>European Union</w:t>
      </w:r>
      <w:r w:rsidRPr="00D762D2">
        <w:t>'s</w:t>
      </w:r>
      <w:r w:rsidRPr="00D762D2">
        <w:rPr>
          <w:lang w:val="en-US"/>
        </w:rPr>
        <w:t xml:space="preserve">} </w:t>
      </w:r>
      <w:r>
        <w:rPr>
          <w:lang w:val="en-US"/>
        </w:rPr>
        <w:t>Article </w:t>
      </w:r>
      <w:r w:rsidRPr="00D762D2">
        <w:rPr>
          <w:lang w:val="en-US"/>
        </w:rPr>
        <w:t>11 claims would merit similar treatment.</w:t>
      </w:r>
      <w:r w:rsidRPr="00D762D2">
        <w:t>"</w:t>
      </w:r>
      <w:r>
        <w:rPr>
          <w:rStyle w:val="FootnoteReference"/>
        </w:rPr>
        <w:footnoteReference w:id="1136"/>
      </w:r>
      <w:r w:rsidRPr="00D762D2">
        <w:t xml:space="preserve"> </w:t>
      </w:r>
      <w:r w:rsidR="00C826B3">
        <w:rPr>
          <w:lang w:val="en-US"/>
        </w:rPr>
        <w:t>In any event, the </w:t>
      </w:r>
      <w:r>
        <w:rPr>
          <w:lang w:val="en-US"/>
        </w:rPr>
        <w:t>United States</w:t>
      </w:r>
      <w:r w:rsidRPr="00D762D2">
        <w:rPr>
          <w:lang w:val="en-US"/>
        </w:rPr>
        <w:t xml:space="preserve"> asserts that the </w:t>
      </w:r>
      <w:r>
        <w:rPr>
          <w:lang w:val="en-US"/>
        </w:rPr>
        <w:t>European Union</w:t>
      </w:r>
      <w:r w:rsidRPr="00D762D2">
        <w:rPr>
          <w:lang w:val="en-US"/>
        </w:rPr>
        <w:t xml:space="preserve"> has not identified </w:t>
      </w:r>
      <w:r>
        <w:rPr>
          <w:lang w:val="en-US"/>
        </w:rPr>
        <w:t xml:space="preserve">any </w:t>
      </w:r>
      <w:r w:rsidRPr="00D762D2">
        <w:rPr>
          <w:lang w:val="en-US"/>
        </w:rPr>
        <w:t xml:space="preserve">"specific errors that are so material </w:t>
      </w:r>
      <w:r w:rsidRPr="0099286B">
        <w:rPr>
          <w:lang w:val="en-US"/>
        </w:rPr>
        <w:t xml:space="preserve">that, </w:t>
      </w:r>
      <w:r w:rsidR="007065C3">
        <w:rPr>
          <w:lang w:val="en-US"/>
        </w:rPr>
        <w:t>'</w:t>
      </w:r>
      <w:r w:rsidRPr="0099286B">
        <w:rPr>
          <w:lang w:val="en-US"/>
        </w:rPr>
        <w:t>taken together or singly</w:t>
      </w:r>
      <w:r w:rsidR="007065C3">
        <w:rPr>
          <w:lang w:val="en-US"/>
        </w:rPr>
        <w:t>'</w:t>
      </w:r>
      <w:r w:rsidRPr="0099286B">
        <w:rPr>
          <w:lang w:val="en-US"/>
        </w:rPr>
        <w:t>, they undermine the objectivity of the {P}anel's assessment of the matter before it."</w:t>
      </w:r>
      <w:r w:rsidRPr="0099286B">
        <w:rPr>
          <w:rStyle w:val="FootnoteReference"/>
          <w:lang w:val="en-US"/>
        </w:rPr>
        <w:footnoteReference w:id="1137"/>
      </w:r>
      <w:r w:rsidRPr="0099286B">
        <w:rPr>
          <w:lang w:val="en-US"/>
        </w:rPr>
        <w:t xml:space="preserve"> </w:t>
      </w:r>
    </w:p>
    <w:p w:rsidR="00AE4AC1" w:rsidRDefault="00AE4AC1" w:rsidP="009E6402">
      <w:pPr>
        <w:pStyle w:val="BodyText"/>
      </w:pPr>
      <w:r w:rsidRPr="00606459">
        <w:t>Having summarized</w:t>
      </w:r>
      <w:r w:rsidRPr="0099286B">
        <w:t xml:space="preserve"> the </w:t>
      </w:r>
      <w:r w:rsidR="007065C3">
        <w:t xml:space="preserve">original panel's and the </w:t>
      </w:r>
      <w:r w:rsidRPr="0099286B">
        <w:t>Panel's analysis,</w:t>
      </w:r>
      <w:r w:rsidRPr="00606459">
        <w:t xml:space="preserve"> as well as the arguments</w:t>
      </w:r>
      <w:r>
        <w:t xml:space="preserve"> on appeal, we turn to address the issues raised by the European Union.</w:t>
      </w:r>
    </w:p>
    <w:p w:rsidR="00AE4AC1" w:rsidRPr="00BF5EDE" w:rsidRDefault="00AE4AC1" w:rsidP="009E6402">
      <w:pPr>
        <w:pStyle w:val="Heading4"/>
      </w:pPr>
      <w:bookmarkStart w:id="134" w:name="_Toc514059259"/>
      <w:r>
        <w:t>Whether the Panel erred in declining to address the arguments raised by the European Union</w:t>
      </w:r>
      <w:bookmarkEnd w:id="134"/>
    </w:p>
    <w:p w:rsidR="00AE4AC1" w:rsidRPr="00305DE0" w:rsidRDefault="00AE4AC1" w:rsidP="009E6402">
      <w:pPr>
        <w:pStyle w:val="BodyText"/>
      </w:pPr>
      <w:r w:rsidRPr="00C46C03">
        <w:t>As noted</w:t>
      </w:r>
      <w:r>
        <w:t xml:space="preserve"> above</w:t>
      </w:r>
      <w:r w:rsidRPr="00C46C03">
        <w:t xml:space="preserve">, the </w:t>
      </w:r>
      <w:r>
        <w:t>European Union</w:t>
      </w:r>
      <w:r w:rsidRPr="00C46C03">
        <w:t xml:space="preserve"> argued before the Panel that: (i) the SCM</w:t>
      </w:r>
      <w:r>
        <w:t> Agreement</w:t>
      </w:r>
      <w:r w:rsidRPr="00C46C03">
        <w:t xml:space="preserve"> establishes a remedy for displacement or impe</w:t>
      </w:r>
      <w:r>
        <w:t>dance</w:t>
      </w:r>
      <w:r w:rsidRPr="00C46C03">
        <w:t xml:space="preserve"> of exports in third country markets under </w:t>
      </w:r>
      <w:r>
        <w:t>Article </w:t>
      </w:r>
      <w:r w:rsidRPr="00C46C03">
        <w:t>6.3(b)</w:t>
      </w:r>
      <w:r>
        <w:t xml:space="preserve"> </w:t>
      </w:r>
      <w:r w:rsidRPr="00602672">
        <w:rPr>
          <w:i/>
        </w:rPr>
        <w:t>only</w:t>
      </w:r>
      <w:r w:rsidRPr="00C46C03">
        <w:rPr>
          <w:b/>
          <w:bCs/>
        </w:rPr>
        <w:t xml:space="preserve"> </w:t>
      </w:r>
      <w:r w:rsidRPr="00C46C03">
        <w:t xml:space="preserve">in situations where the complaining Member has demonstrated </w:t>
      </w:r>
      <w:r>
        <w:t xml:space="preserve">that </w:t>
      </w:r>
      <w:r w:rsidRPr="00C46C03">
        <w:t xml:space="preserve">its like product is </w:t>
      </w:r>
      <w:r>
        <w:t>non</w:t>
      </w:r>
      <w:r>
        <w:noBreakHyphen/>
      </w:r>
      <w:r w:rsidRPr="00C46C03">
        <w:t xml:space="preserve">subsidized; and (ii) subsidization of the like product must, in any event, be taken into account in the assessment of causation. In so doing, the </w:t>
      </w:r>
      <w:r>
        <w:t>European Union</w:t>
      </w:r>
      <w:r w:rsidRPr="00C46C03">
        <w:t xml:space="preserve"> expressed concern with</w:t>
      </w:r>
      <w:r>
        <w:t xml:space="preserve">, in particular: </w:t>
      </w:r>
      <w:r w:rsidRPr="00C46C03">
        <w:t>(i)</w:t>
      </w:r>
      <w:r w:rsidR="00B83DBC">
        <w:t xml:space="preserve"> </w:t>
      </w:r>
      <w:r w:rsidRPr="00C46C03">
        <w:t>the original panel's description</w:t>
      </w:r>
      <w:r w:rsidRPr="00671A76">
        <w:t xml:space="preserve"> of </w:t>
      </w:r>
      <w:r>
        <w:t>Article </w:t>
      </w:r>
      <w:r w:rsidRPr="00671A76">
        <w:t xml:space="preserve">6.4 </w:t>
      </w:r>
      <w:r>
        <w:t xml:space="preserve">of the SCM Agreement </w:t>
      </w:r>
      <w:r w:rsidRPr="00671A76">
        <w:t xml:space="preserve">as a "special rule"; (ii) </w:t>
      </w:r>
      <w:r>
        <w:t xml:space="preserve">its </w:t>
      </w:r>
      <w:r w:rsidRPr="00671A76">
        <w:t xml:space="preserve">conclusions, drawn from the "shall include" language in the first sentence of </w:t>
      </w:r>
      <w:r>
        <w:t>Article </w:t>
      </w:r>
      <w:r w:rsidRPr="00671A76">
        <w:t xml:space="preserve">6.4, </w:t>
      </w:r>
      <w:r>
        <w:t>regarding</w:t>
      </w:r>
      <w:r w:rsidRPr="00671A76">
        <w:t xml:space="preserve"> the relationship between </w:t>
      </w:r>
      <w:r>
        <w:t>Article </w:t>
      </w:r>
      <w:r w:rsidRPr="00671A76">
        <w:t xml:space="preserve">6.3(b) and </w:t>
      </w:r>
      <w:r>
        <w:t>Article </w:t>
      </w:r>
      <w:r w:rsidRPr="00671A76">
        <w:t>6.4; (iii) </w:t>
      </w:r>
      <w:r>
        <w:t xml:space="preserve">its </w:t>
      </w:r>
      <w:r w:rsidRPr="00671A76">
        <w:t xml:space="preserve">reference to preparatory work; and (iv) </w:t>
      </w:r>
      <w:r>
        <w:t xml:space="preserve">its </w:t>
      </w:r>
      <w:r w:rsidRPr="00671A76">
        <w:t>view o</w:t>
      </w:r>
      <w:r>
        <w:t>n</w:t>
      </w:r>
      <w:r w:rsidRPr="00671A76">
        <w:t xml:space="preserve"> how its interpretation fit with the overall architecture of </w:t>
      </w:r>
      <w:r>
        <w:t>Article </w:t>
      </w:r>
      <w:r w:rsidRPr="00671A76">
        <w:t>6 of the SCM</w:t>
      </w:r>
      <w:r>
        <w:t> Agreement</w:t>
      </w:r>
      <w:r w:rsidRPr="00671A76">
        <w:t>.</w:t>
      </w:r>
      <w:r w:rsidRPr="00671A76">
        <w:rPr>
          <w:rStyle w:val="FootnoteReference"/>
        </w:rPr>
        <w:footnoteReference w:id="1138"/>
      </w:r>
      <w:r w:rsidRPr="00671A76">
        <w:t xml:space="preserve"> </w:t>
      </w:r>
    </w:p>
    <w:p w:rsidR="00AE4AC1" w:rsidRPr="008F63C5" w:rsidRDefault="00AE4AC1" w:rsidP="009E6402">
      <w:pPr>
        <w:pStyle w:val="BodyText"/>
      </w:pPr>
      <w:r>
        <w:t>Based on its review of the European Union's arguments, t</w:t>
      </w:r>
      <w:r w:rsidRPr="00671A76">
        <w:t xml:space="preserve">he Panel considered the </w:t>
      </w:r>
      <w:r>
        <w:t>European Union</w:t>
      </w:r>
      <w:r w:rsidRPr="00671A76">
        <w:t xml:space="preserve"> to have articulated </w:t>
      </w:r>
      <w:r>
        <w:t>"</w:t>
      </w:r>
      <w:r w:rsidRPr="00671A76">
        <w:t>reasons</w:t>
      </w:r>
      <w:r>
        <w:t>"</w:t>
      </w:r>
      <w:r w:rsidRPr="00671A76">
        <w:t xml:space="preserve"> as to why it "</w:t>
      </w:r>
      <w:r w:rsidRPr="00895902">
        <w:rPr>
          <w:i/>
        </w:rPr>
        <w:t>disagree{d}</w:t>
      </w:r>
      <w:r w:rsidRPr="00671A76">
        <w:t xml:space="preserve"> with the original panel's findings concerning the relationship between the relevant provisions and certain 'other related matters referenced' in the {original} panel report"</w:t>
      </w:r>
      <w:r>
        <w:t>.</w:t>
      </w:r>
      <w:r w:rsidRPr="00671A76">
        <w:rPr>
          <w:rStyle w:val="FootnoteReference"/>
        </w:rPr>
        <w:footnoteReference w:id="1139"/>
      </w:r>
      <w:r w:rsidRPr="00671A76">
        <w:t xml:space="preserve"> </w:t>
      </w:r>
      <w:r>
        <w:t>The Panel added that</w:t>
      </w:r>
      <w:r w:rsidRPr="00671A76">
        <w:t xml:space="preserve"> "the </w:t>
      </w:r>
      <w:r>
        <w:t>European Union</w:t>
      </w:r>
      <w:r w:rsidRPr="00671A76">
        <w:t>'s submissions appear{ed} to be arguments that a party might raise in an appeal of a legal interpretation before the Appellate Body".</w:t>
      </w:r>
      <w:r w:rsidRPr="00671A76">
        <w:rPr>
          <w:rStyle w:val="FootnoteReference"/>
        </w:rPr>
        <w:footnoteReference w:id="1140"/>
      </w:r>
      <w:r w:rsidRPr="00671A76">
        <w:t xml:space="preserve"> </w:t>
      </w:r>
      <w:r>
        <w:t>As detailed above, t</w:t>
      </w:r>
      <w:r w:rsidRPr="00671A76">
        <w:t xml:space="preserve">he Panel considered, however, that the original panel's </w:t>
      </w:r>
      <w:r w:rsidRPr="00895902">
        <w:rPr>
          <w:lang w:val="en-US"/>
        </w:rPr>
        <w:t xml:space="preserve">interpretation of the relationship between </w:t>
      </w:r>
      <w:r>
        <w:rPr>
          <w:lang w:val="en-US"/>
        </w:rPr>
        <w:t>Article </w:t>
      </w:r>
      <w:r w:rsidRPr="00895902">
        <w:rPr>
          <w:lang w:val="en-US"/>
        </w:rPr>
        <w:t xml:space="preserve">6.3(b) and </w:t>
      </w:r>
      <w:r>
        <w:rPr>
          <w:lang w:val="en-US"/>
        </w:rPr>
        <w:t>Article </w:t>
      </w:r>
      <w:r w:rsidRPr="00895902">
        <w:rPr>
          <w:lang w:val="en-US"/>
        </w:rPr>
        <w:t>6.4 had "decided the matter</w:t>
      </w:r>
      <w:r w:rsidRPr="00671A76">
        <w:t>"</w:t>
      </w:r>
      <w:r w:rsidRPr="00671A76">
        <w:rPr>
          <w:rStyle w:val="FootnoteReference"/>
        </w:rPr>
        <w:footnoteReference w:id="1141"/>
      </w:r>
      <w:r>
        <w:t>,</w:t>
      </w:r>
      <w:r w:rsidRPr="00671A76">
        <w:t xml:space="preserve"> </w:t>
      </w:r>
      <w:r w:rsidRPr="00895902">
        <w:rPr>
          <w:lang w:val="en-US"/>
        </w:rPr>
        <w:t xml:space="preserve">and </w:t>
      </w:r>
      <w:r>
        <w:rPr>
          <w:lang w:val="en-US"/>
        </w:rPr>
        <w:t xml:space="preserve">it therefore </w:t>
      </w:r>
      <w:r w:rsidRPr="00895902">
        <w:rPr>
          <w:lang w:val="en-US"/>
        </w:rPr>
        <w:t xml:space="preserve">declined to "reopen the original panel's findings with respect to {the </w:t>
      </w:r>
      <w:r>
        <w:rPr>
          <w:lang w:val="en-US"/>
        </w:rPr>
        <w:t>European Union</w:t>
      </w:r>
      <w:r w:rsidRPr="00895902">
        <w:rPr>
          <w:lang w:val="en-US"/>
        </w:rPr>
        <w:t xml:space="preserve">'s} arguments concerning the relevance of </w:t>
      </w:r>
      <w:r>
        <w:rPr>
          <w:lang w:val="en-US"/>
        </w:rPr>
        <w:t>Article </w:t>
      </w:r>
      <w:r w:rsidRPr="00895902">
        <w:rPr>
          <w:lang w:val="en-US"/>
        </w:rPr>
        <w:t xml:space="preserve">6.4 … to the </w:t>
      </w:r>
      <w:r>
        <w:rPr>
          <w:lang w:val="en-US"/>
        </w:rPr>
        <w:t>United States</w:t>
      </w:r>
      <w:r w:rsidRPr="00895902">
        <w:rPr>
          <w:lang w:val="en-US"/>
        </w:rPr>
        <w:t xml:space="preserve">' claims under </w:t>
      </w:r>
      <w:r>
        <w:rPr>
          <w:lang w:val="en-US"/>
        </w:rPr>
        <w:t>Article </w:t>
      </w:r>
      <w:r w:rsidRPr="00895902">
        <w:rPr>
          <w:lang w:val="en-US"/>
        </w:rPr>
        <w:t>6.3(b)"</w:t>
      </w:r>
      <w:r>
        <w:rPr>
          <w:lang w:val="en-US"/>
        </w:rPr>
        <w:t>.</w:t>
      </w:r>
      <w:r w:rsidRPr="008F63C5">
        <w:rPr>
          <w:rStyle w:val="FootnoteReference"/>
          <w:lang w:val="en-US"/>
        </w:rPr>
        <w:footnoteReference w:id="1142"/>
      </w:r>
      <w:r>
        <w:rPr>
          <w:lang w:val="en-US"/>
        </w:rPr>
        <w:t xml:space="preserve"> For the Panel</w:t>
      </w:r>
      <w:r w:rsidRPr="00895902">
        <w:rPr>
          <w:lang w:val="en-US"/>
        </w:rPr>
        <w:t>, th</w:t>
      </w:r>
      <w:r w:rsidR="00A44458">
        <w:rPr>
          <w:lang w:val="en-US"/>
        </w:rPr>
        <w:t>ere were no "cogent reasons" to </w:t>
      </w:r>
      <w:r w:rsidRPr="00895902">
        <w:rPr>
          <w:lang w:val="en-US"/>
        </w:rPr>
        <w:t>do</w:t>
      </w:r>
      <w:r>
        <w:rPr>
          <w:lang w:val="en-US"/>
        </w:rPr>
        <w:t> </w:t>
      </w:r>
      <w:r w:rsidRPr="00895902">
        <w:rPr>
          <w:lang w:val="en-US"/>
        </w:rPr>
        <w:t>so.</w:t>
      </w:r>
      <w:r w:rsidRPr="008F63C5">
        <w:rPr>
          <w:rStyle w:val="FootnoteReference"/>
          <w:lang w:val="en-US"/>
        </w:rPr>
        <w:footnoteReference w:id="1143"/>
      </w:r>
    </w:p>
    <w:p w:rsidR="00AE4AC1" w:rsidRDefault="00AE4AC1" w:rsidP="009E6402">
      <w:pPr>
        <w:pStyle w:val="BodyText"/>
      </w:pPr>
      <w:r>
        <w:t>We recall that the United States claimed before the Panel that Boeing continued to experience displacement and/or impedance of its exports to cer</w:t>
      </w:r>
      <w:r w:rsidR="00C826B3">
        <w:t>tain third country markets, and </w:t>
      </w:r>
      <w:r>
        <w:t>adduced evidence in support of its claim</w:t>
      </w:r>
      <w:r w:rsidRPr="00C46C03">
        <w:t xml:space="preserve"> </w:t>
      </w:r>
      <w:r>
        <w:t>under Article 6.3(b). For its part</w:t>
      </w:r>
      <w:r w:rsidRPr="008F63C5">
        <w:t xml:space="preserve">, the </w:t>
      </w:r>
      <w:r>
        <w:t>European Union</w:t>
      </w:r>
      <w:r w:rsidRPr="008F63C5">
        <w:t xml:space="preserve"> </w:t>
      </w:r>
      <w:r>
        <w:t>sought to rebut the United States' claim</w:t>
      </w:r>
      <w:r w:rsidRPr="008F63C5">
        <w:t xml:space="preserve"> </w:t>
      </w:r>
      <w:r>
        <w:t>by referring to Article </w:t>
      </w:r>
      <w:r w:rsidRPr="008F63C5">
        <w:t>6.4</w:t>
      </w:r>
      <w:r>
        <w:t xml:space="preserve"> and</w:t>
      </w:r>
      <w:r w:rsidRPr="008F63C5">
        <w:t xml:space="preserve"> </w:t>
      </w:r>
      <w:r>
        <w:t>to interpretative guidance provided by the Appellate Body i</w:t>
      </w:r>
      <w:r w:rsidRPr="00525307">
        <w:t xml:space="preserve">n </w:t>
      </w:r>
      <w:r>
        <w:t>the original proceedings in this dispute and</w:t>
      </w:r>
      <w:r w:rsidRPr="001A5520">
        <w:t xml:space="preserve"> in </w:t>
      </w:r>
      <w:r w:rsidRPr="001610FF">
        <w:rPr>
          <w:i/>
        </w:rPr>
        <w:t>US</w:t>
      </w:r>
      <w:r>
        <w:rPr>
          <w:i/>
        </w:rPr>
        <w:t> ‒ </w:t>
      </w:r>
      <w:r w:rsidRPr="001610FF">
        <w:rPr>
          <w:i/>
        </w:rPr>
        <w:t>Large Civil Aircraft (2</w:t>
      </w:r>
      <w:r w:rsidRPr="001610FF">
        <w:rPr>
          <w:i/>
          <w:vertAlign w:val="superscript"/>
        </w:rPr>
        <w:t>nd</w:t>
      </w:r>
      <w:r w:rsidRPr="001610FF">
        <w:rPr>
          <w:i/>
        </w:rPr>
        <w:t xml:space="preserve"> complaint) </w:t>
      </w:r>
      <w:r>
        <w:t>regarding the meaning of Article 6.3(b) and the contextual relevance of Article 6.4.</w:t>
      </w:r>
      <w:r w:rsidRPr="008F63C5">
        <w:rPr>
          <w:rStyle w:val="FootnoteReference"/>
        </w:rPr>
        <w:footnoteReference w:id="1144"/>
      </w:r>
      <w:r>
        <w:t xml:space="preserve"> The European Union also referred to the recommendations and rulings of the DSB </w:t>
      </w:r>
      <w:r w:rsidRPr="00FD3C82">
        <w:t xml:space="preserve">in </w:t>
      </w:r>
      <w:r w:rsidRPr="001610FF">
        <w:rPr>
          <w:i/>
        </w:rPr>
        <w:t>US – Large Civil Aircraft (2</w:t>
      </w:r>
      <w:r w:rsidRPr="001610FF">
        <w:rPr>
          <w:i/>
          <w:vertAlign w:val="superscript"/>
        </w:rPr>
        <w:t>nd</w:t>
      </w:r>
      <w:r w:rsidRPr="001610FF">
        <w:rPr>
          <w:i/>
        </w:rPr>
        <w:t xml:space="preserve"> complaint)</w:t>
      </w:r>
      <w:r>
        <w:t xml:space="preserve"> establishing that</w:t>
      </w:r>
      <w:r w:rsidRPr="00FD3C82">
        <w:t xml:space="preserve"> Boeing LCA </w:t>
      </w:r>
      <w:r>
        <w:t>we</w:t>
      </w:r>
      <w:r w:rsidRPr="00FD3C82">
        <w:t>re subsidi</w:t>
      </w:r>
      <w:r>
        <w:t>z</w:t>
      </w:r>
      <w:r w:rsidRPr="00FD3C82">
        <w:t>ed</w:t>
      </w:r>
      <w:r>
        <w:t>, arguing that they should be taken into account in assessing the United States' claims under Article 6.3(b).</w:t>
      </w:r>
      <w:r w:rsidRPr="00FD3C82">
        <w:rPr>
          <w:vertAlign w:val="superscript"/>
        </w:rPr>
        <w:footnoteReference w:id="1145"/>
      </w:r>
      <w:r w:rsidRPr="00FD3C82">
        <w:t xml:space="preserve"> </w:t>
      </w:r>
    </w:p>
    <w:p w:rsidR="00AE4AC1" w:rsidRDefault="00AE4AC1" w:rsidP="009E6402">
      <w:pPr>
        <w:pStyle w:val="BodyText"/>
      </w:pPr>
      <w:r w:rsidRPr="008F63C5">
        <w:t xml:space="preserve">As we see it, the Panel was under a duty, pursuant to </w:t>
      </w:r>
      <w:r>
        <w:t>Article </w:t>
      </w:r>
      <w:r w:rsidRPr="008F63C5">
        <w:t xml:space="preserve">11 of the DSU, to adjudicate the claims brought by the </w:t>
      </w:r>
      <w:r>
        <w:t>United States</w:t>
      </w:r>
      <w:r w:rsidRPr="008F63C5">
        <w:t xml:space="preserve"> in these compliance proceedings in light of the evidence and arguments put forward by the </w:t>
      </w:r>
      <w:r>
        <w:t>European Union</w:t>
      </w:r>
      <w:r w:rsidRPr="008F63C5">
        <w:t xml:space="preserve"> and </w:t>
      </w:r>
      <w:r w:rsidR="007065C3">
        <w:t xml:space="preserve">the </w:t>
      </w:r>
      <w:r>
        <w:t>relevant WTO jurisprudence</w:t>
      </w:r>
      <w:r w:rsidRPr="008F63C5">
        <w:t>.</w:t>
      </w:r>
      <w:r w:rsidRPr="00F411DD">
        <w:rPr>
          <w:lang w:val="en-US"/>
        </w:rPr>
        <w:t xml:space="preserve"> In order t</w:t>
      </w:r>
      <w:r>
        <w:t>o do so, the Panel was required to</w:t>
      </w:r>
      <w:r w:rsidRPr="008F63C5">
        <w:t xml:space="preserve"> </w:t>
      </w:r>
      <w:r>
        <w:t>examine</w:t>
      </w:r>
      <w:r w:rsidRPr="008F63C5">
        <w:t xml:space="preserve"> the </w:t>
      </w:r>
      <w:r>
        <w:t>meaning of Article 6.3(b) of the SCM Agreement, including the relationship between this provision and Article 6.4</w:t>
      </w:r>
      <w:r w:rsidRPr="008F63C5">
        <w:t xml:space="preserve">, </w:t>
      </w:r>
      <w:r>
        <w:t xml:space="preserve">as </w:t>
      </w:r>
      <w:r w:rsidRPr="006B13C6">
        <w:t>clarified</w:t>
      </w:r>
      <w:r>
        <w:t xml:space="preserve"> by the Appellate Body in</w:t>
      </w:r>
      <w:r w:rsidRPr="00525307">
        <w:t xml:space="preserve"> </w:t>
      </w:r>
      <w:r w:rsidRPr="006533C9">
        <w:rPr>
          <w:i/>
        </w:rPr>
        <w:t>the original proceedings in this dispute</w:t>
      </w:r>
      <w:r>
        <w:t xml:space="preserve"> and</w:t>
      </w:r>
      <w:r w:rsidRPr="001A5520">
        <w:t xml:space="preserve"> in </w:t>
      </w:r>
      <w:r>
        <w:rPr>
          <w:i/>
        </w:rPr>
        <w:t>US ‒ </w:t>
      </w:r>
      <w:r w:rsidRPr="00F411DD">
        <w:rPr>
          <w:i/>
        </w:rPr>
        <w:t>Large Civil Aircraft (2</w:t>
      </w:r>
      <w:r w:rsidRPr="00F411DD">
        <w:rPr>
          <w:i/>
          <w:vertAlign w:val="superscript"/>
        </w:rPr>
        <w:t>nd</w:t>
      </w:r>
      <w:r w:rsidRPr="00F411DD">
        <w:rPr>
          <w:i/>
        </w:rPr>
        <w:t xml:space="preserve"> complaint</w:t>
      </w:r>
      <w:r w:rsidRPr="00834DAE">
        <w:rPr>
          <w:i/>
        </w:rPr>
        <w:t>)</w:t>
      </w:r>
      <w:r>
        <w:t>.</w:t>
      </w:r>
      <w:r w:rsidRPr="008F63C5">
        <w:t xml:space="preserve"> </w:t>
      </w:r>
      <w:r>
        <w:t xml:space="preserve">It was also appropriate for the Panel to take into account the findings and reasoning by the original panel regarding the meaning of Article 6.4. We note, as did the Panel, that </w:t>
      </w:r>
      <w:r w:rsidRPr="00683546">
        <w:rPr>
          <w:lang w:val="en-US"/>
        </w:rPr>
        <w:t xml:space="preserve">an </w:t>
      </w:r>
      <w:r>
        <w:rPr>
          <w:lang w:val="en-US"/>
        </w:rPr>
        <w:t>"</w:t>
      </w:r>
      <w:r w:rsidRPr="00683546">
        <w:rPr>
          <w:i/>
          <w:lang w:val="en-US"/>
        </w:rPr>
        <w:t>unappealed</w:t>
      </w:r>
      <w:r w:rsidRPr="00683546">
        <w:rPr>
          <w:lang w:val="en-US"/>
        </w:rPr>
        <w:t xml:space="preserve"> finding included in a panel report that is </w:t>
      </w:r>
      <w:r w:rsidRPr="00683546">
        <w:rPr>
          <w:i/>
          <w:lang w:val="en-US"/>
        </w:rPr>
        <w:t>adopted</w:t>
      </w:r>
      <w:r w:rsidRPr="00683546">
        <w:rPr>
          <w:lang w:val="en-US"/>
        </w:rPr>
        <w:t xml:space="preserve"> by the DSB must be treated as a </w:t>
      </w:r>
      <w:r w:rsidRPr="00683546">
        <w:rPr>
          <w:i/>
          <w:lang w:val="en-US"/>
        </w:rPr>
        <w:t>final resolution</w:t>
      </w:r>
      <w:r w:rsidRPr="00683546">
        <w:rPr>
          <w:lang w:val="en-US"/>
        </w:rPr>
        <w:t xml:space="preserve"> to a dispute between the parties in respect of the </w:t>
      </w:r>
      <w:r w:rsidRPr="007065C3">
        <w:rPr>
          <w:i/>
          <w:lang w:val="en-US"/>
        </w:rPr>
        <w:t>particular claim</w:t>
      </w:r>
      <w:r w:rsidRPr="00683546">
        <w:rPr>
          <w:lang w:val="en-US"/>
        </w:rPr>
        <w:t xml:space="preserve"> and the </w:t>
      </w:r>
      <w:r w:rsidRPr="00683546">
        <w:rPr>
          <w:i/>
          <w:lang w:val="en-US"/>
        </w:rPr>
        <w:t>specific</w:t>
      </w:r>
      <w:r w:rsidRPr="00683546">
        <w:rPr>
          <w:lang w:val="en-US"/>
        </w:rPr>
        <w:t xml:space="preserve"> component of a measure that is the subject of that claim</w:t>
      </w:r>
      <w:r>
        <w:rPr>
          <w:lang w:val="en-US"/>
        </w:rPr>
        <w:t>."</w:t>
      </w:r>
      <w:r>
        <w:rPr>
          <w:rStyle w:val="FootnoteReference"/>
          <w:lang w:val="en-US"/>
        </w:rPr>
        <w:footnoteReference w:id="1146"/>
      </w:r>
      <w:r>
        <w:rPr>
          <w:lang w:val="en-US"/>
        </w:rPr>
        <w:t xml:space="preserve"> </w:t>
      </w:r>
    </w:p>
    <w:p w:rsidR="00AE4AC1" w:rsidRDefault="00AE4AC1" w:rsidP="009E6402">
      <w:pPr>
        <w:pStyle w:val="BodyText"/>
      </w:pPr>
      <w:r>
        <w:rPr>
          <w:lang w:val="en-US"/>
        </w:rPr>
        <w:t xml:space="preserve">That said, we note that </w:t>
      </w:r>
      <w:r w:rsidRPr="00AE21C2">
        <w:rPr>
          <w:lang w:val="en-US"/>
        </w:rPr>
        <w:t xml:space="preserve">the </w:t>
      </w:r>
      <w:r>
        <w:rPr>
          <w:lang w:val="en-US"/>
        </w:rPr>
        <w:t>European Union</w:t>
      </w:r>
      <w:r w:rsidRPr="00AE21C2">
        <w:rPr>
          <w:lang w:val="en-US"/>
        </w:rPr>
        <w:t xml:space="preserve"> put forward new arguments </w:t>
      </w:r>
      <w:r w:rsidRPr="001340A6">
        <w:rPr>
          <w:lang w:val="en-US"/>
        </w:rPr>
        <w:t>and</w:t>
      </w:r>
      <w:r>
        <w:rPr>
          <w:lang w:val="en-US"/>
        </w:rPr>
        <w:t xml:space="preserve"> </w:t>
      </w:r>
      <w:r w:rsidRPr="00AE21C2">
        <w:rPr>
          <w:lang w:val="en-US"/>
        </w:rPr>
        <w:t xml:space="preserve">evidence regarding the relevance of alleged subsidization of the like product to rebut new claims brought by the </w:t>
      </w:r>
      <w:r>
        <w:rPr>
          <w:lang w:val="en-US"/>
        </w:rPr>
        <w:t>United States</w:t>
      </w:r>
      <w:r w:rsidRPr="00AE21C2">
        <w:rPr>
          <w:lang w:val="en-US"/>
        </w:rPr>
        <w:t xml:space="preserve"> under </w:t>
      </w:r>
      <w:r>
        <w:rPr>
          <w:lang w:val="en-US"/>
        </w:rPr>
        <w:t>Article </w:t>
      </w:r>
      <w:r w:rsidRPr="00AE21C2">
        <w:rPr>
          <w:lang w:val="en-US"/>
        </w:rPr>
        <w:t>6.3(b) with respect to the post</w:t>
      </w:r>
      <w:r>
        <w:rPr>
          <w:lang w:val="en-US"/>
        </w:rPr>
        <w:noBreakHyphen/>
      </w:r>
      <w:r w:rsidRPr="00AE21C2">
        <w:rPr>
          <w:lang w:val="en-US"/>
        </w:rPr>
        <w:t>implementation period</w:t>
      </w:r>
      <w:r>
        <w:rPr>
          <w:lang w:val="en-US"/>
        </w:rPr>
        <w:t>, which is different from the reference period covered in the original proceedings</w:t>
      </w:r>
      <w:r w:rsidRPr="00AE21C2">
        <w:rPr>
          <w:lang w:val="en-US"/>
        </w:rPr>
        <w:t>. In doing s</w:t>
      </w:r>
      <w:r w:rsidR="00C826B3">
        <w:rPr>
          <w:lang w:val="en-US"/>
        </w:rPr>
        <w:t>o, the </w:t>
      </w:r>
      <w:r>
        <w:rPr>
          <w:lang w:val="en-US"/>
        </w:rPr>
        <w:t>European Union</w:t>
      </w:r>
      <w:r w:rsidRPr="00AE21C2">
        <w:rPr>
          <w:lang w:val="en-US"/>
        </w:rPr>
        <w:t xml:space="preserve"> relied </w:t>
      </w:r>
      <w:r>
        <w:rPr>
          <w:lang w:val="en-US"/>
        </w:rPr>
        <w:t>up</w:t>
      </w:r>
      <w:r w:rsidRPr="00AE21C2">
        <w:rPr>
          <w:lang w:val="en-US"/>
        </w:rPr>
        <w:t xml:space="preserve">on </w:t>
      </w:r>
      <w:r>
        <w:rPr>
          <w:lang w:val="en-US"/>
        </w:rPr>
        <w:t xml:space="preserve">the </w:t>
      </w:r>
      <w:r w:rsidRPr="00AE21C2">
        <w:rPr>
          <w:lang w:val="en-US"/>
        </w:rPr>
        <w:t>contextual guidance regarding t</w:t>
      </w:r>
      <w:r w:rsidR="007065C3">
        <w:rPr>
          <w:lang w:val="en-US"/>
        </w:rPr>
        <w:t>he relationship between Article</w:t>
      </w:r>
      <w:r>
        <w:rPr>
          <w:lang w:val="en-US"/>
        </w:rPr>
        <w:t> </w:t>
      </w:r>
      <w:r w:rsidRPr="00AE21C2">
        <w:rPr>
          <w:lang w:val="en-US"/>
        </w:rPr>
        <w:t xml:space="preserve">6.3(b) and </w:t>
      </w:r>
      <w:r w:rsidR="007065C3">
        <w:rPr>
          <w:lang w:val="en-US"/>
        </w:rPr>
        <w:t xml:space="preserve">Article </w:t>
      </w:r>
      <w:r w:rsidRPr="00AE21C2">
        <w:rPr>
          <w:lang w:val="en-US"/>
        </w:rPr>
        <w:t xml:space="preserve">6.4 provided by the Appellate Body in </w:t>
      </w:r>
      <w:r w:rsidRPr="00AE21C2">
        <w:rPr>
          <w:i/>
          <w:lang w:val="en-US"/>
        </w:rPr>
        <w:t>the original proceedings</w:t>
      </w:r>
      <w:r>
        <w:rPr>
          <w:lang w:val="en-US"/>
        </w:rPr>
        <w:t xml:space="preserve"> in this dispute</w:t>
      </w:r>
      <w:r>
        <w:rPr>
          <w:rStyle w:val="FootnoteReference"/>
        </w:rPr>
        <w:footnoteReference w:id="1147"/>
      </w:r>
      <w:r>
        <w:rPr>
          <w:lang w:val="en-US"/>
        </w:rPr>
        <w:t xml:space="preserve"> and in </w:t>
      </w:r>
      <w:r>
        <w:rPr>
          <w:i/>
        </w:rPr>
        <w:t>US ‒ </w:t>
      </w:r>
      <w:r w:rsidRPr="00F411DD">
        <w:rPr>
          <w:i/>
        </w:rPr>
        <w:t>Large Civil Aircraft (2</w:t>
      </w:r>
      <w:r w:rsidRPr="00F411DD">
        <w:rPr>
          <w:i/>
          <w:vertAlign w:val="superscript"/>
        </w:rPr>
        <w:t>nd</w:t>
      </w:r>
      <w:r w:rsidRPr="00F411DD">
        <w:rPr>
          <w:i/>
        </w:rPr>
        <w:t xml:space="preserve"> complaint</w:t>
      </w:r>
      <w:r w:rsidRPr="00834DAE">
        <w:rPr>
          <w:i/>
        </w:rPr>
        <w:t>)</w:t>
      </w:r>
      <w:r>
        <w:t>.</w:t>
      </w:r>
      <w:r w:rsidRPr="00744308">
        <w:t xml:space="preserve"> </w:t>
      </w:r>
      <w:r w:rsidRPr="00AE21C2">
        <w:rPr>
          <w:lang w:val="en-US"/>
        </w:rPr>
        <w:t>In these circumstances, the Panel</w:t>
      </w:r>
      <w:r>
        <w:rPr>
          <w:lang w:val="en-US"/>
        </w:rPr>
        <w:t xml:space="preserve"> </w:t>
      </w:r>
      <w:r w:rsidRPr="00AE21C2">
        <w:rPr>
          <w:lang w:val="en-US"/>
        </w:rPr>
        <w:t>could not simply refuse to address the arguments and evidenc</w:t>
      </w:r>
      <w:r w:rsidR="00C826B3">
        <w:rPr>
          <w:lang w:val="en-US"/>
        </w:rPr>
        <w:t>e before it in dealing with the </w:t>
      </w:r>
      <w:r>
        <w:rPr>
          <w:lang w:val="en-US"/>
        </w:rPr>
        <w:t>United States</w:t>
      </w:r>
      <w:r w:rsidRPr="00AE21C2">
        <w:rPr>
          <w:lang w:val="en-US"/>
        </w:rPr>
        <w:t xml:space="preserve">' claims under </w:t>
      </w:r>
      <w:r>
        <w:rPr>
          <w:lang w:val="en-US"/>
        </w:rPr>
        <w:t>Article </w:t>
      </w:r>
      <w:r w:rsidRPr="00AE21C2">
        <w:rPr>
          <w:lang w:val="en-US"/>
        </w:rPr>
        <w:t>6.3(b)</w:t>
      </w:r>
      <w:r>
        <w:rPr>
          <w:lang w:val="en-US"/>
        </w:rPr>
        <w:t>;</w:t>
      </w:r>
      <w:r w:rsidRPr="00AE21C2">
        <w:rPr>
          <w:lang w:val="en-US"/>
        </w:rPr>
        <w:t xml:space="preserve"> </w:t>
      </w:r>
      <w:r>
        <w:rPr>
          <w:lang w:val="en-US"/>
        </w:rPr>
        <w:t>r</w:t>
      </w:r>
      <w:r w:rsidRPr="00AE21C2">
        <w:rPr>
          <w:lang w:val="en-US"/>
        </w:rPr>
        <w:t xml:space="preserve">ather, the Panel was required to adjudicate the </w:t>
      </w:r>
      <w:r>
        <w:rPr>
          <w:lang w:val="en-US"/>
        </w:rPr>
        <w:t>United States</w:t>
      </w:r>
      <w:r w:rsidRPr="00AE21C2">
        <w:rPr>
          <w:lang w:val="en-US"/>
        </w:rPr>
        <w:t xml:space="preserve">' claims under </w:t>
      </w:r>
      <w:r>
        <w:rPr>
          <w:lang w:val="en-US"/>
        </w:rPr>
        <w:t>Article </w:t>
      </w:r>
      <w:r w:rsidRPr="00AE21C2">
        <w:rPr>
          <w:lang w:val="en-US"/>
        </w:rPr>
        <w:t xml:space="preserve">6.3(b) in light of the arguments </w:t>
      </w:r>
      <w:r>
        <w:rPr>
          <w:lang w:val="en-US"/>
        </w:rPr>
        <w:t xml:space="preserve">raised </w:t>
      </w:r>
      <w:r w:rsidRPr="00AE21C2">
        <w:rPr>
          <w:lang w:val="en-US"/>
        </w:rPr>
        <w:t xml:space="preserve">and evidence </w:t>
      </w:r>
      <w:r>
        <w:rPr>
          <w:lang w:val="en-US"/>
        </w:rPr>
        <w:t xml:space="preserve">submitted </w:t>
      </w:r>
      <w:r w:rsidRPr="00AE21C2">
        <w:rPr>
          <w:lang w:val="en-US"/>
        </w:rPr>
        <w:t>by both parties to the dispute.</w:t>
      </w:r>
      <w:r>
        <w:rPr>
          <w:rStyle w:val="FootnoteReference"/>
          <w:lang w:val="en-US"/>
        </w:rPr>
        <w:footnoteReference w:id="1148"/>
      </w:r>
      <w:r w:rsidRPr="00AE21C2">
        <w:rPr>
          <w:lang w:val="en-US"/>
        </w:rPr>
        <w:t xml:space="preserve"> </w:t>
      </w:r>
      <w:r>
        <w:rPr>
          <w:lang w:val="en-US"/>
        </w:rPr>
        <w:t>By refusing</w:t>
      </w:r>
      <w:r>
        <w:t xml:space="preserve"> to give</w:t>
      </w:r>
      <w:r w:rsidRPr="00602672">
        <w:rPr>
          <w:i/>
          <w:lang w:val="en-US"/>
        </w:rPr>
        <w:t xml:space="preserve"> full consideration</w:t>
      </w:r>
      <w:r w:rsidRPr="00AE21C2">
        <w:rPr>
          <w:lang w:val="en-US"/>
        </w:rPr>
        <w:t xml:space="preserve"> to the specific facts and circumstances of the present case and to the legal arguments raised by </w:t>
      </w:r>
      <w:r>
        <w:rPr>
          <w:lang w:val="en-US"/>
        </w:rPr>
        <w:t>the parties to the dispute</w:t>
      </w:r>
      <w:r w:rsidRPr="00AE21C2">
        <w:rPr>
          <w:lang w:val="en-US"/>
        </w:rPr>
        <w:t>, t</w:t>
      </w:r>
      <w:r>
        <w:t xml:space="preserve">he Panel breached its duties under Article 11 of the DSU. Accordingly, we declare </w:t>
      </w:r>
      <w:r w:rsidR="007065C3">
        <w:t xml:space="preserve">moot and </w:t>
      </w:r>
      <w:r w:rsidR="003560D6">
        <w:t>of no </w:t>
      </w:r>
      <w:r w:rsidR="007065C3">
        <w:t xml:space="preserve">legal effect </w:t>
      </w:r>
      <w:r>
        <w:t>the Panel's finding</w:t>
      </w:r>
      <w:r w:rsidR="003B220E">
        <w:t>,</w:t>
      </w:r>
      <w:r>
        <w:t xml:space="preserve"> in paragraph 6.1154 of the Panel Report</w:t>
      </w:r>
      <w:r w:rsidR="003B220E">
        <w:t>,</w:t>
      </w:r>
      <w:r>
        <w:t xml:space="preserve"> </w:t>
      </w:r>
      <w:r w:rsidR="00D26FEE">
        <w:t>concerning the European </w:t>
      </w:r>
      <w:r w:rsidR="007065C3">
        <w:t>Union's reliance on Article 6.4 to reject the United States' claims under Article 6.3(b)</w:t>
      </w:r>
      <w:r w:rsidR="003B220E">
        <w:t xml:space="preserve"> of the SCM Agreement</w:t>
      </w:r>
      <w:r>
        <w:t xml:space="preserve">. Having reached this conclusion, </w:t>
      </w:r>
      <w:r w:rsidRPr="00576714">
        <w:rPr>
          <w:lang w:val="en-US"/>
        </w:rPr>
        <w:t>we see no</w:t>
      </w:r>
      <w:r>
        <w:t xml:space="preserve"> need</w:t>
      </w:r>
      <w:r w:rsidRPr="00576714">
        <w:rPr>
          <w:lang w:val="en-US"/>
        </w:rPr>
        <w:t xml:space="preserve"> to make additional findings regarding </w:t>
      </w:r>
      <w:r>
        <w:t>whether the Panel also erred in finding that there were no "</w:t>
      </w:r>
      <w:r w:rsidRPr="008F63C5">
        <w:t>cogent reasons</w:t>
      </w:r>
      <w:r>
        <w:t>"</w:t>
      </w:r>
      <w:r w:rsidRPr="008F63C5">
        <w:t xml:space="preserve"> to depart from</w:t>
      </w:r>
      <w:r>
        <w:t xml:space="preserve"> the original panel's findings, or whether the Panel acted inconsistently with Article 11 of the DSU on other grounds, as claimed by the European Union. </w:t>
      </w:r>
      <w:r w:rsidRPr="00576714">
        <w:rPr>
          <w:lang w:val="en-US"/>
        </w:rPr>
        <w:t xml:space="preserve">We fail </w:t>
      </w:r>
      <w:r w:rsidRPr="00AE21C2">
        <w:rPr>
          <w:lang w:val="en-US"/>
        </w:rPr>
        <w:t xml:space="preserve">to see how such additional findings would assist in securing a "positive solution" to the dispute or a "satisfactory settlement of the matter". </w:t>
      </w:r>
    </w:p>
    <w:p w:rsidR="00AE4AC1" w:rsidRPr="008F63C5" w:rsidRDefault="00AE4AC1" w:rsidP="009E6402">
      <w:pPr>
        <w:pStyle w:val="BodyText"/>
      </w:pPr>
      <w:r w:rsidRPr="008F63C5">
        <w:t xml:space="preserve">We </w:t>
      </w:r>
      <w:r>
        <w:t xml:space="preserve">therefore </w:t>
      </w:r>
      <w:r w:rsidRPr="008F63C5">
        <w:t xml:space="preserve">proceed to address the </w:t>
      </w:r>
      <w:r>
        <w:t>European Union</w:t>
      </w:r>
      <w:r w:rsidRPr="008F63C5">
        <w:t xml:space="preserve">'s arguments regarding the relationship between </w:t>
      </w:r>
      <w:r>
        <w:t>Article </w:t>
      </w:r>
      <w:r w:rsidRPr="008F63C5">
        <w:t xml:space="preserve">6.3(b) and </w:t>
      </w:r>
      <w:r>
        <w:t>Article </w:t>
      </w:r>
      <w:r w:rsidRPr="008F63C5">
        <w:t>6.4 of the SCM</w:t>
      </w:r>
      <w:r>
        <w:t> Agreement</w:t>
      </w:r>
      <w:r w:rsidRPr="008F63C5">
        <w:t>.</w:t>
      </w:r>
      <w:r w:rsidRPr="008F63C5">
        <w:rPr>
          <w:vertAlign w:val="superscript"/>
        </w:rPr>
        <w:footnoteReference w:id="1149"/>
      </w:r>
    </w:p>
    <w:p w:rsidR="00AE4AC1" w:rsidRPr="008F63C5" w:rsidRDefault="00AE4AC1" w:rsidP="009E6402">
      <w:pPr>
        <w:pStyle w:val="Heading5"/>
        <w:numPr>
          <w:ilvl w:val="4"/>
          <w:numId w:val="19"/>
        </w:numPr>
      </w:pPr>
      <w:bookmarkStart w:id="135" w:name="_Toc491243783"/>
      <w:bookmarkStart w:id="136" w:name="_Toc495062881"/>
      <w:bookmarkStart w:id="137" w:name="_Toc514059260"/>
      <w:r w:rsidRPr="008F63C5">
        <w:t xml:space="preserve">The relationship between </w:t>
      </w:r>
      <w:r>
        <w:t>Article </w:t>
      </w:r>
      <w:r w:rsidRPr="008F63C5">
        <w:t xml:space="preserve">6.3(b) and </w:t>
      </w:r>
      <w:r>
        <w:t>Article </w:t>
      </w:r>
      <w:r w:rsidRPr="008F63C5">
        <w:t>6.4 of the SCM</w:t>
      </w:r>
      <w:r>
        <w:t> Agreement</w:t>
      </w:r>
      <w:bookmarkEnd w:id="135"/>
      <w:bookmarkEnd w:id="136"/>
      <w:bookmarkEnd w:id="137"/>
    </w:p>
    <w:p w:rsidR="00AE4AC1" w:rsidRPr="002D24CE" w:rsidRDefault="00AE4AC1" w:rsidP="009E6402">
      <w:pPr>
        <w:pStyle w:val="BodyText"/>
      </w:pPr>
      <w:r w:rsidRPr="00A834CC">
        <w:t xml:space="preserve">As we understand it, the </w:t>
      </w:r>
      <w:r>
        <w:t>issues raised by the Europea</w:t>
      </w:r>
      <w:r w:rsidR="007B58CD">
        <w:t>n Union on appeal relate to two </w:t>
      </w:r>
      <w:r>
        <w:t>fundamental questions</w:t>
      </w:r>
      <w:r w:rsidRPr="00A834CC">
        <w:t xml:space="preserve">: (i) what is the role of </w:t>
      </w:r>
      <w:r>
        <w:t>Article </w:t>
      </w:r>
      <w:r w:rsidRPr="00A834CC">
        <w:t xml:space="preserve">6.4 </w:t>
      </w:r>
      <w:r>
        <w:t xml:space="preserve">of the SCM Agreement </w:t>
      </w:r>
      <w:r w:rsidRPr="00A834CC">
        <w:t xml:space="preserve">for the purposes of serious prejudice claims </w:t>
      </w:r>
      <w:r w:rsidRPr="002D24CE">
        <w:t xml:space="preserve">asserted under </w:t>
      </w:r>
      <w:r>
        <w:t>Article </w:t>
      </w:r>
      <w:r w:rsidRPr="002D24CE">
        <w:t>6.3(b)</w:t>
      </w:r>
      <w:r>
        <w:t xml:space="preserve"> of the SCM Agreement</w:t>
      </w:r>
      <w:r w:rsidRPr="002D24CE">
        <w:t xml:space="preserve">, including whether </w:t>
      </w:r>
      <w:r>
        <w:t>Article </w:t>
      </w:r>
      <w:r w:rsidRPr="002D24CE">
        <w:t xml:space="preserve">6.4 can be considered as providing an exclusive pathway for demonstrating displacement or impedance </w:t>
      </w:r>
      <w:r>
        <w:t xml:space="preserve">of exports </w:t>
      </w:r>
      <w:r w:rsidRPr="002D24CE">
        <w:t xml:space="preserve">in a third country market for purposes of </w:t>
      </w:r>
      <w:r>
        <w:t>Article </w:t>
      </w:r>
      <w:r w:rsidRPr="002D24CE">
        <w:t xml:space="preserve">6.3(b) and (ii) to what extent, if any, </w:t>
      </w:r>
      <w:r>
        <w:t xml:space="preserve">should </w:t>
      </w:r>
      <w:r w:rsidRPr="002D24CE">
        <w:t>the subsidization of the like product</w:t>
      </w:r>
      <w:r>
        <w:t xml:space="preserve"> be </w:t>
      </w:r>
      <w:r w:rsidRPr="002D24CE">
        <w:t xml:space="preserve">taken into account in an adverse effects analysis under </w:t>
      </w:r>
      <w:r>
        <w:t>Article </w:t>
      </w:r>
      <w:r w:rsidRPr="002D24CE">
        <w:t>6.3(b)</w:t>
      </w:r>
      <w:r>
        <w:t>?</w:t>
      </w:r>
    </w:p>
    <w:p w:rsidR="00AE4AC1" w:rsidRPr="002D24CE" w:rsidRDefault="00AE4AC1" w:rsidP="009E6402">
      <w:pPr>
        <w:pStyle w:val="BodyText"/>
      </w:pPr>
      <w:r w:rsidRPr="002D24CE">
        <w:t xml:space="preserve">Starting with the text of the relevant provisions, we note that </w:t>
      </w:r>
      <w:r>
        <w:t>Article </w:t>
      </w:r>
      <w:r w:rsidRPr="002D24CE">
        <w:t xml:space="preserve">6.3(b) provides that serious prejudice within the meaning of </w:t>
      </w:r>
      <w:r>
        <w:t>Article </w:t>
      </w:r>
      <w:r w:rsidRPr="002D24CE">
        <w:t>5(c) of the SC</w:t>
      </w:r>
      <w:r>
        <w:t>M Agreement may arise when "the </w:t>
      </w:r>
      <w:r w:rsidRPr="002D24CE">
        <w:t xml:space="preserve">effect of the subsidy is to displace or impede the exports of a like product of another Member from a third country market". </w:t>
      </w:r>
      <w:r>
        <w:t>Article </w:t>
      </w:r>
      <w:r w:rsidRPr="002D24CE">
        <w:t xml:space="preserve">6.3(b) thus speaks to the question of whether there is a "causal relationship" between the challenged subsidy and its effects. </w:t>
      </w:r>
      <w:r>
        <w:t>Article </w:t>
      </w:r>
      <w:r w:rsidRPr="002D24CE">
        <w:t>6.4, in turn, speaks more directly to the relevant market phenomenon caused by the subsidy, that is, "</w:t>
      </w:r>
      <w:r>
        <w:t>the </w:t>
      </w:r>
      <w:r w:rsidRPr="002D24CE">
        <w:t xml:space="preserve">displacement or impeding of exports". The first sentence of </w:t>
      </w:r>
      <w:r>
        <w:t>Article </w:t>
      </w:r>
      <w:r w:rsidRPr="002D24CE">
        <w:t xml:space="preserve">6.4 describes the link between </w:t>
      </w:r>
      <w:r>
        <w:t>Article </w:t>
      </w:r>
      <w:r w:rsidRPr="002D24CE">
        <w:t xml:space="preserve">6.3(b) and </w:t>
      </w:r>
      <w:r>
        <w:t>Article </w:t>
      </w:r>
      <w:r w:rsidRPr="002D24CE">
        <w:t>6.4 in the following terms:</w:t>
      </w:r>
    </w:p>
    <w:p w:rsidR="00AE4AC1" w:rsidRPr="002D24CE" w:rsidRDefault="00AE4AC1" w:rsidP="00267BCB">
      <w:pPr>
        <w:pStyle w:val="Quotation"/>
      </w:pPr>
      <w:r w:rsidRPr="002D24CE">
        <w:rPr>
          <w:szCs w:val="20"/>
        </w:rPr>
        <w:t xml:space="preserve">For the purpose of paragraph 3(b), the displacement or impeding of exports </w:t>
      </w:r>
      <w:r w:rsidRPr="002D24CE">
        <w:rPr>
          <w:i/>
          <w:szCs w:val="20"/>
        </w:rPr>
        <w:t>shall include</w:t>
      </w:r>
      <w:r w:rsidRPr="002D24CE">
        <w:rPr>
          <w:szCs w:val="20"/>
        </w:rPr>
        <w:t xml:space="preserve"> any case in which, subject to the provisions of paragraph 7, it has been demonstrated that there has been a change in relative shares of the market to the disadvantage of the </w:t>
      </w:r>
      <w:r>
        <w:rPr>
          <w:szCs w:val="20"/>
        </w:rPr>
        <w:t>non</w:t>
      </w:r>
      <w:r>
        <w:rPr>
          <w:szCs w:val="20"/>
        </w:rPr>
        <w:noBreakHyphen/>
      </w:r>
      <w:r w:rsidRPr="002D24CE">
        <w:rPr>
          <w:szCs w:val="20"/>
        </w:rPr>
        <w:t>subsidized like product (over an appropriately representative period sufficient to demonstrate clear trends in the development of the market for the product concerned, which, in normal circumstances, shall be at least one year).</w:t>
      </w:r>
      <w:r>
        <w:rPr>
          <w:rStyle w:val="FootnoteReference"/>
          <w:szCs w:val="20"/>
        </w:rPr>
        <w:footnoteReference w:id="1150"/>
      </w:r>
    </w:p>
    <w:p w:rsidR="00AE4AC1" w:rsidRPr="002D24CE" w:rsidRDefault="00AE4AC1" w:rsidP="009E6402">
      <w:pPr>
        <w:pStyle w:val="BodyText"/>
      </w:pPr>
      <w:r w:rsidRPr="002D24CE">
        <w:t>The use of the words "shall include</w:t>
      </w:r>
      <w:r>
        <w:t xml:space="preserve"> any case</w:t>
      </w:r>
      <w:r w:rsidRPr="002D24CE">
        <w:t xml:space="preserve">" in </w:t>
      </w:r>
      <w:r>
        <w:t>Article </w:t>
      </w:r>
      <w:r w:rsidRPr="002D24CE">
        <w:t xml:space="preserve">6.4 indicates that there may be cases, </w:t>
      </w:r>
      <w:r w:rsidRPr="002D24CE">
        <w:rPr>
          <w:i/>
        </w:rPr>
        <w:t>other than those set out</w:t>
      </w:r>
      <w:r w:rsidRPr="002D24CE">
        <w:t xml:space="preserve"> in </w:t>
      </w:r>
      <w:r>
        <w:t>Article </w:t>
      </w:r>
      <w:r w:rsidRPr="002D24CE">
        <w:t xml:space="preserve">6.4, in which a Member could demonstrate the "displacement or impeding of exports" for purposes of </w:t>
      </w:r>
      <w:r>
        <w:t>Article </w:t>
      </w:r>
      <w:r w:rsidRPr="002D24CE">
        <w:t xml:space="preserve">6.3(b). </w:t>
      </w:r>
      <w:r>
        <w:t>Article </w:t>
      </w:r>
      <w:r w:rsidRPr="002D24CE">
        <w:t xml:space="preserve">6.4 therefore does </w:t>
      </w:r>
      <w:r w:rsidRPr="002D24CE">
        <w:rPr>
          <w:i/>
        </w:rPr>
        <w:t>not</w:t>
      </w:r>
      <w:r w:rsidRPr="002D24CE">
        <w:t xml:space="preserve"> set out an exclusive way to demonstrate displacement or imped</w:t>
      </w:r>
      <w:r>
        <w:t>ance</w:t>
      </w:r>
      <w:r w:rsidRPr="002D24CE">
        <w:t xml:space="preserve"> of exports in a third country market.</w:t>
      </w:r>
      <w:r>
        <w:rPr>
          <w:rStyle w:val="FootnoteReference"/>
        </w:rPr>
        <w:footnoteReference w:id="1151"/>
      </w:r>
      <w:r w:rsidRPr="002D24CE">
        <w:t xml:space="preserve"> At the same time, </w:t>
      </w:r>
      <w:r>
        <w:t>Article </w:t>
      </w:r>
      <w:r w:rsidRPr="002D24CE">
        <w:t xml:space="preserve">6.4 provides guidance as to the meaning of the terms </w:t>
      </w:r>
      <w:r>
        <w:t>"</w:t>
      </w:r>
      <w:r w:rsidR="00DB71AD">
        <w:t>displacement</w:t>
      </w:r>
      <w:r>
        <w:t>"</w:t>
      </w:r>
      <w:r w:rsidRPr="002D24CE">
        <w:t xml:space="preserve"> and </w:t>
      </w:r>
      <w:r>
        <w:t>"</w:t>
      </w:r>
      <w:r w:rsidR="00DB71AD">
        <w:t>impedance</w:t>
      </w:r>
      <w:r>
        <w:t>"</w:t>
      </w:r>
      <w:r w:rsidRPr="002D24CE">
        <w:t xml:space="preserve">, indicating that these </w:t>
      </w:r>
      <w:r w:rsidRPr="00D63899">
        <w:t>phenomena can be found to exist</w:t>
      </w:r>
      <w:r w:rsidRPr="002D24CE">
        <w:t xml:space="preserve"> where "it</w:t>
      </w:r>
      <w:r>
        <w:t> </w:t>
      </w:r>
      <w:r w:rsidRPr="002D24CE">
        <w:t xml:space="preserve">has been demonstrated that there has been a change in relative shares of the market to the disadvantage of the </w:t>
      </w:r>
      <w:r>
        <w:t>non</w:t>
      </w:r>
      <w:r>
        <w:noBreakHyphen/>
      </w:r>
      <w:r w:rsidRPr="002D24CE">
        <w:t>subsidized like product</w:t>
      </w:r>
      <w:r w:rsidR="00DB71AD">
        <w:t>.</w:t>
      </w:r>
      <w:r w:rsidRPr="002D24CE">
        <w:t>"</w:t>
      </w:r>
      <w:r>
        <w:t xml:space="preserve"> </w:t>
      </w:r>
      <w:r w:rsidRPr="002D24CE">
        <w:t xml:space="preserve">The second sentence of </w:t>
      </w:r>
      <w:r>
        <w:t>Article </w:t>
      </w:r>
      <w:r w:rsidRPr="002D24CE">
        <w:t>6.4 indicates that such a "</w:t>
      </w:r>
      <w:r w:rsidR="00DB71AD">
        <w:t>{</w:t>
      </w:r>
      <w:r w:rsidRPr="002D24CE">
        <w:t>c</w:t>
      </w:r>
      <w:r w:rsidR="00DB71AD">
        <w:t>}</w:t>
      </w:r>
      <w:r w:rsidRPr="002D24CE">
        <w:t>hange in relative shares of the market" can be found to exist where: (a) "there is an increase in the market share of the subsidized product"; (b)</w:t>
      </w:r>
      <w:r w:rsidRPr="002D24CE">
        <w:rPr>
          <w:i/>
        </w:rPr>
        <w:t> </w:t>
      </w:r>
      <w:r w:rsidRPr="002D24CE">
        <w:t xml:space="preserve">"the market share of the subsidized product remains constant in circumstances in which, in the absence of the subsidy, it would have declined"; </w:t>
      </w:r>
      <w:r w:rsidR="00DB71AD">
        <w:t xml:space="preserve">and </w:t>
      </w:r>
      <w:r w:rsidRPr="002D24CE">
        <w:t>(c)</w:t>
      </w:r>
      <w:r w:rsidRPr="002D24CE">
        <w:rPr>
          <w:i/>
        </w:rPr>
        <w:t> </w:t>
      </w:r>
      <w:r w:rsidRPr="002D24CE">
        <w:t xml:space="preserve">"the market share of the subsidized product declines, but at a slower rate than would have been the case in the absence of the subsidy." </w:t>
      </w:r>
    </w:p>
    <w:p w:rsidR="00AE4AC1" w:rsidRPr="008817ED" w:rsidRDefault="00DB71AD" w:rsidP="009E6402">
      <w:pPr>
        <w:pStyle w:val="BodyText"/>
      </w:pPr>
      <w:r>
        <w:t>W</w:t>
      </w:r>
      <w:r w:rsidR="00AE4AC1">
        <w:t xml:space="preserve">e do not read Article 6.4 as dispensing with the requirement to assess causation – </w:t>
      </w:r>
      <w:r w:rsidR="00AE4AC1" w:rsidRPr="00B924AF">
        <w:t>i.e.</w:t>
      </w:r>
      <w:r w:rsidR="00D26FEE">
        <w:t> </w:t>
      </w:r>
      <w:r w:rsidR="00AE4AC1">
        <w:t>whether any change</w:t>
      </w:r>
      <w:r w:rsidR="00AE4AC1" w:rsidRPr="009822A6">
        <w:t xml:space="preserve"> in </w:t>
      </w:r>
      <w:r w:rsidR="00AE4AC1">
        <w:t xml:space="preserve">relative shares of the market </w:t>
      </w:r>
      <w:r w:rsidR="00AE4AC1" w:rsidRPr="00280F77">
        <w:t xml:space="preserve">to the disadvantage of the </w:t>
      </w:r>
      <w:r w:rsidR="00AE4AC1">
        <w:t>non</w:t>
      </w:r>
      <w:r w:rsidR="00AE4AC1">
        <w:noBreakHyphen/>
      </w:r>
      <w:r w:rsidR="00AE4AC1" w:rsidRPr="00280F77">
        <w:t>subsidized like product</w:t>
      </w:r>
      <w:r w:rsidR="00AE4AC1">
        <w:t xml:space="preserve"> is</w:t>
      </w:r>
      <w:r w:rsidR="00AE4AC1" w:rsidRPr="009822A6">
        <w:t xml:space="preserve"> the </w:t>
      </w:r>
      <w:r w:rsidR="00AE4AC1">
        <w:t>"</w:t>
      </w:r>
      <w:r w:rsidR="00AE4AC1" w:rsidRPr="009822A6">
        <w:t>effect of the subsidy</w:t>
      </w:r>
      <w:r w:rsidR="00AE4AC1">
        <w:t>" in question. Given that Article </w:t>
      </w:r>
      <w:r w:rsidR="00AE4AC1" w:rsidRPr="009822A6">
        <w:t xml:space="preserve">6.4 </w:t>
      </w:r>
      <w:r w:rsidR="00AE4AC1">
        <w:t>contemplates a finding of</w:t>
      </w:r>
      <w:r w:rsidR="00AE4AC1" w:rsidRPr="009822A6">
        <w:t xml:space="preserve"> "the displacement or impeding of</w:t>
      </w:r>
      <w:r w:rsidR="00AE4AC1">
        <w:t xml:space="preserve"> exports" to be made "{f}or the</w:t>
      </w:r>
      <w:r w:rsidR="00C826B3">
        <w:t xml:space="preserve"> purpose of" Article 6.3(b), it </w:t>
      </w:r>
      <w:r w:rsidR="00AE4AC1">
        <w:t xml:space="preserve">would appear that the required nexus between the subsidy and the relevant effects must be demonstrated on the basis of an evaluation of whether the former amounts to a </w:t>
      </w:r>
      <w:r w:rsidR="00AE4AC1" w:rsidRPr="00D762D2">
        <w:t xml:space="preserve">genuine and substantial </w:t>
      </w:r>
      <w:r w:rsidR="00AE4AC1">
        <w:t xml:space="preserve">cause of the latter. Thus, </w:t>
      </w:r>
      <w:r w:rsidR="00AE4AC1" w:rsidRPr="002D24CE">
        <w:t>rather than indicating that a complainant would not be required to demonstrate a "causal link" between the subsidy</w:t>
      </w:r>
      <w:r w:rsidR="00AE4AC1" w:rsidRPr="008817ED">
        <w:t xml:space="preserve"> and its effects to the extent </w:t>
      </w:r>
      <w:r w:rsidR="00AE4AC1">
        <w:t xml:space="preserve">that </w:t>
      </w:r>
      <w:r w:rsidR="00AE4AC1" w:rsidRPr="008817ED">
        <w:t xml:space="preserve">it has shown that its like product is not subsidized, as the original panel </w:t>
      </w:r>
      <w:r w:rsidR="00AE4AC1">
        <w:t xml:space="preserve">appears to have </w:t>
      </w:r>
      <w:r w:rsidR="00AE4AC1" w:rsidRPr="008817ED">
        <w:t>suggested</w:t>
      </w:r>
      <w:r w:rsidR="00AE4AC1" w:rsidRPr="008817ED">
        <w:rPr>
          <w:rStyle w:val="FootnoteReference"/>
        </w:rPr>
        <w:footnoteReference w:id="1152"/>
      </w:r>
      <w:r w:rsidR="00AE4AC1">
        <w:t>,</w:t>
      </w:r>
      <w:r w:rsidR="00AE4AC1" w:rsidRPr="008817ED">
        <w:t xml:space="preserve"> </w:t>
      </w:r>
      <w:r w:rsidR="00AE4AC1">
        <w:t>Article </w:t>
      </w:r>
      <w:r w:rsidR="00AE4AC1" w:rsidRPr="008817ED">
        <w:t xml:space="preserve">6.4 </w:t>
      </w:r>
      <w:r w:rsidR="00AE4AC1">
        <w:t xml:space="preserve">provides guidance as to </w:t>
      </w:r>
      <w:r w:rsidR="00AE4AC1" w:rsidRPr="008817ED">
        <w:rPr>
          <w:i/>
        </w:rPr>
        <w:t>how</w:t>
      </w:r>
      <w:r w:rsidR="00AE4AC1">
        <w:t xml:space="preserve"> displacement or impedance of exports can be demonstrated to exist in particular cases or situations</w:t>
      </w:r>
      <w:r w:rsidR="00AE4AC1" w:rsidRPr="008817ED">
        <w:t xml:space="preserve">. </w:t>
      </w:r>
    </w:p>
    <w:p w:rsidR="00AE4AC1" w:rsidRPr="00E337C1" w:rsidRDefault="00AE4AC1" w:rsidP="009E6402">
      <w:pPr>
        <w:pStyle w:val="BodyText"/>
      </w:pPr>
      <w:r>
        <w:t>Looking to the context of Article 6.3(b), w</w:t>
      </w:r>
      <w:r w:rsidRPr="00AE3B1D">
        <w:t xml:space="preserve">e note that there is no corresponding provision similar to </w:t>
      </w:r>
      <w:r>
        <w:t>Article </w:t>
      </w:r>
      <w:r w:rsidRPr="00AE3B1D">
        <w:t xml:space="preserve">6.4 that would elucidate </w:t>
      </w:r>
      <w:r>
        <w:t xml:space="preserve">on </w:t>
      </w:r>
      <w:r w:rsidRPr="00AE3B1D">
        <w:t xml:space="preserve">how displacement and/or impedance can be demonstrated with respect to "imports of a like product of another Member into the market of the subsidizing </w:t>
      </w:r>
      <w:r>
        <w:t>M</w:t>
      </w:r>
      <w:r w:rsidRPr="00AE3B1D">
        <w:t xml:space="preserve">ember" within the meaning of </w:t>
      </w:r>
      <w:r>
        <w:t>Article </w:t>
      </w:r>
      <w:r w:rsidRPr="00AE3B1D">
        <w:t>6.3(a).</w:t>
      </w:r>
      <w:r>
        <w:t xml:space="preserve"> We understand the European Union to argue that, </w:t>
      </w:r>
      <w:r w:rsidRPr="00DA267E">
        <w:rPr>
          <w:lang w:val="en-US"/>
        </w:rPr>
        <w:t xml:space="preserve">where a complainant raises claims under </w:t>
      </w:r>
      <w:r>
        <w:rPr>
          <w:lang w:val="en-US"/>
        </w:rPr>
        <w:t>both Article 6.3(a) and Article </w:t>
      </w:r>
      <w:r w:rsidRPr="00DA267E">
        <w:rPr>
          <w:lang w:val="en-US"/>
        </w:rPr>
        <w:t xml:space="preserve">6.3(b), </w:t>
      </w:r>
      <w:r>
        <w:rPr>
          <w:lang w:val="en-US"/>
        </w:rPr>
        <w:t xml:space="preserve">it would </w:t>
      </w:r>
      <w:r w:rsidRPr="00DA267E">
        <w:rPr>
          <w:lang w:val="en-US"/>
        </w:rPr>
        <w:t>be required to demonstrate</w:t>
      </w:r>
      <w:r>
        <w:rPr>
          <w:lang w:val="en-US"/>
        </w:rPr>
        <w:t xml:space="preserve"> that its like product is non</w:t>
      </w:r>
      <w:r>
        <w:rPr>
          <w:lang w:val="en-US"/>
        </w:rPr>
        <w:noBreakHyphen/>
      </w:r>
      <w:r w:rsidRPr="00DA267E">
        <w:rPr>
          <w:lang w:val="en-US"/>
        </w:rPr>
        <w:t xml:space="preserve">subsidized for the purposes of </w:t>
      </w:r>
      <w:r>
        <w:rPr>
          <w:lang w:val="en-US"/>
        </w:rPr>
        <w:t>any</w:t>
      </w:r>
      <w:r w:rsidRPr="00DA267E">
        <w:rPr>
          <w:lang w:val="en-US"/>
        </w:rPr>
        <w:t xml:space="preserve"> claim</w:t>
      </w:r>
      <w:r>
        <w:rPr>
          <w:lang w:val="en-US"/>
        </w:rPr>
        <w:t xml:space="preserve"> it brings</w:t>
      </w:r>
      <w:r w:rsidRPr="00DA267E">
        <w:rPr>
          <w:lang w:val="en-US"/>
        </w:rPr>
        <w:t xml:space="preserve"> under </w:t>
      </w:r>
      <w:r>
        <w:rPr>
          <w:lang w:val="en-US"/>
        </w:rPr>
        <w:t>Article </w:t>
      </w:r>
      <w:r w:rsidRPr="00DA267E">
        <w:rPr>
          <w:lang w:val="en-US"/>
        </w:rPr>
        <w:t xml:space="preserve">6.3(b), </w:t>
      </w:r>
      <w:r>
        <w:rPr>
          <w:lang w:val="en-US"/>
        </w:rPr>
        <w:t>but not for purposes of</w:t>
      </w:r>
      <w:r w:rsidRPr="00DA267E">
        <w:rPr>
          <w:lang w:val="en-US"/>
        </w:rPr>
        <w:t xml:space="preserve"> its claims under </w:t>
      </w:r>
      <w:r>
        <w:rPr>
          <w:lang w:val="en-US"/>
        </w:rPr>
        <w:t>Article </w:t>
      </w:r>
      <w:r w:rsidRPr="00DA267E">
        <w:rPr>
          <w:lang w:val="en-US"/>
        </w:rPr>
        <w:t xml:space="preserve">6.3(a). We find it difficult to see </w:t>
      </w:r>
      <w:r>
        <w:rPr>
          <w:lang w:val="en-US"/>
        </w:rPr>
        <w:t>a basis for</w:t>
      </w:r>
      <w:r w:rsidRPr="00DA267E">
        <w:rPr>
          <w:lang w:val="en-US"/>
        </w:rPr>
        <w:t xml:space="preserve"> this distinction </w:t>
      </w:r>
      <w:r>
        <w:rPr>
          <w:lang w:val="en-US"/>
        </w:rPr>
        <w:t>given that Article </w:t>
      </w:r>
      <w:r w:rsidRPr="00DA267E">
        <w:rPr>
          <w:lang w:val="en-US"/>
        </w:rPr>
        <w:t xml:space="preserve">6.3(a) and </w:t>
      </w:r>
      <w:r>
        <w:rPr>
          <w:lang w:val="en-US"/>
        </w:rPr>
        <w:t>Article </w:t>
      </w:r>
      <w:r w:rsidRPr="00DA267E">
        <w:rPr>
          <w:lang w:val="en-US"/>
        </w:rPr>
        <w:t>6.3(b)</w:t>
      </w:r>
      <w:r>
        <w:rPr>
          <w:lang w:val="en-US"/>
        </w:rPr>
        <w:t xml:space="preserve"> both speak to displacement and/or impedance, </w:t>
      </w:r>
      <w:r w:rsidRPr="002A2251">
        <w:rPr>
          <w:lang w:val="en-US"/>
        </w:rPr>
        <w:t>albeit in different g</w:t>
      </w:r>
      <w:r>
        <w:rPr>
          <w:lang w:val="en-US"/>
        </w:rPr>
        <w:t>eographic markets</w:t>
      </w:r>
      <w:r w:rsidRPr="00DA267E">
        <w:rPr>
          <w:lang w:val="en-US"/>
        </w:rPr>
        <w:t xml:space="preserve">. </w:t>
      </w:r>
      <w:r>
        <w:rPr>
          <w:lang w:val="en-US"/>
        </w:rPr>
        <w:t>Indeed</w:t>
      </w:r>
      <w:r w:rsidRPr="00DA267E">
        <w:rPr>
          <w:lang w:val="en-US"/>
        </w:rPr>
        <w:t>,</w:t>
      </w:r>
      <w:r w:rsidRPr="00DA267E">
        <w:t xml:space="preserve"> </w:t>
      </w:r>
      <w:r>
        <w:t xml:space="preserve">as the Appellate Body found in </w:t>
      </w:r>
      <w:r w:rsidRPr="00DA267E">
        <w:rPr>
          <w:i/>
          <w:lang w:val="en-US"/>
        </w:rPr>
        <w:t>US – Large Civil Aircraft</w:t>
      </w:r>
      <w:r>
        <w:rPr>
          <w:i/>
          <w:lang w:val="en-US"/>
        </w:rPr>
        <w:t xml:space="preserve"> (2</w:t>
      </w:r>
      <w:r w:rsidRPr="00E83341">
        <w:rPr>
          <w:i/>
          <w:vertAlign w:val="superscript"/>
          <w:lang w:val="en-US"/>
        </w:rPr>
        <w:t>nd</w:t>
      </w:r>
      <w:r>
        <w:rPr>
          <w:i/>
          <w:lang w:val="en-US"/>
        </w:rPr>
        <w:t xml:space="preserve"> complaint)</w:t>
      </w:r>
      <w:r w:rsidRPr="00AB202A">
        <w:rPr>
          <w:lang w:val="en-US"/>
        </w:rPr>
        <w:t>,</w:t>
      </w:r>
      <w:r w:rsidRPr="00DA267E">
        <w:rPr>
          <w:i/>
          <w:lang w:val="en-US"/>
        </w:rPr>
        <w:t xml:space="preserve"> </w:t>
      </w:r>
      <w:r>
        <w:t>Article </w:t>
      </w:r>
      <w:r w:rsidRPr="00DA267E">
        <w:t xml:space="preserve">6.4 </w:t>
      </w:r>
      <w:r>
        <w:t>"</w:t>
      </w:r>
      <w:r w:rsidRPr="00DA267E">
        <w:t xml:space="preserve">applies to both phenomena referred to in </w:t>
      </w:r>
      <w:r>
        <w:t>Article </w:t>
      </w:r>
      <w:r w:rsidRPr="00DA267E">
        <w:t>6.3(a) and (b)</w:t>
      </w:r>
      <w:r>
        <w:t xml:space="preserve">" and </w:t>
      </w:r>
      <w:r w:rsidRPr="00DA267E">
        <w:t xml:space="preserve">requires </w:t>
      </w:r>
      <w:r>
        <w:t xml:space="preserve">simply </w:t>
      </w:r>
      <w:r w:rsidRPr="00DA267E">
        <w:t xml:space="preserve">that, </w:t>
      </w:r>
      <w:r>
        <w:t>"</w:t>
      </w:r>
      <w:r w:rsidRPr="00DA267E">
        <w:t xml:space="preserve">as with displacement, a finding of impedance should be supported by evidence of changes in the relative market share in favour of the subsidized product, over a sufficiently representative period, to demonstrate </w:t>
      </w:r>
      <w:r>
        <w:t>'</w:t>
      </w:r>
      <w:r w:rsidR="00C826B3">
        <w:t>clear </w:t>
      </w:r>
      <w:r w:rsidRPr="00DA267E">
        <w:t>trends</w:t>
      </w:r>
      <w:r>
        <w:t>'</w:t>
      </w:r>
      <w:r w:rsidRPr="00DA267E">
        <w:t xml:space="preserve"> in the development of the market concerned</w:t>
      </w:r>
      <w:r>
        <w:t>."</w:t>
      </w:r>
      <w:r>
        <w:rPr>
          <w:rStyle w:val="FootnoteReference"/>
        </w:rPr>
        <w:footnoteReference w:id="1153"/>
      </w:r>
    </w:p>
    <w:p w:rsidR="00AE4AC1" w:rsidRPr="00C2568D" w:rsidRDefault="00AE4AC1" w:rsidP="009E6402">
      <w:pPr>
        <w:pStyle w:val="BodyText"/>
      </w:pPr>
      <w:r>
        <w:rPr>
          <w:lang w:val="en-US"/>
        </w:rPr>
        <w:t>Moreover, w</w:t>
      </w:r>
      <w:r w:rsidRPr="00D762D2">
        <w:rPr>
          <w:lang w:val="en-US"/>
        </w:rPr>
        <w:t xml:space="preserve">e note that </w:t>
      </w:r>
      <w:r>
        <w:t xml:space="preserve">Article 6.3(c) </w:t>
      </w:r>
      <w:r w:rsidRPr="00D762D2">
        <w:t xml:space="preserve">establishes that serious prejudice within the meaning of </w:t>
      </w:r>
      <w:r>
        <w:t>Article </w:t>
      </w:r>
      <w:r w:rsidRPr="00D762D2">
        <w:t xml:space="preserve">5(c) </w:t>
      </w:r>
      <w:r>
        <w:t xml:space="preserve">of the SCM Agreement </w:t>
      </w:r>
      <w:r w:rsidRPr="00D762D2">
        <w:t>may arise in case</w:t>
      </w:r>
      <w:r>
        <w:t>s</w:t>
      </w:r>
      <w:r w:rsidRPr="00D762D2">
        <w:t xml:space="preserve"> where the effect of the subsidy is "a significant price undercutting by the subsidized product as compared with the price of a like product of another Member in the same market". </w:t>
      </w:r>
      <w:r>
        <w:t>In addition, Article </w:t>
      </w:r>
      <w:r w:rsidRPr="00E94C83">
        <w:t>6.5</w:t>
      </w:r>
      <w:r w:rsidRPr="00D762D2">
        <w:t xml:space="preserve"> </w:t>
      </w:r>
      <w:r>
        <w:t xml:space="preserve">of the SCM Agreement </w:t>
      </w:r>
      <w:r w:rsidRPr="00D762D2">
        <w:t>states:</w:t>
      </w:r>
    </w:p>
    <w:p w:rsidR="00AE4AC1" w:rsidRPr="00C2568D" w:rsidRDefault="00AE4AC1" w:rsidP="00267BCB">
      <w:pPr>
        <w:pStyle w:val="Quotation"/>
      </w:pPr>
      <w:r w:rsidRPr="00E94C83">
        <w:rPr>
          <w:szCs w:val="20"/>
          <w:lang w:val="en-IN"/>
        </w:rPr>
        <w:t xml:space="preserve">For the purpose of paragraph 3(c), </w:t>
      </w:r>
      <w:r w:rsidRPr="00E94C83">
        <w:rPr>
          <w:i/>
          <w:szCs w:val="20"/>
          <w:lang w:val="en-IN"/>
        </w:rPr>
        <w:t xml:space="preserve">price undercutting shall include any case in which such price undercutting has been demonstrated through a comparison of prices of the subsidized product with prices of a </w:t>
      </w:r>
      <w:r>
        <w:rPr>
          <w:i/>
          <w:szCs w:val="20"/>
          <w:lang w:val="en-IN"/>
        </w:rPr>
        <w:t>non</w:t>
      </w:r>
      <w:r>
        <w:rPr>
          <w:i/>
          <w:szCs w:val="20"/>
          <w:lang w:val="en-IN"/>
        </w:rPr>
        <w:noBreakHyphen/>
      </w:r>
      <w:r w:rsidRPr="00E94C83">
        <w:rPr>
          <w:i/>
          <w:szCs w:val="20"/>
          <w:lang w:val="en-IN"/>
        </w:rPr>
        <w:t>subsidized like product supplied to the same market</w:t>
      </w:r>
      <w:r w:rsidRPr="00E94C83">
        <w:rPr>
          <w:szCs w:val="20"/>
          <w:lang w:val="en-IN"/>
        </w:rPr>
        <w:t>. The comparison shall be made at the same level of trade and at comparable times, due account being taken of any other factor affecting price comparability. However, if such a direct</w:t>
      </w:r>
      <w:r w:rsidRPr="00D762D2">
        <w:rPr>
          <w:szCs w:val="20"/>
          <w:lang w:val="en-IN"/>
        </w:rPr>
        <w:t xml:space="preserve"> comparison is not possible, the existence of price undercutting may be demonstrated on the basis of export unit values.</w:t>
      </w:r>
      <w:r>
        <w:rPr>
          <w:rStyle w:val="FootnoteReference"/>
          <w:szCs w:val="20"/>
          <w:lang w:val="en-IN"/>
        </w:rPr>
        <w:footnoteReference w:id="1154"/>
      </w:r>
    </w:p>
    <w:p w:rsidR="00AE4AC1" w:rsidRDefault="00AE4AC1" w:rsidP="009E6402">
      <w:pPr>
        <w:pStyle w:val="BodyText"/>
      </w:pPr>
      <w:r>
        <w:t xml:space="preserve">Article 6.5 therefore clarifies that price undercutting within the meaning of Article 6.3(c) "shall include" any case in which such price undercutting has been demonstrated through a </w:t>
      </w:r>
      <w:r w:rsidRPr="00C94D95">
        <w:rPr>
          <w:lang w:val="en-IN"/>
        </w:rPr>
        <w:t>comparison of prices of the subsidized product with prices of a "</w:t>
      </w:r>
      <w:r>
        <w:rPr>
          <w:lang w:val="en-IN"/>
        </w:rPr>
        <w:t>non</w:t>
      </w:r>
      <w:r>
        <w:rPr>
          <w:lang w:val="en-IN"/>
        </w:rPr>
        <w:noBreakHyphen/>
      </w:r>
      <w:r w:rsidRPr="00C94D95">
        <w:rPr>
          <w:lang w:val="en-IN"/>
        </w:rPr>
        <w:t>subsidized like product" supplied to the same market</w:t>
      </w:r>
      <w:r w:rsidRPr="00D762D2">
        <w:t>.</w:t>
      </w:r>
      <w:r>
        <w:t xml:space="preserve"> We view the relationship between Article 6.3(c) and Article 6.5 as similar to that between Article </w:t>
      </w:r>
      <w:r w:rsidRPr="00046AB9">
        <w:t xml:space="preserve">6.3(b) </w:t>
      </w:r>
      <w:r>
        <w:t xml:space="preserve">and Article 6.4, in the sense that Article 6.3(c) </w:t>
      </w:r>
      <w:r w:rsidRPr="00046AB9">
        <w:t xml:space="preserve">speaks broadly to the question of whether a "causal relationship" </w:t>
      </w:r>
      <w:r>
        <w:t xml:space="preserve">exists </w:t>
      </w:r>
      <w:r w:rsidRPr="00046AB9">
        <w:t xml:space="preserve">between the challenged subsidy and </w:t>
      </w:r>
      <w:r>
        <w:t>the relevant price effects, while Article </w:t>
      </w:r>
      <w:r w:rsidRPr="00046AB9">
        <w:t>6.</w:t>
      </w:r>
      <w:r>
        <w:t>5</w:t>
      </w:r>
      <w:r w:rsidRPr="00046AB9">
        <w:t xml:space="preserve"> speaks </w:t>
      </w:r>
      <w:r>
        <w:t xml:space="preserve">to one of </w:t>
      </w:r>
      <w:r w:rsidRPr="00046AB9">
        <w:t>the relevant market phenomen</w:t>
      </w:r>
      <w:r>
        <w:t>a mentioned in Article 6.3(c)</w:t>
      </w:r>
      <w:r w:rsidRPr="00046AB9">
        <w:t>, that is, "</w:t>
      </w:r>
      <w:r>
        <w:t>significant price undercutting</w:t>
      </w:r>
      <w:r w:rsidRPr="00046AB9">
        <w:t>"</w:t>
      </w:r>
      <w:r>
        <w:t>, and how it can be found to exist by comparing certain prices</w:t>
      </w:r>
      <w:r w:rsidRPr="00046AB9">
        <w:t>.</w:t>
      </w:r>
      <w:r>
        <w:t xml:space="preserve"> R</w:t>
      </w:r>
      <w:r w:rsidRPr="002D24CE">
        <w:t>ather than indicating that a complainant would not be required to demonstrate a "causal link" between the subsidy</w:t>
      </w:r>
      <w:r w:rsidRPr="008817ED">
        <w:t xml:space="preserve"> and </w:t>
      </w:r>
      <w:r>
        <w:t>the undercutting of prices of a "non</w:t>
      </w:r>
      <w:r>
        <w:noBreakHyphen/>
        <w:t>subsidized like product", Article </w:t>
      </w:r>
      <w:r w:rsidRPr="008817ED">
        <w:t>6.</w:t>
      </w:r>
      <w:r>
        <w:t>5</w:t>
      </w:r>
      <w:r w:rsidRPr="008817ED">
        <w:t xml:space="preserve"> </w:t>
      </w:r>
      <w:r>
        <w:t>provides guidance as to which prices to compare to determine whether undercutting occurs. We do not find support in Article 6.5 for the proposition that a complainant would be required in each case to demonstrate that its like product is non</w:t>
      </w:r>
      <w:r>
        <w:noBreakHyphen/>
        <w:t xml:space="preserve">subsidized </w:t>
      </w:r>
      <w:r w:rsidRPr="001610FF">
        <w:t xml:space="preserve">in the context of claims brought under </w:t>
      </w:r>
      <w:r>
        <w:t>Article </w:t>
      </w:r>
      <w:r w:rsidRPr="001610FF">
        <w:t>6.3(</w:t>
      </w:r>
      <w:r>
        <w:t>c</w:t>
      </w:r>
      <w:r w:rsidRPr="001610FF">
        <w:t>)</w:t>
      </w:r>
      <w:r>
        <w:t xml:space="preserve">. </w:t>
      </w:r>
    </w:p>
    <w:p w:rsidR="00AE4AC1" w:rsidRDefault="00AE4AC1" w:rsidP="009E6402">
      <w:pPr>
        <w:pStyle w:val="BodyText"/>
      </w:pPr>
      <w:r w:rsidRPr="00D762D2">
        <w:t xml:space="preserve">The </w:t>
      </w:r>
      <w:r>
        <w:t>European Union</w:t>
      </w:r>
      <w:r w:rsidRPr="00D762D2">
        <w:t xml:space="preserve"> </w:t>
      </w:r>
      <w:r>
        <w:t>submits</w:t>
      </w:r>
      <w:r w:rsidRPr="002D24CE">
        <w:rPr>
          <w:lang w:val="en-US"/>
        </w:rPr>
        <w:t xml:space="preserve"> t</w:t>
      </w:r>
      <w:r w:rsidRPr="00E82DA0">
        <w:t xml:space="preserve">hat </w:t>
      </w:r>
      <w:r>
        <w:t>"</w:t>
      </w:r>
      <w:r w:rsidRPr="002D24CE">
        <w:rPr>
          <w:lang w:val="en-US"/>
        </w:rPr>
        <w:t xml:space="preserve">the language of </w:t>
      </w:r>
      <w:r>
        <w:rPr>
          <w:lang w:val="en-US"/>
        </w:rPr>
        <w:t>Article </w:t>
      </w:r>
      <w:r w:rsidRPr="002D24CE">
        <w:rPr>
          <w:lang w:val="en-US"/>
        </w:rPr>
        <w:t xml:space="preserve">6.4 must be taken into account in </w:t>
      </w:r>
      <w:r w:rsidRPr="002D24CE">
        <w:rPr>
          <w:i/>
          <w:lang w:val="en-US"/>
        </w:rPr>
        <w:t>any</w:t>
      </w:r>
      <w:r w:rsidRPr="002D24CE">
        <w:rPr>
          <w:lang w:val="en-US"/>
        </w:rPr>
        <w:t xml:space="preserve"> circumstances when </w:t>
      </w:r>
      <w:r>
        <w:rPr>
          <w:lang w:val="en-US"/>
        </w:rPr>
        <w:t>Article </w:t>
      </w:r>
      <w:r w:rsidRPr="002D24CE">
        <w:rPr>
          <w:lang w:val="en-US"/>
        </w:rPr>
        <w:t>6.3(b) is applied</w:t>
      </w:r>
      <w:r>
        <w:rPr>
          <w:lang w:val="en-US"/>
        </w:rPr>
        <w:t>.</w:t>
      </w:r>
      <w:r w:rsidRPr="00E82DA0">
        <w:t>"</w:t>
      </w:r>
      <w:r>
        <w:rPr>
          <w:rStyle w:val="FootnoteReference"/>
        </w:rPr>
        <w:footnoteReference w:id="1155"/>
      </w:r>
      <w:r w:rsidRPr="00E82DA0">
        <w:t xml:space="preserve"> </w:t>
      </w:r>
      <w:r w:rsidRPr="00525307">
        <w:t xml:space="preserve">In </w:t>
      </w:r>
      <w:r>
        <w:t>the original proceedings</w:t>
      </w:r>
      <w:r w:rsidRPr="001A5520">
        <w:t>,</w:t>
      </w:r>
      <w:r w:rsidR="00C97063">
        <w:rPr>
          <w:lang w:val="en-US"/>
        </w:rPr>
        <w:t xml:space="preserve"> the </w:t>
      </w:r>
      <w:r w:rsidRPr="002D24CE">
        <w:rPr>
          <w:lang w:val="en-US"/>
        </w:rPr>
        <w:t xml:space="preserve">Appellate Body noted </w:t>
      </w:r>
      <w:r>
        <w:rPr>
          <w:lang w:val="en-US"/>
        </w:rPr>
        <w:t xml:space="preserve">that </w:t>
      </w:r>
      <w:r>
        <w:rPr>
          <w:bCs/>
        </w:rPr>
        <w:t>Article </w:t>
      </w:r>
      <w:r w:rsidRPr="001A5520">
        <w:t xml:space="preserve">6.4 </w:t>
      </w:r>
      <w:r>
        <w:t>"</w:t>
      </w:r>
      <w:r w:rsidRPr="001A5520">
        <w:t>provides that the change in relative market shares shall be demonstrated 'over an appropriately representative period sufficient to demonstrate clear trends in the development of the market for the product concerned'."</w:t>
      </w:r>
      <w:r w:rsidRPr="001A5520">
        <w:rPr>
          <w:rStyle w:val="FootnoteReference"/>
        </w:rPr>
        <w:footnoteReference w:id="1156"/>
      </w:r>
      <w:r w:rsidRPr="001A5520">
        <w:t xml:space="preserve"> Moreover, referring to its findings in </w:t>
      </w:r>
      <w:r>
        <w:t>the original proceedings in this dispute</w:t>
      </w:r>
      <w:r w:rsidRPr="001A5520">
        <w:t xml:space="preserve">, the Appellate Body stated in </w:t>
      </w:r>
      <w:r w:rsidRPr="002D24CE">
        <w:rPr>
          <w:i/>
        </w:rPr>
        <w:t>US – Large Civil Aircraft (2</w:t>
      </w:r>
      <w:r w:rsidRPr="002D24CE">
        <w:rPr>
          <w:i/>
          <w:vertAlign w:val="superscript"/>
        </w:rPr>
        <w:t>nd</w:t>
      </w:r>
      <w:r>
        <w:rPr>
          <w:i/>
        </w:rPr>
        <w:t> </w:t>
      </w:r>
      <w:r w:rsidRPr="002D24CE">
        <w:rPr>
          <w:i/>
        </w:rPr>
        <w:t>complaint)</w:t>
      </w:r>
      <w:r>
        <w:rPr>
          <w:i/>
        </w:rPr>
        <w:t xml:space="preserve"> </w:t>
      </w:r>
      <w:r w:rsidRPr="001A5520">
        <w:t>that "the effect of a subsidy must be examined 'over a sufficiently long period of time and is not limited to the year in which it was paid' because consideration of developments over a longer period 'provides a more robust basis for a serious prejudice evaluation'."</w:t>
      </w:r>
      <w:r w:rsidRPr="001A5520">
        <w:rPr>
          <w:rStyle w:val="FootnoteReference"/>
        </w:rPr>
        <w:footnoteReference w:id="1157"/>
      </w:r>
      <w:r w:rsidRPr="001A5520">
        <w:t xml:space="preserve"> The Appellate Body</w:t>
      </w:r>
      <w:r w:rsidRPr="00D762D2">
        <w:t xml:space="preserve"> </w:t>
      </w:r>
      <w:r>
        <w:t>added</w:t>
      </w:r>
      <w:r w:rsidRPr="00D762D2">
        <w:t xml:space="preserve"> that </w:t>
      </w:r>
      <w:r>
        <w:t>Article </w:t>
      </w:r>
      <w:r w:rsidRPr="00D762D2">
        <w:t xml:space="preserve">6.4 </w:t>
      </w:r>
      <w:r>
        <w:t>"</w:t>
      </w:r>
      <w:r w:rsidRPr="00D762D2">
        <w:t>applies to both phenomen</w:t>
      </w:r>
      <w:r>
        <w:t>a</w:t>
      </w:r>
      <w:r w:rsidRPr="00D762D2">
        <w:t xml:space="preserve"> referred to in </w:t>
      </w:r>
      <w:r>
        <w:t>Article </w:t>
      </w:r>
      <w:r w:rsidRPr="00D762D2">
        <w:t>6.3(a) and (b)"</w:t>
      </w:r>
      <w:r>
        <w:rPr>
          <w:rStyle w:val="FootnoteReference"/>
        </w:rPr>
        <w:footnoteReference w:id="1158"/>
      </w:r>
      <w:r w:rsidRPr="00D762D2">
        <w:t xml:space="preserve">, </w:t>
      </w:r>
      <w:r>
        <w:t>and requires</w:t>
      </w:r>
      <w:r w:rsidRPr="00D762D2">
        <w:t xml:space="preserve">, as with displacement, </w:t>
      </w:r>
      <w:r>
        <w:t xml:space="preserve">that </w:t>
      </w:r>
      <w:r w:rsidRPr="00D762D2">
        <w:t xml:space="preserve">a finding of impedance </w:t>
      </w:r>
      <w:r>
        <w:t>"</w:t>
      </w:r>
      <w:r w:rsidR="00C826B3">
        <w:t>be </w:t>
      </w:r>
      <w:r w:rsidRPr="00D762D2">
        <w:t>supported by evidence of changes in the relative market share in favour of the subsidized product, over a sufficiently representative period, to demonstrate 'clear trends' in the development of the market concerned."</w:t>
      </w:r>
      <w:r>
        <w:rPr>
          <w:rStyle w:val="FootnoteReference"/>
        </w:rPr>
        <w:footnoteReference w:id="1159"/>
      </w:r>
      <w:r w:rsidRPr="00D762D2">
        <w:t xml:space="preserve"> </w:t>
      </w:r>
      <w:r w:rsidRPr="002D24CE">
        <w:rPr>
          <w:lang w:val="en-US"/>
        </w:rPr>
        <w:t xml:space="preserve">While we agree with the </w:t>
      </w:r>
      <w:r>
        <w:rPr>
          <w:lang w:val="en-US"/>
        </w:rPr>
        <w:t>European Union</w:t>
      </w:r>
      <w:r w:rsidRPr="002D24CE">
        <w:rPr>
          <w:lang w:val="en-US"/>
        </w:rPr>
        <w:t xml:space="preserve"> that </w:t>
      </w:r>
      <w:r>
        <w:rPr>
          <w:lang w:val="en-US"/>
        </w:rPr>
        <w:t>Article </w:t>
      </w:r>
      <w:r w:rsidRPr="002D24CE">
        <w:rPr>
          <w:lang w:val="en-US"/>
        </w:rPr>
        <w:t xml:space="preserve">6.4 is context for a proper interpretation of </w:t>
      </w:r>
      <w:r>
        <w:rPr>
          <w:lang w:val="en-US"/>
        </w:rPr>
        <w:t>Article </w:t>
      </w:r>
      <w:r w:rsidRPr="002D24CE">
        <w:rPr>
          <w:lang w:val="en-US"/>
        </w:rPr>
        <w:t xml:space="preserve">6.3(b), </w:t>
      </w:r>
      <w:r w:rsidRPr="00525307">
        <w:t xml:space="preserve">we do </w:t>
      </w:r>
      <w:r>
        <w:t>not consider that it</w:t>
      </w:r>
      <w:r w:rsidRPr="00525307">
        <w:t xml:space="preserve"> follow</w:t>
      </w:r>
      <w:r>
        <w:t>s</w:t>
      </w:r>
      <w:r w:rsidRPr="00525307">
        <w:t xml:space="preserve"> from this that a complainant is required</w:t>
      </w:r>
      <w:r>
        <w:t xml:space="preserve"> in each case</w:t>
      </w:r>
      <w:r w:rsidRPr="00525307">
        <w:t xml:space="preserve"> to demonstrate that its like product is</w:t>
      </w:r>
      <w:r>
        <w:t xml:space="preserve"> non</w:t>
      </w:r>
      <w:r>
        <w:noBreakHyphen/>
      </w:r>
      <w:r w:rsidRPr="00525307">
        <w:t xml:space="preserve">subsidized to </w:t>
      </w:r>
      <w:r>
        <w:t>establish the existence of displacement or impedance under</w:t>
      </w:r>
      <w:r w:rsidRPr="00525307">
        <w:t xml:space="preserve"> </w:t>
      </w:r>
      <w:r>
        <w:t>Article </w:t>
      </w:r>
      <w:r w:rsidRPr="00525307">
        <w:t xml:space="preserve">6.3(b). Nor do we </w:t>
      </w:r>
      <w:r>
        <w:t xml:space="preserve">find </w:t>
      </w:r>
      <w:r w:rsidRPr="00525307">
        <w:t xml:space="preserve">support for such a proposition in the Appellate Body reports in </w:t>
      </w:r>
      <w:r>
        <w:t>the original proceedings in this dispute or</w:t>
      </w:r>
      <w:r w:rsidRPr="00525307">
        <w:t xml:space="preserve"> </w:t>
      </w:r>
      <w:r>
        <w:t>in</w:t>
      </w:r>
      <w:r w:rsidR="00C826B3">
        <w:t> </w:t>
      </w:r>
      <w:r>
        <w:rPr>
          <w:i/>
        </w:rPr>
        <w:t>US ‒ </w:t>
      </w:r>
      <w:r w:rsidRPr="002D24CE">
        <w:rPr>
          <w:i/>
        </w:rPr>
        <w:t>Large Civil Aircraft (2</w:t>
      </w:r>
      <w:r w:rsidRPr="002D24CE">
        <w:rPr>
          <w:i/>
          <w:vertAlign w:val="superscript"/>
        </w:rPr>
        <w:t>nd</w:t>
      </w:r>
      <w:r w:rsidRPr="002D24CE">
        <w:rPr>
          <w:i/>
        </w:rPr>
        <w:t xml:space="preserve"> complaint)</w:t>
      </w:r>
      <w:r w:rsidRPr="00525307">
        <w:t xml:space="preserve">. </w:t>
      </w:r>
      <w:r>
        <w:t>As noted earlier, Article 6.4, and in particular its reference to "non</w:t>
      </w:r>
      <w:r>
        <w:noBreakHyphen/>
        <w:t xml:space="preserve">subsidized like product", </w:t>
      </w:r>
      <w:r w:rsidRPr="002D24CE">
        <w:t xml:space="preserve">does </w:t>
      </w:r>
      <w:r w:rsidRPr="002D24CE">
        <w:rPr>
          <w:i/>
        </w:rPr>
        <w:t>not</w:t>
      </w:r>
      <w:r w:rsidRPr="002D24CE">
        <w:t xml:space="preserve"> set out an exclusive </w:t>
      </w:r>
      <w:r>
        <w:t>path</w:t>
      </w:r>
      <w:r w:rsidRPr="002D24CE">
        <w:t>way to demonstrate displacement or imped</w:t>
      </w:r>
      <w:r>
        <w:t>ance</w:t>
      </w:r>
      <w:r w:rsidRPr="002D24CE">
        <w:t xml:space="preserve"> of ex</w:t>
      </w:r>
      <w:r>
        <w:t xml:space="preserve">ports in a third country market. </w:t>
      </w:r>
    </w:p>
    <w:p w:rsidR="00AE4AC1" w:rsidRPr="002D24CE" w:rsidRDefault="00AE4AC1" w:rsidP="009E6402">
      <w:pPr>
        <w:pStyle w:val="BodyText"/>
      </w:pPr>
      <w:r w:rsidRPr="002D24CE">
        <w:t xml:space="preserve">The </w:t>
      </w:r>
      <w:r>
        <w:t>European Union</w:t>
      </w:r>
      <w:r w:rsidRPr="002D24CE">
        <w:t xml:space="preserve"> </w:t>
      </w:r>
      <w:r>
        <w:t>also</w:t>
      </w:r>
      <w:r w:rsidRPr="002D24CE">
        <w:t xml:space="preserve"> </w:t>
      </w:r>
      <w:r>
        <w:t>maintains, in the alternative,</w:t>
      </w:r>
      <w:r w:rsidRPr="002D24CE">
        <w:t xml:space="preserve"> that </w:t>
      </w:r>
      <w:r w:rsidRPr="00C14A4B">
        <w:rPr>
          <w:lang w:val="en-US"/>
        </w:rPr>
        <w:t>the existence of subsidization of the like product</w:t>
      </w:r>
      <w:r w:rsidR="00EE71A5">
        <w:rPr>
          <w:lang w:val="en-US"/>
        </w:rPr>
        <w:t xml:space="preserve"> (Boeing LCA)</w:t>
      </w:r>
      <w:r w:rsidRPr="00C14A4B">
        <w:rPr>
          <w:lang w:val="en-US"/>
        </w:rPr>
        <w:t xml:space="preserve"> "was something that the … Panel had to take into account, in any event, in its assessment of causa</w:t>
      </w:r>
      <w:r w:rsidRPr="00AD7BE3">
        <w:rPr>
          <w:lang w:val="en-US"/>
        </w:rPr>
        <w:t xml:space="preserve">tion and </w:t>
      </w:r>
      <w:r>
        <w:rPr>
          <w:lang w:val="en-US"/>
        </w:rPr>
        <w:t>non</w:t>
      </w:r>
      <w:r>
        <w:rPr>
          <w:lang w:val="en-US"/>
        </w:rPr>
        <w:noBreakHyphen/>
      </w:r>
      <w:r w:rsidRPr="00AD7BE3">
        <w:rPr>
          <w:lang w:val="en-US"/>
        </w:rPr>
        <w:t xml:space="preserve">attribution under </w:t>
      </w:r>
      <w:r>
        <w:rPr>
          <w:lang w:val="en-US"/>
        </w:rPr>
        <w:t>Article </w:t>
      </w:r>
      <w:r w:rsidRPr="00AD7BE3">
        <w:rPr>
          <w:lang w:val="en-US"/>
        </w:rPr>
        <w:t>6.3(b)".</w:t>
      </w:r>
      <w:r w:rsidRPr="002D24CE">
        <w:rPr>
          <w:rStyle w:val="FootnoteReference"/>
          <w:lang w:val="en-US"/>
        </w:rPr>
        <w:footnoteReference w:id="1160"/>
      </w:r>
      <w:r w:rsidRPr="002D24CE">
        <w:t xml:space="preserve"> Depending on the arguments and evidence that the parties put before a panel, it may be relevant for a panel to consider, as a part of its causation analysis, whether the like product of the </w:t>
      </w:r>
      <w:r w:rsidR="00EE71A5">
        <w:t>complainant</w:t>
      </w:r>
      <w:r w:rsidRPr="002D24CE">
        <w:t xml:space="preserve"> is subsidized. However, we see no reason why a panel would be required to determine whether one subsidizing Member is causing a particular market phenomenon to </w:t>
      </w:r>
      <w:r w:rsidR="00267BCB">
        <w:t xml:space="preserve">the exclusion of </w:t>
      </w:r>
      <w:r w:rsidR="00EE71A5">
        <w:t>another subsidizing Member</w:t>
      </w:r>
      <w:r w:rsidR="00267BCB">
        <w:t>, as </w:t>
      </w:r>
      <w:r w:rsidRPr="002D24CE">
        <w:t xml:space="preserve">the </w:t>
      </w:r>
      <w:r>
        <w:t>European Union</w:t>
      </w:r>
      <w:r w:rsidRPr="002D24CE">
        <w:t xml:space="preserve"> seems to suggest.</w:t>
      </w:r>
      <w:r w:rsidRPr="002D24CE">
        <w:rPr>
          <w:rStyle w:val="FootnoteReference"/>
          <w:lang w:val="en-US"/>
        </w:rPr>
        <w:footnoteReference w:id="1161"/>
      </w:r>
      <w:r w:rsidRPr="002D24CE">
        <w:t xml:space="preserve"> </w:t>
      </w:r>
    </w:p>
    <w:p w:rsidR="00AE4AC1" w:rsidRPr="002D24CE" w:rsidRDefault="00AE4AC1" w:rsidP="009E6402">
      <w:pPr>
        <w:pStyle w:val="Heading4"/>
      </w:pPr>
      <w:bookmarkStart w:id="138" w:name="_Toc514059261"/>
      <w:r w:rsidRPr="002D24CE">
        <w:t>Conclusion</w:t>
      </w:r>
      <w:bookmarkEnd w:id="138"/>
    </w:p>
    <w:p w:rsidR="00AE4AC1" w:rsidRDefault="00AE4AC1" w:rsidP="009E6402">
      <w:pPr>
        <w:pStyle w:val="BodyText"/>
      </w:pPr>
      <w:r>
        <w:t xml:space="preserve">Regarding the European Union's arguments concerning the relevance of Article 6.4 of the SCM Agreement to the United States' claims under Article 6.3(b) of </w:t>
      </w:r>
      <w:r w:rsidR="00EE71A5">
        <w:t>that</w:t>
      </w:r>
      <w:r>
        <w:t> Agreement, the Panel was required to</w:t>
      </w:r>
      <w:r w:rsidRPr="008F63C5">
        <w:t xml:space="preserve"> </w:t>
      </w:r>
      <w:r>
        <w:t>examine</w:t>
      </w:r>
      <w:r w:rsidRPr="008F63C5">
        <w:t xml:space="preserve"> the </w:t>
      </w:r>
      <w:r>
        <w:t>meaning of Article 6.3(b), including the relationship between this provision and Article 6.4</w:t>
      </w:r>
      <w:r w:rsidRPr="008F63C5">
        <w:t xml:space="preserve">, </w:t>
      </w:r>
      <w:r>
        <w:t xml:space="preserve">as </w:t>
      </w:r>
      <w:r w:rsidRPr="006B13C6">
        <w:t>clarified</w:t>
      </w:r>
      <w:r>
        <w:t xml:space="preserve"> by the Appellate Body in</w:t>
      </w:r>
      <w:r w:rsidRPr="00525307">
        <w:t xml:space="preserve"> </w:t>
      </w:r>
      <w:r w:rsidRPr="00C455ED">
        <w:t>the original proceedings in this dispute</w:t>
      </w:r>
      <w:r>
        <w:t xml:space="preserve"> and</w:t>
      </w:r>
      <w:r w:rsidRPr="001A5520">
        <w:t xml:space="preserve"> in </w:t>
      </w:r>
      <w:r w:rsidRPr="00C7671E">
        <w:rPr>
          <w:i/>
        </w:rPr>
        <w:t>US ‒ </w:t>
      </w:r>
      <w:r w:rsidRPr="00C33ABF">
        <w:rPr>
          <w:i/>
        </w:rPr>
        <w:t>Large Civil Aircraft (2</w:t>
      </w:r>
      <w:r w:rsidRPr="00C33ABF">
        <w:rPr>
          <w:i/>
          <w:vertAlign w:val="superscript"/>
        </w:rPr>
        <w:t>nd</w:t>
      </w:r>
      <w:r w:rsidRPr="00D022A7">
        <w:rPr>
          <w:i/>
        </w:rPr>
        <w:t xml:space="preserve"> complaint)</w:t>
      </w:r>
      <w:r>
        <w:t>.</w:t>
      </w:r>
      <w:r w:rsidRPr="008F63C5">
        <w:t xml:space="preserve"> </w:t>
      </w:r>
      <w:r>
        <w:t xml:space="preserve">It was also appropriate for the Panel to take into account the findings and reasoning by the original panel regarding the meaning of Article 6.4. </w:t>
      </w:r>
      <w:r>
        <w:rPr>
          <w:lang w:val="en-US"/>
        </w:rPr>
        <w:t>The</w:t>
      </w:r>
      <w:r w:rsidRPr="00C7671E">
        <w:rPr>
          <w:lang w:val="en-US"/>
        </w:rPr>
        <w:t xml:space="preserve"> Panel</w:t>
      </w:r>
      <w:r w:rsidRPr="00C33ABF">
        <w:rPr>
          <w:lang w:val="en-US"/>
        </w:rPr>
        <w:t xml:space="preserve"> could not simply refuse to address the arguments and evidence before it in </w:t>
      </w:r>
      <w:r w:rsidRPr="00C7671E">
        <w:rPr>
          <w:lang w:val="en-US"/>
        </w:rPr>
        <w:t xml:space="preserve">dealing with the </w:t>
      </w:r>
      <w:r>
        <w:rPr>
          <w:lang w:val="en-US"/>
        </w:rPr>
        <w:t>United States</w:t>
      </w:r>
      <w:r w:rsidRPr="00C7671E">
        <w:rPr>
          <w:lang w:val="en-US"/>
        </w:rPr>
        <w:t xml:space="preserve">' claims under </w:t>
      </w:r>
      <w:r>
        <w:rPr>
          <w:lang w:val="en-US"/>
        </w:rPr>
        <w:t>Article </w:t>
      </w:r>
      <w:r w:rsidRPr="00C7671E">
        <w:rPr>
          <w:lang w:val="en-US"/>
        </w:rPr>
        <w:t xml:space="preserve">6.3(b). Rather, the Panel was required to adjudicate the </w:t>
      </w:r>
      <w:r>
        <w:rPr>
          <w:lang w:val="en-US"/>
        </w:rPr>
        <w:t>United States</w:t>
      </w:r>
      <w:r w:rsidRPr="00C7671E">
        <w:rPr>
          <w:lang w:val="en-US"/>
        </w:rPr>
        <w:t xml:space="preserve">' claims under </w:t>
      </w:r>
      <w:r>
        <w:rPr>
          <w:lang w:val="en-US"/>
        </w:rPr>
        <w:t>Article 6.3(b) in</w:t>
      </w:r>
      <w:r w:rsidRPr="00C7671E">
        <w:rPr>
          <w:lang w:val="en-US"/>
        </w:rPr>
        <w:t xml:space="preserve"> light of the arguments raised and evidence submitted by both parties to the dispute</w:t>
      </w:r>
      <w:r>
        <w:rPr>
          <w:lang w:val="en-US"/>
        </w:rPr>
        <w:t>, and it erred by declining to do so</w:t>
      </w:r>
      <w:r w:rsidRPr="00C7671E">
        <w:rPr>
          <w:lang w:val="en-US"/>
        </w:rPr>
        <w:t>.</w:t>
      </w:r>
      <w:r>
        <w:t xml:space="preserve"> </w:t>
      </w:r>
    </w:p>
    <w:p w:rsidR="00AE4AC1" w:rsidRPr="00150ED8" w:rsidRDefault="00AE4AC1" w:rsidP="009E6402">
      <w:pPr>
        <w:pStyle w:val="BodyText"/>
      </w:pPr>
      <w:r>
        <w:t>Accordingly, we declare</w:t>
      </w:r>
      <w:r w:rsidR="00EE71A5">
        <w:t xml:space="preserve"> moot and of no legal effect</w:t>
      </w:r>
      <w:r>
        <w:t xml:space="preserve"> the Panel's finding</w:t>
      </w:r>
      <w:r w:rsidR="00C97063">
        <w:t>, in </w:t>
      </w:r>
      <w:r w:rsidR="003B220E">
        <w:t>paragraph </w:t>
      </w:r>
      <w:r>
        <w:t>6.1154 of the Panel Report</w:t>
      </w:r>
      <w:r w:rsidR="003B220E">
        <w:t>,</w:t>
      </w:r>
      <w:r>
        <w:t xml:space="preserve"> </w:t>
      </w:r>
      <w:r w:rsidR="00EE71A5">
        <w:t>concerning</w:t>
      </w:r>
      <w:r>
        <w:t xml:space="preserve"> the European Union's reliance on Article 6.4 to reject the United States' claims under Article 6.3(b)</w:t>
      </w:r>
      <w:r w:rsidR="003B220E">
        <w:t xml:space="preserve"> of the SCM Agreement</w:t>
      </w:r>
      <w:r>
        <w:t>. Based on our interpretation of Article 6.3(b), read together with Article 6.4, we disagree, however, with the European Union</w:t>
      </w:r>
      <w:r w:rsidRPr="002D24CE">
        <w:t xml:space="preserve"> that a complainant is required to demonstrate, in each </w:t>
      </w:r>
      <w:r>
        <w:t>case, that its like product is non</w:t>
      </w:r>
      <w:r>
        <w:noBreakHyphen/>
      </w:r>
      <w:r w:rsidRPr="002D24CE">
        <w:t>su</w:t>
      </w:r>
      <w:r>
        <w:t>bsidized</w:t>
      </w:r>
      <w:r w:rsidRPr="002D24CE">
        <w:t xml:space="preserve"> in order to show that the effect of the subsidy is displacement and/or impedance of its like product in a third country market.</w:t>
      </w:r>
    </w:p>
    <w:p w:rsidR="00AE4AC1" w:rsidRPr="00D44E62" w:rsidRDefault="00AE4AC1" w:rsidP="009E6402">
      <w:pPr>
        <w:pStyle w:val="Heading3"/>
      </w:pPr>
      <w:bookmarkStart w:id="139" w:name="_Toc479164670"/>
      <w:bookmarkStart w:id="140" w:name="_Toc495062841"/>
      <w:bookmarkStart w:id="141" w:name="_Toc514059262"/>
      <w:r w:rsidRPr="00D44E62">
        <w:t xml:space="preserve">The </w:t>
      </w:r>
      <w:r>
        <w:t>r</w:t>
      </w:r>
      <w:r w:rsidRPr="00D44E62">
        <w:t xml:space="preserve">elevant product </w:t>
      </w:r>
      <w:r w:rsidRPr="00626505">
        <w:t>market</w:t>
      </w:r>
      <w:bookmarkEnd w:id="139"/>
      <w:r>
        <w:t>s</w:t>
      </w:r>
      <w:bookmarkEnd w:id="140"/>
      <w:bookmarkEnd w:id="141"/>
    </w:p>
    <w:p w:rsidR="00AE4AC1" w:rsidRPr="00D44E62" w:rsidRDefault="00AE4AC1" w:rsidP="009E6402">
      <w:pPr>
        <w:pStyle w:val="BodyText"/>
      </w:pPr>
      <w:r>
        <w:t>We turn next to</w:t>
      </w:r>
      <w:r w:rsidRPr="00D44E62">
        <w:t xml:space="preserve"> examine the European Union's appeal </w:t>
      </w:r>
      <w:r>
        <w:t>regarding</w:t>
      </w:r>
      <w:r w:rsidRPr="00D44E62">
        <w:t xml:space="preserve"> the Panel's analysis of the </w:t>
      </w:r>
      <w:r w:rsidRPr="006870DF">
        <w:t>relevant product markets</w:t>
      </w:r>
      <w:r w:rsidRPr="00D44E62">
        <w:t>, which, as the European Union notes, formed the basis for the Panel's subsequent assessment of the adverse effects of the challenged subsidies.</w:t>
      </w:r>
      <w:r>
        <w:rPr>
          <w:rStyle w:val="FootnoteReference"/>
        </w:rPr>
        <w:footnoteReference w:id="1162"/>
      </w:r>
      <w:r w:rsidRPr="00D44E62">
        <w:t xml:space="preserve"> </w:t>
      </w:r>
      <w:r>
        <w:t>T</w:t>
      </w:r>
      <w:r w:rsidRPr="00D44E62">
        <w:t xml:space="preserve">o provide context for our </w:t>
      </w:r>
      <w:r>
        <w:t>analysis</w:t>
      </w:r>
      <w:r w:rsidRPr="00D44E62">
        <w:t xml:space="preserve">, we begin by </w:t>
      </w:r>
      <w:r>
        <w:t>surveying the relevant findings by the Panel in some detail, before addressing the issues raised by the participants on appeal.</w:t>
      </w:r>
    </w:p>
    <w:p w:rsidR="00AE4AC1" w:rsidRPr="00D44E62" w:rsidRDefault="00AE4AC1" w:rsidP="009E6402">
      <w:pPr>
        <w:pStyle w:val="Heading4"/>
        <w:numPr>
          <w:ilvl w:val="3"/>
          <w:numId w:val="20"/>
        </w:numPr>
      </w:pPr>
      <w:bookmarkStart w:id="142" w:name="_Toc479164676"/>
      <w:bookmarkStart w:id="143" w:name="_Toc495062847"/>
      <w:bookmarkStart w:id="144" w:name="_Toc514059263"/>
      <w:bookmarkStart w:id="145" w:name="_Toc469403858"/>
      <w:bookmarkStart w:id="146" w:name="_Toc469571719"/>
      <w:bookmarkStart w:id="147" w:name="_Toc469571780"/>
      <w:bookmarkStart w:id="148" w:name="_Toc425413583"/>
      <w:r>
        <w:t>A</w:t>
      </w:r>
      <w:r w:rsidRPr="00D44E62">
        <w:t>rguments before the Panel</w:t>
      </w:r>
      <w:bookmarkEnd w:id="142"/>
      <w:bookmarkEnd w:id="143"/>
      <w:r>
        <w:t xml:space="preserve"> and Panel findings</w:t>
      </w:r>
      <w:bookmarkEnd w:id="144"/>
      <w:r w:rsidRPr="00D44E62">
        <w:t xml:space="preserve"> </w:t>
      </w:r>
      <w:bookmarkEnd w:id="145"/>
      <w:bookmarkEnd w:id="146"/>
      <w:bookmarkEnd w:id="147"/>
      <w:bookmarkEnd w:id="148"/>
    </w:p>
    <w:p w:rsidR="00AE4AC1" w:rsidRPr="00D44E62" w:rsidRDefault="00AE4AC1" w:rsidP="009E6402">
      <w:pPr>
        <w:pStyle w:val="BodyText"/>
      </w:pPr>
      <w:r w:rsidRPr="00D44E62">
        <w:t xml:space="preserve">Before the Panel, the United States argued that there are three separate product </w:t>
      </w:r>
      <w:r w:rsidRPr="00B20BE6">
        <w:t xml:space="preserve">markets </w:t>
      </w:r>
      <w:r w:rsidRPr="00D44E62">
        <w:t xml:space="preserve">relevant to its claims of serious prejudice in this dispute, namely: (i) the market for </w:t>
      </w:r>
      <w:r w:rsidRPr="006870DF">
        <w:t>single</w:t>
      </w:r>
      <w:r>
        <w:noBreakHyphen/>
      </w:r>
      <w:r w:rsidRPr="006870DF">
        <w:t>aisle aircraft</w:t>
      </w:r>
      <w:r w:rsidRPr="00D44E62">
        <w:t xml:space="preserve">; (ii) the market for </w:t>
      </w:r>
      <w:r w:rsidRPr="006870DF">
        <w:t>twin-aisle aircraft</w:t>
      </w:r>
      <w:r w:rsidRPr="00D44E62">
        <w:t xml:space="preserve">; and (iii) the market for </w:t>
      </w:r>
      <w:r>
        <w:t>VLA</w:t>
      </w:r>
      <w:r w:rsidRPr="00D44E62">
        <w:t>.</w:t>
      </w:r>
      <w:r>
        <w:rPr>
          <w:rStyle w:val="FootnoteReference"/>
        </w:rPr>
        <w:footnoteReference w:id="1163"/>
      </w:r>
      <w:r w:rsidRPr="00D44E62">
        <w:t xml:space="preserve"> More specifically, the United States referred to the following product </w:t>
      </w:r>
      <w:r w:rsidRPr="00B20BE6">
        <w:t>markets</w:t>
      </w:r>
      <w:r w:rsidRPr="00D44E62">
        <w:t>:</w:t>
      </w:r>
    </w:p>
    <w:p w:rsidR="00AE4AC1" w:rsidRDefault="00AE4AC1" w:rsidP="00267BCB">
      <w:pPr>
        <w:pStyle w:val="Caption"/>
      </w:pPr>
      <w:r>
        <w:t xml:space="preserve">Table </w:t>
      </w:r>
      <w:r w:rsidR="009A724D">
        <w:fldChar w:fldCharType="begin"/>
      </w:r>
      <w:r w:rsidR="009A724D">
        <w:instrText xml:space="preserve"> SEQ Table \* </w:instrText>
      </w:r>
      <w:r w:rsidR="009A724D">
        <w:instrText xml:space="preserve">ARABIC </w:instrText>
      </w:r>
      <w:r w:rsidR="009A724D">
        <w:fldChar w:fldCharType="separate"/>
      </w:r>
      <w:r w:rsidR="00FD2727">
        <w:rPr>
          <w:noProof/>
        </w:rPr>
        <w:t>5</w:t>
      </w:r>
      <w:r w:rsidR="009A724D">
        <w:rPr>
          <w:noProof/>
        </w:rPr>
        <w:fldChar w:fldCharType="end"/>
      </w:r>
      <w:r>
        <w:t>: Competitive relationships among LCA according to the United States</w:t>
      </w:r>
    </w:p>
    <w:tbl>
      <w:tblPr>
        <w:tblW w:w="0" w:type="auto"/>
        <w:jc w:val="center"/>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2570"/>
        <w:gridCol w:w="2569"/>
        <w:gridCol w:w="2570"/>
      </w:tblGrid>
      <w:tr w:rsidR="00AE4AC1" w:rsidRPr="00714E66" w:rsidTr="00267BCB">
        <w:trPr>
          <w:trHeight w:val="385"/>
          <w:jc w:val="center"/>
        </w:trPr>
        <w:tc>
          <w:tcPr>
            <w:tcW w:w="2570" w:type="dxa"/>
            <w:shd w:val="clear" w:color="auto" w:fill="006283"/>
            <w:vAlign w:val="center"/>
          </w:tcPr>
          <w:p w:rsidR="00AE4AC1" w:rsidRPr="007B2F7C" w:rsidRDefault="00AE4AC1" w:rsidP="00267BCB">
            <w:pPr>
              <w:pStyle w:val="BodyText"/>
              <w:keepNext/>
              <w:numPr>
                <w:ilvl w:val="0"/>
                <w:numId w:val="0"/>
              </w:numPr>
              <w:spacing w:before="60" w:after="60"/>
              <w:jc w:val="center"/>
              <w:rPr>
                <w:b/>
                <w:color w:val="FFFFFF"/>
                <w:sz w:val="16"/>
                <w:szCs w:val="16"/>
              </w:rPr>
            </w:pPr>
            <w:r w:rsidRPr="007B2F7C">
              <w:rPr>
                <w:b/>
                <w:color w:val="FFFFFF"/>
                <w:sz w:val="16"/>
                <w:szCs w:val="16"/>
              </w:rPr>
              <w:t>Market of competition</w:t>
            </w:r>
          </w:p>
        </w:tc>
        <w:tc>
          <w:tcPr>
            <w:tcW w:w="2569" w:type="dxa"/>
            <w:shd w:val="clear" w:color="auto" w:fill="006283"/>
            <w:vAlign w:val="center"/>
          </w:tcPr>
          <w:p w:rsidR="00AE4AC1" w:rsidRPr="007B2F7C" w:rsidRDefault="00AE4AC1" w:rsidP="00267BCB">
            <w:pPr>
              <w:pStyle w:val="BodyText"/>
              <w:keepNext/>
              <w:numPr>
                <w:ilvl w:val="0"/>
                <w:numId w:val="0"/>
              </w:numPr>
              <w:spacing w:before="60" w:after="60"/>
              <w:jc w:val="center"/>
              <w:rPr>
                <w:b/>
                <w:color w:val="FFFFFF"/>
                <w:sz w:val="16"/>
                <w:szCs w:val="16"/>
              </w:rPr>
            </w:pPr>
            <w:r w:rsidRPr="007B2F7C">
              <w:rPr>
                <w:b/>
                <w:color w:val="FFFFFF"/>
                <w:sz w:val="16"/>
                <w:szCs w:val="16"/>
              </w:rPr>
              <w:t>Subsidized product</w:t>
            </w:r>
          </w:p>
        </w:tc>
        <w:tc>
          <w:tcPr>
            <w:tcW w:w="2570" w:type="dxa"/>
            <w:shd w:val="clear" w:color="auto" w:fill="006283"/>
            <w:vAlign w:val="center"/>
          </w:tcPr>
          <w:p w:rsidR="00AE4AC1" w:rsidRPr="007B2F7C" w:rsidRDefault="00AE4AC1" w:rsidP="00267BCB">
            <w:pPr>
              <w:pStyle w:val="BodyText"/>
              <w:keepNext/>
              <w:numPr>
                <w:ilvl w:val="0"/>
                <w:numId w:val="0"/>
              </w:numPr>
              <w:spacing w:before="60" w:after="60"/>
              <w:jc w:val="center"/>
              <w:rPr>
                <w:b/>
                <w:color w:val="FFFFFF"/>
                <w:sz w:val="16"/>
                <w:szCs w:val="16"/>
              </w:rPr>
            </w:pPr>
            <w:r w:rsidRPr="007B2F7C">
              <w:rPr>
                <w:b/>
                <w:color w:val="FFFFFF"/>
                <w:sz w:val="16"/>
                <w:szCs w:val="16"/>
              </w:rPr>
              <w:t>Like product</w:t>
            </w:r>
          </w:p>
        </w:tc>
      </w:tr>
      <w:tr w:rsidR="00AE4AC1" w:rsidRPr="00714E66" w:rsidTr="00267BCB">
        <w:trPr>
          <w:trHeight w:val="67"/>
          <w:jc w:val="center"/>
        </w:trPr>
        <w:tc>
          <w:tcPr>
            <w:tcW w:w="2570" w:type="dxa"/>
            <w:shd w:val="clear" w:color="auto" w:fill="auto"/>
          </w:tcPr>
          <w:p w:rsidR="00AE4AC1" w:rsidRPr="007B2F7C" w:rsidRDefault="00AE4AC1" w:rsidP="00267BCB">
            <w:pPr>
              <w:pStyle w:val="BodyText"/>
              <w:keepNext/>
              <w:numPr>
                <w:ilvl w:val="0"/>
                <w:numId w:val="0"/>
              </w:numPr>
              <w:spacing w:before="60" w:after="60"/>
              <w:jc w:val="center"/>
              <w:rPr>
                <w:sz w:val="16"/>
                <w:szCs w:val="16"/>
              </w:rPr>
            </w:pPr>
            <w:r w:rsidRPr="007B2F7C">
              <w:rPr>
                <w:sz w:val="16"/>
                <w:szCs w:val="16"/>
              </w:rPr>
              <w:t>Single-aisle aircraft</w:t>
            </w:r>
          </w:p>
        </w:tc>
        <w:tc>
          <w:tcPr>
            <w:tcW w:w="2569" w:type="dxa"/>
            <w:shd w:val="clear" w:color="auto" w:fill="auto"/>
          </w:tcPr>
          <w:p w:rsidR="00AE4AC1" w:rsidRPr="007B2F7C" w:rsidRDefault="00AE4AC1" w:rsidP="00267BCB">
            <w:pPr>
              <w:pStyle w:val="BodyText"/>
              <w:keepNext/>
              <w:numPr>
                <w:ilvl w:val="0"/>
                <w:numId w:val="0"/>
              </w:numPr>
              <w:spacing w:before="60" w:after="60"/>
              <w:jc w:val="center"/>
              <w:rPr>
                <w:sz w:val="16"/>
                <w:szCs w:val="16"/>
                <w:lang w:val="es-ES"/>
              </w:rPr>
            </w:pPr>
            <w:r w:rsidRPr="007B2F7C">
              <w:rPr>
                <w:sz w:val="16"/>
                <w:szCs w:val="16"/>
                <w:lang w:val="es-ES"/>
              </w:rPr>
              <w:t xml:space="preserve">A318, A319, </w:t>
            </w:r>
            <w:r w:rsidRPr="007B2F7C">
              <w:rPr>
                <w:sz w:val="16"/>
                <w:szCs w:val="16"/>
                <w:lang w:val="es-ES"/>
              </w:rPr>
              <w:br/>
              <w:t xml:space="preserve">A319neo, A320, A320neo, A321, </w:t>
            </w:r>
            <w:r w:rsidRPr="007B2F7C">
              <w:rPr>
                <w:sz w:val="16"/>
                <w:szCs w:val="16"/>
                <w:lang w:val="es-ES"/>
              </w:rPr>
              <w:br/>
              <w:t>A321neo</w:t>
            </w:r>
          </w:p>
        </w:tc>
        <w:tc>
          <w:tcPr>
            <w:tcW w:w="2570" w:type="dxa"/>
            <w:shd w:val="clear" w:color="auto" w:fill="auto"/>
          </w:tcPr>
          <w:p w:rsidR="00AE4AC1" w:rsidRPr="007B2F7C" w:rsidRDefault="00AE4AC1" w:rsidP="00267BCB">
            <w:pPr>
              <w:pStyle w:val="BodyText"/>
              <w:keepNext/>
              <w:numPr>
                <w:ilvl w:val="0"/>
                <w:numId w:val="0"/>
              </w:numPr>
              <w:spacing w:before="60" w:after="60"/>
              <w:jc w:val="center"/>
              <w:rPr>
                <w:sz w:val="16"/>
                <w:szCs w:val="16"/>
              </w:rPr>
            </w:pPr>
            <w:r w:rsidRPr="007B2F7C">
              <w:rPr>
                <w:sz w:val="16"/>
                <w:szCs w:val="16"/>
              </w:rPr>
              <w:t>737-600, 737-700, 737 MAX 7, 737-800, 737 MAX 8, 737-900ER, 737 MAX 9</w:t>
            </w:r>
          </w:p>
        </w:tc>
      </w:tr>
      <w:tr w:rsidR="00AE4AC1" w:rsidRPr="00714E66" w:rsidTr="00267BCB">
        <w:trPr>
          <w:trHeight w:val="67"/>
          <w:jc w:val="center"/>
        </w:trPr>
        <w:tc>
          <w:tcPr>
            <w:tcW w:w="2570" w:type="dxa"/>
            <w:shd w:val="clear" w:color="auto" w:fill="C9DED4"/>
          </w:tcPr>
          <w:p w:rsidR="00AE4AC1" w:rsidRPr="007B2F7C" w:rsidRDefault="00AE4AC1" w:rsidP="00267BCB">
            <w:pPr>
              <w:pStyle w:val="BodyText"/>
              <w:keepNext/>
              <w:numPr>
                <w:ilvl w:val="0"/>
                <w:numId w:val="0"/>
              </w:numPr>
              <w:spacing w:before="60" w:after="60"/>
              <w:jc w:val="center"/>
              <w:rPr>
                <w:sz w:val="16"/>
                <w:szCs w:val="16"/>
              </w:rPr>
            </w:pPr>
            <w:r w:rsidRPr="007B2F7C">
              <w:rPr>
                <w:sz w:val="16"/>
                <w:szCs w:val="16"/>
              </w:rPr>
              <w:t>Twin-aisle aircraft</w:t>
            </w:r>
          </w:p>
        </w:tc>
        <w:tc>
          <w:tcPr>
            <w:tcW w:w="2569" w:type="dxa"/>
            <w:shd w:val="clear" w:color="auto" w:fill="C9DED4"/>
          </w:tcPr>
          <w:p w:rsidR="00AE4AC1" w:rsidRPr="007B2F7C" w:rsidRDefault="00AE4AC1" w:rsidP="00267BCB">
            <w:pPr>
              <w:pStyle w:val="BodyText"/>
              <w:keepNext/>
              <w:numPr>
                <w:ilvl w:val="0"/>
                <w:numId w:val="0"/>
              </w:numPr>
              <w:spacing w:before="60" w:after="60"/>
              <w:jc w:val="center"/>
              <w:rPr>
                <w:sz w:val="16"/>
                <w:szCs w:val="16"/>
              </w:rPr>
            </w:pPr>
            <w:r w:rsidRPr="007B2F7C">
              <w:rPr>
                <w:sz w:val="16"/>
                <w:szCs w:val="16"/>
              </w:rPr>
              <w:t>A330-200, A330-300, A340-300, A340-500, A340-600, A350XWB</w:t>
            </w:r>
            <w:r w:rsidRPr="007B2F7C">
              <w:rPr>
                <w:sz w:val="16"/>
                <w:szCs w:val="16"/>
              </w:rPr>
              <w:noBreakHyphen/>
              <w:t>800, A350XWB-900, A350XWB-1000</w:t>
            </w:r>
          </w:p>
        </w:tc>
        <w:tc>
          <w:tcPr>
            <w:tcW w:w="2570" w:type="dxa"/>
            <w:shd w:val="clear" w:color="auto" w:fill="C9DED4"/>
          </w:tcPr>
          <w:p w:rsidR="00AE4AC1" w:rsidRPr="007B2F7C" w:rsidRDefault="00AE4AC1" w:rsidP="00267BCB">
            <w:pPr>
              <w:pStyle w:val="BodyText"/>
              <w:keepNext/>
              <w:numPr>
                <w:ilvl w:val="0"/>
                <w:numId w:val="0"/>
              </w:numPr>
              <w:spacing w:before="60" w:after="60"/>
              <w:jc w:val="center"/>
              <w:rPr>
                <w:sz w:val="16"/>
                <w:szCs w:val="16"/>
              </w:rPr>
            </w:pPr>
            <w:r w:rsidRPr="007B2F7C">
              <w:rPr>
                <w:sz w:val="16"/>
                <w:szCs w:val="16"/>
              </w:rPr>
              <w:t>767-300ER, 787-8, 787</w:t>
            </w:r>
            <w:r w:rsidRPr="007B2F7C">
              <w:rPr>
                <w:sz w:val="16"/>
                <w:szCs w:val="16"/>
              </w:rPr>
              <w:noBreakHyphen/>
              <w:t>9, 777-200ER, 777</w:t>
            </w:r>
            <w:r w:rsidRPr="007B2F7C">
              <w:rPr>
                <w:sz w:val="16"/>
                <w:szCs w:val="16"/>
              </w:rPr>
              <w:noBreakHyphen/>
              <w:t>200LR, 777-300ER</w:t>
            </w:r>
          </w:p>
        </w:tc>
      </w:tr>
      <w:tr w:rsidR="00AE4AC1" w:rsidRPr="00714E66" w:rsidTr="00267BCB">
        <w:trPr>
          <w:trHeight w:val="67"/>
          <w:jc w:val="center"/>
        </w:trPr>
        <w:tc>
          <w:tcPr>
            <w:tcW w:w="2570" w:type="dxa"/>
            <w:shd w:val="clear" w:color="auto" w:fill="auto"/>
          </w:tcPr>
          <w:p w:rsidR="00AE4AC1" w:rsidRPr="007B2F7C" w:rsidRDefault="00AE4AC1" w:rsidP="00267BCB">
            <w:pPr>
              <w:pStyle w:val="BodyText"/>
              <w:keepNext/>
              <w:numPr>
                <w:ilvl w:val="0"/>
                <w:numId w:val="0"/>
              </w:numPr>
              <w:spacing w:before="60" w:after="60"/>
              <w:jc w:val="center"/>
              <w:rPr>
                <w:sz w:val="16"/>
                <w:szCs w:val="16"/>
              </w:rPr>
            </w:pPr>
            <w:r w:rsidRPr="007B2F7C">
              <w:rPr>
                <w:sz w:val="16"/>
                <w:szCs w:val="16"/>
              </w:rPr>
              <w:t>Very large aircraft</w:t>
            </w:r>
          </w:p>
        </w:tc>
        <w:tc>
          <w:tcPr>
            <w:tcW w:w="2569" w:type="dxa"/>
            <w:shd w:val="clear" w:color="auto" w:fill="auto"/>
          </w:tcPr>
          <w:p w:rsidR="00AE4AC1" w:rsidRPr="007B2F7C" w:rsidRDefault="00AE4AC1" w:rsidP="00267BCB">
            <w:pPr>
              <w:pStyle w:val="BodyText"/>
              <w:keepNext/>
              <w:numPr>
                <w:ilvl w:val="0"/>
                <w:numId w:val="0"/>
              </w:numPr>
              <w:spacing w:before="60" w:after="60"/>
              <w:jc w:val="center"/>
              <w:rPr>
                <w:sz w:val="16"/>
                <w:szCs w:val="16"/>
              </w:rPr>
            </w:pPr>
            <w:r w:rsidRPr="007B2F7C">
              <w:rPr>
                <w:sz w:val="16"/>
                <w:szCs w:val="16"/>
              </w:rPr>
              <w:t>A380</w:t>
            </w:r>
          </w:p>
        </w:tc>
        <w:tc>
          <w:tcPr>
            <w:tcW w:w="2570" w:type="dxa"/>
            <w:shd w:val="clear" w:color="auto" w:fill="auto"/>
          </w:tcPr>
          <w:p w:rsidR="00AE4AC1" w:rsidRPr="007B2F7C" w:rsidRDefault="00AE4AC1" w:rsidP="00267BCB">
            <w:pPr>
              <w:pStyle w:val="BodyText"/>
              <w:keepNext/>
              <w:numPr>
                <w:ilvl w:val="0"/>
                <w:numId w:val="0"/>
              </w:numPr>
              <w:spacing w:before="60" w:after="60"/>
              <w:jc w:val="center"/>
              <w:rPr>
                <w:sz w:val="16"/>
                <w:szCs w:val="16"/>
              </w:rPr>
            </w:pPr>
            <w:r w:rsidRPr="007B2F7C">
              <w:rPr>
                <w:sz w:val="16"/>
                <w:szCs w:val="16"/>
              </w:rPr>
              <w:t>747-8</w:t>
            </w:r>
          </w:p>
        </w:tc>
      </w:tr>
    </w:tbl>
    <w:p w:rsidR="00AE4AC1" w:rsidRDefault="00AE4AC1" w:rsidP="00267BCB">
      <w:pPr>
        <w:pStyle w:val="NoteText"/>
        <w:spacing w:before="120"/>
      </w:pPr>
      <w:r>
        <w:t>Source: Panel Report, Table 14 at paragraph 6.1155</w:t>
      </w:r>
      <w:r w:rsidR="00EE71A5">
        <w:t>.</w:t>
      </w:r>
    </w:p>
    <w:p w:rsidR="00AE4AC1" w:rsidRPr="00B20BE6" w:rsidRDefault="00AE4AC1" w:rsidP="000E5423">
      <w:pPr>
        <w:pStyle w:val="BodyText"/>
        <w:spacing w:before="240"/>
      </w:pPr>
      <w:r w:rsidRPr="00B20BE6">
        <w:t xml:space="preserve">By contrast, the European Union argued that more than three, and up to six or seven, </w:t>
      </w:r>
      <w:r>
        <w:t xml:space="preserve">product </w:t>
      </w:r>
      <w:r w:rsidRPr="00B20BE6">
        <w:t>markets should be considered in the context of an analysis of serious prejudice</w:t>
      </w:r>
      <w:r>
        <w:rPr>
          <w:rStyle w:val="FootnoteReference"/>
        </w:rPr>
        <w:footnoteReference w:id="1164"/>
      </w:r>
      <w:r w:rsidRPr="00B20BE6">
        <w:t>:</w:t>
      </w:r>
    </w:p>
    <w:p w:rsidR="00AE4AC1" w:rsidRDefault="00AE4AC1" w:rsidP="00AA339D">
      <w:pPr>
        <w:pStyle w:val="Caption"/>
      </w:pPr>
      <w:r>
        <w:t xml:space="preserve">Table </w:t>
      </w:r>
      <w:r w:rsidR="009A724D">
        <w:fldChar w:fldCharType="begin"/>
      </w:r>
      <w:r w:rsidR="009A724D">
        <w:instrText xml:space="preserve"> SEQ Table \* ARABIC </w:instrText>
      </w:r>
      <w:r w:rsidR="009A724D">
        <w:fldChar w:fldCharType="separate"/>
      </w:r>
      <w:r w:rsidR="00FD2727">
        <w:rPr>
          <w:noProof/>
        </w:rPr>
        <w:t>6</w:t>
      </w:r>
      <w:r w:rsidR="009A724D">
        <w:rPr>
          <w:noProof/>
        </w:rPr>
        <w:fldChar w:fldCharType="end"/>
      </w:r>
      <w:r>
        <w:t>: Competitive relationships among LCA according to the European Union</w:t>
      </w:r>
    </w:p>
    <w:tbl>
      <w:tblPr>
        <w:tblW w:w="0" w:type="auto"/>
        <w:jc w:val="center"/>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2624"/>
        <w:gridCol w:w="2623"/>
        <w:gridCol w:w="2625"/>
      </w:tblGrid>
      <w:tr w:rsidR="00AE4AC1" w:rsidRPr="00D44E62" w:rsidTr="00C826B3">
        <w:trPr>
          <w:trHeight w:val="342"/>
          <w:jc w:val="center"/>
        </w:trPr>
        <w:tc>
          <w:tcPr>
            <w:tcW w:w="2624" w:type="dxa"/>
            <w:tcBorders>
              <w:bottom w:val="nil"/>
            </w:tcBorders>
            <w:shd w:val="clear" w:color="auto" w:fill="006283"/>
          </w:tcPr>
          <w:p w:rsidR="00AE4AC1" w:rsidRPr="007B2F7C" w:rsidRDefault="00AE4AC1" w:rsidP="00AA339D">
            <w:pPr>
              <w:pStyle w:val="BodyText"/>
              <w:keepNext/>
              <w:numPr>
                <w:ilvl w:val="0"/>
                <w:numId w:val="0"/>
              </w:numPr>
              <w:spacing w:before="40" w:after="40"/>
              <w:jc w:val="center"/>
              <w:rPr>
                <w:b/>
                <w:color w:val="FFFFFF"/>
                <w:sz w:val="16"/>
                <w:szCs w:val="16"/>
              </w:rPr>
            </w:pPr>
            <w:r w:rsidRPr="007B2F7C">
              <w:rPr>
                <w:b/>
                <w:color w:val="FFFFFF"/>
                <w:sz w:val="16"/>
                <w:szCs w:val="16"/>
              </w:rPr>
              <w:t>Market of competition</w:t>
            </w:r>
          </w:p>
        </w:tc>
        <w:tc>
          <w:tcPr>
            <w:tcW w:w="2623" w:type="dxa"/>
            <w:tcBorders>
              <w:bottom w:val="nil"/>
            </w:tcBorders>
            <w:shd w:val="clear" w:color="auto" w:fill="006283"/>
          </w:tcPr>
          <w:p w:rsidR="00AE4AC1" w:rsidRPr="007B2F7C" w:rsidRDefault="00AE4AC1" w:rsidP="00AA339D">
            <w:pPr>
              <w:pStyle w:val="BodyText"/>
              <w:keepNext/>
              <w:numPr>
                <w:ilvl w:val="0"/>
                <w:numId w:val="0"/>
              </w:numPr>
              <w:spacing w:before="40" w:after="40"/>
              <w:jc w:val="center"/>
              <w:rPr>
                <w:b/>
                <w:color w:val="FFFFFF"/>
                <w:sz w:val="16"/>
                <w:szCs w:val="16"/>
              </w:rPr>
            </w:pPr>
            <w:r w:rsidRPr="007B2F7C">
              <w:rPr>
                <w:b/>
                <w:color w:val="FFFFFF"/>
                <w:sz w:val="16"/>
                <w:szCs w:val="16"/>
              </w:rPr>
              <w:t>Subsidized product</w:t>
            </w:r>
          </w:p>
        </w:tc>
        <w:tc>
          <w:tcPr>
            <w:tcW w:w="2625" w:type="dxa"/>
            <w:tcBorders>
              <w:bottom w:val="nil"/>
            </w:tcBorders>
            <w:shd w:val="clear" w:color="auto" w:fill="006283"/>
          </w:tcPr>
          <w:p w:rsidR="00AE4AC1" w:rsidRPr="007B2F7C" w:rsidRDefault="00AE4AC1" w:rsidP="00AA339D">
            <w:pPr>
              <w:pStyle w:val="BodyText"/>
              <w:keepNext/>
              <w:numPr>
                <w:ilvl w:val="0"/>
                <w:numId w:val="0"/>
              </w:numPr>
              <w:spacing w:before="40" w:after="40"/>
              <w:jc w:val="center"/>
              <w:rPr>
                <w:b/>
                <w:color w:val="FFFFFF"/>
                <w:sz w:val="16"/>
                <w:szCs w:val="16"/>
              </w:rPr>
            </w:pPr>
            <w:r w:rsidRPr="007B2F7C">
              <w:rPr>
                <w:b/>
                <w:color w:val="FFFFFF"/>
                <w:sz w:val="16"/>
                <w:szCs w:val="16"/>
              </w:rPr>
              <w:t>Like product</w:t>
            </w:r>
          </w:p>
        </w:tc>
      </w:tr>
      <w:tr w:rsidR="00AE4AC1" w:rsidRPr="00D44E62" w:rsidTr="00C826B3">
        <w:trPr>
          <w:trHeight w:val="65"/>
          <w:jc w:val="center"/>
        </w:trPr>
        <w:tc>
          <w:tcPr>
            <w:tcW w:w="7872" w:type="dxa"/>
            <w:gridSpan w:val="3"/>
            <w:tcBorders>
              <w:top w:val="nil"/>
              <w:bottom w:val="nil"/>
            </w:tcBorders>
            <w:shd w:val="clear" w:color="auto" w:fill="auto"/>
          </w:tcPr>
          <w:p w:rsidR="00AE4AC1" w:rsidRPr="007B2F7C" w:rsidRDefault="00AE4AC1" w:rsidP="00AA339D">
            <w:pPr>
              <w:pStyle w:val="BodyText"/>
              <w:keepNext/>
              <w:numPr>
                <w:ilvl w:val="0"/>
                <w:numId w:val="0"/>
              </w:numPr>
              <w:spacing w:before="40" w:after="40"/>
              <w:jc w:val="left"/>
              <w:rPr>
                <w:i/>
                <w:sz w:val="16"/>
                <w:szCs w:val="16"/>
              </w:rPr>
            </w:pPr>
            <w:r w:rsidRPr="007B2F7C">
              <w:rPr>
                <w:i/>
                <w:sz w:val="16"/>
                <w:szCs w:val="16"/>
              </w:rPr>
              <w:t xml:space="preserve">Single-aisle aircraft </w:t>
            </w:r>
          </w:p>
        </w:tc>
      </w:tr>
      <w:tr w:rsidR="00AE4AC1" w:rsidRPr="00D44E62" w:rsidTr="00C826B3">
        <w:trPr>
          <w:trHeight w:val="65"/>
          <w:jc w:val="center"/>
        </w:trPr>
        <w:tc>
          <w:tcPr>
            <w:tcW w:w="2624" w:type="dxa"/>
            <w:tcBorders>
              <w:top w:val="nil"/>
            </w:tcBorders>
            <w:shd w:val="clear" w:color="auto" w:fill="C9DED4"/>
          </w:tcPr>
          <w:p w:rsidR="00AE4AC1" w:rsidRPr="007B2F7C" w:rsidRDefault="00AE4AC1" w:rsidP="00AA339D">
            <w:pPr>
              <w:pStyle w:val="BodyText"/>
              <w:keepNext/>
              <w:numPr>
                <w:ilvl w:val="0"/>
                <w:numId w:val="0"/>
              </w:numPr>
              <w:spacing w:before="40" w:after="40"/>
              <w:jc w:val="left"/>
              <w:rPr>
                <w:sz w:val="16"/>
                <w:szCs w:val="16"/>
              </w:rPr>
            </w:pPr>
            <w:r w:rsidRPr="007B2F7C">
              <w:rPr>
                <w:sz w:val="16"/>
                <w:szCs w:val="16"/>
              </w:rPr>
              <w:t>Current versions, near</w:t>
            </w:r>
            <w:r w:rsidRPr="007B2F7C">
              <w:rPr>
                <w:sz w:val="16"/>
                <w:szCs w:val="16"/>
              </w:rPr>
              <w:noBreakHyphen/>
              <w:t>term delivery</w:t>
            </w:r>
          </w:p>
        </w:tc>
        <w:tc>
          <w:tcPr>
            <w:tcW w:w="2623" w:type="dxa"/>
            <w:tcBorders>
              <w:top w:val="nil"/>
            </w:tcBorders>
            <w:shd w:val="clear" w:color="auto" w:fill="C9DED4"/>
          </w:tcPr>
          <w:p w:rsidR="00AE4AC1" w:rsidRPr="007B2F7C" w:rsidRDefault="00AE4AC1" w:rsidP="00AA339D">
            <w:pPr>
              <w:pStyle w:val="BodyText"/>
              <w:keepNext/>
              <w:numPr>
                <w:ilvl w:val="0"/>
                <w:numId w:val="0"/>
              </w:numPr>
              <w:spacing w:before="40" w:after="40"/>
              <w:jc w:val="center"/>
              <w:rPr>
                <w:sz w:val="16"/>
                <w:szCs w:val="16"/>
              </w:rPr>
            </w:pPr>
            <w:r w:rsidRPr="007B2F7C">
              <w:rPr>
                <w:sz w:val="16"/>
                <w:szCs w:val="16"/>
              </w:rPr>
              <w:t>A318, A319, A320, A321</w:t>
            </w:r>
          </w:p>
        </w:tc>
        <w:tc>
          <w:tcPr>
            <w:tcW w:w="2625" w:type="dxa"/>
            <w:tcBorders>
              <w:top w:val="nil"/>
            </w:tcBorders>
            <w:shd w:val="clear" w:color="auto" w:fill="C9DED4"/>
          </w:tcPr>
          <w:p w:rsidR="00AE4AC1" w:rsidRPr="007B2F7C" w:rsidRDefault="00AE4AC1" w:rsidP="00AA339D">
            <w:pPr>
              <w:pStyle w:val="BodyText"/>
              <w:keepNext/>
              <w:numPr>
                <w:ilvl w:val="0"/>
                <w:numId w:val="0"/>
              </w:numPr>
              <w:spacing w:before="40" w:after="40"/>
              <w:jc w:val="center"/>
              <w:rPr>
                <w:sz w:val="16"/>
                <w:szCs w:val="16"/>
              </w:rPr>
            </w:pPr>
            <w:r w:rsidRPr="007B2F7C">
              <w:rPr>
                <w:sz w:val="16"/>
                <w:szCs w:val="16"/>
              </w:rPr>
              <w:t>737-600, 737-700, 737</w:t>
            </w:r>
            <w:r w:rsidRPr="007B2F7C">
              <w:rPr>
                <w:sz w:val="16"/>
                <w:szCs w:val="16"/>
              </w:rPr>
              <w:noBreakHyphen/>
              <w:t>800, 737-900ER</w:t>
            </w:r>
          </w:p>
        </w:tc>
      </w:tr>
      <w:tr w:rsidR="00AE4AC1" w:rsidRPr="00D44E62" w:rsidTr="00C826B3">
        <w:trPr>
          <w:trHeight w:val="65"/>
          <w:jc w:val="center"/>
        </w:trPr>
        <w:tc>
          <w:tcPr>
            <w:tcW w:w="2624" w:type="dxa"/>
            <w:tcBorders>
              <w:bottom w:val="nil"/>
            </w:tcBorders>
            <w:shd w:val="clear" w:color="auto" w:fill="auto"/>
          </w:tcPr>
          <w:p w:rsidR="00AE4AC1" w:rsidRPr="007B2F7C" w:rsidRDefault="00AE4AC1" w:rsidP="00AA339D">
            <w:pPr>
              <w:pStyle w:val="BodyText"/>
              <w:keepNext/>
              <w:numPr>
                <w:ilvl w:val="0"/>
                <w:numId w:val="0"/>
              </w:numPr>
              <w:spacing w:before="40" w:after="40"/>
              <w:jc w:val="left"/>
              <w:rPr>
                <w:sz w:val="16"/>
                <w:szCs w:val="16"/>
              </w:rPr>
            </w:pPr>
            <w:r w:rsidRPr="007B2F7C">
              <w:rPr>
                <w:sz w:val="16"/>
                <w:szCs w:val="16"/>
              </w:rPr>
              <w:t>New generation, end of decade delivery</w:t>
            </w:r>
          </w:p>
        </w:tc>
        <w:tc>
          <w:tcPr>
            <w:tcW w:w="2623" w:type="dxa"/>
            <w:tcBorders>
              <w:bottom w:val="nil"/>
            </w:tcBorders>
            <w:shd w:val="clear" w:color="auto" w:fill="auto"/>
          </w:tcPr>
          <w:p w:rsidR="00AE4AC1" w:rsidRPr="007B2F7C" w:rsidRDefault="00AE4AC1" w:rsidP="00AA339D">
            <w:pPr>
              <w:pStyle w:val="BodyText"/>
              <w:keepNext/>
              <w:numPr>
                <w:ilvl w:val="0"/>
                <w:numId w:val="0"/>
              </w:numPr>
              <w:spacing w:before="40" w:after="40"/>
              <w:jc w:val="center"/>
              <w:rPr>
                <w:sz w:val="16"/>
                <w:szCs w:val="16"/>
              </w:rPr>
            </w:pPr>
            <w:r w:rsidRPr="007B2F7C">
              <w:rPr>
                <w:sz w:val="16"/>
                <w:szCs w:val="16"/>
              </w:rPr>
              <w:t>A319neo, A320neo, A321neo</w:t>
            </w:r>
          </w:p>
        </w:tc>
        <w:tc>
          <w:tcPr>
            <w:tcW w:w="2625" w:type="dxa"/>
            <w:tcBorders>
              <w:bottom w:val="nil"/>
            </w:tcBorders>
            <w:shd w:val="clear" w:color="auto" w:fill="auto"/>
          </w:tcPr>
          <w:p w:rsidR="00AE4AC1" w:rsidRPr="007B2F7C" w:rsidRDefault="00AE4AC1" w:rsidP="00AA339D">
            <w:pPr>
              <w:pStyle w:val="BodyText"/>
              <w:keepNext/>
              <w:numPr>
                <w:ilvl w:val="0"/>
                <w:numId w:val="0"/>
              </w:numPr>
              <w:spacing w:before="40" w:after="40"/>
              <w:jc w:val="center"/>
              <w:rPr>
                <w:sz w:val="16"/>
                <w:szCs w:val="16"/>
              </w:rPr>
            </w:pPr>
            <w:r w:rsidRPr="007B2F7C">
              <w:rPr>
                <w:sz w:val="16"/>
                <w:szCs w:val="16"/>
              </w:rPr>
              <w:t>737 MAX 7, 737 MAX 8, 737 MAX 9</w:t>
            </w:r>
          </w:p>
        </w:tc>
      </w:tr>
      <w:tr w:rsidR="00AE4AC1" w:rsidRPr="00D44E62" w:rsidTr="00C826B3">
        <w:trPr>
          <w:trHeight w:val="65"/>
          <w:jc w:val="center"/>
        </w:trPr>
        <w:tc>
          <w:tcPr>
            <w:tcW w:w="7872" w:type="dxa"/>
            <w:gridSpan w:val="3"/>
            <w:tcBorders>
              <w:top w:val="nil"/>
              <w:bottom w:val="nil"/>
            </w:tcBorders>
            <w:shd w:val="clear" w:color="auto" w:fill="C9DED4"/>
          </w:tcPr>
          <w:p w:rsidR="00AE4AC1" w:rsidRPr="007B2F7C" w:rsidRDefault="00AE4AC1" w:rsidP="00AA339D">
            <w:pPr>
              <w:pStyle w:val="BodyText"/>
              <w:keepNext/>
              <w:numPr>
                <w:ilvl w:val="0"/>
                <w:numId w:val="0"/>
              </w:numPr>
              <w:spacing w:before="40" w:after="40"/>
              <w:jc w:val="left"/>
              <w:rPr>
                <w:i/>
                <w:sz w:val="16"/>
                <w:szCs w:val="16"/>
              </w:rPr>
            </w:pPr>
            <w:r w:rsidRPr="007B2F7C">
              <w:rPr>
                <w:i/>
                <w:sz w:val="16"/>
                <w:szCs w:val="16"/>
              </w:rPr>
              <w:t>Twin-aisle aircraft</w:t>
            </w:r>
          </w:p>
        </w:tc>
      </w:tr>
      <w:tr w:rsidR="00AE4AC1" w:rsidRPr="00D44E62" w:rsidTr="00C826B3">
        <w:trPr>
          <w:trHeight w:val="65"/>
          <w:jc w:val="center"/>
        </w:trPr>
        <w:tc>
          <w:tcPr>
            <w:tcW w:w="2624" w:type="dxa"/>
            <w:tcBorders>
              <w:top w:val="nil"/>
            </w:tcBorders>
            <w:shd w:val="clear" w:color="auto" w:fill="auto"/>
          </w:tcPr>
          <w:p w:rsidR="00AE4AC1" w:rsidRPr="007B2F7C" w:rsidRDefault="00AE4AC1" w:rsidP="00AA339D">
            <w:pPr>
              <w:pStyle w:val="BodyText"/>
              <w:keepNext/>
              <w:numPr>
                <w:ilvl w:val="0"/>
                <w:numId w:val="0"/>
              </w:numPr>
              <w:spacing w:before="40" w:after="40"/>
              <w:jc w:val="right"/>
              <w:rPr>
                <w:sz w:val="16"/>
                <w:szCs w:val="16"/>
              </w:rPr>
            </w:pPr>
          </w:p>
        </w:tc>
        <w:tc>
          <w:tcPr>
            <w:tcW w:w="2623" w:type="dxa"/>
            <w:tcBorders>
              <w:top w:val="nil"/>
            </w:tcBorders>
            <w:shd w:val="clear" w:color="auto" w:fill="auto"/>
          </w:tcPr>
          <w:p w:rsidR="00AE4AC1" w:rsidRPr="007B2F7C" w:rsidRDefault="00AE4AC1" w:rsidP="00AA339D">
            <w:pPr>
              <w:pStyle w:val="BodyText"/>
              <w:keepNext/>
              <w:numPr>
                <w:ilvl w:val="0"/>
                <w:numId w:val="0"/>
              </w:numPr>
              <w:spacing w:before="40" w:after="40"/>
              <w:jc w:val="center"/>
              <w:rPr>
                <w:sz w:val="16"/>
                <w:szCs w:val="16"/>
              </w:rPr>
            </w:pPr>
            <w:r w:rsidRPr="007B2F7C">
              <w:rPr>
                <w:sz w:val="16"/>
                <w:szCs w:val="16"/>
              </w:rPr>
              <w:t>None</w:t>
            </w:r>
          </w:p>
        </w:tc>
        <w:tc>
          <w:tcPr>
            <w:tcW w:w="2625" w:type="dxa"/>
            <w:tcBorders>
              <w:top w:val="nil"/>
            </w:tcBorders>
            <w:shd w:val="clear" w:color="auto" w:fill="auto"/>
          </w:tcPr>
          <w:p w:rsidR="00AE4AC1" w:rsidRPr="007B2F7C" w:rsidRDefault="00AE4AC1" w:rsidP="00AA339D">
            <w:pPr>
              <w:pStyle w:val="BodyText"/>
              <w:keepNext/>
              <w:numPr>
                <w:ilvl w:val="0"/>
                <w:numId w:val="0"/>
              </w:numPr>
              <w:spacing w:before="40" w:after="40"/>
              <w:jc w:val="center"/>
              <w:rPr>
                <w:sz w:val="16"/>
                <w:szCs w:val="16"/>
              </w:rPr>
            </w:pPr>
            <w:r w:rsidRPr="007B2F7C">
              <w:rPr>
                <w:sz w:val="16"/>
                <w:szCs w:val="16"/>
              </w:rPr>
              <w:t>767-300ER</w:t>
            </w:r>
          </w:p>
        </w:tc>
      </w:tr>
      <w:tr w:rsidR="00AE4AC1" w:rsidRPr="00D44E62" w:rsidTr="00267BCB">
        <w:trPr>
          <w:trHeight w:val="65"/>
          <w:jc w:val="center"/>
        </w:trPr>
        <w:tc>
          <w:tcPr>
            <w:tcW w:w="2624" w:type="dxa"/>
            <w:shd w:val="clear" w:color="auto" w:fill="C9DED4"/>
          </w:tcPr>
          <w:p w:rsidR="00AE4AC1" w:rsidRPr="007B2F7C" w:rsidRDefault="00AE4AC1" w:rsidP="00AA339D">
            <w:pPr>
              <w:pStyle w:val="BodyText"/>
              <w:keepNext/>
              <w:numPr>
                <w:ilvl w:val="0"/>
                <w:numId w:val="0"/>
              </w:numPr>
              <w:spacing w:before="40" w:after="40"/>
              <w:jc w:val="left"/>
              <w:rPr>
                <w:sz w:val="16"/>
                <w:szCs w:val="16"/>
              </w:rPr>
            </w:pPr>
            <w:r w:rsidRPr="007B2F7C">
              <w:rPr>
                <w:sz w:val="16"/>
                <w:szCs w:val="16"/>
              </w:rPr>
              <w:t>Smaller, medium-range, near-term delivery</w:t>
            </w:r>
          </w:p>
        </w:tc>
        <w:tc>
          <w:tcPr>
            <w:tcW w:w="2623" w:type="dxa"/>
            <w:shd w:val="clear" w:color="auto" w:fill="C9DED4"/>
          </w:tcPr>
          <w:p w:rsidR="00AE4AC1" w:rsidRPr="007B2F7C" w:rsidRDefault="00AE4AC1" w:rsidP="00AA339D">
            <w:pPr>
              <w:pStyle w:val="BodyText"/>
              <w:keepNext/>
              <w:numPr>
                <w:ilvl w:val="0"/>
                <w:numId w:val="0"/>
              </w:numPr>
              <w:spacing w:before="40" w:after="40"/>
              <w:jc w:val="center"/>
              <w:rPr>
                <w:sz w:val="16"/>
                <w:szCs w:val="16"/>
              </w:rPr>
            </w:pPr>
            <w:r w:rsidRPr="007B2F7C">
              <w:rPr>
                <w:sz w:val="16"/>
                <w:szCs w:val="16"/>
              </w:rPr>
              <w:t>A330-200, A330-300</w:t>
            </w:r>
          </w:p>
        </w:tc>
        <w:tc>
          <w:tcPr>
            <w:tcW w:w="2625" w:type="dxa"/>
            <w:shd w:val="clear" w:color="auto" w:fill="C9DED4"/>
          </w:tcPr>
          <w:p w:rsidR="00AE4AC1" w:rsidRPr="007B2F7C" w:rsidRDefault="00AE4AC1" w:rsidP="00AA339D">
            <w:pPr>
              <w:pStyle w:val="BodyText"/>
              <w:keepNext/>
              <w:numPr>
                <w:ilvl w:val="0"/>
                <w:numId w:val="0"/>
              </w:numPr>
              <w:spacing w:before="40" w:after="40"/>
              <w:jc w:val="center"/>
              <w:rPr>
                <w:sz w:val="16"/>
                <w:szCs w:val="16"/>
              </w:rPr>
            </w:pPr>
            <w:r w:rsidRPr="007B2F7C">
              <w:rPr>
                <w:sz w:val="16"/>
                <w:szCs w:val="16"/>
              </w:rPr>
              <w:t>None</w:t>
            </w:r>
          </w:p>
        </w:tc>
      </w:tr>
      <w:tr w:rsidR="00AE4AC1" w:rsidRPr="00D44E62" w:rsidTr="00267BCB">
        <w:trPr>
          <w:trHeight w:val="65"/>
          <w:jc w:val="center"/>
        </w:trPr>
        <w:tc>
          <w:tcPr>
            <w:tcW w:w="2624" w:type="dxa"/>
            <w:shd w:val="clear" w:color="auto" w:fill="auto"/>
          </w:tcPr>
          <w:p w:rsidR="00AE4AC1" w:rsidRPr="007B2F7C" w:rsidRDefault="00AE4AC1" w:rsidP="00AA339D">
            <w:pPr>
              <w:pStyle w:val="BodyText"/>
              <w:keepNext/>
              <w:numPr>
                <w:ilvl w:val="0"/>
                <w:numId w:val="0"/>
              </w:numPr>
              <w:spacing w:before="40" w:after="40"/>
              <w:jc w:val="left"/>
              <w:rPr>
                <w:sz w:val="16"/>
                <w:szCs w:val="16"/>
              </w:rPr>
            </w:pPr>
            <w:r w:rsidRPr="007B2F7C">
              <w:rPr>
                <w:sz w:val="16"/>
                <w:szCs w:val="16"/>
              </w:rPr>
              <w:t>New generation, deliveries further into the future</w:t>
            </w:r>
          </w:p>
        </w:tc>
        <w:tc>
          <w:tcPr>
            <w:tcW w:w="2623" w:type="dxa"/>
            <w:shd w:val="clear" w:color="auto" w:fill="auto"/>
          </w:tcPr>
          <w:p w:rsidR="00AE4AC1" w:rsidRPr="007B2F7C" w:rsidRDefault="00AE4AC1" w:rsidP="00AA339D">
            <w:pPr>
              <w:pStyle w:val="BodyText"/>
              <w:keepNext/>
              <w:numPr>
                <w:ilvl w:val="0"/>
                <w:numId w:val="0"/>
              </w:numPr>
              <w:spacing w:before="40" w:after="40"/>
              <w:jc w:val="center"/>
              <w:rPr>
                <w:sz w:val="16"/>
                <w:szCs w:val="16"/>
              </w:rPr>
            </w:pPr>
            <w:r w:rsidRPr="007B2F7C">
              <w:rPr>
                <w:sz w:val="16"/>
                <w:szCs w:val="16"/>
              </w:rPr>
              <w:t>A350XWB-800, A350XWB-900, A350XWB-1000</w:t>
            </w:r>
          </w:p>
        </w:tc>
        <w:tc>
          <w:tcPr>
            <w:tcW w:w="2625" w:type="dxa"/>
            <w:shd w:val="clear" w:color="auto" w:fill="auto"/>
          </w:tcPr>
          <w:p w:rsidR="00AE4AC1" w:rsidRPr="007B2F7C" w:rsidRDefault="00AE4AC1" w:rsidP="00AA339D">
            <w:pPr>
              <w:pStyle w:val="BodyText"/>
              <w:keepNext/>
              <w:numPr>
                <w:ilvl w:val="0"/>
                <w:numId w:val="0"/>
              </w:numPr>
              <w:spacing w:before="40" w:after="40"/>
              <w:jc w:val="center"/>
              <w:rPr>
                <w:sz w:val="16"/>
                <w:szCs w:val="16"/>
              </w:rPr>
            </w:pPr>
            <w:r w:rsidRPr="007B2F7C">
              <w:rPr>
                <w:sz w:val="16"/>
                <w:szCs w:val="16"/>
              </w:rPr>
              <w:t>787-8, 787-9</w:t>
            </w:r>
          </w:p>
        </w:tc>
      </w:tr>
      <w:tr w:rsidR="00AE4AC1" w:rsidRPr="00D44E62" w:rsidTr="00267BCB">
        <w:trPr>
          <w:trHeight w:val="65"/>
          <w:jc w:val="center"/>
        </w:trPr>
        <w:tc>
          <w:tcPr>
            <w:tcW w:w="2624" w:type="dxa"/>
            <w:shd w:val="clear" w:color="auto" w:fill="C9DED4"/>
          </w:tcPr>
          <w:p w:rsidR="00AE4AC1" w:rsidRPr="007B2F7C" w:rsidRDefault="00AE4AC1" w:rsidP="00AA339D">
            <w:pPr>
              <w:pStyle w:val="BodyText"/>
              <w:keepNext/>
              <w:numPr>
                <w:ilvl w:val="0"/>
                <w:numId w:val="0"/>
              </w:numPr>
              <w:spacing w:before="40" w:after="40"/>
              <w:jc w:val="left"/>
              <w:rPr>
                <w:sz w:val="16"/>
                <w:szCs w:val="16"/>
              </w:rPr>
            </w:pPr>
            <w:r w:rsidRPr="007B2F7C">
              <w:rPr>
                <w:sz w:val="16"/>
                <w:szCs w:val="16"/>
              </w:rPr>
              <w:t>Larger, longer-range, near-term delivery</w:t>
            </w:r>
          </w:p>
        </w:tc>
        <w:tc>
          <w:tcPr>
            <w:tcW w:w="2623" w:type="dxa"/>
            <w:shd w:val="clear" w:color="auto" w:fill="C9DED4"/>
          </w:tcPr>
          <w:p w:rsidR="00AE4AC1" w:rsidRPr="007B2F7C" w:rsidRDefault="00AE4AC1" w:rsidP="00AA339D">
            <w:pPr>
              <w:pStyle w:val="BodyText"/>
              <w:keepNext/>
              <w:numPr>
                <w:ilvl w:val="0"/>
                <w:numId w:val="0"/>
              </w:numPr>
              <w:spacing w:before="40" w:after="40"/>
              <w:jc w:val="center"/>
              <w:rPr>
                <w:sz w:val="16"/>
                <w:szCs w:val="16"/>
              </w:rPr>
            </w:pPr>
            <w:r w:rsidRPr="007B2F7C">
              <w:rPr>
                <w:sz w:val="16"/>
                <w:szCs w:val="16"/>
              </w:rPr>
              <w:t>None</w:t>
            </w:r>
          </w:p>
        </w:tc>
        <w:tc>
          <w:tcPr>
            <w:tcW w:w="2625" w:type="dxa"/>
            <w:shd w:val="clear" w:color="auto" w:fill="C9DED4"/>
          </w:tcPr>
          <w:p w:rsidR="00AE4AC1" w:rsidRPr="007B2F7C" w:rsidRDefault="00AE4AC1" w:rsidP="00AA339D">
            <w:pPr>
              <w:pStyle w:val="BodyText"/>
              <w:keepNext/>
              <w:numPr>
                <w:ilvl w:val="0"/>
                <w:numId w:val="0"/>
              </w:numPr>
              <w:spacing w:before="40" w:after="40"/>
              <w:jc w:val="center"/>
              <w:rPr>
                <w:sz w:val="16"/>
                <w:szCs w:val="16"/>
              </w:rPr>
            </w:pPr>
            <w:r w:rsidRPr="007B2F7C">
              <w:rPr>
                <w:sz w:val="16"/>
                <w:szCs w:val="16"/>
              </w:rPr>
              <w:t>777-200ER, 777-200LR, 777-300ER</w:t>
            </w:r>
          </w:p>
        </w:tc>
      </w:tr>
      <w:tr w:rsidR="00AE4AC1" w:rsidRPr="00D44E62" w:rsidTr="00267BCB">
        <w:trPr>
          <w:trHeight w:val="65"/>
          <w:jc w:val="center"/>
        </w:trPr>
        <w:tc>
          <w:tcPr>
            <w:tcW w:w="2624" w:type="dxa"/>
            <w:shd w:val="clear" w:color="auto" w:fill="auto"/>
          </w:tcPr>
          <w:p w:rsidR="00AE4AC1" w:rsidRPr="007B2F7C" w:rsidRDefault="00AE4AC1" w:rsidP="00AA339D">
            <w:pPr>
              <w:pStyle w:val="BodyText"/>
              <w:keepNext/>
              <w:numPr>
                <w:ilvl w:val="0"/>
                <w:numId w:val="0"/>
              </w:numPr>
              <w:spacing w:before="40" w:after="40"/>
              <w:jc w:val="left"/>
              <w:rPr>
                <w:sz w:val="16"/>
                <w:szCs w:val="16"/>
              </w:rPr>
            </w:pPr>
            <w:r w:rsidRPr="007B2F7C">
              <w:rPr>
                <w:sz w:val="16"/>
                <w:szCs w:val="16"/>
              </w:rPr>
              <w:t>Smaller, very large aircraft</w:t>
            </w:r>
          </w:p>
        </w:tc>
        <w:tc>
          <w:tcPr>
            <w:tcW w:w="2623" w:type="dxa"/>
            <w:shd w:val="clear" w:color="auto" w:fill="auto"/>
          </w:tcPr>
          <w:p w:rsidR="00AE4AC1" w:rsidRPr="007B2F7C" w:rsidRDefault="00AE4AC1" w:rsidP="00AA339D">
            <w:pPr>
              <w:pStyle w:val="BodyText"/>
              <w:keepNext/>
              <w:numPr>
                <w:ilvl w:val="0"/>
                <w:numId w:val="0"/>
              </w:numPr>
              <w:spacing w:before="40" w:after="40"/>
              <w:jc w:val="center"/>
              <w:rPr>
                <w:sz w:val="16"/>
                <w:szCs w:val="16"/>
              </w:rPr>
            </w:pPr>
            <w:r w:rsidRPr="007B2F7C">
              <w:rPr>
                <w:sz w:val="16"/>
                <w:szCs w:val="16"/>
              </w:rPr>
              <w:t>None</w:t>
            </w:r>
          </w:p>
        </w:tc>
        <w:tc>
          <w:tcPr>
            <w:tcW w:w="2625" w:type="dxa"/>
            <w:shd w:val="clear" w:color="auto" w:fill="auto"/>
          </w:tcPr>
          <w:p w:rsidR="00AE4AC1" w:rsidRPr="007B2F7C" w:rsidRDefault="00AE4AC1" w:rsidP="00AA339D">
            <w:pPr>
              <w:pStyle w:val="BodyText"/>
              <w:keepNext/>
              <w:numPr>
                <w:ilvl w:val="0"/>
                <w:numId w:val="0"/>
              </w:numPr>
              <w:spacing w:before="40" w:after="40"/>
              <w:jc w:val="center"/>
              <w:rPr>
                <w:sz w:val="16"/>
                <w:szCs w:val="16"/>
              </w:rPr>
            </w:pPr>
            <w:r w:rsidRPr="007B2F7C">
              <w:rPr>
                <w:sz w:val="16"/>
                <w:szCs w:val="16"/>
              </w:rPr>
              <w:t>747-8</w:t>
            </w:r>
          </w:p>
        </w:tc>
      </w:tr>
      <w:tr w:rsidR="00AE4AC1" w:rsidRPr="00D44E62" w:rsidTr="00267BCB">
        <w:trPr>
          <w:trHeight w:val="65"/>
          <w:jc w:val="center"/>
        </w:trPr>
        <w:tc>
          <w:tcPr>
            <w:tcW w:w="2624" w:type="dxa"/>
            <w:shd w:val="clear" w:color="auto" w:fill="C9DED4"/>
          </w:tcPr>
          <w:p w:rsidR="00AE4AC1" w:rsidRPr="007B2F7C" w:rsidRDefault="00AE4AC1" w:rsidP="00AA339D">
            <w:pPr>
              <w:pStyle w:val="BodyText"/>
              <w:keepNext/>
              <w:numPr>
                <w:ilvl w:val="0"/>
                <w:numId w:val="0"/>
              </w:numPr>
              <w:spacing w:before="40" w:after="40"/>
              <w:jc w:val="left"/>
              <w:rPr>
                <w:sz w:val="16"/>
                <w:szCs w:val="16"/>
              </w:rPr>
            </w:pPr>
            <w:r w:rsidRPr="007B2F7C">
              <w:rPr>
                <w:sz w:val="16"/>
                <w:szCs w:val="16"/>
              </w:rPr>
              <w:t>Larger, new generation, very large aircraft</w:t>
            </w:r>
          </w:p>
        </w:tc>
        <w:tc>
          <w:tcPr>
            <w:tcW w:w="2623" w:type="dxa"/>
            <w:shd w:val="clear" w:color="auto" w:fill="C9DED4"/>
          </w:tcPr>
          <w:p w:rsidR="00AE4AC1" w:rsidRPr="007B2F7C" w:rsidRDefault="00AE4AC1" w:rsidP="00AA339D">
            <w:pPr>
              <w:pStyle w:val="BodyText"/>
              <w:keepNext/>
              <w:numPr>
                <w:ilvl w:val="0"/>
                <w:numId w:val="0"/>
              </w:numPr>
              <w:spacing w:before="40" w:after="40"/>
              <w:jc w:val="center"/>
              <w:rPr>
                <w:sz w:val="16"/>
                <w:szCs w:val="16"/>
              </w:rPr>
            </w:pPr>
            <w:r w:rsidRPr="007B2F7C">
              <w:rPr>
                <w:sz w:val="16"/>
                <w:szCs w:val="16"/>
              </w:rPr>
              <w:t>A380</w:t>
            </w:r>
          </w:p>
        </w:tc>
        <w:tc>
          <w:tcPr>
            <w:tcW w:w="2625" w:type="dxa"/>
            <w:shd w:val="clear" w:color="auto" w:fill="C9DED4"/>
          </w:tcPr>
          <w:p w:rsidR="00AE4AC1" w:rsidRPr="007B2F7C" w:rsidRDefault="00AE4AC1" w:rsidP="00AA339D">
            <w:pPr>
              <w:pStyle w:val="BodyText"/>
              <w:keepNext/>
              <w:numPr>
                <w:ilvl w:val="0"/>
                <w:numId w:val="0"/>
              </w:numPr>
              <w:spacing w:before="40" w:after="40"/>
              <w:jc w:val="center"/>
              <w:rPr>
                <w:sz w:val="16"/>
                <w:szCs w:val="16"/>
              </w:rPr>
            </w:pPr>
            <w:r w:rsidRPr="007B2F7C">
              <w:rPr>
                <w:sz w:val="16"/>
                <w:szCs w:val="16"/>
              </w:rPr>
              <w:t>None</w:t>
            </w:r>
          </w:p>
        </w:tc>
      </w:tr>
    </w:tbl>
    <w:p w:rsidR="00AE4AC1" w:rsidRDefault="00AE4AC1" w:rsidP="00AA339D">
      <w:pPr>
        <w:pStyle w:val="NoteText"/>
        <w:keepNext/>
        <w:spacing w:before="120"/>
      </w:pPr>
      <w:r>
        <w:t>Source: Panel Report, Table 15 at paragraph 6.1156</w:t>
      </w:r>
      <w:r w:rsidR="00EE71A5">
        <w:t>.</w:t>
      </w:r>
    </w:p>
    <w:p w:rsidR="00AE4AC1" w:rsidRPr="00D44E62" w:rsidRDefault="00AE4AC1" w:rsidP="009E6402">
      <w:pPr>
        <w:pStyle w:val="BodyText"/>
        <w:spacing w:before="240"/>
      </w:pPr>
      <w:r w:rsidRPr="00D44E62">
        <w:t xml:space="preserve">Referring to the original </w:t>
      </w:r>
      <w:r>
        <w:t xml:space="preserve">appellate </w:t>
      </w:r>
      <w:r w:rsidRPr="00D44E62">
        <w:t>proceedings in this dispute, the Panel noted that</w:t>
      </w:r>
      <w:r>
        <w:t xml:space="preserve"> </w:t>
      </w:r>
      <w:r w:rsidRPr="00D44E62">
        <w:t xml:space="preserve">the parties had "appeared to accept (or at least did not object to the notion) that competition in the LCA industry could be viewed as taking place in three distinct </w:t>
      </w:r>
      <w:r w:rsidRPr="004C2065">
        <w:t>passenger aircraft product markets, namely, the single-aisle, twin-aisle and VLA markets".</w:t>
      </w:r>
      <w:r>
        <w:rPr>
          <w:rStyle w:val="FootnoteReference"/>
        </w:rPr>
        <w:footnoteReference w:id="1165"/>
      </w:r>
      <w:r w:rsidRPr="004C2065">
        <w:t xml:space="preserve"> The Panel recalled, however, that the European Union had argued in the current compliance proceedings that Airbus and Boeing LCA compete in up to six or seven distinct product markets, two of which are </w:t>
      </w:r>
      <w:r>
        <w:t xml:space="preserve">"temporal" </w:t>
      </w:r>
      <w:r w:rsidRPr="004C2065">
        <w:t>monopoly markets where either Airbus</w:t>
      </w:r>
      <w:r w:rsidRPr="00D44E62">
        <w:t xml:space="preserve"> or Boeing is the sole credible supplier.</w:t>
      </w:r>
      <w:r>
        <w:rPr>
          <w:rStyle w:val="FootnoteReference"/>
        </w:rPr>
        <w:footnoteReference w:id="1166"/>
      </w:r>
      <w:r w:rsidRPr="00D44E62">
        <w:t xml:space="preserve"> The Panel further noted the United States' contention that the same three product </w:t>
      </w:r>
      <w:r w:rsidRPr="004C2065">
        <w:t>markets</w:t>
      </w:r>
      <w:r w:rsidRPr="00D44E62">
        <w:t xml:space="preserve"> relied upon by the Appellate Body in the original proceedings continue to exist.</w:t>
      </w:r>
      <w:r>
        <w:rPr>
          <w:rStyle w:val="FootnoteReference"/>
        </w:rPr>
        <w:footnoteReference w:id="1167"/>
      </w:r>
    </w:p>
    <w:p w:rsidR="00AE4AC1" w:rsidRPr="00D44E62" w:rsidRDefault="00AE4AC1" w:rsidP="009E6402">
      <w:pPr>
        <w:pStyle w:val="BodyText"/>
      </w:pPr>
      <w:r w:rsidRPr="00D44E62">
        <w:t>Before turning to examine the parties' respective positions, the Panel referred to and quoted extensively from the Appellate Body's findings</w:t>
      </w:r>
      <w:r>
        <w:t xml:space="preserve"> in the original proceedings</w:t>
      </w:r>
      <w:r w:rsidRPr="00D44E62">
        <w:t xml:space="preserve"> regarding the identification of </w:t>
      </w:r>
      <w:r>
        <w:t xml:space="preserve">the </w:t>
      </w:r>
      <w:r w:rsidRPr="00D44E62">
        <w:t xml:space="preserve">relevant product </w:t>
      </w:r>
      <w:r w:rsidRPr="006870DF">
        <w:t>markets</w:t>
      </w:r>
      <w:r w:rsidRPr="00D44E62">
        <w:t xml:space="preserve"> and how this can assist a panel in determining whether a complainant has properly framed its claims of serious prejudice.</w:t>
      </w:r>
      <w:r>
        <w:rPr>
          <w:rStyle w:val="FootnoteReference"/>
        </w:rPr>
        <w:footnoteReference w:id="1168"/>
      </w:r>
      <w:r w:rsidRPr="00D44E62">
        <w:t xml:space="preserve"> The Panel recognized</w:t>
      </w:r>
      <w:r>
        <w:t>,</w:t>
      </w:r>
      <w:r w:rsidRPr="00D44E62">
        <w:t xml:space="preserve"> in particular</w:t>
      </w:r>
      <w:r>
        <w:t>,</w:t>
      </w:r>
      <w:r w:rsidRPr="00D44E62">
        <w:t xml:space="preserve"> that</w:t>
      </w:r>
      <w:r>
        <w:t>,</w:t>
      </w:r>
      <w:r w:rsidRPr="00D44E62">
        <w:t xml:space="preserve"> when examining claims brought under Article 6.3 of the SCM Agreement</w:t>
      </w:r>
      <w:r>
        <w:t>,</w:t>
      </w:r>
      <w:r w:rsidRPr="00D44E62">
        <w:t xml:space="preserve"> "a panel must make an objective assessment of the </w:t>
      </w:r>
      <w:r w:rsidRPr="00D44E62">
        <w:rPr>
          <w:i/>
        </w:rPr>
        <w:t>competitive relationship</w:t>
      </w:r>
      <w:r w:rsidRPr="00D44E62">
        <w:t xml:space="preserve"> between specific products and thereby determine the extent to which a complainant has brought its case with respect to the correct product </w:t>
      </w:r>
      <w:r w:rsidRPr="007F4F86">
        <w:t>markets</w:t>
      </w:r>
      <w:r w:rsidRPr="00D44E62">
        <w:t>".</w:t>
      </w:r>
      <w:r>
        <w:rPr>
          <w:rStyle w:val="FootnoteReference"/>
        </w:rPr>
        <w:footnoteReference w:id="1169"/>
      </w:r>
      <w:r w:rsidRPr="00D44E62">
        <w:t xml:space="preserve"> The Panel also noted that the Appellate Body referred to the notion of "market" as consisting of </w:t>
      </w:r>
      <w:r w:rsidRPr="0074692C">
        <w:t>"</w:t>
      </w:r>
      <w:r w:rsidR="00BC11C7">
        <w:t>the set of products (and </w:t>
      </w:r>
      <w:r w:rsidRPr="00D44E62">
        <w:t xml:space="preserve">geographical areas) that exercise </w:t>
      </w:r>
      <w:r w:rsidRPr="00D44E62">
        <w:rPr>
          <w:i/>
        </w:rPr>
        <w:t>some</w:t>
      </w:r>
      <w:r w:rsidRPr="00D44E62">
        <w:t xml:space="preserve"> competitive constraint on each other</w:t>
      </w:r>
      <w:r w:rsidRPr="0074692C">
        <w:t>"</w:t>
      </w:r>
      <w:r w:rsidRPr="00D44E62">
        <w:t>.</w:t>
      </w:r>
      <w:r>
        <w:rPr>
          <w:rStyle w:val="FootnoteReference"/>
        </w:rPr>
        <w:footnoteReference w:id="1170"/>
      </w:r>
      <w:r w:rsidRPr="00D44E62">
        <w:t xml:space="preserve"> The Panel further recalled that the Appellate Body explained that </w:t>
      </w:r>
      <w:r>
        <w:t>"</w:t>
      </w:r>
      <w:r w:rsidRPr="00D44E62">
        <w:t>where the evidence shows that the competitive relationship is not direct and 'at most, indirect or remote', this must be properly taken into account in the analysis"</w:t>
      </w:r>
      <w:r>
        <w:rPr>
          <w:rStyle w:val="FootnoteReference"/>
        </w:rPr>
        <w:footnoteReference w:id="1171"/>
      </w:r>
      <w:r>
        <w:t>,</w:t>
      </w:r>
      <w:r w:rsidRPr="00D44E62">
        <w:t xml:space="preserve"> and that "the absence of demand-side substitutability between two products would suggest that they are likely to compete in two distinct </w:t>
      </w:r>
      <w:r w:rsidRPr="00865D6C">
        <w:t>markets</w:t>
      </w:r>
      <w:r w:rsidRPr="00D44E62">
        <w:t>, rather than in a single market."</w:t>
      </w:r>
      <w:r>
        <w:rPr>
          <w:rStyle w:val="FootnoteReference"/>
        </w:rPr>
        <w:footnoteReference w:id="1172"/>
      </w:r>
      <w:r w:rsidRPr="00D44E62">
        <w:t xml:space="preserve"> The Panel added that "a consideration of substitutability on the </w:t>
      </w:r>
      <w:r w:rsidRPr="00D44E62">
        <w:rPr>
          <w:i/>
        </w:rPr>
        <w:t>supply-side</w:t>
      </w:r>
      <w:r w:rsidRPr="00D44E62">
        <w:t xml:space="preserve"> may also be required in order to determine whether two produ</w:t>
      </w:r>
      <w:r w:rsidR="00BC11C7">
        <w:t>cts compete in the same product </w:t>
      </w:r>
      <w:r w:rsidRPr="00D44E62">
        <w:t>market</w:t>
      </w:r>
      <w:r>
        <w:t>.</w:t>
      </w:r>
      <w:r w:rsidRPr="00D44E62">
        <w:t>"</w:t>
      </w:r>
      <w:r>
        <w:rPr>
          <w:rStyle w:val="FootnoteReference"/>
        </w:rPr>
        <w:footnoteReference w:id="1173"/>
      </w:r>
      <w:r w:rsidRPr="00D44E62">
        <w:t xml:space="preserve"> </w:t>
      </w:r>
    </w:p>
    <w:p w:rsidR="00AE4AC1" w:rsidRPr="00D44E62" w:rsidRDefault="00AE4AC1" w:rsidP="009E6402">
      <w:pPr>
        <w:pStyle w:val="BodyText"/>
      </w:pPr>
      <w:r w:rsidRPr="00D44E62">
        <w:t xml:space="preserve">With these considerations in mind, the Panel turned to address </w:t>
      </w:r>
      <w:r w:rsidRPr="00FD48E4">
        <w:t>the merits of the parties' respective positions</w:t>
      </w:r>
      <w:r>
        <w:t xml:space="preserve"> in order to determine</w:t>
      </w:r>
      <w:r w:rsidRPr="00FD48E4">
        <w:t xml:space="preserve"> whether the United States ha</w:t>
      </w:r>
      <w:r>
        <w:t>d</w:t>
      </w:r>
      <w:r w:rsidRPr="00FD48E4">
        <w:t xml:space="preserve"> properly framed its claims of serious prejudice.</w:t>
      </w:r>
      <w:r w:rsidRPr="00D44E62">
        <w:t xml:space="preserve"> In so doing, the</w:t>
      </w:r>
      <w:r w:rsidR="00AA339D">
        <w:t xml:space="preserve"> </w:t>
      </w:r>
      <w:r w:rsidRPr="00D44E62">
        <w:t xml:space="preserve">Panel noted the European Union's </w:t>
      </w:r>
      <w:r>
        <w:t>argument</w:t>
      </w:r>
      <w:r w:rsidRPr="00D44E62">
        <w:t xml:space="preserve"> that the United States was required to present "</w:t>
      </w:r>
      <w:r w:rsidRPr="00D44E62">
        <w:rPr>
          <w:i/>
        </w:rPr>
        <w:t>quantitative analysis</w:t>
      </w:r>
      <w:r w:rsidRPr="00D44E62">
        <w:t xml:space="preserve"> in support of its allegations of demand-side substitutability between the relevant LCA products".</w:t>
      </w:r>
      <w:r>
        <w:rPr>
          <w:rStyle w:val="FootnoteReference"/>
        </w:rPr>
        <w:footnoteReference w:id="1174"/>
      </w:r>
      <w:r w:rsidRPr="00D44E62">
        <w:t xml:space="preserve"> The Panel found nothing in the Appellate Body </w:t>
      </w:r>
      <w:r>
        <w:t>r</w:t>
      </w:r>
      <w:r w:rsidRPr="00D44E62">
        <w:t xml:space="preserve">eport </w:t>
      </w:r>
      <w:r w:rsidR="00EE71A5">
        <w:t xml:space="preserve">in the original proceedings </w:t>
      </w:r>
      <w:r w:rsidRPr="00D44E62">
        <w:t xml:space="preserve">to suggest that "a complainant bringing a serious prejudice complaint </w:t>
      </w:r>
      <w:r w:rsidRPr="00D44E62">
        <w:rPr>
          <w:i/>
        </w:rPr>
        <w:t>must</w:t>
      </w:r>
      <w:r w:rsidRPr="00D44E62">
        <w:t xml:space="preserve"> identify the relevant product </w:t>
      </w:r>
      <w:r w:rsidRPr="00865D6C">
        <w:t xml:space="preserve">markets </w:t>
      </w:r>
      <w:r w:rsidRPr="00D44E62">
        <w:t xml:space="preserve">by using evidence that is 'rooted in' </w:t>
      </w:r>
      <w:r w:rsidRPr="00D44E62">
        <w:rPr>
          <w:i/>
        </w:rPr>
        <w:t>quantitative analyses</w:t>
      </w:r>
      <w:r w:rsidRPr="00C028D0">
        <w:t>.</w:t>
      </w:r>
      <w:r w:rsidRPr="00D44E62">
        <w:t>"</w:t>
      </w:r>
      <w:r>
        <w:rPr>
          <w:rStyle w:val="FootnoteReference"/>
        </w:rPr>
        <w:footnoteReference w:id="1175"/>
      </w:r>
      <w:r w:rsidRPr="00D44E62">
        <w:t xml:space="preserve"> Instead, the Panel understood the Appellate Body to have simply found that</w:t>
      </w:r>
      <w:r>
        <w:t>,</w:t>
      </w:r>
      <w:r w:rsidRPr="00D44E62">
        <w:t xml:space="preserve"> in determining whether two products "form part</w:t>
      </w:r>
      <w:r w:rsidR="00C97063">
        <w:t xml:space="preserve"> of the same product market, it </w:t>
      </w:r>
      <w:r w:rsidRPr="00D44E62">
        <w:t>will be important to explore and analyse the particular characteristics and features of demand and, in certain situations, supply".</w:t>
      </w:r>
      <w:r>
        <w:rPr>
          <w:rStyle w:val="FootnoteReference"/>
        </w:rPr>
        <w:footnoteReference w:id="1176"/>
      </w:r>
      <w:r w:rsidRPr="00D44E62">
        <w:t xml:space="preserve"> For the Panel, the reference by the Appellate Body to </w:t>
      </w:r>
      <w:r w:rsidR="00944042">
        <w:t>the "Small </w:t>
      </w:r>
      <w:r w:rsidRPr="002674CA">
        <w:t>but Significant Non-Transitory Increase in Prices" (SSNIP)</w:t>
      </w:r>
      <w:r w:rsidRPr="00D44E62">
        <w:t xml:space="preserve"> test was merely a reference to a test </w:t>
      </w:r>
      <w:r w:rsidRPr="0074692C">
        <w:t>"</w:t>
      </w:r>
      <w:r w:rsidRPr="00D44E62">
        <w:t xml:space="preserve">that is </w:t>
      </w:r>
      <w:r w:rsidRPr="00D44E62">
        <w:rPr>
          <w:i/>
        </w:rPr>
        <w:t>commonly</w:t>
      </w:r>
      <w:r w:rsidRPr="00D44E62">
        <w:t xml:space="preserve"> used to ascertain whether two products exercise competitive constraints on each other</w:t>
      </w:r>
      <w:r w:rsidRPr="0074692C">
        <w:t>"</w:t>
      </w:r>
      <w:r>
        <w:rPr>
          <w:rStyle w:val="FootnoteReference"/>
        </w:rPr>
        <w:footnoteReference w:id="1177"/>
      </w:r>
      <w:r w:rsidRPr="00D44E62">
        <w:t xml:space="preserve">, and did not suggest that the Appellate Body had considered that "the SSNIP test, or by implication any other quantitative methods of analysis, </w:t>
      </w:r>
      <w:r w:rsidRPr="00D44E62">
        <w:rPr>
          <w:i/>
        </w:rPr>
        <w:t>must</w:t>
      </w:r>
      <w:r w:rsidRPr="00D44E62">
        <w:t xml:space="preserve"> be applied in each and every serious prejudice dispute to identify relevant product </w:t>
      </w:r>
      <w:r w:rsidRPr="00865D6C">
        <w:t>markets</w:t>
      </w:r>
      <w:r>
        <w:t>.</w:t>
      </w:r>
      <w:r w:rsidRPr="00D44E62">
        <w:t>"</w:t>
      </w:r>
      <w:r>
        <w:rPr>
          <w:rStyle w:val="FootnoteReference"/>
        </w:rPr>
        <w:footnoteReference w:id="1178"/>
      </w:r>
    </w:p>
    <w:p w:rsidR="00AE4AC1" w:rsidRPr="007F4F86" w:rsidRDefault="00AE4AC1" w:rsidP="009E6402">
      <w:pPr>
        <w:pStyle w:val="BodyText"/>
      </w:pPr>
      <w:r w:rsidRPr="007F4F86">
        <w:t xml:space="preserve">In light of the particular characteristics of the LCA industry, and </w:t>
      </w:r>
      <w:r>
        <w:t xml:space="preserve">of </w:t>
      </w:r>
      <w:r w:rsidRPr="007F4F86">
        <w:t xml:space="preserve">the absence of reliable pricing information and difficulties associated with identifying </w:t>
      </w:r>
      <w:r>
        <w:t xml:space="preserve">the </w:t>
      </w:r>
      <w:r w:rsidR="00C97063">
        <w:t>relevant product markets, the </w:t>
      </w:r>
      <w:r w:rsidRPr="007F4F86">
        <w:t>Panel further emphasized that "the task of performing a reliable econometric analysis of the demand for LCA products would face a number of significant methodological and data challenges</w:t>
      </w:r>
      <w:r>
        <w:t>.</w:t>
      </w:r>
      <w:r w:rsidRPr="007F4F86">
        <w:t>"</w:t>
      </w:r>
      <w:r>
        <w:rPr>
          <w:rStyle w:val="FootnoteReference"/>
        </w:rPr>
        <w:footnoteReference w:id="1179"/>
      </w:r>
      <w:r w:rsidRPr="007F4F86">
        <w:t xml:space="preserve"> The Panel went on to note that it could not see how, in the absence of accurate pricing information, "the United States could have generated </w:t>
      </w:r>
      <w:r w:rsidRPr="007F4F86">
        <w:rPr>
          <w:i/>
        </w:rPr>
        <w:t>meaningful</w:t>
      </w:r>
      <w:r w:rsidRPr="007F4F86">
        <w:t xml:space="preserve"> results from the application of any of the … relevant quantitative methods of analysis identified by the European Union".</w:t>
      </w:r>
      <w:r>
        <w:rPr>
          <w:rStyle w:val="FootnoteReference"/>
        </w:rPr>
        <w:footnoteReference w:id="1180"/>
      </w:r>
      <w:r w:rsidRPr="007F4F86">
        <w:t xml:space="preserve"> Referring to the practice of competition authorities, the Panel added that the European Commission, for instance, would "only take into account 'available quantitative evidence' for the purpose of identifying relevant product markets when it is 'capable of withstanding </w:t>
      </w:r>
      <w:r>
        <w:t>rigorous</w:t>
      </w:r>
      <w:r w:rsidRPr="007F4F86">
        <w:t xml:space="preserve"> scrutiny'; a decision that will 'depend{} to a large extent on the availability of the necessary data, the specificities of the case in question and the respective time constraint of the procedure'."</w:t>
      </w:r>
      <w:r>
        <w:rPr>
          <w:rStyle w:val="FootnoteReference"/>
        </w:rPr>
        <w:footnoteReference w:id="1181"/>
      </w:r>
      <w:r w:rsidRPr="007F4F86">
        <w:t xml:space="preserve"> Thus, the Panel found "no reason to fault the United States' decision not to use the SSNIP test or any other price-based quantitative analysis to substantiate its view that there are three relevant product markets in the LCA industry"</w:t>
      </w:r>
      <w:r>
        <w:t>.</w:t>
      </w:r>
      <w:r>
        <w:rPr>
          <w:rStyle w:val="FootnoteReference"/>
        </w:rPr>
        <w:footnoteReference w:id="1182"/>
      </w:r>
      <w:r w:rsidRPr="007F4F86">
        <w:t xml:space="preserve"> Accordingly, the Panel concluded that "the United States was entitled to advance its case using any and all evidence it believe{d} establishe{d} the existence of the three relevant products markets".</w:t>
      </w:r>
      <w:r>
        <w:rPr>
          <w:rStyle w:val="FootnoteReference"/>
        </w:rPr>
        <w:footnoteReference w:id="1183"/>
      </w:r>
    </w:p>
    <w:p w:rsidR="00AE4AC1" w:rsidRPr="00D44E62" w:rsidRDefault="00AE4AC1" w:rsidP="009E6402">
      <w:pPr>
        <w:pStyle w:val="BodyText"/>
      </w:pPr>
      <w:r w:rsidRPr="00D44E62">
        <w:t xml:space="preserve">The Panel next turned to consider the European Union's argument that "the United States ha{d} failed to establish the existence of the three alleged passenger </w:t>
      </w:r>
      <w:r w:rsidRPr="00290009">
        <w:t>LCA product markets because it ha{d} not shown that all of the aircraft that allegedly compete in each</w:t>
      </w:r>
      <w:r w:rsidR="008B7D9D">
        <w:t xml:space="preserve"> of the three </w:t>
      </w:r>
      <w:r w:rsidRPr="00290009">
        <w:t>distinct product markets exercise '</w:t>
      </w:r>
      <w:r w:rsidRPr="00290009">
        <w:rPr>
          <w:i/>
        </w:rPr>
        <w:t xml:space="preserve">significant </w:t>
      </w:r>
      <w:r w:rsidRPr="00290009">
        <w:t>competitive</w:t>
      </w:r>
      <w:r w:rsidRPr="00D44E62">
        <w:t xml:space="preserve"> constraints' on each other."</w:t>
      </w:r>
      <w:r>
        <w:rPr>
          <w:rStyle w:val="FootnoteReference"/>
        </w:rPr>
        <w:footnoteReference w:id="1184"/>
      </w:r>
      <w:r w:rsidRPr="00D44E62">
        <w:t xml:space="preserve"> The Panel recalled the Appellate Body's finding that two products are in the same product market when they are </w:t>
      </w:r>
      <w:r w:rsidRPr="0074692C">
        <w:t>"</w:t>
      </w:r>
      <w:r w:rsidRPr="00D44E62">
        <w:t>sufficiently substitutable so as to create competitive constraints on each other</w:t>
      </w:r>
      <w:r w:rsidRPr="0074692C">
        <w:t>"</w:t>
      </w:r>
      <w:r w:rsidRPr="00D44E62">
        <w:t>.</w:t>
      </w:r>
      <w:r>
        <w:rPr>
          <w:rStyle w:val="FootnoteReference"/>
        </w:rPr>
        <w:footnoteReference w:id="1185"/>
      </w:r>
      <w:r>
        <w:t xml:space="preserve"> </w:t>
      </w:r>
      <w:r w:rsidRPr="00D44E62">
        <w:t>The Panel noted that the Appellate Body had not qualified this statement by stating "that the required competitive constraints must be 'significant'"</w:t>
      </w:r>
      <w:r>
        <w:t>.</w:t>
      </w:r>
      <w:r>
        <w:rPr>
          <w:rStyle w:val="FootnoteReference"/>
        </w:rPr>
        <w:footnoteReference w:id="1186"/>
      </w:r>
      <w:r w:rsidRPr="00D44E62">
        <w:t xml:space="preserve"> For the Panel, "to the extent that the Appellate Body provided any guidance at all on the requisite degree or intensity of competition that must exist between two products in order to find that they fall within the same product market", it was "apparent" that the Appellate Body had not articulated a standard that "</w:t>
      </w:r>
      <w:r w:rsidRPr="00D44E62">
        <w:rPr>
          <w:i/>
        </w:rPr>
        <w:t>require{d}</w:t>
      </w:r>
      <w:r w:rsidRPr="00D44E62">
        <w:t xml:space="preserve"> showing that two products impose 'significant competitive constraints' on each other or that those products {were} 'closely competitive'".</w:t>
      </w:r>
      <w:r>
        <w:rPr>
          <w:rStyle w:val="FootnoteReference"/>
        </w:rPr>
        <w:footnoteReference w:id="1187"/>
      </w:r>
    </w:p>
    <w:p w:rsidR="00AE4AC1" w:rsidRPr="00D44E62" w:rsidRDefault="00AE4AC1" w:rsidP="009E6402">
      <w:pPr>
        <w:pStyle w:val="BodyText"/>
      </w:pPr>
      <w:r>
        <w:t xml:space="preserve">Based on its analysis, the Panel found </w:t>
      </w:r>
      <w:r w:rsidRPr="00D44E62">
        <w:t xml:space="preserve">no </w:t>
      </w:r>
      <w:r>
        <w:t xml:space="preserve">basis </w:t>
      </w:r>
      <w:r w:rsidRPr="00D44E62">
        <w:t xml:space="preserve">to interpret the word "market" in Article 6.3 </w:t>
      </w:r>
      <w:r>
        <w:t xml:space="preserve">of the SCM Agreement </w:t>
      </w:r>
      <w:r w:rsidRPr="00D44E62">
        <w:t xml:space="preserve">"in a way that would mean that 'serious prejudice' could only ever be found to exist in </w:t>
      </w:r>
      <w:r w:rsidRPr="00290009">
        <w:t>the context of product markets where there is vigorous ('significant' or 'close')</w:t>
      </w:r>
      <w:r w:rsidRPr="00D44E62">
        <w:t xml:space="preserve"> </w:t>
      </w:r>
      <w:r w:rsidRPr="00E60BB9">
        <w:t>competition"</w:t>
      </w:r>
      <w:r>
        <w:rPr>
          <w:rStyle w:val="FootnoteReference"/>
        </w:rPr>
        <w:footnoteReference w:id="1188"/>
      </w:r>
      <w:r w:rsidRPr="00E60BB9">
        <w:t>, as opposed to "markets where competition between products is relatively weak or, in certain circumstances, even markets where strong competitive constraints are imposed by one product on one or more other products, which themselves impose little, if any, competitive constraint on the stronger competitor"</w:t>
      </w:r>
      <w:r>
        <w:t>.</w:t>
      </w:r>
      <w:r>
        <w:rPr>
          <w:rStyle w:val="FootnoteReference"/>
        </w:rPr>
        <w:footnoteReference w:id="1189"/>
      </w:r>
      <w:r w:rsidRPr="00E60BB9">
        <w:t xml:space="preserve"> The Panel recalled that "the fundamental purpose of identifying relevant product markets in</w:t>
      </w:r>
      <w:r w:rsidRPr="00D44E62">
        <w:t xml:space="preserve"> a serious prejudice dispute is to determine whether certain specific trade effects have been caused by </w:t>
      </w:r>
      <w:r w:rsidRPr="00D44E62">
        <w:rPr>
          <w:i/>
        </w:rPr>
        <w:t>the</w:t>
      </w:r>
      <w:r w:rsidRPr="00D44E62">
        <w:t xml:space="preserve"> </w:t>
      </w:r>
      <w:r w:rsidRPr="00D44E62">
        <w:rPr>
          <w:i/>
        </w:rPr>
        <w:t>use of subsidies</w:t>
      </w:r>
      <w:r w:rsidRPr="0014003A">
        <w:t>.</w:t>
      </w:r>
      <w:r w:rsidRPr="00D44E62">
        <w:t>"</w:t>
      </w:r>
      <w:r>
        <w:rPr>
          <w:rStyle w:val="FootnoteReference"/>
        </w:rPr>
        <w:footnoteReference w:id="1190"/>
      </w:r>
    </w:p>
    <w:p w:rsidR="00AE4AC1" w:rsidRPr="009B40EC" w:rsidRDefault="00AE4AC1" w:rsidP="009E6402">
      <w:pPr>
        <w:pStyle w:val="BodyText"/>
      </w:pPr>
      <w:r w:rsidRPr="00D44E62">
        <w:t>Thereafter and having recalled the general conditions of competition in the LCA industry</w:t>
      </w:r>
      <w:r>
        <w:rPr>
          <w:rStyle w:val="FootnoteReference"/>
        </w:rPr>
        <w:footnoteReference w:id="1191"/>
      </w:r>
      <w:r w:rsidRPr="00D44E62">
        <w:t xml:space="preserve">, the Panel considered certain marketing materials and presentations in its evaluation of "the extent to which the parties' arguments demonstrate the existence </w:t>
      </w:r>
      <w:r w:rsidR="00267BCB">
        <w:t>of the alleged single</w:t>
      </w:r>
      <w:r w:rsidR="00267BCB">
        <w:noBreakHyphen/>
      </w:r>
      <w:r w:rsidRPr="009B40EC">
        <w:t xml:space="preserve">aisle, twin-aisle and </w:t>
      </w:r>
      <w:r>
        <w:t>{VLA}</w:t>
      </w:r>
      <w:r w:rsidRPr="009B40EC">
        <w:t xml:space="preserve"> </w:t>
      </w:r>
      <w:r w:rsidR="00EE71A5">
        <w:t xml:space="preserve">… </w:t>
      </w:r>
      <w:r w:rsidRPr="009B40EC">
        <w:t>product markets".</w:t>
      </w:r>
      <w:r>
        <w:rPr>
          <w:rStyle w:val="FootnoteReference"/>
        </w:rPr>
        <w:footnoteReference w:id="1192"/>
      </w:r>
      <w:r w:rsidRPr="009B40EC">
        <w:t xml:space="preserve"> The Panel was not convinced that </w:t>
      </w:r>
      <w:r>
        <w:t>these materials presented</w:t>
      </w:r>
      <w:r w:rsidRPr="009B40EC">
        <w:t xml:space="preserve"> </w:t>
      </w:r>
      <w:r>
        <w:t>"</w:t>
      </w:r>
      <w:r w:rsidRPr="009B40EC">
        <w:t xml:space="preserve">a clear picture of the extent to which Airbus and Boeing consider{ed that} competition takes place </w:t>
      </w:r>
      <w:r w:rsidRPr="009B40EC">
        <w:rPr>
          <w:i/>
        </w:rPr>
        <w:t>exclusively</w:t>
      </w:r>
      <w:r w:rsidRPr="009B40EC">
        <w:t xml:space="preserve"> across the three … LCA product markets asserted by the United States"</w:t>
      </w:r>
      <w:r>
        <w:t>.</w:t>
      </w:r>
      <w:r>
        <w:rPr>
          <w:rStyle w:val="FootnoteReference"/>
        </w:rPr>
        <w:footnoteReference w:id="1193"/>
      </w:r>
      <w:r w:rsidRPr="009B40EC">
        <w:t xml:space="preserve"> </w:t>
      </w:r>
      <w:r>
        <w:t>Nonetheless</w:t>
      </w:r>
      <w:r w:rsidRPr="009B40EC">
        <w:t>, the Panel considered that</w:t>
      </w:r>
      <w:r>
        <w:t xml:space="preserve"> this evidence suggested</w:t>
      </w:r>
      <w:r w:rsidRPr="009B40EC">
        <w:t xml:space="preserve"> that </w:t>
      </w:r>
      <w:r>
        <w:t>"</w:t>
      </w:r>
      <w:r w:rsidR="00E30092">
        <w:t>Airbus </w:t>
      </w:r>
      <w:r w:rsidRPr="009B40EC">
        <w:t>and Boeing {would}, more often than not, analyse and present their commercial LCA activities on the basis of one single-aisle, one twin-aisle and one VLA segment</w:t>
      </w:r>
      <w:r>
        <w:t>.</w:t>
      </w:r>
      <w:r w:rsidRPr="009B40EC">
        <w:t>"</w:t>
      </w:r>
      <w:r>
        <w:rPr>
          <w:rStyle w:val="FootnoteReference"/>
        </w:rPr>
        <w:footnoteReference w:id="1194"/>
      </w:r>
      <w:r w:rsidRPr="009B40EC">
        <w:t xml:space="preserve"> </w:t>
      </w:r>
      <w:r>
        <w:t xml:space="preserve">For the </w:t>
      </w:r>
      <w:r w:rsidRPr="009B40EC">
        <w:t>Panel</w:t>
      </w:r>
      <w:r>
        <w:t>, therefore, the relevant materials</w:t>
      </w:r>
      <w:r w:rsidRPr="009B40EC">
        <w:t xml:space="preserve"> </w:t>
      </w:r>
      <w:r>
        <w:t xml:space="preserve">lent </w:t>
      </w:r>
      <w:r w:rsidRPr="009B40EC">
        <w:t>"a degree of support to the continued existence of the three LCA … markets … which the United States relie{d} upon to make its serious prejudice complaint"</w:t>
      </w:r>
      <w:r>
        <w:t xml:space="preserve"> in these compliance proceedings</w:t>
      </w:r>
      <w:r w:rsidRPr="009B40EC">
        <w:t>.</w:t>
      </w:r>
      <w:r>
        <w:rPr>
          <w:rStyle w:val="FootnoteReference"/>
        </w:rPr>
        <w:footnoteReference w:id="1195"/>
      </w:r>
      <w:r w:rsidRPr="009B40EC">
        <w:t xml:space="preserve"> </w:t>
      </w:r>
    </w:p>
    <w:p w:rsidR="00AE4AC1" w:rsidRPr="00D44E62" w:rsidRDefault="00AE4AC1" w:rsidP="009E6402">
      <w:pPr>
        <w:pStyle w:val="BodyText"/>
      </w:pPr>
      <w:r w:rsidRPr="00D44E62">
        <w:t xml:space="preserve">The Panel next turned to examine the parties' positions with respect to each of the </w:t>
      </w:r>
      <w:r w:rsidRPr="00F07120">
        <w:t>three alleged product markets individually. For each market, the Panel examined the</w:t>
      </w:r>
      <w:r w:rsidRPr="00D44E62">
        <w:t xml:space="preserve"> parties' arguments and evidence, including multiple expert statements, addressing: (i) the physical and performance characteristics, end-uses, and customers of the various LCA; (ii) the extent to which different LCA exercised pricing constraints on each other; and (iii) Airbus' and Boeing's marketing strategies and sales campaigns.</w:t>
      </w:r>
    </w:p>
    <w:p w:rsidR="00AE4AC1" w:rsidRPr="00D44E62" w:rsidRDefault="00AE4AC1" w:rsidP="009E6402">
      <w:pPr>
        <w:pStyle w:val="BodyText"/>
      </w:pPr>
      <w:r w:rsidRPr="00D44E62">
        <w:t>Regarding single-aisle LCA, the United States argued that each LCA model in Boeing's 737 family competes with each LCA model in Airbus' A320 family.</w:t>
      </w:r>
      <w:r>
        <w:rPr>
          <w:rStyle w:val="FootnoteReference"/>
        </w:rPr>
        <w:footnoteReference w:id="1196"/>
      </w:r>
      <w:r w:rsidRPr="00D44E62">
        <w:t xml:space="preserve"> While the European Union agreed that competition existed between Airbus and Boeing single-aisle products, it argued that this competition takes place "in two separate product </w:t>
      </w:r>
      <w:r w:rsidRPr="00F07120">
        <w:t>markets</w:t>
      </w:r>
      <w:r w:rsidRPr="00D44E62">
        <w:t xml:space="preserve">: one for airlines seeking </w:t>
      </w:r>
      <w:r w:rsidRPr="00D44E62">
        <w:rPr>
          <w:i/>
        </w:rPr>
        <w:t>near-term delivery</w:t>
      </w:r>
      <w:r w:rsidRPr="00D44E62">
        <w:t xml:space="preserve"> of LCA products, where the current versions of the A320 family compete with th</w:t>
      </w:r>
      <w:r>
        <w:t>e current versions of the </w:t>
      </w:r>
      <w:r w:rsidRPr="00D44E62">
        <w:t xml:space="preserve">737NG family; and another for airlines that seek </w:t>
      </w:r>
      <w:r w:rsidRPr="00D44E62">
        <w:rPr>
          <w:i/>
        </w:rPr>
        <w:t>delivery by the end of the decade</w:t>
      </w:r>
      <w:r w:rsidRPr="00D44E62">
        <w:t>, where effective competition takes place solely between the new generation of Airbus and Boeing single-aisle products, namely, the A320neo</w:t>
      </w:r>
      <w:r>
        <w:t xml:space="preserve"> and its derivatives versus the </w:t>
      </w:r>
      <w:r w:rsidR="00E30092">
        <w:t>737MAX and its </w:t>
      </w:r>
      <w:r w:rsidRPr="00D44E62">
        <w:t>derivatives".</w:t>
      </w:r>
      <w:r>
        <w:rPr>
          <w:rStyle w:val="FootnoteReference"/>
        </w:rPr>
        <w:footnoteReference w:id="1197"/>
      </w:r>
      <w:r w:rsidRPr="00D44E62">
        <w:t xml:space="preserve"> </w:t>
      </w:r>
    </w:p>
    <w:p w:rsidR="00AE4AC1" w:rsidRPr="00D44E62" w:rsidRDefault="00AE4AC1" w:rsidP="009E6402">
      <w:pPr>
        <w:pStyle w:val="BodyText"/>
      </w:pPr>
      <w:r w:rsidRPr="00D44E62">
        <w:t>The Panel noted that there was "a high degree of commonality in the physical attributes, end-uses and customers of all new generation and current versions of Airbus and Boeing single</w:t>
      </w:r>
      <w:r>
        <w:noBreakHyphen/>
      </w:r>
      <w:r w:rsidRPr="00D44E62">
        <w:t>aisle aircraft"</w:t>
      </w:r>
      <w:r>
        <w:rPr>
          <w:rStyle w:val="FootnoteReference"/>
        </w:rPr>
        <w:footnoteReference w:id="1198"/>
      </w:r>
      <w:r>
        <w:t>,</w:t>
      </w:r>
      <w:r w:rsidRPr="00D44E62">
        <w:t xml:space="preserve"> and ultimately found that "the new generation of Airbus and Boeing single</w:t>
      </w:r>
      <w:r>
        <w:noBreakHyphen/>
      </w:r>
      <w:r w:rsidRPr="00D44E62">
        <w:t xml:space="preserve">aisle aircraft </w:t>
      </w:r>
      <w:r w:rsidR="00EE71A5">
        <w:t>may</w:t>
      </w:r>
      <w:r w:rsidRPr="00D44E62">
        <w:t xml:space="preserve"> be viewed as updated, more fuel efficient, versions of their current single</w:t>
      </w:r>
      <w:r>
        <w:noBreakHyphen/>
      </w:r>
      <w:r w:rsidRPr="00D44E62">
        <w:t>aisle offerings, principally intended to serve the same missions already operated by existing single</w:t>
      </w:r>
      <w:r>
        <w:noBreakHyphen/>
      </w:r>
      <w:r w:rsidRPr="00D44E62">
        <w:t>aisle customers."</w:t>
      </w:r>
      <w:r>
        <w:rPr>
          <w:rStyle w:val="FootnoteReference"/>
        </w:rPr>
        <w:footnoteReference w:id="1199"/>
      </w:r>
      <w:r w:rsidRPr="00D44E62">
        <w:t xml:space="preserve"> </w:t>
      </w:r>
    </w:p>
    <w:p w:rsidR="00AE4AC1" w:rsidRPr="00D44E62" w:rsidRDefault="00AE4AC1" w:rsidP="009E6402">
      <w:pPr>
        <w:pStyle w:val="BodyText"/>
      </w:pPr>
      <w:r w:rsidRPr="00D44E62">
        <w:t>Regarding the existence of effective competition between the current and new generation of single-aisle LCA products, the Panel found that "the superior fuel-efficiency of the new generation of Airbus and Boeing single</w:t>
      </w:r>
      <w:r w:rsidRPr="00D44E62">
        <w:noBreakHyphen/>
        <w:t>aisle aircraft {did} not mean they {were} impervious to competition from current versions</w:t>
      </w:r>
      <w:r>
        <w:t>.</w:t>
      </w:r>
      <w:r w:rsidRPr="00D44E62">
        <w:t>"</w:t>
      </w:r>
      <w:r>
        <w:rPr>
          <w:rStyle w:val="FootnoteReference"/>
        </w:rPr>
        <w:footnoteReference w:id="1200"/>
      </w:r>
      <w:r w:rsidRPr="00D44E62">
        <w:t xml:space="preserve"> The Panel found that</w:t>
      </w:r>
      <w:r>
        <w:t>,</w:t>
      </w:r>
      <w:r w:rsidRPr="00D44E62">
        <w:t xml:space="preserve"> to the extent that the European Union had demonstrated that "the A320ceo cannot overcome the fuel</w:t>
      </w:r>
      <w:r w:rsidRPr="00D44E62">
        <w:noBreakHyphen/>
        <w:t xml:space="preserve">burn advantage of the A320neo by price discounting when </w:t>
      </w:r>
      <w:r w:rsidRPr="00D44E62">
        <w:rPr>
          <w:i/>
        </w:rPr>
        <w:t>both aircraft are delivered on the same date</w:t>
      </w:r>
      <w:r w:rsidRPr="00D44E62">
        <w:t>"</w:t>
      </w:r>
      <w:r>
        <w:rPr>
          <w:rStyle w:val="FootnoteReference"/>
        </w:rPr>
        <w:footnoteReference w:id="1201"/>
      </w:r>
      <w:r w:rsidRPr="00D44E62">
        <w:t>, it did "not automatically follow that it will never be possible for the A320ceo to be offered at a price that, in the light of other potentially important terms and conditio</w:t>
      </w:r>
      <w:r w:rsidR="00EA71C7">
        <w:t>ns such as delivery dates, will </w:t>
      </w:r>
      <w:r w:rsidRPr="00D44E62">
        <w:t>overcome the fuel</w:t>
      </w:r>
      <w:r>
        <w:noBreakHyphen/>
      </w:r>
      <w:r w:rsidRPr="00D44E62">
        <w:t>burn efficiency of the A320neo</w:t>
      </w:r>
      <w:r>
        <w:t>.</w:t>
      </w:r>
      <w:r w:rsidRPr="00D44E62">
        <w:t>"</w:t>
      </w:r>
      <w:r>
        <w:rPr>
          <w:rStyle w:val="FootnoteReference"/>
        </w:rPr>
        <w:footnoteReference w:id="1202"/>
      </w:r>
      <w:r w:rsidRPr="00D44E62">
        <w:t xml:space="preserve"> On this basis, the Panel found that the current versions of Airbus and Boeing single-aisle aircraft not only compete with new generation models, "but also that this competition will inevitably involve reciprocal pric</w:t>
      </w:r>
      <w:r w:rsidR="00EA71C7">
        <w:t>ing constraints, the </w:t>
      </w:r>
      <w:r w:rsidRPr="00D44E62">
        <w:t>degree of which will depend upon and vary with the particular characteristics of different customer requirements and sales campaigns</w:t>
      </w:r>
      <w:r>
        <w:t>.</w:t>
      </w:r>
      <w:r w:rsidRPr="00D44E62">
        <w:t>"</w:t>
      </w:r>
      <w:r>
        <w:rPr>
          <w:rStyle w:val="FootnoteReference"/>
        </w:rPr>
        <w:footnoteReference w:id="1203"/>
      </w:r>
    </w:p>
    <w:p w:rsidR="00AE4AC1" w:rsidRPr="00D44E62" w:rsidRDefault="00AE4AC1" w:rsidP="009E6402">
      <w:pPr>
        <w:pStyle w:val="BodyText"/>
      </w:pPr>
      <w:r>
        <w:t>T</w:t>
      </w:r>
      <w:r w:rsidRPr="00D44E62">
        <w:t xml:space="preserve">he Panel </w:t>
      </w:r>
      <w:r>
        <w:t>also a</w:t>
      </w:r>
      <w:r w:rsidRPr="00D44E62">
        <w:t>ssess</w:t>
      </w:r>
      <w:r>
        <w:t xml:space="preserve">ed </w:t>
      </w:r>
      <w:r w:rsidRPr="00D44E62">
        <w:t>whether the existence of competition between the current and new generation</w:t>
      </w:r>
      <w:r>
        <w:t>s</w:t>
      </w:r>
      <w:r w:rsidRPr="00D44E62">
        <w:t xml:space="preserve"> </w:t>
      </w:r>
      <w:r>
        <w:t xml:space="preserve">of </w:t>
      </w:r>
      <w:r w:rsidRPr="00D44E62">
        <w:t xml:space="preserve">Airbus and Boeing single-aisle aircraft </w:t>
      </w:r>
      <w:r>
        <w:t>was supported</w:t>
      </w:r>
      <w:r w:rsidRPr="00D44E62">
        <w:t xml:space="preserve"> by evidence </w:t>
      </w:r>
      <w:r>
        <w:t>proffered</w:t>
      </w:r>
      <w:r w:rsidRPr="00D44E62">
        <w:t xml:space="preserve"> by the United States </w:t>
      </w:r>
      <w:r>
        <w:t>concerning</w:t>
      </w:r>
      <w:r w:rsidRPr="00D44E62">
        <w:t xml:space="preserve"> two </w:t>
      </w:r>
      <w:r>
        <w:t>specific</w:t>
      </w:r>
      <w:r w:rsidRPr="00D44E62">
        <w:t xml:space="preserve"> sales campaigns</w:t>
      </w:r>
      <w:r>
        <w:t>:</w:t>
      </w:r>
      <w:r w:rsidRPr="00D44E62">
        <w:t xml:space="preserve"> the 2011 American Airlines and 2011</w:t>
      </w:r>
      <w:r w:rsidRPr="00D44E62">
        <w:noBreakHyphen/>
        <w:t>2012 Norwegian Air Shuttle campaigns.</w:t>
      </w:r>
      <w:r>
        <w:rPr>
          <w:rStyle w:val="FootnoteReference"/>
        </w:rPr>
        <w:footnoteReference w:id="1204"/>
      </w:r>
      <w:r w:rsidRPr="00D44E62">
        <w:t xml:space="preserve"> The Panel found </w:t>
      </w:r>
      <w:r>
        <w:t>the A320neo to have been a "very strong competitor</w:t>
      </w:r>
      <w:r w:rsidRPr="00D44E62">
        <w:t>"</w:t>
      </w:r>
      <w:r>
        <w:t xml:space="preserve"> in those sales campaigns</w:t>
      </w:r>
      <w:r>
        <w:rPr>
          <w:rStyle w:val="FootnoteReference"/>
        </w:rPr>
        <w:footnoteReference w:id="1205"/>
      </w:r>
      <w:r>
        <w:t>,</w:t>
      </w:r>
      <w:r w:rsidRPr="00D44E62">
        <w:t xml:space="preserve"> </w:t>
      </w:r>
      <w:r>
        <w:t>and</w:t>
      </w:r>
      <w:r w:rsidRPr="00D44E62">
        <w:t xml:space="preserve"> concluded that "the United States ha{d} established that all Airbus and Boeing single-aisle LCA offerings exercise a sufficient degree of competitive constraint on each other such that they should all be considered to fall within the same product market for the purpose of {its} serious prejudice claims"</w:t>
      </w:r>
      <w:r>
        <w:t>.</w:t>
      </w:r>
      <w:r>
        <w:rPr>
          <w:rStyle w:val="FootnoteReference"/>
        </w:rPr>
        <w:footnoteReference w:id="1206"/>
      </w:r>
    </w:p>
    <w:p w:rsidR="00AE4AC1" w:rsidRPr="00D44E62" w:rsidRDefault="00AE4AC1" w:rsidP="009E6402">
      <w:pPr>
        <w:pStyle w:val="BodyText"/>
      </w:pPr>
      <w:r w:rsidRPr="00D44E62">
        <w:t>Regarding twin-aisle LCA, the United States argue</w:t>
      </w:r>
      <w:r>
        <w:t>d that the Boeing 767, 777, and </w:t>
      </w:r>
      <w:r w:rsidRPr="00D44E62">
        <w:t>787 families of LCA compete in the same product market as the Airbus A330 and A350XWB families.</w:t>
      </w:r>
      <w:r>
        <w:rPr>
          <w:rStyle w:val="FootnoteReference"/>
        </w:rPr>
        <w:footnoteReference w:id="1207"/>
      </w:r>
      <w:r w:rsidRPr="00D44E62">
        <w:t xml:space="preserve"> </w:t>
      </w:r>
      <w:r>
        <w:t>Conversely, t</w:t>
      </w:r>
      <w:r w:rsidRPr="00D44E62">
        <w:t xml:space="preserve">he European Union asserted that there were a number of separate </w:t>
      </w:r>
      <w:r w:rsidRPr="00A17A72">
        <w:t>markets for these five famili</w:t>
      </w:r>
      <w:r>
        <w:t>es of Airbus and Boeing LCA. In </w:t>
      </w:r>
      <w:r w:rsidRPr="00A17A72">
        <w:t>particular, the European Union</w:t>
      </w:r>
      <w:r w:rsidRPr="008A1A31">
        <w:t xml:space="preserve"> submitted that "the A350XWB and the 787 closely compete in the same product market for techno</w:t>
      </w:r>
      <w:r w:rsidRPr="00373699">
        <w:t xml:space="preserve">logically advanced and fuel-efficient new generation aircraft", and that "the A330 and 777 are each sold in their own separate monopoly </w:t>
      </w:r>
      <w:r w:rsidRPr="00A17A72">
        <w:t>markets f</w:t>
      </w:r>
      <w:r w:rsidRPr="00D44E62">
        <w:t>or smaller</w:t>
      </w:r>
      <w:r w:rsidR="00E30092">
        <w:t>, medium-range aircraft (in the </w:t>
      </w:r>
      <w:r w:rsidRPr="00D44E62">
        <w:t>case of the A330) and larger, longer-range aircraft (in the case of the 777) that are available for near-term delivery</w:t>
      </w:r>
      <w:r>
        <w:t>.</w:t>
      </w:r>
      <w:r w:rsidRPr="00D44E62">
        <w:t>"</w:t>
      </w:r>
      <w:r>
        <w:rPr>
          <w:rStyle w:val="FootnoteReference"/>
        </w:rPr>
        <w:footnoteReference w:id="1208"/>
      </w:r>
      <w:r w:rsidRPr="00D44E62">
        <w:t xml:space="preserve"> In respect of the 767, the European Union submitted that "its allegedly 'outdated' and 'inferior' technology mean{t} that it {did} not compete in the same product market as the A330 and that, in any case, it ha{d} been replaced by the 787</w:t>
      </w:r>
      <w:r>
        <w:t>.</w:t>
      </w:r>
      <w:r w:rsidRPr="00D44E62">
        <w:t>"</w:t>
      </w:r>
      <w:r>
        <w:rPr>
          <w:rStyle w:val="FootnoteReference"/>
        </w:rPr>
        <w:footnoteReference w:id="1209"/>
      </w:r>
    </w:p>
    <w:p w:rsidR="00AE4AC1" w:rsidRPr="00954AFB" w:rsidRDefault="00AE4AC1" w:rsidP="009E6402">
      <w:pPr>
        <w:pStyle w:val="BodyText"/>
      </w:pPr>
      <w:r w:rsidRPr="00954AFB">
        <w:t>The Panel found that, "in terms of basic physical charact</w:t>
      </w:r>
      <w:r w:rsidR="00E30092">
        <w:t>eristics and end-uses, the </w:t>
      </w:r>
      <w:r w:rsidR="00EA71C7">
        <w:t>five </w:t>
      </w:r>
      <w:r w:rsidRPr="00954AFB">
        <w:t>families of Airbus and Boeing twin-aisle LCA are, as a whole, able to satisfy a relatively broad spectrum of mission requirements starting with the regional routes serviced by the smaller 767 and A330 families of aircraft and ending with the larger capacity, long-haul missions for which the bigger versions of the 777 and A350XWB were specifically designed."</w:t>
      </w:r>
      <w:r w:rsidRPr="00954AFB">
        <w:rPr>
          <w:rStyle w:val="FootnoteReference"/>
        </w:rPr>
        <w:footnoteReference w:id="1210"/>
      </w:r>
      <w:r w:rsidRPr="00954AFB">
        <w:t xml:space="preserve"> The Panel added that</w:t>
      </w:r>
      <w:r>
        <w:t>,</w:t>
      </w:r>
      <w:r w:rsidRPr="00954AFB">
        <w:t xml:space="preserve"> "within the range of potential customer needs that may be satisfied by the five families of LCA, there {we}re notable overlaps, with six versions of four families (the A330-200, 777-200ER, A350XWB-900, 787-8, 787-9 and A350XWB-800) positioned relatively close to each other."</w:t>
      </w:r>
      <w:r w:rsidRPr="00954AFB">
        <w:rPr>
          <w:rStyle w:val="FootnoteReference"/>
        </w:rPr>
        <w:footnoteReference w:id="1211"/>
      </w:r>
      <w:r w:rsidR="00EA71C7">
        <w:t xml:space="preserve"> For </w:t>
      </w:r>
      <w:r w:rsidRPr="00954AFB">
        <w:t>the Panel, this suggested that, "while the potential customer-</w:t>
      </w:r>
      <w:r w:rsidR="00EA71C7">
        <w:t>base for Airbus and Boeing twin</w:t>
      </w:r>
      <w:r w:rsidR="00EA71C7">
        <w:noBreakHyphen/>
      </w:r>
      <w:r w:rsidRPr="00954AFB">
        <w:t>aisle aircraft {was} likely to be more varied than the potential</w:t>
      </w:r>
      <w:r w:rsidR="00EA71C7">
        <w:t xml:space="preserve"> customer-base for their single</w:t>
      </w:r>
      <w:r w:rsidR="00EA71C7">
        <w:noBreakHyphen/>
      </w:r>
      <w:r w:rsidRPr="00954AFB">
        <w:t>aisle aircraft, any individual customer {was} likely to have multiple combinations of relatively closely</w:t>
      </w:r>
      <w:r>
        <w:noBreakHyphen/>
      </w:r>
      <w:r w:rsidRPr="00954AFB">
        <w:t>matched Airbus and Boeing twin-aisle aircraft to choose from</w:t>
      </w:r>
      <w:r>
        <w:t>.</w:t>
      </w:r>
      <w:r w:rsidRPr="00954AFB">
        <w:t>"</w:t>
      </w:r>
      <w:r w:rsidRPr="00954AFB">
        <w:rPr>
          <w:rStyle w:val="FootnoteReference"/>
        </w:rPr>
        <w:footnoteReference w:id="1212"/>
      </w:r>
    </w:p>
    <w:p w:rsidR="00AE4AC1" w:rsidRPr="00954AFB" w:rsidRDefault="00AE4AC1" w:rsidP="009E6402">
      <w:pPr>
        <w:pStyle w:val="BodyText"/>
      </w:pPr>
      <w:r w:rsidRPr="00954AFB">
        <w:t xml:space="preserve">The Panel did </w:t>
      </w:r>
      <w:r>
        <w:t>"</w:t>
      </w:r>
      <w:r w:rsidRPr="00954AFB">
        <w:t>not consider the superior operating performance of the new generation of Airbus and Boeing twin-aisle aircraft compared with their current generation models {to} signal{} that they {were} sold {in} separate product markets."</w:t>
      </w:r>
      <w:r w:rsidRPr="00954AFB">
        <w:rPr>
          <w:rStyle w:val="FootnoteReference"/>
        </w:rPr>
        <w:footnoteReference w:id="1213"/>
      </w:r>
      <w:r w:rsidRPr="00954AFB">
        <w:t xml:space="preserve"> Rather, the Panel considered that "Airbus and Boeing {would} regularly compete with each other on the timing of the availability of their aircraft".</w:t>
      </w:r>
      <w:r w:rsidRPr="00954AFB">
        <w:rPr>
          <w:rStyle w:val="FootnoteReference"/>
        </w:rPr>
        <w:footnoteReference w:id="1214"/>
      </w:r>
      <w:r w:rsidRPr="00954AFB">
        <w:t xml:space="preserve"> According to the Panel, this was "because of the important role that delivery considerations play in a potential customer's purchase decision".</w:t>
      </w:r>
      <w:r w:rsidRPr="00954AFB">
        <w:rPr>
          <w:rStyle w:val="FootnoteReference"/>
        </w:rPr>
        <w:footnoteReference w:id="1215"/>
      </w:r>
      <w:r w:rsidRPr="00954AFB">
        <w:t xml:space="preserve"> However, the Panel did not consider "the relative near</w:t>
      </w:r>
      <w:r w:rsidRPr="00954AFB">
        <w:noBreakHyphen/>
        <w:t>term availability" of the A330 and 777 as an advantage that places those aircraft models in "'temporary' product markets of their own".</w:t>
      </w:r>
      <w:r w:rsidRPr="00954AFB">
        <w:rPr>
          <w:rStyle w:val="FootnoteReference"/>
        </w:rPr>
        <w:footnoteReference w:id="1216"/>
      </w:r>
      <w:r w:rsidRPr="00954AFB">
        <w:t xml:space="preserve"> Rather it saw this as simply "</w:t>
      </w:r>
      <w:r w:rsidRPr="00954AFB">
        <w:rPr>
          <w:i/>
        </w:rPr>
        <w:t>one</w:t>
      </w:r>
      <w:r w:rsidRPr="00954AFB">
        <w:t xml:space="preserve"> of the factors that customers</w:t>
      </w:r>
      <w:r w:rsidR="00382E2F">
        <w:t xml:space="preserve"> …</w:t>
      </w:r>
      <w:r w:rsidRPr="00954AFB">
        <w:t xml:space="preserve"> {would} take into account in their purchase decisions".</w:t>
      </w:r>
      <w:r w:rsidRPr="00954AFB">
        <w:rPr>
          <w:rStyle w:val="FootnoteReference"/>
        </w:rPr>
        <w:footnoteReference w:id="1217"/>
      </w:r>
      <w:r w:rsidRPr="00954AFB">
        <w:t xml:space="preserve"> The Panel noted in this regard that "non-price factors other than delivery terms (e.g. fleet commonality) might … serve to diminish the performance advantages of new generation aircraft over current generation aircraft" and might create "more room for price discounting to play a greater role in a customer's purchase decision".</w:t>
      </w:r>
      <w:r w:rsidRPr="00954AFB">
        <w:rPr>
          <w:rStyle w:val="FootnoteReference"/>
        </w:rPr>
        <w:footnoteReference w:id="1218"/>
      </w:r>
    </w:p>
    <w:p w:rsidR="00AE4AC1" w:rsidRPr="00954AFB" w:rsidRDefault="00AE4AC1" w:rsidP="009E6402">
      <w:pPr>
        <w:pStyle w:val="BodyText"/>
      </w:pPr>
      <w:r w:rsidRPr="00954AFB">
        <w:t>The Panel further found that "the competitive relationships between all five families of Airbus and Boeing twin-aisle aircraft have been constantly evolving, reflecting not only changing demand … but also the pace and nature of aircraft innovation</w:t>
      </w:r>
      <w:r>
        <w:t>.</w:t>
      </w:r>
      <w:r w:rsidRPr="00954AFB">
        <w:t>"</w:t>
      </w:r>
      <w:r w:rsidRPr="00954AFB">
        <w:rPr>
          <w:rStyle w:val="FootnoteReference"/>
        </w:rPr>
        <w:footnoteReference w:id="1219"/>
      </w:r>
      <w:r w:rsidRPr="00954AFB">
        <w:t xml:space="preserve"> However, the Panel cautioned that "to say that </w:t>
      </w:r>
      <w:r w:rsidRPr="00954AFB">
        <w:rPr>
          <w:i/>
        </w:rPr>
        <w:t>every time</w:t>
      </w:r>
      <w:r w:rsidRPr="00954AFB">
        <w:t xml:space="preserve"> a newly introduced technologically advanced or more efficient aircraft wins sales against existing models means that it faces no competitive constraints from aircraft that were not chosen by those customers" would be "incorrect and an oversimplification of the complicated dynamics of competition in the LCA industry".</w:t>
      </w:r>
      <w:r w:rsidRPr="00954AFB">
        <w:rPr>
          <w:rStyle w:val="FootnoteReference"/>
        </w:rPr>
        <w:footnoteReference w:id="1220"/>
      </w:r>
      <w:r w:rsidRPr="00954AFB">
        <w:t xml:space="preserve"> In the Panel's view, "these and other considerations suggest{ed} that the 787 and the A350XWB {did} not merely face competitive constraints from each other, but also from other twin-aisle aircraft</w:t>
      </w:r>
      <w:r>
        <w:t>.</w:t>
      </w:r>
      <w:r w:rsidRPr="00954AFB">
        <w:t>"</w:t>
      </w:r>
      <w:r w:rsidRPr="00954AFB">
        <w:rPr>
          <w:rStyle w:val="FootnoteReference"/>
        </w:rPr>
        <w:footnoteReference w:id="1221"/>
      </w:r>
    </w:p>
    <w:p w:rsidR="00AE4AC1" w:rsidRPr="00D44E62" w:rsidRDefault="00AE4AC1" w:rsidP="009E6402">
      <w:pPr>
        <w:pStyle w:val="BodyText"/>
      </w:pPr>
      <w:r w:rsidRPr="00954AFB">
        <w:t xml:space="preserve">Finally, the Panel turned to consider the United States' assertion that the existence of the alleged competitive relationships between </w:t>
      </w:r>
      <w:r>
        <w:t>(i) "</w:t>
      </w:r>
      <w:r w:rsidRPr="00954AFB">
        <w:t>the A330 and the 787</w:t>
      </w:r>
      <w:r>
        <w:t>"</w:t>
      </w:r>
      <w:r w:rsidRPr="00954AFB">
        <w:t xml:space="preserve">, and </w:t>
      </w:r>
      <w:r>
        <w:t>(ii) "</w:t>
      </w:r>
      <w:r w:rsidRPr="00954AFB">
        <w:t>the A330, A350XWB, and the 777</w:t>
      </w:r>
      <w:r>
        <w:t>"</w:t>
      </w:r>
      <w:r w:rsidRPr="00954AFB">
        <w:t>, are also substantiated by the HSBI and other evidence before the Panel.</w:t>
      </w:r>
      <w:r w:rsidRPr="00954AFB">
        <w:rPr>
          <w:rStyle w:val="FootnoteReference"/>
        </w:rPr>
        <w:footnoteReference w:id="1222"/>
      </w:r>
      <w:r w:rsidRPr="00954AFB">
        <w:t xml:space="preserve"> The Panel found that "it {was} difficult to believe that Airbus or Boeing would go to the expense of participating in a sales campaign if either company did not believe it had a reasonable chance of convincing a customer to purchase its own LCA products ahead of those of its rival"</w:t>
      </w:r>
      <w:r w:rsidRPr="00954AFB">
        <w:rPr>
          <w:rStyle w:val="FootnoteReference"/>
        </w:rPr>
        <w:footnoteReference w:id="1223"/>
      </w:r>
      <w:r w:rsidRPr="00954AFB">
        <w:t xml:space="preserve"> or, "at the very least, imposing some level of competitive constraint on its rival's offering".</w:t>
      </w:r>
      <w:r w:rsidRPr="00954AFB">
        <w:rPr>
          <w:rStyle w:val="FootnoteReference"/>
        </w:rPr>
        <w:footnoteReference w:id="1224"/>
      </w:r>
      <w:r w:rsidR="00944042">
        <w:t xml:space="preserve"> In </w:t>
      </w:r>
      <w:r w:rsidRPr="00954AFB">
        <w:t>this regard, the Panel recalled the Appellate Body's finding in the original proceedings dismissing the European Union's appeal against the original panel's conclusion that "an order for A380s made by Emirates Airlines in 2000 constituted 'lost sales' to the United States' LCA industry, notwithstanding the absence of any formal aircraft offer having been made on the part of Boeing</w:t>
      </w:r>
      <w:r>
        <w:t>.</w:t>
      </w:r>
      <w:r w:rsidRPr="00954AFB">
        <w:t>"</w:t>
      </w:r>
      <w:r w:rsidRPr="00954AFB">
        <w:rPr>
          <w:rStyle w:val="FootnoteReference"/>
        </w:rPr>
        <w:footnoteReference w:id="1225"/>
      </w:r>
      <w:r w:rsidRPr="00954AFB">
        <w:t xml:space="preserve"> On this basis, the Panel considered that "evidence that both Airbus and Boeing </w:t>
      </w:r>
      <w:r w:rsidRPr="00954AFB">
        <w:rPr>
          <w:i/>
        </w:rPr>
        <w:t>actually did participate</w:t>
      </w:r>
      <w:r w:rsidRPr="00954AFB">
        <w:t xml:space="preserve"> in the same sales campaign should, </w:t>
      </w:r>
      <w:r w:rsidRPr="00954AFB">
        <w:rPr>
          <w:i/>
        </w:rPr>
        <w:t>a fortiori</w:t>
      </w:r>
      <w:r w:rsidRPr="00954AFB">
        <w:t>, be interpreted to strongly suggest … that the products in question were in competition with each other for the relevant customer's sales</w:t>
      </w:r>
      <w:r>
        <w:t>.</w:t>
      </w:r>
      <w:r w:rsidRPr="00954AFB">
        <w:t>"</w:t>
      </w:r>
      <w:r w:rsidRPr="00954AFB">
        <w:rPr>
          <w:rStyle w:val="FootnoteReference"/>
        </w:rPr>
        <w:footnoteReference w:id="1226"/>
      </w:r>
      <w:r w:rsidRPr="00954AFB">
        <w:t xml:space="preserve"> Accordingly, the Panel concluded that the United States had established that all five families of Airbus and Boeing twin-aisle LCA "exercise differing but overall sufficient degrees of competitive constraints against each other such that they should all be considered to fall within the same product market for the purpose of the serious prejudice claims".</w:t>
      </w:r>
      <w:r w:rsidRPr="00954AFB">
        <w:rPr>
          <w:rStyle w:val="FootnoteReference"/>
        </w:rPr>
        <w:footnoteReference w:id="1227"/>
      </w:r>
    </w:p>
    <w:p w:rsidR="00AE4AC1" w:rsidRPr="00D44E62" w:rsidRDefault="00AE4AC1" w:rsidP="009E6402">
      <w:pPr>
        <w:pStyle w:val="BodyText"/>
      </w:pPr>
      <w:r w:rsidRPr="00D44E62">
        <w:t xml:space="preserve">Finally, with respect to </w:t>
      </w:r>
      <w:r>
        <w:t>VLA</w:t>
      </w:r>
      <w:r w:rsidRPr="00D44E62">
        <w:t>, the Panel recalled the United States' argument that the A380 and the 747-8I compete in the VLA</w:t>
      </w:r>
      <w:r w:rsidRPr="00D44E62">
        <w:rPr>
          <w:i/>
        </w:rPr>
        <w:t xml:space="preserve"> </w:t>
      </w:r>
      <w:r w:rsidRPr="00D44E62">
        <w:t>product</w:t>
      </w:r>
      <w:r w:rsidRPr="00D44E62">
        <w:rPr>
          <w:i/>
        </w:rPr>
        <w:t xml:space="preserve"> </w:t>
      </w:r>
      <w:r w:rsidRPr="00D44E62">
        <w:t>market and</w:t>
      </w:r>
      <w:r>
        <w:t>,</w:t>
      </w:r>
      <w:r w:rsidRPr="00D44E62">
        <w:t xml:space="preserve"> further</w:t>
      </w:r>
      <w:r>
        <w:t>,</w:t>
      </w:r>
      <w:r w:rsidRPr="00D44E62">
        <w:t xml:space="preserve"> that "the A380 and the 747-8I are imperfectly substitutable with each other as both may be used to cover essentially the same long-haul, slot</w:t>
      </w:r>
      <w:r>
        <w:noBreakHyphen/>
      </w:r>
      <w:r w:rsidRPr="00D44E62">
        <w:t>constrained and high passenger</w:t>
      </w:r>
      <w:r w:rsidRPr="00D44E62">
        <w:noBreakHyphen/>
        <w:t>demand missions</w:t>
      </w:r>
      <w:r>
        <w:t>.</w:t>
      </w:r>
      <w:r w:rsidRPr="00D44E62">
        <w:t>"</w:t>
      </w:r>
      <w:r>
        <w:rPr>
          <w:rStyle w:val="FootnoteReference"/>
        </w:rPr>
        <w:footnoteReference w:id="1228"/>
      </w:r>
      <w:r w:rsidR="00944042">
        <w:t xml:space="preserve"> By contrast, the </w:t>
      </w:r>
      <w:r w:rsidRPr="00D44E62">
        <w:t>European Union had asserted that "the A380 and the 747-8I are sold in two separate</w:t>
      </w:r>
      <w:r w:rsidRPr="00D44E62">
        <w:rPr>
          <w:i/>
        </w:rPr>
        <w:t xml:space="preserve"> </w:t>
      </w:r>
      <w:r w:rsidRPr="00D47C3C">
        <w:t>monopoly markets" and that "the considerable differences that exist between these two</w:t>
      </w:r>
      <w:r w:rsidRPr="00D44E62">
        <w:t xml:space="preserve"> LCA products, particularly as regards seating capacity and technologies, generate an insurmountable potential revenue and operating cost advantage in favour of the A380, thereby placing it in a different product market to the 747-8I."</w:t>
      </w:r>
      <w:r>
        <w:rPr>
          <w:rStyle w:val="FootnoteReference"/>
        </w:rPr>
        <w:footnoteReference w:id="1229"/>
      </w:r>
    </w:p>
    <w:p w:rsidR="00AE4AC1" w:rsidRPr="00D44E62" w:rsidRDefault="00AE4AC1" w:rsidP="009E6402">
      <w:pPr>
        <w:pStyle w:val="BodyText"/>
      </w:pPr>
      <w:r w:rsidRPr="00D44E62">
        <w:t xml:space="preserve">The Panel noted that the A380 and </w:t>
      </w:r>
      <w:r>
        <w:t xml:space="preserve">the </w:t>
      </w:r>
      <w:r w:rsidRPr="00D44E62">
        <w:t>747-8I are the largest civil aircraft produced by Airbus and Boeing, and can both be generally used to cover the same long-haul routes.</w:t>
      </w:r>
      <w:r>
        <w:rPr>
          <w:rStyle w:val="FootnoteReference"/>
        </w:rPr>
        <w:footnoteReference w:id="1230"/>
      </w:r>
      <w:r w:rsidR="00E30092">
        <w:t xml:space="preserve"> The </w:t>
      </w:r>
      <w:r w:rsidRPr="00D44E62">
        <w:t>Panel stated that</w:t>
      </w:r>
      <w:r>
        <w:t>,</w:t>
      </w:r>
      <w:r w:rsidRPr="00D44E62">
        <w:t xml:space="preserve"> "{w}hile the A380's larger seating capacity and relatively modern technologies mean{t} that it has a per/seat operating cost and revenue advantage</w:t>
      </w:r>
      <w:r w:rsidR="00E30092">
        <w:t xml:space="preserve"> over the 747</w:t>
      </w:r>
      <w:r w:rsidR="00E30092">
        <w:noBreakHyphen/>
      </w:r>
      <w:r w:rsidR="00944042">
        <w:t>8I", it </w:t>
      </w:r>
      <w:r w:rsidRPr="00D44E62">
        <w:t>considered that "this advantage {would} decrease the closer the expected seating capacity of a particular mission is to the maximum seating capacity of the 747-8I</w:t>
      </w:r>
      <w:r>
        <w:t>.</w:t>
      </w:r>
      <w:r w:rsidRPr="00D44E62">
        <w:t>"</w:t>
      </w:r>
      <w:r>
        <w:rPr>
          <w:rStyle w:val="FootnoteReference"/>
        </w:rPr>
        <w:footnoteReference w:id="1231"/>
      </w:r>
      <w:r w:rsidR="00E30092">
        <w:t xml:space="preserve"> Thus, the </w:t>
      </w:r>
      <w:r w:rsidRPr="00D44E62">
        <w:t>Panel considered it "apparent from the conditions of competition in the LCA industry that the A380 and the 747-8I {would} have a potential customer base that {would} include airlines with mission requirements that overlap the capabilities of the two aircraft".</w:t>
      </w:r>
      <w:r>
        <w:rPr>
          <w:rStyle w:val="FootnoteReference"/>
        </w:rPr>
        <w:footnoteReference w:id="1232"/>
      </w:r>
      <w:r w:rsidRPr="00D44E62">
        <w:t xml:space="preserve"> The Panel did not </w:t>
      </w:r>
      <w:r>
        <w:t xml:space="preserve">consider that </w:t>
      </w:r>
      <w:r w:rsidRPr="00D44E62">
        <w:t xml:space="preserve">"the A380's operating cost and revenue advantage over the 747-8I on missions where passenger capacity is close to </w:t>
      </w:r>
      <w:r>
        <w:t>{the A380's}</w:t>
      </w:r>
      <w:r w:rsidRPr="00D44E62">
        <w:t xml:space="preserve"> maximum</w:t>
      </w:r>
      <w:r>
        <w:t>"</w:t>
      </w:r>
      <w:r w:rsidRPr="00D44E62">
        <w:t xml:space="preserve"> </w:t>
      </w:r>
      <w:r>
        <w:t>would</w:t>
      </w:r>
      <w:r w:rsidRPr="00D44E62">
        <w:t xml:space="preserve"> demonstrate that </w:t>
      </w:r>
      <w:r>
        <w:t>the former was</w:t>
      </w:r>
      <w:r w:rsidRPr="00D44E62">
        <w:t xml:space="preserve"> </w:t>
      </w:r>
      <w:r>
        <w:t>"</w:t>
      </w:r>
      <w:r w:rsidRPr="00D44E62">
        <w:t>sold in its own monopoly market".</w:t>
      </w:r>
      <w:r>
        <w:rPr>
          <w:rStyle w:val="FootnoteReference"/>
        </w:rPr>
        <w:footnoteReference w:id="1233"/>
      </w:r>
    </w:p>
    <w:p w:rsidR="00AE4AC1" w:rsidRPr="00D44E62" w:rsidRDefault="00AE4AC1" w:rsidP="009E6402">
      <w:pPr>
        <w:pStyle w:val="BodyText"/>
      </w:pPr>
      <w:r w:rsidRPr="00D44E62">
        <w:t>The Panel next considered whether the existence of competition between the A380 and the 747-8I in the same product market was further evidenced by the pricing pressure that each aircraft imposed upon the other. "{G}iven that there {would} be a range of customer demands for LCA with a passenger capacity exceeding 400 seats", the Panel found that "one would expect to find differing degrees of reciprocal pricing constraints between the A380 and the 747-8I, depending upon how close a particular customer's needs reflect the relative advantage of one aircraft over the other."</w:t>
      </w:r>
      <w:r>
        <w:rPr>
          <w:rStyle w:val="FootnoteReference"/>
        </w:rPr>
        <w:footnoteReference w:id="1234"/>
      </w:r>
      <w:r w:rsidRPr="00D44E62">
        <w:t xml:space="preserve"> However, the Panel considered that "this {did} not imply the absence of competition", but only that "the competitive constraints imposed by one LCA on the other </w:t>
      </w:r>
      <w:r>
        <w:t>{</w:t>
      </w:r>
      <w:r w:rsidRPr="00D44E62">
        <w:t>w</w:t>
      </w:r>
      <w:r>
        <w:t>ould}</w:t>
      </w:r>
      <w:r w:rsidRPr="00D44E62">
        <w:t xml:space="preserve"> be more or less intense depending upon which product more closely satisfie{d} the relevant needs of a potential customer".</w:t>
      </w:r>
      <w:r>
        <w:rPr>
          <w:rStyle w:val="FootnoteReference"/>
        </w:rPr>
        <w:footnoteReference w:id="1235"/>
      </w:r>
    </w:p>
    <w:p w:rsidR="00AE4AC1" w:rsidRPr="00D44E62" w:rsidRDefault="00AE4AC1" w:rsidP="009E6402">
      <w:pPr>
        <w:pStyle w:val="BodyText"/>
      </w:pPr>
      <w:r w:rsidRPr="00D44E62">
        <w:t>Finally, the Panel addressed the United States' argument that "the ex</w:t>
      </w:r>
      <w:r w:rsidR="00267BCB">
        <w:t>istence of demand</w:t>
      </w:r>
      <w:r w:rsidR="00267BCB">
        <w:noBreakHyphen/>
      </w:r>
      <w:r w:rsidRPr="00D44E62">
        <w:t>side substitution and effective competition between the 747-8I and the A380 is substantiated by evidence from the Emirates, Hong Kong Airlines, Asiana Airlines and Skymark sales campaigns".</w:t>
      </w:r>
      <w:r>
        <w:rPr>
          <w:rStyle w:val="FootnoteReference"/>
        </w:rPr>
        <w:footnoteReference w:id="1236"/>
      </w:r>
      <w:r w:rsidRPr="00D44E62">
        <w:t xml:space="preserve"> The Panel considered it to be "apparent from the United States' HSBI evidence, that Boeing offered the 747-8I as an alternative to the A380 to each of the relevant airlines".</w:t>
      </w:r>
      <w:r>
        <w:rPr>
          <w:rStyle w:val="FootnoteReference"/>
        </w:rPr>
        <w:footnoteReference w:id="1237"/>
      </w:r>
      <w:r w:rsidRPr="00D44E62">
        <w:t xml:space="preserve"> The Panel found that "the United States' HSBI evidence clearly show{ed} that Boeing not only saw an opportunity to sell the 747-8I to each of the relevant airlines, but also that it would have to compete with the A380 to win those sales".</w:t>
      </w:r>
      <w:r>
        <w:rPr>
          <w:rStyle w:val="FootnoteReference"/>
        </w:rPr>
        <w:footnoteReference w:id="1238"/>
      </w:r>
      <w:r w:rsidRPr="00D44E62">
        <w:t xml:space="preserve"> The Panel further considered the 747-8I and the A380 to compete </w:t>
      </w:r>
      <w:r>
        <w:t xml:space="preserve">regularly </w:t>
      </w:r>
      <w:r w:rsidRPr="00D44E62">
        <w:t>for the same customers, finding "additional support in the Qantas and British Airways sales campaigns that resulted in the order of 20 A380s in 2006 and 2007".</w:t>
      </w:r>
      <w:r>
        <w:rPr>
          <w:rStyle w:val="FootnoteReference"/>
        </w:rPr>
        <w:footnoteReference w:id="1239"/>
      </w:r>
      <w:r w:rsidRPr="00D44E62">
        <w:t xml:space="preserve"> Noting that the A380 and the 747-8I were </w:t>
      </w:r>
      <w:r>
        <w:t>"</w:t>
      </w:r>
      <w:r w:rsidRPr="00D44E62">
        <w:t>not perfect substitutes", the Panel, nonetheless, considered that "the fact that one LCA will have a superior economic value to another under certain demand conditions, does not render it impervious to competition".</w:t>
      </w:r>
      <w:r>
        <w:rPr>
          <w:rStyle w:val="FootnoteReference"/>
        </w:rPr>
        <w:footnoteReference w:id="1240"/>
      </w:r>
      <w:r w:rsidR="00E30092">
        <w:t xml:space="preserve"> Instead, the </w:t>
      </w:r>
      <w:r w:rsidRPr="00D44E62">
        <w:t xml:space="preserve">Panel found that "{o}ne aircraft's economic advantage over another might simply reflect that it is better placed to </w:t>
      </w:r>
      <w:r w:rsidRPr="000B0315">
        <w:rPr>
          <w:i/>
        </w:rPr>
        <w:t>win the competition</w:t>
      </w:r>
      <w:r w:rsidRPr="00D44E62">
        <w:t xml:space="preserve"> for sales between two imperfectly substitutable products".</w:t>
      </w:r>
      <w:r>
        <w:rPr>
          <w:rStyle w:val="FootnoteReference"/>
        </w:rPr>
        <w:footnoteReference w:id="1241"/>
      </w:r>
      <w:r w:rsidRPr="00D44E62">
        <w:t xml:space="preserve"> Accordingly, the Panel found that "the United States ha{d} </w:t>
      </w:r>
      <w:r w:rsidRPr="00C417C1">
        <w:t xml:space="preserve">established that, for the purpose of evaluating its claims of serious prejudice under Article 6.3 … the A380 and 747-8I </w:t>
      </w:r>
      <w:r>
        <w:t>{could}</w:t>
      </w:r>
      <w:r w:rsidRPr="00C417C1">
        <w:t xml:space="preserve"> be considered to compete against each other in one single product market for</w:t>
      </w:r>
      <w:r w:rsidRPr="00D44E62">
        <w:t xml:space="preserve"> VLA".</w:t>
      </w:r>
      <w:bookmarkStart w:id="149" w:name="_Ref390695518"/>
      <w:r>
        <w:rPr>
          <w:rStyle w:val="FootnoteReference"/>
        </w:rPr>
        <w:footnoteReference w:id="1242"/>
      </w:r>
    </w:p>
    <w:bookmarkEnd w:id="149"/>
    <w:p w:rsidR="00AE4AC1" w:rsidRPr="002353F3" w:rsidRDefault="00AE4AC1" w:rsidP="009E6402">
      <w:pPr>
        <w:pStyle w:val="BodyText"/>
      </w:pPr>
      <w:r w:rsidRPr="00D44E62">
        <w:t xml:space="preserve">For all these reasons, the Panel concluded that it was appropriate to examine the United States' claims of serious prejudice on the basis of the three separate product </w:t>
      </w:r>
      <w:r w:rsidRPr="002353F3">
        <w:t>markets identified above.</w:t>
      </w:r>
      <w:r>
        <w:rPr>
          <w:rStyle w:val="FootnoteReference"/>
        </w:rPr>
        <w:footnoteReference w:id="1243"/>
      </w:r>
      <w:r w:rsidRPr="002353F3">
        <w:t xml:space="preserve"> The Panel, however, emphasized that:</w:t>
      </w:r>
    </w:p>
    <w:p w:rsidR="00AE4AC1" w:rsidRPr="00D44E62" w:rsidRDefault="00AE4AC1" w:rsidP="00267BCB">
      <w:pPr>
        <w:pStyle w:val="Quotation"/>
        <w:rPr>
          <w:szCs w:val="20"/>
        </w:rPr>
      </w:pPr>
      <w:r>
        <w:rPr>
          <w:szCs w:val="20"/>
        </w:rPr>
        <w:t>i</w:t>
      </w:r>
      <w:r w:rsidRPr="002353F3">
        <w:rPr>
          <w:szCs w:val="20"/>
        </w:rPr>
        <w:t xml:space="preserve">n making this finding, it is </w:t>
      </w:r>
      <w:r w:rsidRPr="002353F3">
        <w:rPr>
          <w:i/>
          <w:szCs w:val="20"/>
        </w:rPr>
        <w:t>not</w:t>
      </w:r>
      <w:r w:rsidRPr="002353F3">
        <w:rPr>
          <w:szCs w:val="20"/>
        </w:rPr>
        <w:t xml:space="preserve"> our view that the degree of competition existing within each of these markets will be identical between all pairings or combinations of aircraft. There will be weaker and stronger competitive relationships within each market depending upon the particular circumstances of a sale. </w:t>
      </w:r>
      <w:r w:rsidRPr="00954AFB">
        <w:rPr>
          <w:szCs w:val="20"/>
        </w:rPr>
        <w:t xml:space="preserve">Moreover, important competitive relationships may also exist between pairings or combinations of aircraft </w:t>
      </w:r>
      <w:r w:rsidRPr="00954AFB">
        <w:rPr>
          <w:i/>
          <w:szCs w:val="20"/>
        </w:rPr>
        <w:t xml:space="preserve">across </w:t>
      </w:r>
      <w:r w:rsidRPr="00954AFB">
        <w:rPr>
          <w:szCs w:val="20"/>
        </w:rPr>
        <w:t>two, or even all three, of the product markets. Thus, while it is apparent that the three product markets the United States has chosen to rely upon to bring its complaint of non-compliance do not exhaustively capture how competition takes place between aircraft in the LCA sector at all times, we are satisfied that at present (as</w:t>
      </w:r>
      <w:r w:rsidR="00E30092">
        <w:rPr>
          <w:szCs w:val="20"/>
        </w:rPr>
        <w:t> </w:t>
      </w:r>
      <w:r w:rsidRPr="00954AFB">
        <w:rPr>
          <w:szCs w:val="20"/>
        </w:rPr>
        <w:t>in</w:t>
      </w:r>
      <w:r w:rsidR="00E30092">
        <w:rPr>
          <w:szCs w:val="20"/>
        </w:rPr>
        <w:t> </w:t>
      </w:r>
      <w:r w:rsidRPr="00954AFB">
        <w:rPr>
          <w:szCs w:val="20"/>
        </w:rPr>
        <w:t>the original proceeding) they represent the three segments within which most</w:t>
      </w:r>
      <w:r w:rsidRPr="00D44E62">
        <w:rPr>
          <w:szCs w:val="20"/>
        </w:rPr>
        <w:t xml:space="preserve"> competitive interactions between the relevant aircraft will commonly take place.</w:t>
      </w:r>
      <w:r>
        <w:rPr>
          <w:rStyle w:val="FootnoteReference"/>
          <w:szCs w:val="20"/>
        </w:rPr>
        <w:footnoteReference w:id="1244"/>
      </w:r>
    </w:p>
    <w:p w:rsidR="00AE4AC1" w:rsidRPr="0006600F" w:rsidRDefault="00AE4AC1" w:rsidP="009E6402">
      <w:pPr>
        <w:pStyle w:val="Heading4"/>
      </w:pPr>
      <w:bookmarkStart w:id="150" w:name="_Toc514059264"/>
      <w:r>
        <w:t>Claims on appeal</w:t>
      </w:r>
      <w:bookmarkEnd w:id="150"/>
    </w:p>
    <w:p w:rsidR="00AE4AC1" w:rsidRDefault="00AE4AC1" w:rsidP="009E6402">
      <w:pPr>
        <w:pStyle w:val="BodyText"/>
      </w:pPr>
      <w:r w:rsidRPr="002E3B69">
        <w:t>In its appellant's submission, the European Union takes issue with the Panel's findings on three grounds. First, the European Union claim</w:t>
      </w:r>
      <w:r>
        <w:t>s</w:t>
      </w:r>
      <w:r w:rsidRPr="002E3B69">
        <w:t xml:space="preserve"> that the</w:t>
      </w:r>
      <w:r w:rsidRPr="006E1D1E">
        <w:rPr>
          <w:rFonts w:eastAsia="Times New Roman"/>
        </w:rPr>
        <w:t xml:space="preserve"> </w:t>
      </w:r>
      <w:r w:rsidRPr="002E3B69">
        <w:t>Panel erred in interpreting the term "market" in Article 6.3 of the SCM Agreement</w:t>
      </w:r>
      <w:r w:rsidRPr="006E1D1E">
        <w:rPr>
          <w:i/>
        </w:rPr>
        <w:t xml:space="preserve"> </w:t>
      </w:r>
      <w:r w:rsidRPr="002E3B69">
        <w:t>to mean that two products fall within the same product market as long as there is "some" competitive relatio</w:t>
      </w:r>
      <w:r w:rsidR="00E30092">
        <w:t>nship between the products, and </w:t>
      </w:r>
      <w:r w:rsidRPr="00800629">
        <w:t xml:space="preserve">consequently failing to perform a quantitative analysis of the nature and degree of competition between </w:t>
      </w:r>
      <w:r>
        <w:t xml:space="preserve">the </w:t>
      </w:r>
      <w:r w:rsidRPr="00800629">
        <w:t xml:space="preserve">products </w:t>
      </w:r>
      <w:r>
        <w:t xml:space="preserve">at issue </w:t>
      </w:r>
      <w:r w:rsidRPr="00800629">
        <w:t>to determine whether it was "significant".</w:t>
      </w:r>
      <w:r>
        <w:rPr>
          <w:rStyle w:val="FootnoteReference"/>
        </w:rPr>
        <w:footnoteReference w:id="1245"/>
      </w:r>
      <w:r w:rsidRPr="002E3B69">
        <w:t xml:space="preserve"> Second, the European Union argue</w:t>
      </w:r>
      <w:r>
        <w:t>s</w:t>
      </w:r>
      <w:r w:rsidRPr="002E3B69">
        <w:t xml:space="preserve"> that, even assuming that the Panel's interpretation was correct, the Panel erred in </w:t>
      </w:r>
      <w:r>
        <w:t>its</w:t>
      </w:r>
      <w:r w:rsidRPr="002E3B69">
        <w:t xml:space="preserve"> application of Articles 5(c), 6.3, and 7.8 of the SCM Agreement because it failed to make the product market finding necessarily implied by its interpretation – i.e. that there exists a single product market "encompassing at least </w:t>
      </w:r>
      <w:r w:rsidRPr="006E1D1E">
        <w:rPr>
          <w:i/>
        </w:rPr>
        <w:t>all</w:t>
      </w:r>
      <w:r w:rsidRPr="002E3B69">
        <w:t xml:space="preserve"> LCA"</w:t>
      </w:r>
      <w:r>
        <w:rPr>
          <w:rStyle w:val="FootnoteReference"/>
        </w:rPr>
        <w:footnoteReference w:id="1246"/>
      </w:r>
      <w:r w:rsidRPr="002E3B69">
        <w:t xml:space="preserve"> based on the existence of "some" competition between each model of Airbus and Boeing LCA. Third, the European Union </w:t>
      </w:r>
      <w:r>
        <w:t>submits</w:t>
      </w:r>
      <w:r w:rsidRPr="002E3B69">
        <w:t xml:space="preserve"> that the Panel failed to make an objective assessment of the matter under Article 11 of the DSU by assessing the United States' adverse effects claims on the basis of the three-way market segmentation proposed by the United States, without </w:t>
      </w:r>
      <w:r>
        <w:t xml:space="preserve">assessing the nature and extent of </w:t>
      </w:r>
      <w:r w:rsidRPr="000B0315">
        <w:t>competition between the aircraft that the United States</w:t>
      </w:r>
      <w:r w:rsidR="00E30092">
        <w:t xml:space="preserve"> had placed in separate product </w:t>
      </w:r>
      <w:r w:rsidRPr="000B0315">
        <w:t>markets.</w:t>
      </w:r>
      <w:r w:rsidRPr="000B0315">
        <w:rPr>
          <w:rStyle w:val="FootnoteReference"/>
        </w:rPr>
        <w:footnoteReference w:id="1247"/>
      </w:r>
      <w:r w:rsidRPr="000B0315">
        <w:t xml:space="preserve"> </w:t>
      </w:r>
    </w:p>
    <w:p w:rsidR="00AE4AC1" w:rsidRPr="00D44E62" w:rsidRDefault="00AE4AC1" w:rsidP="009E6402">
      <w:pPr>
        <w:pStyle w:val="BodyText"/>
      </w:pPr>
      <w:r w:rsidRPr="000B0315">
        <w:t xml:space="preserve">We address each of these claims below, beginning with the </w:t>
      </w:r>
      <w:r>
        <w:t xml:space="preserve">interpretation of the </w:t>
      </w:r>
      <w:r w:rsidRPr="000B0315">
        <w:t>term "market" in Article 6.3 of the SCM Agreement, and the type of adverse effects analysis that is required under th</w:t>
      </w:r>
      <w:r>
        <w:t>is</w:t>
      </w:r>
      <w:r w:rsidRPr="000B0315">
        <w:t xml:space="preserve"> Agreement</w:t>
      </w:r>
      <w:r w:rsidRPr="00D44E62">
        <w:t xml:space="preserve">. </w:t>
      </w:r>
      <w:r>
        <w:t>We note that in arguing that the Panel erred in its interpretation of the term "market", the European Union refers to various statements made by the Panel which, according to the European Union, demonstrate that the Panel erred in its interpretative approach.</w:t>
      </w:r>
      <w:r>
        <w:rPr>
          <w:rStyle w:val="FootnoteReference"/>
        </w:rPr>
        <w:footnoteReference w:id="1248"/>
      </w:r>
    </w:p>
    <w:p w:rsidR="00AE4AC1" w:rsidRPr="006E1D1E" w:rsidRDefault="00AE4AC1" w:rsidP="009E6402">
      <w:pPr>
        <w:pStyle w:val="Heading4"/>
      </w:pPr>
      <w:bookmarkStart w:id="151" w:name="_Toc469403861"/>
      <w:bookmarkStart w:id="152" w:name="_Toc479164678"/>
      <w:bookmarkStart w:id="153" w:name="_Toc495062849"/>
      <w:bookmarkStart w:id="154" w:name="_Toc514059265"/>
      <w:bookmarkEnd w:id="151"/>
      <w:r w:rsidRPr="006E1D1E">
        <w:t>Whether the Panel erred in interpreting the term "market" in Article 6.3 of the SCM Agreemen</w:t>
      </w:r>
      <w:bookmarkEnd w:id="152"/>
      <w:bookmarkEnd w:id="153"/>
      <w:r w:rsidRPr="006E1D1E">
        <w:t>t</w:t>
      </w:r>
      <w:bookmarkEnd w:id="154"/>
    </w:p>
    <w:p w:rsidR="00AE4AC1" w:rsidRDefault="00AE4AC1" w:rsidP="009E6402">
      <w:pPr>
        <w:pStyle w:val="BodyText"/>
      </w:pPr>
      <w:bookmarkStart w:id="155" w:name="_Toc469403862"/>
      <w:bookmarkEnd w:id="155"/>
      <w:r>
        <w:t>Th</w:t>
      </w:r>
      <w:r w:rsidRPr="00D44E62">
        <w:t xml:space="preserve">e European Union relies </w:t>
      </w:r>
      <w:r>
        <w:t>up</w:t>
      </w:r>
      <w:r w:rsidRPr="00D44E62">
        <w:t xml:space="preserve">on the Appellate Body's findings </w:t>
      </w:r>
      <w:r w:rsidRPr="00456FCD">
        <w:t xml:space="preserve">in </w:t>
      </w:r>
      <w:r>
        <w:t xml:space="preserve">the original proceedings </w:t>
      </w:r>
      <w:r w:rsidRPr="00456FCD">
        <w:t xml:space="preserve">to argue that "'the nature and degree' of competition, and </w:t>
      </w:r>
      <w:r w:rsidRPr="00877FBE">
        <w:rPr>
          <w:i/>
        </w:rPr>
        <w:t>not merely the existence</w:t>
      </w:r>
      <w:r w:rsidRPr="00456FCD">
        <w:t xml:space="preserve"> </w:t>
      </w:r>
      <w:r w:rsidRPr="00877FBE">
        <w:rPr>
          <w:i/>
        </w:rPr>
        <w:t>of competition</w:t>
      </w:r>
      <w:r w:rsidR="00E30092">
        <w:t>, is </w:t>
      </w:r>
      <w:r w:rsidRPr="00456FCD">
        <w:t>decisive for determining 'the scope of the relevant product market'</w:t>
      </w:r>
      <w:r>
        <w:t>.</w:t>
      </w:r>
      <w:r w:rsidRPr="00456FCD">
        <w:t>"</w:t>
      </w:r>
      <w:r>
        <w:rPr>
          <w:rStyle w:val="FootnoteReference"/>
        </w:rPr>
        <w:footnoteReference w:id="1249"/>
      </w:r>
      <w:r w:rsidRPr="00456FCD">
        <w:t xml:space="preserve"> For the European Union, </w:t>
      </w:r>
      <w:r>
        <w:t>"</w:t>
      </w:r>
      <w:r w:rsidRPr="00456FCD">
        <w:t xml:space="preserve">the </w:t>
      </w:r>
      <w:r>
        <w:t xml:space="preserve">mere </w:t>
      </w:r>
      <w:r w:rsidRPr="00456FCD">
        <w:t xml:space="preserve">existence of competition between two products is </w:t>
      </w:r>
      <w:r w:rsidRPr="00877FBE">
        <w:rPr>
          <w:i/>
        </w:rPr>
        <w:t>insufficient</w:t>
      </w:r>
      <w:r w:rsidRPr="00456FCD">
        <w:t xml:space="preserve"> to group them </w:t>
      </w:r>
      <w:r>
        <w:t>into</w:t>
      </w:r>
      <w:r w:rsidRPr="00456FCD">
        <w:t xml:space="preserve"> the same product market</w:t>
      </w:r>
      <w:r>
        <w:t>"</w:t>
      </w:r>
      <w:r w:rsidRPr="00456FCD">
        <w:t xml:space="preserve"> for purposes of conducting an adverse effects analysis.</w:t>
      </w:r>
      <w:r>
        <w:rPr>
          <w:rStyle w:val="FootnoteReference"/>
        </w:rPr>
        <w:footnoteReference w:id="1250"/>
      </w:r>
      <w:r w:rsidRPr="00456FCD">
        <w:t xml:space="preserve"> </w:t>
      </w:r>
      <w:r w:rsidR="00E30092">
        <w:t>Instead, the </w:t>
      </w:r>
      <w:r w:rsidRPr="00BA271F">
        <w:t xml:space="preserve">European Union submits that two products would fall </w:t>
      </w:r>
      <w:r>
        <w:t>with</w:t>
      </w:r>
      <w:r w:rsidRPr="00BA271F">
        <w:t>in the same market only where an analysis of "the 'nature and degree of competition' between them reveals that they exercise '</w:t>
      </w:r>
      <w:r w:rsidRPr="00BA271F">
        <w:rPr>
          <w:i/>
        </w:rPr>
        <w:t>significant competitive constraints</w:t>
      </w:r>
      <w:r w:rsidRPr="00BA271F">
        <w:t>' on one another</w:t>
      </w:r>
      <w:r>
        <w:t>.</w:t>
      </w:r>
      <w:r w:rsidRPr="00BA271F">
        <w:t>"</w:t>
      </w:r>
      <w:r w:rsidRPr="00BA271F">
        <w:rPr>
          <w:rStyle w:val="FootnoteReference"/>
        </w:rPr>
        <w:footnoteReference w:id="1251"/>
      </w:r>
      <w:r w:rsidRPr="00BA271F">
        <w:t xml:space="preserve"> Conversely, they would fall </w:t>
      </w:r>
      <w:r>
        <w:t>with</w:t>
      </w:r>
      <w:r w:rsidRPr="00BA271F">
        <w:t>in separate product markets where there is no "significant" competition between them.</w:t>
      </w:r>
      <w:r w:rsidRPr="00BA271F">
        <w:rPr>
          <w:rStyle w:val="FootnoteReference"/>
        </w:rPr>
        <w:footnoteReference w:id="1252"/>
      </w:r>
      <w:r w:rsidRPr="00BA271F">
        <w:t xml:space="preserve"> </w:t>
      </w:r>
      <w:r>
        <w:t>T</w:t>
      </w:r>
      <w:r w:rsidR="00E30092">
        <w:t>he </w:t>
      </w:r>
      <w:r>
        <w:t>European Union argues therefore that</w:t>
      </w:r>
      <w:r w:rsidRPr="00AD59ED">
        <w:t xml:space="preserve"> the Panel </w:t>
      </w:r>
      <w:r>
        <w:t xml:space="preserve">erred in </w:t>
      </w:r>
      <w:r w:rsidRPr="00AD59ED">
        <w:t>interpret</w:t>
      </w:r>
      <w:r>
        <w:t xml:space="preserve">ing </w:t>
      </w:r>
      <w:r w:rsidRPr="00AD59ED">
        <w:t xml:space="preserve">the term "market" to mean that two products fall within the same product market as long as there </w:t>
      </w:r>
      <w:r>
        <w:t>is</w:t>
      </w:r>
      <w:r w:rsidRPr="00AD59ED">
        <w:t xml:space="preserve"> "some" competitive relationship between the products, regardless of the nature or degree of that relationship.</w:t>
      </w:r>
      <w:r w:rsidRPr="00AD59ED">
        <w:rPr>
          <w:vertAlign w:val="superscript"/>
        </w:rPr>
        <w:footnoteReference w:id="1253"/>
      </w:r>
      <w:r>
        <w:t xml:space="preserve"> According to the European Union, the Panel's erroneous interpretation of the term "market" in Article 6.3 of the SCM Agreement is reflected in the Panel's analysis of the product market delineations suggested by both parties before the Panel.</w:t>
      </w:r>
    </w:p>
    <w:p w:rsidR="00AE4AC1" w:rsidRDefault="00AE4AC1" w:rsidP="009E6402">
      <w:pPr>
        <w:pStyle w:val="BodyText"/>
      </w:pPr>
      <w:r w:rsidRPr="00D44E62">
        <w:t xml:space="preserve">The United States counters that </w:t>
      </w:r>
      <w:r w:rsidRPr="00B6177A">
        <w:t>the Panel followed the Appellate Body's guidance concerning the term "market" in Article 6.3 and the importance of making an objective assessment of product markets in accordance with that meaning.</w:t>
      </w:r>
      <w:r w:rsidRPr="00B6177A">
        <w:rPr>
          <w:rStyle w:val="FootnoteReference"/>
        </w:rPr>
        <w:footnoteReference w:id="1254"/>
      </w:r>
      <w:r w:rsidRPr="00B6177A">
        <w:t xml:space="preserve"> </w:t>
      </w:r>
      <w:r>
        <w:t>C</w:t>
      </w:r>
      <w:r w:rsidRPr="00D44E62">
        <w:t>ontrary to what the European Union suggests</w:t>
      </w:r>
      <w:r>
        <w:t>, the</w:t>
      </w:r>
      <w:r w:rsidRPr="00D44E62">
        <w:t xml:space="preserve"> Panel did </w:t>
      </w:r>
      <w:r w:rsidRPr="008A597A">
        <w:t>not</w:t>
      </w:r>
      <w:r w:rsidRPr="00D44E62">
        <w:t xml:space="preserve"> "find that all products that have some competitive relationship, regardless of the nature or degree of that relationship, must always be found to be in the same market for the purposes of Article 6.3"</w:t>
      </w:r>
      <w:r w:rsidRPr="00D44E62">
        <w:rPr>
          <w:rStyle w:val="FootnoteReference"/>
        </w:rPr>
        <w:footnoteReference w:id="1255"/>
      </w:r>
      <w:r w:rsidR="00EE71A5">
        <w:t>;</w:t>
      </w:r>
      <w:r w:rsidRPr="00D44E62">
        <w:t xml:space="preserve"> </w:t>
      </w:r>
      <w:r>
        <w:t xml:space="preserve">nor </w:t>
      </w:r>
      <w:r w:rsidRPr="00D44E62">
        <w:t>did</w:t>
      </w:r>
      <w:r>
        <w:t xml:space="preserve"> the Panel </w:t>
      </w:r>
      <w:r w:rsidRPr="00D44E62">
        <w:t>consider</w:t>
      </w:r>
      <w:r>
        <w:t xml:space="preserve"> </w:t>
      </w:r>
      <w:r w:rsidRPr="00D44E62">
        <w:t xml:space="preserve">the intensity of competition </w:t>
      </w:r>
      <w:r>
        <w:t>between different LCA product</w:t>
      </w:r>
      <w:r w:rsidR="003B220E">
        <w:t xml:space="preserve"> </w:t>
      </w:r>
      <w:r>
        <w:t>pairings "</w:t>
      </w:r>
      <w:r w:rsidRPr="00D44E62">
        <w:t>to be irrelevant</w:t>
      </w:r>
      <w:r w:rsidRPr="000F5917">
        <w:t>"</w:t>
      </w:r>
      <w:r>
        <w:t>.</w:t>
      </w:r>
      <w:r w:rsidRPr="00D44E62">
        <w:rPr>
          <w:vertAlign w:val="superscript"/>
        </w:rPr>
        <w:footnoteReference w:id="1256"/>
      </w:r>
      <w:r>
        <w:t xml:space="preserve"> Instead, in the United States' view, </w:t>
      </w:r>
      <w:r w:rsidRPr="00D44E62">
        <w:t>the Panel "selected the best possible market definitions – those which captured 'most competitive interactions' – in light of the difficulties inherent in 'drawing a line' amidst products that are imperfect substitutes subject to demand of a 'complex, constantly evolving and often idiosyncratic' nature."</w:t>
      </w:r>
      <w:r w:rsidRPr="00D44E62">
        <w:rPr>
          <w:vertAlign w:val="superscript"/>
        </w:rPr>
        <w:footnoteReference w:id="1257"/>
      </w:r>
      <w:r>
        <w:t xml:space="preserve"> </w:t>
      </w:r>
      <w:r w:rsidRPr="00D44E62">
        <w:t xml:space="preserve">The United States </w:t>
      </w:r>
      <w:r>
        <w:t>further submits</w:t>
      </w:r>
      <w:r w:rsidRPr="00D44E62">
        <w:t xml:space="preserve"> that the Panel rightly "recognized that the Appellate Body had identified quantitative methods of analysis as potentially useful tools without imposing a legal requirement that they must be used in every case".</w:t>
      </w:r>
      <w:r w:rsidRPr="00D44E62">
        <w:rPr>
          <w:rStyle w:val="FootnoteReference"/>
        </w:rPr>
        <w:footnoteReference w:id="1258"/>
      </w:r>
      <w:r w:rsidRPr="00D44E62">
        <w:t xml:space="preserve"> </w:t>
      </w:r>
    </w:p>
    <w:p w:rsidR="00AE4AC1" w:rsidRDefault="00AE4AC1" w:rsidP="009E6402">
      <w:pPr>
        <w:pStyle w:val="BodyText"/>
      </w:pPr>
      <w:r w:rsidRPr="00D44E62">
        <w:t xml:space="preserve">Regarding the meaning of the term "market", </w:t>
      </w:r>
      <w:r>
        <w:t xml:space="preserve">we note that </w:t>
      </w:r>
      <w:r w:rsidRPr="00D44E62">
        <w:t xml:space="preserve">the Appellate Body </w:t>
      </w:r>
      <w:r>
        <w:t xml:space="preserve">has </w:t>
      </w:r>
      <w:r w:rsidRPr="00D44E62">
        <w:t>explained that "</w:t>
      </w:r>
      <w:r>
        <w:t>a </w:t>
      </w:r>
      <w:r w:rsidRPr="00D44E62">
        <w:t>market comprises only those products that exercise competitive constraint on each other".</w:t>
      </w:r>
      <w:r>
        <w:rPr>
          <w:rStyle w:val="FootnoteReference"/>
        </w:rPr>
        <w:footnoteReference w:id="1259"/>
      </w:r>
      <w:r w:rsidRPr="00D44E62">
        <w:t xml:space="preserve"> </w:t>
      </w:r>
      <w:r w:rsidRPr="00E20560">
        <w:t>I</w:t>
      </w:r>
      <w:r>
        <w:t>t</w:t>
      </w:r>
      <w:r w:rsidRPr="00E20560">
        <w:t xml:space="preserve"> </w:t>
      </w:r>
      <w:r>
        <w:t xml:space="preserve">has also </w:t>
      </w:r>
      <w:r w:rsidRPr="00E20560">
        <w:t>considered that "two products would be in the same market if they were engaged in actual or potential competition in that market</w:t>
      </w:r>
      <w:r>
        <w:t>.</w:t>
      </w:r>
      <w:r w:rsidRPr="00E20560">
        <w:t>"</w:t>
      </w:r>
      <w:r w:rsidRPr="00E20560">
        <w:rPr>
          <w:rStyle w:val="FootnoteReference"/>
        </w:rPr>
        <w:footnoteReference w:id="1260"/>
      </w:r>
      <w:r w:rsidRPr="00E20560">
        <w:t xml:space="preserve"> </w:t>
      </w:r>
      <w:r>
        <w:t>In the original proceedings, t</w:t>
      </w:r>
      <w:r w:rsidRPr="00D44E62">
        <w:t xml:space="preserve">he Appellate Body </w:t>
      </w:r>
      <w:r>
        <w:t>further</w:t>
      </w:r>
      <w:r w:rsidRPr="00D44E62">
        <w:t xml:space="preserve"> referred to the notion of </w:t>
      </w:r>
      <w:r>
        <w:t>"</w:t>
      </w:r>
      <w:r w:rsidRPr="00D44E62">
        <w:t>market</w:t>
      </w:r>
      <w:r>
        <w:t>" as consisting of "</w:t>
      </w:r>
      <w:r w:rsidRPr="00CC39B1">
        <w:t>the</w:t>
      </w:r>
      <w:r>
        <w:t> </w:t>
      </w:r>
      <w:r w:rsidRPr="00CC39B1">
        <w:t>set</w:t>
      </w:r>
      <w:r>
        <w:t xml:space="preserve"> of products (and </w:t>
      </w:r>
      <w:r w:rsidRPr="00D44E62">
        <w:t>geographical areas) that exercise some competitive constraint on each other".</w:t>
      </w:r>
      <w:r>
        <w:rPr>
          <w:rStyle w:val="FootnoteReference"/>
        </w:rPr>
        <w:footnoteReference w:id="1261"/>
      </w:r>
      <w:r w:rsidRPr="00D44E62">
        <w:t xml:space="preserve"> </w:t>
      </w:r>
      <w:r>
        <w:t>In so doing, the</w:t>
      </w:r>
      <w:r w:rsidRPr="00D92844">
        <w:t xml:space="preserve"> Appellate Body referr</w:t>
      </w:r>
      <w:r>
        <w:t>ed</w:t>
      </w:r>
      <w:r w:rsidRPr="00D92844">
        <w:t xml:space="preserve"> to a </w:t>
      </w:r>
      <w:r w:rsidRPr="00877FBE">
        <w:rPr>
          <w:i/>
        </w:rPr>
        <w:t>range</w:t>
      </w:r>
      <w:r w:rsidRPr="00D92844">
        <w:t xml:space="preserve"> of </w:t>
      </w:r>
      <w:r>
        <w:t>considerations</w:t>
      </w:r>
      <w:r w:rsidRPr="00D92844">
        <w:t xml:space="preserve"> that </w:t>
      </w:r>
      <w:r>
        <w:t>may assist</w:t>
      </w:r>
      <w:r w:rsidRPr="00D92844">
        <w:t xml:space="preserve"> in determining whether two products </w:t>
      </w:r>
      <w:r>
        <w:t>compete</w:t>
      </w:r>
      <w:r w:rsidRPr="00D92844">
        <w:t xml:space="preserve"> in the same market, in the sense that</w:t>
      </w:r>
      <w:r w:rsidRPr="00D44E62">
        <w:t xml:space="preserve"> they "</w:t>
      </w:r>
      <w:r w:rsidR="00EE71A5">
        <w:t>exercise</w:t>
      </w:r>
      <w:r w:rsidRPr="00D44E62">
        <w:t xml:space="preserve"> competitive constraints on each other".</w:t>
      </w:r>
      <w:r>
        <w:rPr>
          <w:rStyle w:val="FootnoteReference"/>
        </w:rPr>
        <w:footnoteReference w:id="1262"/>
      </w:r>
      <w:r w:rsidRPr="00D44E62">
        <w:t xml:space="preserve"> </w:t>
      </w:r>
      <w:r w:rsidRPr="00166EB4">
        <w:t>Specifically</w:t>
      </w:r>
      <w:r>
        <w:t>,</w:t>
      </w:r>
      <w:r w:rsidRPr="00166EB4">
        <w:t xml:space="preserve"> with respect to</w:t>
      </w:r>
      <w:r w:rsidRPr="00D44E62">
        <w:t xml:space="preserve"> de</w:t>
      </w:r>
      <w:r w:rsidR="00E30092">
        <w:t>mand</w:t>
      </w:r>
      <w:r w:rsidR="00E30092">
        <w:noBreakHyphen/>
        <w:t>side substitutability, the </w:t>
      </w:r>
      <w:r w:rsidRPr="00D44E62">
        <w:t>Appellate Body explained that it may be relevant for a panel to consider, for example, "whether customers demand a range of products or whether they are interested in only a particular product type".</w:t>
      </w:r>
      <w:r>
        <w:rPr>
          <w:rStyle w:val="FootnoteReference"/>
        </w:rPr>
        <w:footnoteReference w:id="1263"/>
      </w:r>
      <w:r w:rsidRPr="00D44E62">
        <w:t xml:space="preserve"> Factors such as </w:t>
      </w:r>
      <w:r>
        <w:t>"</w:t>
      </w:r>
      <w:r w:rsidRPr="00D44E62">
        <w:t xml:space="preserve">product homogeneity, flight ranges, seating capacities, prices, fuel efficiency, and other </w:t>
      </w:r>
      <w:r w:rsidRPr="00D92844">
        <w:t>performance characteristics" may also be relevant.</w:t>
      </w:r>
      <w:r>
        <w:rPr>
          <w:rStyle w:val="FootnoteReference"/>
        </w:rPr>
        <w:footnoteReference w:id="1264"/>
      </w:r>
      <w:r w:rsidRPr="00E20560">
        <w:t xml:space="preserve"> </w:t>
      </w:r>
      <w:r>
        <w:t>The Appellate Body noted that, "{o}</w:t>
      </w:r>
      <w:r w:rsidRPr="00E20560">
        <w:t>rdinarily, the subsidized product and the like product will form part of a larger product market</w:t>
      </w:r>
      <w:r>
        <w:t>"</w:t>
      </w:r>
      <w:r w:rsidRPr="00E20560">
        <w:t xml:space="preserve"> </w:t>
      </w:r>
      <w:r>
        <w:t>b</w:t>
      </w:r>
      <w:r w:rsidRPr="00E20560">
        <w:t xml:space="preserve">ut </w:t>
      </w:r>
      <w:r>
        <w:t>"</w:t>
      </w:r>
      <w:r w:rsidRPr="00E20560">
        <w:t>it may be the case that a complainant chooses to define the subsidized and like products so broadly that it is necessary to analyze these products in different product markets</w:t>
      </w:r>
      <w:r>
        <w:t>".</w:t>
      </w:r>
      <w:r>
        <w:rPr>
          <w:rStyle w:val="FootnoteReference"/>
        </w:rPr>
        <w:footnoteReference w:id="1265"/>
      </w:r>
      <w:r w:rsidRPr="00E20560">
        <w:t xml:space="preserve"> </w:t>
      </w:r>
      <w:r>
        <w:t>Competition may thus be found to occur</w:t>
      </w:r>
      <w:r w:rsidRPr="00D92844">
        <w:t xml:space="preserve"> not </w:t>
      </w:r>
      <w:r w:rsidRPr="00877FBE">
        <w:rPr>
          <w:i/>
        </w:rPr>
        <w:t>only</w:t>
      </w:r>
      <w:r w:rsidRPr="00D92844">
        <w:t xml:space="preserve"> between</w:t>
      </w:r>
      <w:r w:rsidRPr="00D44E62">
        <w:t xml:space="preserve"> specific pairings of product types</w:t>
      </w:r>
      <w:r>
        <w:rPr>
          <w:rStyle w:val="FootnoteReference"/>
        </w:rPr>
        <w:footnoteReference w:id="1266"/>
      </w:r>
      <w:r>
        <w:t xml:space="preserve"> but,</w:t>
      </w:r>
      <w:r w:rsidRPr="00D44E62">
        <w:t xml:space="preserve"> "{i}n some cases, the entire product range offered by the complainant may compete with the range of products of the respondent that is allegedly subsidized</w:t>
      </w:r>
      <w:r>
        <w:t>.</w:t>
      </w:r>
      <w:r w:rsidRPr="00D44E62">
        <w:t>"</w:t>
      </w:r>
      <w:r>
        <w:rPr>
          <w:rStyle w:val="FootnoteReference"/>
        </w:rPr>
        <w:footnoteReference w:id="1267"/>
      </w:r>
      <w:r w:rsidRPr="00D44E62">
        <w:t xml:space="preserve"> </w:t>
      </w:r>
    </w:p>
    <w:p w:rsidR="00AE4AC1" w:rsidRDefault="00AE4AC1" w:rsidP="009E6402">
      <w:pPr>
        <w:pStyle w:val="BodyText"/>
      </w:pPr>
      <w:r w:rsidRPr="00D44E62">
        <w:t xml:space="preserve">The Appellate Body </w:t>
      </w:r>
      <w:r>
        <w:t xml:space="preserve">has </w:t>
      </w:r>
      <w:r w:rsidRPr="00032CE0">
        <w:t>found</w:t>
      </w:r>
      <w:r>
        <w:t xml:space="preserve"> that a panel is "</w:t>
      </w:r>
      <w:r w:rsidRPr="00E92B43">
        <w:t>required to make an objective assessment of the competitive relationship between specific products in the marketplace and to define the relevant product market in order to determine whether particular products can be treated as forming part of a single product market or several product markets</w:t>
      </w:r>
      <w:r>
        <w:t>"</w:t>
      </w:r>
      <w:r w:rsidRPr="00E92B43">
        <w:t xml:space="preserve"> for purposes of an analysis of </w:t>
      </w:r>
      <w:r>
        <w:t xml:space="preserve">a serious prejudice </w:t>
      </w:r>
      <w:r w:rsidRPr="00E92B43">
        <w:t>under Article</w:t>
      </w:r>
      <w:r>
        <w:t>s</w:t>
      </w:r>
      <w:r w:rsidRPr="00E92B43">
        <w:t> 6.3(a) and 6.3(b)</w:t>
      </w:r>
      <w:r>
        <w:t xml:space="preserve"> of the SCM Agreement</w:t>
      </w:r>
      <w:r w:rsidRPr="00E92B43">
        <w:t>.</w:t>
      </w:r>
      <w:r>
        <w:rPr>
          <w:rStyle w:val="FootnoteReference"/>
        </w:rPr>
        <w:footnoteReference w:id="1268"/>
      </w:r>
      <w:r>
        <w:t xml:space="preserve"> As </w:t>
      </w:r>
      <w:r w:rsidR="00EA71C7">
        <w:t>we see it, a </w:t>
      </w:r>
      <w:r w:rsidRPr="00D44E62">
        <w:t xml:space="preserve">panel is </w:t>
      </w:r>
      <w:r>
        <w:t xml:space="preserve">called upon in this respect </w:t>
      </w:r>
      <w:r w:rsidRPr="00D44E62">
        <w:t xml:space="preserve">to carry out a holistic consideration of all relevant evidence and arguments before it in order to </w:t>
      </w:r>
      <w:r>
        <w:t xml:space="preserve">make an objective </w:t>
      </w:r>
      <w:r w:rsidRPr="00D44E62">
        <w:t>determin</w:t>
      </w:r>
      <w:r>
        <w:t>ation of the relevant product market. A</w:t>
      </w:r>
      <w:r w:rsidR="00267BCB">
        <w:t> </w:t>
      </w:r>
      <w:r>
        <w:t xml:space="preserve">panel should assess </w:t>
      </w:r>
      <w:r w:rsidRPr="00D44E62">
        <w:t>whether it is appropriate to examine serious prejudice claims on the basis of the particular market segmentation proposed by the complainant</w:t>
      </w:r>
      <w:r>
        <w:t xml:space="preserve"> or whether the range of products at issue compete in different and distinct markets</w:t>
      </w:r>
      <w:r w:rsidRPr="00D44E62">
        <w:t>.</w:t>
      </w:r>
      <w:r>
        <w:rPr>
          <w:rStyle w:val="FootnoteReference"/>
        </w:rPr>
        <w:footnoteReference w:id="1269"/>
      </w:r>
      <w:r w:rsidRPr="00D44E62">
        <w:t xml:space="preserve"> </w:t>
      </w:r>
      <w:r>
        <w:t>In so doing, the panel has to examine the respondent's arguments alleging the existence of different market segmentations and rebutting the complainant's arguments.</w:t>
      </w:r>
      <w:r>
        <w:rPr>
          <w:rStyle w:val="FootnoteReference"/>
        </w:rPr>
        <w:footnoteReference w:id="1270"/>
      </w:r>
      <w:r>
        <w:t xml:space="preserve"> A</w:t>
      </w:r>
      <w:r w:rsidRPr="00D44E62">
        <w:t xml:space="preserve">n assessment of "whether the </w:t>
      </w:r>
      <w:r w:rsidRPr="00166EB4">
        <w:t xml:space="preserve">alleged subsidized and </w:t>
      </w:r>
      <w:r w:rsidRPr="00657FA8">
        <w:t>like</w:t>
      </w:r>
      <w:r w:rsidRPr="00166EB4">
        <w:t xml:space="preserve"> products compete in the same market or multiple markets"</w:t>
      </w:r>
      <w:r w:rsidRPr="00D44E62">
        <w:t xml:space="preserve"> is, as the Appellate Body </w:t>
      </w:r>
      <w:r>
        <w:t xml:space="preserve">has </w:t>
      </w:r>
      <w:r w:rsidRPr="00D44E62">
        <w:t xml:space="preserve">found, "a prerequisite for assessing" claims brought under </w:t>
      </w:r>
      <w:r w:rsidRPr="00D92844">
        <w:t>Article 6.3</w:t>
      </w:r>
      <w:r>
        <w:t>.</w:t>
      </w:r>
      <w:r>
        <w:rPr>
          <w:rStyle w:val="FootnoteReference"/>
        </w:rPr>
        <w:footnoteReference w:id="1271"/>
      </w:r>
      <w:r>
        <w:t xml:space="preserve"> However, w</w:t>
      </w:r>
      <w:r w:rsidR="00813952">
        <w:t>hether two </w:t>
      </w:r>
      <w:r w:rsidRPr="00E20560">
        <w:t xml:space="preserve">products </w:t>
      </w:r>
      <w:r>
        <w:t>"</w:t>
      </w:r>
      <w:r w:rsidRPr="00E20560">
        <w:t>compete in the same market is not determined simply by assessing whether they share particular physical characteristics or have the same general uses; it may also be relevant to consider whether customers demand a range of products or whether they are interested in only a particular product type</w:t>
      </w:r>
      <w:r>
        <w:t>."</w:t>
      </w:r>
      <w:r>
        <w:rPr>
          <w:rStyle w:val="FootnoteReference"/>
        </w:rPr>
        <w:footnoteReference w:id="1272"/>
      </w:r>
      <w:r w:rsidRPr="00E20560">
        <w:t xml:space="preserve"> </w:t>
      </w:r>
      <w:r>
        <w:t>According to the Appellate Body, "</w:t>
      </w:r>
      <w:r w:rsidRPr="00E20560">
        <w:t>when customers procure a range of products to satisfy their needs, this may give an indication that all such products could be competing in the same market</w:t>
      </w:r>
      <w:r>
        <w:t>."</w:t>
      </w:r>
      <w:r>
        <w:rPr>
          <w:rStyle w:val="FootnoteReference"/>
        </w:rPr>
        <w:footnoteReference w:id="1273"/>
      </w:r>
      <w:r>
        <w:t xml:space="preserve"> Thus, t</w:t>
      </w:r>
      <w:r w:rsidRPr="00E621C0">
        <w:t xml:space="preserve">wo products </w:t>
      </w:r>
      <w:r w:rsidRPr="007769C5">
        <w:t>are in the same product market when they are "sufficiently substitutable so as to create competitive constraints on each other"</w:t>
      </w:r>
      <w:r>
        <w:rPr>
          <w:rStyle w:val="FootnoteReference"/>
        </w:rPr>
        <w:footnoteReference w:id="1274"/>
      </w:r>
      <w:r>
        <w:t xml:space="preserve">, </w:t>
      </w:r>
      <w:r w:rsidRPr="00E621C0">
        <w:t xml:space="preserve">or </w:t>
      </w:r>
      <w:r>
        <w:t xml:space="preserve">if </w:t>
      </w:r>
      <w:r w:rsidRPr="00E621C0">
        <w:t xml:space="preserve">they </w:t>
      </w:r>
      <w:r>
        <w:t>exercise</w:t>
      </w:r>
      <w:r w:rsidRPr="00E621C0">
        <w:t xml:space="preserve"> "</w:t>
      </w:r>
      <w:r w:rsidRPr="00ED77C8">
        <w:t>meaningful competitive constraints</w:t>
      </w:r>
      <w:r w:rsidRPr="00E621C0">
        <w:t>"</w:t>
      </w:r>
      <w:r>
        <w:rPr>
          <w:rStyle w:val="FootnoteReference"/>
        </w:rPr>
        <w:footnoteReference w:id="1275"/>
      </w:r>
      <w:r>
        <w:t xml:space="preserve"> on</w:t>
      </w:r>
      <w:r w:rsidRPr="00E621C0">
        <w:t xml:space="preserve"> each other.</w:t>
      </w:r>
      <w:r w:rsidRPr="00BA271F">
        <w:rPr>
          <w:rStyle w:val="FootnoteReference"/>
        </w:rPr>
        <w:footnoteReference w:id="1276"/>
      </w:r>
      <w:r>
        <w:t xml:space="preserve"> </w:t>
      </w:r>
    </w:p>
    <w:p w:rsidR="00AE4AC1" w:rsidRDefault="00AE4AC1" w:rsidP="009E6402">
      <w:pPr>
        <w:pStyle w:val="BodyText"/>
      </w:pPr>
      <w:r>
        <w:t>As we understand it, the European Union does not argue that the use of quantitative methods of analysis is required in each case. The European Union insists, however, that placing two products into the same product market requires a careful consideration of the nature and degree of competition between them.</w:t>
      </w:r>
      <w:r>
        <w:rPr>
          <w:rStyle w:val="FootnoteReference"/>
        </w:rPr>
        <w:footnoteReference w:id="1277"/>
      </w:r>
      <w:r>
        <w:t xml:space="preserve"> The European Union further submits that, in assessing the scope of product markets in a given case, a panel must ensure that products within a product market compete more closely with one another than wit</w:t>
      </w:r>
      <w:r w:rsidR="00EA71C7">
        <w:t>h products outside that product </w:t>
      </w:r>
      <w:r>
        <w:t>market.</w:t>
      </w:r>
      <w:r>
        <w:rPr>
          <w:rStyle w:val="FootnoteReference"/>
        </w:rPr>
        <w:footnoteReference w:id="1278"/>
      </w:r>
    </w:p>
    <w:p w:rsidR="00AE4AC1" w:rsidRPr="00430C7F" w:rsidRDefault="00AE4AC1" w:rsidP="009E6402">
      <w:pPr>
        <w:pStyle w:val="BodyText"/>
      </w:pPr>
      <w:r>
        <w:t xml:space="preserve">As noted by the Appellate Body, a </w:t>
      </w:r>
      <w:r w:rsidRPr="00D976D1">
        <w:t xml:space="preserve">consideration of </w:t>
      </w:r>
      <w:r w:rsidRPr="005A28ED">
        <w:rPr>
          <w:i/>
        </w:rPr>
        <w:t>quantitative</w:t>
      </w:r>
      <w:r w:rsidRPr="00D976D1">
        <w:t xml:space="preserve"> </w:t>
      </w:r>
      <w:r>
        <w:t xml:space="preserve">tools and </w:t>
      </w:r>
      <w:r w:rsidRPr="00D976D1">
        <w:t xml:space="preserve">evidence </w:t>
      </w:r>
      <w:r>
        <w:t xml:space="preserve">may </w:t>
      </w:r>
      <w:r w:rsidRPr="00D976D1">
        <w:t xml:space="preserve">assist a panel in </w:t>
      </w:r>
      <w:r>
        <w:t>defining the relevant product markets</w:t>
      </w:r>
      <w:r w:rsidR="00DB6EEA">
        <w:rPr>
          <w:rStyle w:val="FootnoteReference"/>
        </w:rPr>
        <w:footnoteReference w:id="1279"/>
      </w:r>
      <w:r>
        <w:t xml:space="preserve"> and in answering the question of whether products exercise meaningful competitive constraints on each other and are sufficiently substitutable to fall within the same product market. However</w:t>
      </w:r>
      <w:r w:rsidRPr="00D976D1">
        <w:t xml:space="preserve">, </w:t>
      </w:r>
      <w:r>
        <w:t xml:space="preserve">like the Panel, </w:t>
      </w:r>
      <w:r w:rsidRPr="00D976D1">
        <w:t xml:space="preserve">we </w:t>
      </w:r>
      <w:r>
        <w:t xml:space="preserve">do not </w:t>
      </w:r>
      <w:r w:rsidRPr="00D976D1">
        <w:t xml:space="preserve">see </w:t>
      </w:r>
      <w:r>
        <w:t xml:space="preserve">a </w:t>
      </w:r>
      <w:r w:rsidRPr="00D976D1">
        <w:t>reason to preclude that a careful</w:t>
      </w:r>
      <w:r>
        <w:t xml:space="preserve"> scrutiny </w:t>
      </w:r>
      <w:r w:rsidRPr="00E621C0">
        <w:t xml:space="preserve">of </w:t>
      </w:r>
      <w:r w:rsidRPr="005A28ED">
        <w:rPr>
          <w:i/>
        </w:rPr>
        <w:t>qualitative</w:t>
      </w:r>
      <w:r w:rsidRPr="00E621C0">
        <w:t xml:space="preserve"> evidence may </w:t>
      </w:r>
      <w:r>
        <w:t xml:space="preserve">also </w:t>
      </w:r>
      <w:r w:rsidRPr="00E621C0">
        <w:t xml:space="preserve">be sufficient provided that it permits </w:t>
      </w:r>
      <w:r>
        <w:t>an informative and meaningful analysis</w:t>
      </w:r>
      <w:r w:rsidRPr="00E621C0">
        <w:t xml:space="preserve"> of the relevant product markets.</w:t>
      </w:r>
      <w:r w:rsidRPr="00A65D44">
        <w:t xml:space="preserve"> </w:t>
      </w:r>
      <w:r>
        <w:t>D</w:t>
      </w:r>
      <w:r w:rsidRPr="00D92844">
        <w:t>epending on the particularities of a given case</w:t>
      </w:r>
      <w:r>
        <w:rPr>
          <w:rStyle w:val="FootnoteReference"/>
        </w:rPr>
        <w:footnoteReference w:id="1280"/>
      </w:r>
      <w:r w:rsidRPr="00D92844">
        <w:t xml:space="preserve">, it may be sufficient for a panel to examine </w:t>
      </w:r>
      <w:r w:rsidRPr="00F628FF">
        <w:rPr>
          <w:i/>
        </w:rPr>
        <w:t>qualitative</w:t>
      </w:r>
      <w:r>
        <w:t xml:space="preserve"> </w:t>
      </w:r>
      <w:r w:rsidRPr="00D92844">
        <w:t xml:space="preserve">evidence regarding demand-side and supply-side substitutability, product characteristics, </w:t>
      </w:r>
      <w:r>
        <w:t>end</w:t>
      </w:r>
      <w:r>
        <w:noBreakHyphen/>
      </w:r>
      <w:r w:rsidRPr="00D92844">
        <w:t>uses, and customer preferences</w:t>
      </w:r>
      <w:r>
        <w:t xml:space="preserve"> </w:t>
      </w:r>
      <w:r w:rsidRPr="00D92844">
        <w:t xml:space="preserve">to reach a conclusion </w:t>
      </w:r>
      <w:r>
        <w:t>as to</w:t>
      </w:r>
      <w:r w:rsidRPr="00D92844">
        <w:t xml:space="preserve"> </w:t>
      </w:r>
      <w:r>
        <w:t>the</w:t>
      </w:r>
      <w:r w:rsidRPr="00D92844">
        <w:t xml:space="preserve"> </w:t>
      </w:r>
      <w:r>
        <w:t xml:space="preserve">nature and degree of </w:t>
      </w:r>
      <w:r w:rsidRPr="00430C7F">
        <w:t xml:space="preserve">competition between two products. </w:t>
      </w:r>
      <w:r>
        <w:t xml:space="preserve">Further to the arguments raised in its appellant's submission, </w:t>
      </w:r>
      <w:r w:rsidRPr="00BA271F">
        <w:t xml:space="preserve">the European Union clarified </w:t>
      </w:r>
      <w:r>
        <w:t>a</w:t>
      </w:r>
      <w:r w:rsidRPr="00BA271F">
        <w:t xml:space="preserve">t the oral hearing that it was </w:t>
      </w:r>
      <w:r w:rsidRPr="00BA271F">
        <w:rPr>
          <w:i/>
        </w:rPr>
        <w:t>not</w:t>
      </w:r>
      <w:r w:rsidRPr="00BA271F">
        <w:t xml:space="preserve"> arguing that complainants </w:t>
      </w:r>
      <w:r w:rsidRPr="00BA271F">
        <w:rPr>
          <w:i/>
        </w:rPr>
        <w:t>must</w:t>
      </w:r>
      <w:r w:rsidRPr="00BA271F">
        <w:t xml:space="preserve"> use </w:t>
      </w:r>
      <w:r w:rsidRPr="005D31F1">
        <w:rPr>
          <w:i/>
        </w:rPr>
        <w:t>quantitative</w:t>
      </w:r>
      <w:r w:rsidRPr="00BA271F">
        <w:t xml:space="preserve"> analyses to identify relevant product markets </w:t>
      </w:r>
      <w:r w:rsidRPr="00BA271F">
        <w:rPr>
          <w:i/>
        </w:rPr>
        <w:t>in each case</w:t>
      </w:r>
      <w:r w:rsidRPr="00BA271F">
        <w:t xml:space="preserve">. </w:t>
      </w:r>
      <w:r>
        <w:t>Rather</w:t>
      </w:r>
      <w:r w:rsidRPr="00BA271F">
        <w:t xml:space="preserve">, </w:t>
      </w:r>
      <w:r>
        <w:t>as the European Union had argued before the Panel,</w:t>
      </w:r>
      <w:r w:rsidRPr="00BA271F">
        <w:t xml:space="preserve"> such tools should be used where possible and where they assist the task of identifying relevant product markets.</w:t>
      </w:r>
      <w:r w:rsidRPr="00BA271F">
        <w:rPr>
          <w:rStyle w:val="FootnoteReference"/>
        </w:rPr>
        <w:footnoteReference w:id="1281"/>
      </w:r>
      <w:r>
        <w:t xml:space="preserve"> As we see it, the Panel rightly relied on the Appellate </w:t>
      </w:r>
      <w:r w:rsidRPr="00D976D1">
        <w:t xml:space="preserve">Body report in </w:t>
      </w:r>
      <w:r>
        <w:t xml:space="preserve">the original proceedings </w:t>
      </w:r>
      <w:r w:rsidRPr="00D976D1">
        <w:t xml:space="preserve">to reject the proposition that "quantitative methods of analysis must, </w:t>
      </w:r>
      <w:r w:rsidRPr="005A28ED">
        <w:rPr>
          <w:i/>
        </w:rPr>
        <w:t>as a legal matter</w:t>
      </w:r>
      <w:r w:rsidRPr="00D976D1">
        <w:t>, always be used to inform a determination of relevant product markets in a serious prejudice dispute."</w:t>
      </w:r>
      <w:r w:rsidRPr="00D976D1">
        <w:rPr>
          <w:rStyle w:val="FootnoteReference"/>
        </w:rPr>
        <w:footnoteReference w:id="1282"/>
      </w:r>
      <w:r w:rsidRPr="00D976D1">
        <w:t xml:space="preserve"> </w:t>
      </w:r>
      <w:r w:rsidR="00AA2C33">
        <w:t>While the European </w:t>
      </w:r>
      <w:r>
        <w:t xml:space="preserve">Union does not argue that a review of </w:t>
      </w:r>
      <w:r w:rsidRPr="00E633CA">
        <w:rPr>
          <w:i/>
        </w:rPr>
        <w:t>quantitative</w:t>
      </w:r>
      <w:r>
        <w:t xml:space="preserve"> evidence is required in each c</w:t>
      </w:r>
      <w:r w:rsidR="00E30092">
        <w:t>ase, its </w:t>
      </w:r>
      <w:r>
        <w:t xml:space="preserve">appellant's submission focuses on specific </w:t>
      </w:r>
      <w:r w:rsidRPr="00D44E62">
        <w:t xml:space="preserve">aspects of the Panel's analysis </w:t>
      </w:r>
      <w:r>
        <w:t xml:space="preserve">to argue that </w:t>
      </w:r>
      <w:r w:rsidRPr="00D44E62">
        <w:t xml:space="preserve">the Panel considered the intensity of competition </w:t>
      </w:r>
      <w:r>
        <w:t>between different product pairings to be altogether</w:t>
      </w:r>
      <w:r w:rsidRPr="00D44E62">
        <w:t xml:space="preserve"> </w:t>
      </w:r>
      <w:r>
        <w:t>"</w:t>
      </w:r>
      <w:r w:rsidRPr="00D44E62">
        <w:t>irrelevant"</w:t>
      </w:r>
      <w:r>
        <w:t>.</w:t>
      </w:r>
      <w:r>
        <w:rPr>
          <w:rStyle w:val="FootnoteReference"/>
        </w:rPr>
        <w:footnoteReference w:id="1283"/>
      </w:r>
      <w:r>
        <w:t xml:space="preserve"> We address these arguments below, in particular when we discuss the Panel's analysis of the product market segmentations proposed by the parties.</w:t>
      </w:r>
    </w:p>
    <w:p w:rsidR="00AE4AC1" w:rsidRPr="00430C7F" w:rsidRDefault="00AE4AC1" w:rsidP="009E6402">
      <w:pPr>
        <w:pStyle w:val="BodyText"/>
      </w:pPr>
      <w:r w:rsidRPr="00430C7F">
        <w:t>The Appellate Body has emphasized that, in cases where a complainant chooses to define the subsidized and like products "broadly", it will be "necessary to analyze these products in different product markets … so as to analyze further the real competitive interactions that are taking place, and thereby determine whether displacement {</w:t>
      </w:r>
      <w:r>
        <w:t>or</w:t>
      </w:r>
      <w:r w:rsidRPr="00430C7F">
        <w:t xml:space="preserve"> impedance} is occurring".</w:t>
      </w:r>
      <w:r w:rsidRPr="00430C7F">
        <w:rPr>
          <w:vertAlign w:val="superscript"/>
        </w:rPr>
        <w:footnoteReference w:id="1284"/>
      </w:r>
      <w:r w:rsidR="00E30092">
        <w:t xml:space="preserve"> While </w:t>
      </w:r>
      <w:r w:rsidRPr="00430C7F">
        <w:t xml:space="preserve">it may be possible to conduct an analysis of adverse effects and reach meaningful findings of serious prejudice in instances where "all products are not engaged in direct competition for the </w:t>
      </w:r>
      <w:r w:rsidRPr="00430C7F">
        <w:rPr>
          <w:iCs/>
        </w:rPr>
        <w:t>same</w:t>
      </w:r>
      <w:r w:rsidRPr="00430C7F">
        <w:t xml:space="preserve"> sales or orders – or where the competitive relationship between such products is, at most, indirect or remote"</w:t>
      </w:r>
      <w:r w:rsidRPr="00430C7F">
        <w:rPr>
          <w:vertAlign w:val="superscript"/>
        </w:rPr>
        <w:footnoteReference w:id="1285"/>
      </w:r>
      <w:r w:rsidRPr="00430C7F">
        <w:t>, this must however "be properly accounted for"</w:t>
      </w:r>
      <w:r>
        <w:t xml:space="preserve"> in the serious prejudice analysis</w:t>
      </w:r>
      <w:r w:rsidRPr="00430C7F">
        <w:t>.</w:t>
      </w:r>
      <w:r w:rsidRPr="00430C7F">
        <w:rPr>
          <w:vertAlign w:val="superscript"/>
        </w:rPr>
        <w:footnoteReference w:id="1286"/>
      </w:r>
      <w:r w:rsidRPr="00430C7F">
        <w:t xml:space="preserve"> Thus, to the extent that a complainant has adopted a broad product market definition, </w:t>
      </w:r>
      <w:r>
        <w:t>it may be more difficult</w:t>
      </w:r>
      <w:r w:rsidRPr="00430C7F">
        <w:t xml:space="preserve">, depending on the facts of a given case, for </w:t>
      </w:r>
      <w:r>
        <w:t>such complainant</w:t>
      </w:r>
      <w:r w:rsidRPr="00430C7F">
        <w:t xml:space="preserve"> to establish the existence of adverse effects. We </w:t>
      </w:r>
      <w:r>
        <w:t xml:space="preserve">therefore </w:t>
      </w:r>
      <w:r w:rsidRPr="00430C7F">
        <w:t>agree with the European</w:t>
      </w:r>
      <w:r>
        <w:t> </w:t>
      </w:r>
      <w:r w:rsidRPr="00430C7F">
        <w:t xml:space="preserve">Union to the extent </w:t>
      </w:r>
      <w:r>
        <w:t xml:space="preserve">that </w:t>
      </w:r>
      <w:r w:rsidRPr="00430C7F">
        <w:t xml:space="preserve">it suggests that there is a critical relationship between product market definition and </w:t>
      </w:r>
      <w:r>
        <w:t xml:space="preserve">the </w:t>
      </w:r>
      <w:r w:rsidRPr="00430C7F">
        <w:t>causation analysis</w:t>
      </w:r>
      <w:r>
        <w:t>,</w:t>
      </w:r>
      <w:r w:rsidRPr="00430C7F">
        <w:t xml:space="preserve"> in the sense that the tighter the market definition</w:t>
      </w:r>
      <w:r>
        <w:t>,</w:t>
      </w:r>
      <w:r w:rsidRPr="00430C7F">
        <w:t xml:space="preserve"> the easier it may be to demonstrate causation, and conversely, the looser the market definition the more difficult it may be to demonstrate causation.</w:t>
      </w:r>
      <w:r w:rsidRPr="00430C7F">
        <w:rPr>
          <w:rStyle w:val="FootnoteReference"/>
        </w:rPr>
        <w:footnoteReference w:id="1287"/>
      </w:r>
    </w:p>
    <w:p w:rsidR="00AE4AC1" w:rsidRPr="00D44E62" w:rsidRDefault="00AE4AC1" w:rsidP="009E6402">
      <w:pPr>
        <w:pStyle w:val="BodyText"/>
      </w:pPr>
      <w:r>
        <w:t>As detailed above</w:t>
      </w:r>
      <w:r w:rsidRPr="00166EB4">
        <w:t xml:space="preserve">, the Panel </w:t>
      </w:r>
      <w:r>
        <w:t>referred extensively to the Appellate Body report in the original proceedings, including</w:t>
      </w:r>
      <w:r w:rsidRPr="00D44E62">
        <w:t xml:space="preserve"> the finding that two products are in the same product market when they are </w:t>
      </w:r>
      <w:r w:rsidRPr="0074692C">
        <w:t>"</w:t>
      </w:r>
      <w:r w:rsidRPr="00D44E62">
        <w:t>sufficiently substitutable so as to create competitive constraints on each other</w:t>
      </w:r>
      <w:r w:rsidRPr="0074692C">
        <w:t>"</w:t>
      </w:r>
      <w:r w:rsidRPr="00D44E62">
        <w:t>.</w:t>
      </w:r>
      <w:r>
        <w:rPr>
          <w:rStyle w:val="FootnoteReference"/>
        </w:rPr>
        <w:footnoteReference w:id="1288"/>
      </w:r>
      <w:r>
        <w:t xml:space="preserve"> </w:t>
      </w:r>
      <w:r w:rsidR="00267BCB">
        <w:t>In </w:t>
      </w:r>
      <w:r>
        <w:t>particular, the Panel correctly noted that, "</w:t>
      </w:r>
      <w:r w:rsidRPr="00583549">
        <w:t>in determining whether two products are sufficiently substitutable so as to create competitive constraints on each other, and therefore form part of the same product market, it will be important to explore and analyse the particular characteristics and features of demand and, in certain situations, supply."</w:t>
      </w:r>
      <w:r>
        <w:rPr>
          <w:rStyle w:val="FootnoteReference"/>
        </w:rPr>
        <w:footnoteReference w:id="1289"/>
      </w:r>
      <w:r w:rsidRPr="00583549">
        <w:t xml:space="preserve"> </w:t>
      </w:r>
      <w:r>
        <w:t xml:space="preserve">The Panel also recognized that, </w:t>
      </w:r>
      <w:r w:rsidR="00E30092">
        <w:t>when </w:t>
      </w:r>
      <w:r w:rsidRPr="00D44E62">
        <w:t>examining claims brought under Article 6.3</w:t>
      </w:r>
      <w:r>
        <w:t>,</w:t>
      </w:r>
      <w:r w:rsidRPr="00D44E62">
        <w:t xml:space="preserve"> "a panel must make an objective assessment of the </w:t>
      </w:r>
      <w:r w:rsidRPr="00D44E62">
        <w:rPr>
          <w:i/>
        </w:rPr>
        <w:t>competitive relationship</w:t>
      </w:r>
      <w:r w:rsidRPr="00D44E62">
        <w:t xml:space="preserve"> between specific products and thereby determine the extent to which a complainant has brought its case with respect to the correct product </w:t>
      </w:r>
      <w:r w:rsidRPr="007F4F86">
        <w:t>markets</w:t>
      </w:r>
      <w:r>
        <w:t>.</w:t>
      </w:r>
      <w:r w:rsidRPr="00D44E62">
        <w:t>"</w:t>
      </w:r>
      <w:r>
        <w:rPr>
          <w:rStyle w:val="FootnoteReference"/>
        </w:rPr>
        <w:footnoteReference w:id="1290"/>
      </w:r>
      <w:r>
        <w:t xml:space="preserve"> In doing so, the Panel, in our view, properly articulated the standard to be applied in identifying the relevant product market(s) in this dispute. However, we note that the European Union refers to </w:t>
      </w:r>
      <w:r w:rsidRPr="00CF5E8A">
        <w:t>certain statements made by the Panel</w:t>
      </w:r>
      <w:r w:rsidRPr="00CF5E8A">
        <w:rPr>
          <w:vertAlign w:val="superscript"/>
        </w:rPr>
        <w:footnoteReference w:id="1291"/>
      </w:r>
      <w:r w:rsidRPr="00CF5E8A">
        <w:t xml:space="preserve"> </w:t>
      </w:r>
      <w:r>
        <w:t xml:space="preserve">that, according to the European Union, demonstrate that the Panel erred in its interpretative approach. In particular, the European Union contends that these statements made by the Panel reveal that the </w:t>
      </w:r>
      <w:r w:rsidRPr="00CF5E8A">
        <w:t>"the Panel considered the intensity of competition to be irrelevant"</w:t>
      </w:r>
      <w:r w:rsidRPr="00CF5E8A">
        <w:rPr>
          <w:vertAlign w:val="superscript"/>
        </w:rPr>
        <w:footnoteReference w:id="1292"/>
      </w:r>
      <w:r w:rsidRPr="00CF5E8A">
        <w:t xml:space="preserve"> in coming to its product market delineation</w:t>
      </w:r>
      <w:r>
        <w:t>. We therefore turn now to consider the specific arguments that the European Union makes in this regard.</w:t>
      </w:r>
      <w:r w:rsidDel="00067B1D">
        <w:t xml:space="preserve"> </w:t>
      </w:r>
    </w:p>
    <w:p w:rsidR="00AE4AC1" w:rsidRDefault="00AE4AC1" w:rsidP="009E6402">
      <w:pPr>
        <w:pStyle w:val="BodyText"/>
      </w:pPr>
      <w:r>
        <w:t xml:space="preserve">We recall that the Panel </w:t>
      </w:r>
      <w:r w:rsidRPr="00166EB4">
        <w:t>undertook a qualitative assessment of the intensity of competition between products for the purposes of identifying the relevant product markets</w:t>
      </w:r>
      <w:r>
        <w:t xml:space="preserve"> in this dispute</w:t>
      </w:r>
      <w:r w:rsidRPr="00166EB4">
        <w:t>, having regard</w:t>
      </w:r>
      <w:r w:rsidRPr="00D44E62">
        <w:t xml:space="preserve"> to the Appellate Body's jurisprudence and the relevant evidence and arguments before it. In </w:t>
      </w:r>
      <w:r>
        <w:t>so doing</w:t>
      </w:r>
      <w:r w:rsidRPr="00D44E62">
        <w:t xml:space="preserve">, the Panel </w:t>
      </w:r>
      <w:r>
        <w:t>observed</w:t>
      </w:r>
      <w:r w:rsidRPr="00D44E62">
        <w:t xml:space="preserve"> that</w:t>
      </w:r>
      <w:r>
        <w:t xml:space="preserve"> </w:t>
      </w:r>
      <w:r w:rsidRPr="00D44E62">
        <w:t>the partie</w:t>
      </w:r>
      <w:r w:rsidRPr="00D12FB5">
        <w:t>s'</w:t>
      </w:r>
      <w:r w:rsidRPr="00D44E62">
        <w:t xml:space="preserve"> arguments focused little on supply-side substitutability</w:t>
      </w:r>
      <w:r>
        <w:rPr>
          <w:rStyle w:val="FootnoteReference"/>
        </w:rPr>
        <w:footnoteReference w:id="1293"/>
      </w:r>
      <w:r w:rsidRPr="00D44E62">
        <w:t xml:space="preserve">, </w:t>
      </w:r>
      <w:r>
        <w:t xml:space="preserve">and that </w:t>
      </w:r>
      <w:r w:rsidRPr="00D44E62">
        <w:t xml:space="preserve">the debate between them </w:t>
      </w:r>
      <w:r w:rsidRPr="00A54D77">
        <w:t>mainly</w:t>
      </w:r>
      <w:r w:rsidRPr="00D44E62">
        <w:t xml:space="preserve"> addressed the extent to which</w:t>
      </w:r>
      <w:r>
        <w:t xml:space="preserve"> a level of demand-side substitution between different Airbus and Boeing aircraft was demonstrated by</w:t>
      </w:r>
      <w:r w:rsidRPr="00D44E62">
        <w:t>: (i)</w:t>
      </w:r>
      <w:r w:rsidR="00AA2C33">
        <w:t xml:space="preserve"> </w:t>
      </w:r>
      <w:r w:rsidRPr="00D44E62">
        <w:t>the physical and performance characteristics, end-uses</w:t>
      </w:r>
      <w:r>
        <w:t>,</w:t>
      </w:r>
      <w:r w:rsidRPr="00D44E62">
        <w:t xml:space="preserve"> and customers of the different Airbus and Boeing aircraft; (ii) the existence and nature of any pricing constraints between these aircraft; and (iii)</w:t>
      </w:r>
      <w:r>
        <w:t> </w:t>
      </w:r>
      <w:r w:rsidRPr="00D44E62">
        <w:t>the evidence with respect to sales campaigns.</w:t>
      </w:r>
      <w:r>
        <w:rPr>
          <w:rStyle w:val="FootnoteReference"/>
        </w:rPr>
        <w:footnoteReference w:id="1294"/>
      </w:r>
      <w:r>
        <w:t xml:space="preserve"> With this background in mind, w</w:t>
      </w:r>
      <w:r w:rsidRPr="00CF5E8A">
        <w:t>e begin our review with the single-aisle LCA market.</w:t>
      </w:r>
      <w:r w:rsidRPr="00D44E62">
        <w:t xml:space="preserve"> </w:t>
      </w:r>
    </w:p>
    <w:p w:rsidR="00AE4AC1" w:rsidRDefault="00AE4AC1" w:rsidP="009E6402">
      <w:pPr>
        <w:pStyle w:val="Heading5"/>
        <w:numPr>
          <w:ilvl w:val="4"/>
          <w:numId w:val="21"/>
        </w:numPr>
      </w:pPr>
      <w:bookmarkStart w:id="156" w:name="_Toc514059266"/>
      <w:r>
        <w:t>Single-aisle LCA market</w:t>
      </w:r>
      <w:bookmarkEnd w:id="156"/>
    </w:p>
    <w:p w:rsidR="00AE4AC1" w:rsidRPr="00D44E62" w:rsidRDefault="00AE4AC1" w:rsidP="009E6402">
      <w:pPr>
        <w:pStyle w:val="BodyText"/>
      </w:pPr>
      <w:r>
        <w:t xml:space="preserve">Beginning with </w:t>
      </w:r>
      <w:r w:rsidRPr="00D44E62">
        <w:t xml:space="preserve">the Panel's analysis of competition in the single-aisle </w:t>
      </w:r>
      <w:r>
        <w:t xml:space="preserve">LCA </w:t>
      </w:r>
      <w:r w:rsidRPr="00D44E62">
        <w:t>market</w:t>
      </w:r>
      <w:r w:rsidR="00944042">
        <w:t>, the </w:t>
      </w:r>
      <w:r>
        <w:t xml:space="preserve">European Union </w:t>
      </w:r>
      <w:r w:rsidRPr="00D44E62">
        <w:t>points to the Panel's statement</w:t>
      </w:r>
      <w:r w:rsidR="00AA2C33">
        <w:t xml:space="preserve"> that</w:t>
      </w:r>
      <w:r>
        <w:t>:</w:t>
      </w:r>
    </w:p>
    <w:p w:rsidR="00AE4AC1" w:rsidRPr="00D44E62" w:rsidRDefault="00AE4AC1" w:rsidP="00267BCB">
      <w:pPr>
        <w:pStyle w:val="Quotation"/>
        <w:rPr>
          <w:szCs w:val="20"/>
        </w:rPr>
      </w:pPr>
      <w:r w:rsidRPr="00D44E62">
        <w:rPr>
          <w:szCs w:val="20"/>
        </w:rPr>
        <w:t xml:space="preserve">to accept that the 737NG did not compete with the A320neo in these sales, we would have to be convinced that in the absence of the </w:t>
      </w:r>
      <w:r w:rsidRPr="00B06755">
        <w:rPr>
          <w:szCs w:val="20"/>
        </w:rPr>
        <w:t xml:space="preserve">A320neo, the same airlines would have preferred to purchase </w:t>
      </w:r>
      <w:r w:rsidRPr="00B06755">
        <w:rPr>
          <w:i/>
          <w:szCs w:val="20"/>
        </w:rPr>
        <w:t xml:space="preserve">no aircraft at all – </w:t>
      </w:r>
      <w:r w:rsidRPr="00B06755">
        <w:rPr>
          <w:szCs w:val="20"/>
        </w:rPr>
        <w:t>in other words, that</w:t>
      </w:r>
      <w:r w:rsidRPr="00B06755">
        <w:rPr>
          <w:i/>
          <w:szCs w:val="20"/>
        </w:rPr>
        <w:t xml:space="preserve"> </w:t>
      </w:r>
      <w:r w:rsidRPr="00B06755">
        <w:rPr>
          <w:szCs w:val="20"/>
        </w:rPr>
        <w:t>at the time of the sales, the A320neo had a</w:t>
      </w:r>
      <w:r w:rsidRPr="00D92844">
        <w:rPr>
          <w:szCs w:val="20"/>
        </w:rPr>
        <w:t xml:space="preserve"> temporary</w:t>
      </w:r>
      <w:r w:rsidRPr="00D44E62">
        <w:rPr>
          <w:szCs w:val="20"/>
        </w:rPr>
        <w:t xml:space="preserve"> monopoly.</w:t>
      </w:r>
      <w:r>
        <w:rPr>
          <w:rStyle w:val="FootnoteReference"/>
          <w:szCs w:val="20"/>
        </w:rPr>
        <w:footnoteReference w:id="1295"/>
      </w:r>
    </w:p>
    <w:p w:rsidR="00AE4AC1" w:rsidRDefault="00AE4AC1" w:rsidP="009E6402">
      <w:pPr>
        <w:pStyle w:val="BodyText"/>
      </w:pPr>
      <w:r w:rsidRPr="00D44E62">
        <w:t xml:space="preserve">The European Union refers to this statement to support its assertion </w:t>
      </w:r>
      <w:r>
        <w:t xml:space="preserve">that </w:t>
      </w:r>
      <w:r w:rsidRPr="00D44E62">
        <w:t xml:space="preserve">the Panel considered that two products are "in separate product </w:t>
      </w:r>
      <w:r w:rsidRPr="00B06755">
        <w:t>markets</w:t>
      </w:r>
      <w:r w:rsidRPr="00D44E62">
        <w:t xml:space="preserve"> only where there is an </w:t>
      </w:r>
      <w:r w:rsidRPr="00D92844">
        <w:t xml:space="preserve">absence of competition, such that customers would buy </w:t>
      </w:r>
      <w:r w:rsidRPr="00367C95">
        <w:rPr>
          <w:i/>
        </w:rPr>
        <w:t>no product at all</w:t>
      </w:r>
      <w:r w:rsidRPr="00D92844">
        <w:t xml:space="preserve"> if the</w:t>
      </w:r>
      <w:r w:rsidR="00EA71C7">
        <w:t xml:space="preserve"> subsidised product were </w:t>
      </w:r>
      <w:r w:rsidRPr="00D44E62">
        <w:t>unavailable".</w:t>
      </w:r>
      <w:r>
        <w:rPr>
          <w:rStyle w:val="FootnoteReference"/>
        </w:rPr>
        <w:footnoteReference w:id="1296"/>
      </w:r>
      <w:r>
        <w:t xml:space="preserve"> </w:t>
      </w:r>
    </w:p>
    <w:p w:rsidR="00AE4AC1" w:rsidRDefault="00AE4AC1" w:rsidP="009E6402">
      <w:pPr>
        <w:pStyle w:val="BodyText"/>
      </w:pPr>
      <w:r>
        <w:t xml:space="preserve">The United States counters that the </w:t>
      </w:r>
      <w:r w:rsidRPr="006643A6">
        <w:rPr>
          <w:lang w:val="en-US"/>
        </w:rPr>
        <w:t>E</w:t>
      </w:r>
      <w:r>
        <w:rPr>
          <w:lang w:val="en-US"/>
        </w:rPr>
        <w:t xml:space="preserve">uropean </w:t>
      </w:r>
      <w:r w:rsidRPr="006643A6">
        <w:rPr>
          <w:lang w:val="en-US"/>
        </w:rPr>
        <w:t>U</w:t>
      </w:r>
      <w:r>
        <w:rPr>
          <w:lang w:val="en-US"/>
        </w:rPr>
        <w:t>nion misconstrues the Panel'</w:t>
      </w:r>
      <w:r w:rsidRPr="006643A6">
        <w:rPr>
          <w:lang w:val="en-US"/>
        </w:rPr>
        <w:t xml:space="preserve">s findings when it cites this statement </w:t>
      </w:r>
      <w:r>
        <w:rPr>
          <w:lang w:val="en-US"/>
        </w:rPr>
        <w:t xml:space="preserve">as standing </w:t>
      </w:r>
      <w:r w:rsidRPr="006643A6">
        <w:rPr>
          <w:lang w:val="en-US"/>
        </w:rPr>
        <w:t xml:space="preserve">for the </w:t>
      </w:r>
      <w:r>
        <w:rPr>
          <w:lang w:val="en-US"/>
        </w:rPr>
        <w:t>proposition that the Panel'</w:t>
      </w:r>
      <w:r w:rsidRPr="006643A6">
        <w:rPr>
          <w:lang w:val="en-US"/>
        </w:rPr>
        <w:t>s test places products in</w:t>
      </w:r>
      <w:r>
        <w:rPr>
          <w:lang w:val="en-US"/>
        </w:rPr>
        <w:t>to</w:t>
      </w:r>
      <w:r w:rsidRPr="006643A6">
        <w:rPr>
          <w:lang w:val="en-US"/>
        </w:rPr>
        <w:t xml:space="preserve"> the same market unless there is no competition between them.</w:t>
      </w:r>
      <w:r>
        <w:rPr>
          <w:rStyle w:val="FootnoteReference"/>
          <w:lang w:val="en-US"/>
        </w:rPr>
        <w:footnoteReference w:id="1297"/>
      </w:r>
      <w:r>
        <w:rPr>
          <w:lang w:val="en-US"/>
        </w:rPr>
        <w:t xml:space="preserve"> According to the United States, t</w:t>
      </w:r>
      <w:r w:rsidRPr="00914A43">
        <w:t>he Panel</w:t>
      </w:r>
      <w:r>
        <w:t xml:space="preserve"> </w:t>
      </w:r>
      <w:r w:rsidRPr="00914A43">
        <w:t xml:space="preserve">was making the point that </w:t>
      </w:r>
      <w:r>
        <w:t>"</w:t>
      </w:r>
      <w:r w:rsidRPr="00914A43">
        <w:t>the success of t</w:t>
      </w:r>
      <w:r>
        <w:t>he A320neo '</w:t>
      </w:r>
      <w:r w:rsidRPr="00914A43">
        <w:rPr>
          <w:i/>
        </w:rPr>
        <w:t>over the 737NG</w:t>
      </w:r>
      <w:r>
        <w:t>'</w:t>
      </w:r>
      <w:r w:rsidRPr="00914A43">
        <w:t xml:space="preserve"> in a given sales campaign does</w:t>
      </w:r>
      <w:r>
        <w:t xml:space="preserve"> not demonstrate an absence of </w:t>
      </w:r>
      <w:r w:rsidRPr="00914A43">
        <w:t>competition</w:t>
      </w:r>
      <w:r>
        <w:t>."</w:t>
      </w:r>
      <w:r>
        <w:rPr>
          <w:rStyle w:val="FootnoteReference"/>
        </w:rPr>
        <w:footnoteReference w:id="1298"/>
      </w:r>
    </w:p>
    <w:p w:rsidR="00AE4AC1" w:rsidRDefault="00AE4AC1" w:rsidP="009E6402">
      <w:pPr>
        <w:pStyle w:val="BodyText"/>
      </w:pPr>
      <w:r>
        <w:t>Contrary to what the European Union suggests, w</w:t>
      </w:r>
      <w:r w:rsidRPr="00D44E62">
        <w:t xml:space="preserve">e do not understand </w:t>
      </w:r>
      <w:r>
        <w:t>the above-quoted statement from the</w:t>
      </w:r>
      <w:r w:rsidRPr="00D44E62">
        <w:t xml:space="preserve"> Panel </w:t>
      </w:r>
      <w:r>
        <w:t xml:space="preserve">Report </w:t>
      </w:r>
      <w:r w:rsidRPr="00D44E62">
        <w:t xml:space="preserve">to </w:t>
      </w:r>
      <w:r>
        <w:t>indicate that the Panel</w:t>
      </w:r>
      <w:r w:rsidRPr="00D92844">
        <w:t xml:space="preserve"> considered the intensity of competition</w:t>
      </w:r>
      <w:r>
        <w:t xml:space="preserve"> between different product types</w:t>
      </w:r>
      <w:r w:rsidRPr="00D92844">
        <w:t xml:space="preserve"> to be </w:t>
      </w:r>
      <w:r w:rsidRPr="00367C95">
        <w:rPr>
          <w:i/>
        </w:rPr>
        <w:t>irrelevant</w:t>
      </w:r>
      <w:r w:rsidRPr="00D92844">
        <w:t xml:space="preserve"> </w:t>
      </w:r>
      <w:r w:rsidRPr="00367C95">
        <w:rPr>
          <w:i/>
        </w:rPr>
        <w:t>per se</w:t>
      </w:r>
      <w:r w:rsidRPr="00D92844">
        <w:t>. Rather, the Panel</w:t>
      </w:r>
      <w:r w:rsidRPr="00D44E62">
        <w:t xml:space="preserve"> appears to have simply expressed the view </w:t>
      </w:r>
      <w:r>
        <w:t>that, to accept the argument by the E</w:t>
      </w:r>
      <w:r w:rsidR="00813952">
        <w:t>uropean Union that there was no </w:t>
      </w:r>
      <w:r>
        <w:t>competition at all between the 737NG and the A320neo in the sales campaigns at issue, it would have had to find that the A320neo had a temporary monopoly at the time of the sales.</w:t>
      </w:r>
      <w:r w:rsidRPr="00D92844">
        <w:t xml:space="preserve"> It does not follow from this that the</w:t>
      </w:r>
      <w:r>
        <w:t xml:space="preserve"> Panel would have considered that two</w:t>
      </w:r>
      <w:r w:rsidRPr="00D92844">
        <w:t xml:space="preserve"> products </w:t>
      </w:r>
      <w:r>
        <w:t>could</w:t>
      </w:r>
      <w:r w:rsidRPr="00D92844">
        <w:t xml:space="preserve"> be found to compete in the same</w:t>
      </w:r>
      <w:r>
        <w:t>, or in different, product</w:t>
      </w:r>
      <w:r w:rsidRPr="00D92844">
        <w:t xml:space="preserve"> market</w:t>
      </w:r>
      <w:r>
        <w:t>s</w:t>
      </w:r>
      <w:r w:rsidRPr="00D92844">
        <w:t xml:space="preserve"> </w:t>
      </w:r>
      <w:r w:rsidRPr="00367C95">
        <w:rPr>
          <w:i/>
        </w:rPr>
        <w:t>regardless of the nature and degree of competition</w:t>
      </w:r>
      <w:r w:rsidRPr="00D92844">
        <w:t xml:space="preserve"> that</w:t>
      </w:r>
      <w:r w:rsidRPr="00D44E62">
        <w:t xml:space="preserve"> exists between them. </w:t>
      </w:r>
      <w:r w:rsidRPr="00A54D77">
        <w:t xml:space="preserve">Instead, the Panel recognized that the degree of competition existing in each of the relevant product markets will not "be identical between all pairings or combinations of aircraft", that there "will be weaker and stronger competitive relationships within each market </w:t>
      </w:r>
      <w:r w:rsidRPr="00A54D77">
        <w:rPr>
          <w:i/>
        </w:rPr>
        <w:t>depending upon the particular circumstances of a sale</w:t>
      </w:r>
      <w:r w:rsidRPr="00A54D77">
        <w:t>"</w:t>
      </w:r>
      <w:r w:rsidRPr="00A54D77">
        <w:rPr>
          <w:rStyle w:val="FootnoteReference"/>
        </w:rPr>
        <w:footnoteReference w:id="1299"/>
      </w:r>
      <w:r w:rsidRPr="00A54D77">
        <w:t xml:space="preserve">, and that "important competitive relationships may also exist between pairings or combinations of aircraft </w:t>
      </w:r>
      <w:r w:rsidRPr="00A54D77">
        <w:rPr>
          <w:i/>
        </w:rPr>
        <w:t xml:space="preserve">across </w:t>
      </w:r>
      <w:r w:rsidRPr="00A54D77">
        <w:t>two, or even all three, of the product markets".</w:t>
      </w:r>
      <w:r w:rsidRPr="00A54D77">
        <w:rPr>
          <w:rStyle w:val="FootnoteReference"/>
        </w:rPr>
        <w:footnoteReference w:id="1300"/>
      </w:r>
      <w:r w:rsidRPr="00A54D77">
        <w:t xml:space="preserve"> The Panel found, however, that</w:t>
      </w:r>
      <w:r>
        <w:t>:</w:t>
      </w:r>
      <w:r w:rsidRPr="00A54D77">
        <w:t xml:space="preserve"> </w:t>
      </w:r>
    </w:p>
    <w:p w:rsidR="00AE4AC1" w:rsidRPr="00C14FE0" w:rsidRDefault="00AE4AC1" w:rsidP="00267BCB">
      <w:pPr>
        <w:pStyle w:val="BodyText"/>
        <w:numPr>
          <w:ilvl w:val="0"/>
          <w:numId w:val="0"/>
        </w:numPr>
        <w:ind w:left="540" w:right="562"/>
      </w:pPr>
      <w:r w:rsidRPr="00A54D77">
        <w:t xml:space="preserve">while it {was} apparent that the three product markets the United States {had} chosen to rely upon to bring its complaint of non-compliance do not exhaustively capture how competition takes place between aircraft in the LCA sector at all times, {the Panel was} satisfied that at present (as in the original proceeding) they represent the three segments within which </w:t>
      </w:r>
      <w:r w:rsidRPr="00A54D77">
        <w:rPr>
          <w:i/>
        </w:rPr>
        <w:t>most</w:t>
      </w:r>
      <w:r w:rsidRPr="00A54D77">
        <w:t xml:space="preserve"> competitive interactions between the relevant aircraft will commonly take place.</w:t>
      </w:r>
      <w:r w:rsidRPr="00A54D77">
        <w:rPr>
          <w:rStyle w:val="FootnoteReference"/>
        </w:rPr>
        <w:footnoteReference w:id="1301"/>
      </w:r>
    </w:p>
    <w:p w:rsidR="00AE4AC1" w:rsidRPr="00D44E62" w:rsidRDefault="00AE4AC1" w:rsidP="009E6402">
      <w:pPr>
        <w:pStyle w:val="BodyText"/>
      </w:pPr>
      <w:r>
        <w:t>Specifically, with respect to competition in the single-aisle LCA market, t</w:t>
      </w:r>
      <w:r w:rsidRPr="00D44E62">
        <w:t xml:space="preserve">he Panel </w:t>
      </w:r>
      <w:r>
        <w:t>noted</w:t>
      </w:r>
      <w:r w:rsidRPr="00D44E62">
        <w:t xml:space="preserve"> that "Airbus ha{d} itself emphasized the high degree of commonality between the A320ceo and the A320neo in a number of publicly available presentations and documents</w:t>
      </w:r>
      <w:r>
        <w:t>.</w:t>
      </w:r>
      <w:r w:rsidRPr="00D44E62">
        <w:t>"</w:t>
      </w:r>
      <w:r>
        <w:rPr>
          <w:rStyle w:val="FootnoteReference"/>
        </w:rPr>
        <w:footnoteReference w:id="1302"/>
      </w:r>
      <w:r w:rsidRPr="00D44E62">
        <w:t xml:space="preserve"> The Panel </w:t>
      </w:r>
      <w:r>
        <w:t xml:space="preserve">also </w:t>
      </w:r>
      <w:r w:rsidRPr="00D44E62">
        <w:t xml:space="preserve">found that "the new generation of Airbus and Boeing single-aisle aircraft </w:t>
      </w:r>
      <w:r w:rsidR="00AA2C33">
        <w:t>may</w:t>
      </w:r>
      <w:r w:rsidRPr="00D44E62">
        <w:t xml:space="preserve"> be viewed as updated, more fuel efficient, versions of their current single-aisle offerings, principally intended to serve the same missions already operated by existing single-aisle customers</w:t>
      </w:r>
      <w:r>
        <w:t>.</w:t>
      </w:r>
      <w:r w:rsidRPr="00D44E62">
        <w:t>"</w:t>
      </w:r>
      <w:r>
        <w:rPr>
          <w:rStyle w:val="FootnoteReference"/>
        </w:rPr>
        <w:footnoteReference w:id="1303"/>
      </w:r>
      <w:r w:rsidRPr="00D44E62">
        <w:t xml:space="preserve"> In the Panel's view</w:t>
      </w:r>
      <w:r>
        <w:t>,</w:t>
      </w:r>
      <w:r w:rsidRPr="00D44E62">
        <w:t xml:space="preserve"> it followed that "a typical customer wanting to purchase a single-aisle aircraft </w:t>
      </w:r>
      <w:r w:rsidRPr="00D92844">
        <w:t xml:space="preserve">{would} have a </w:t>
      </w:r>
      <w:r w:rsidRPr="00D92844">
        <w:rPr>
          <w:i/>
        </w:rPr>
        <w:t>potential</w:t>
      </w:r>
      <w:r w:rsidRPr="00D92844">
        <w:t xml:space="preserve"> choice between two aircraft from each manufacturer, one from</w:t>
      </w:r>
      <w:r w:rsidRPr="00D44E62">
        <w:t xml:space="preserve"> a current version and another from the new generation of products</w:t>
      </w:r>
      <w:r>
        <w:t>.</w:t>
      </w:r>
      <w:r w:rsidRPr="00D44E62">
        <w:t>"</w:t>
      </w:r>
      <w:r>
        <w:rPr>
          <w:rStyle w:val="FootnoteReference"/>
        </w:rPr>
        <w:footnoteReference w:id="1304"/>
      </w:r>
      <w:r w:rsidRPr="00D44E62">
        <w:t xml:space="preserve"> </w:t>
      </w:r>
      <w:r>
        <w:t>Thus, as we see it</w:t>
      </w:r>
      <w:r w:rsidRPr="00D44E62">
        <w:t xml:space="preserve">, in assessing the nature and extent of competition between "both producers' range of new generation single-aisle products </w:t>
      </w:r>
      <w:r>
        <w:t>{and}</w:t>
      </w:r>
      <w:r w:rsidRPr="00D44E62">
        <w:t xml:space="preserve"> their current versions"</w:t>
      </w:r>
      <w:r>
        <w:rPr>
          <w:rStyle w:val="FootnoteReference"/>
        </w:rPr>
        <w:footnoteReference w:id="1305"/>
      </w:r>
      <w:r>
        <w:t>,</w:t>
      </w:r>
      <w:r w:rsidRPr="00D44E62">
        <w:t xml:space="preserve"> the Panel took into account the Appellate Body's guidance regarding the identification of relevant product </w:t>
      </w:r>
      <w:r w:rsidRPr="006812C3">
        <w:t>markets</w:t>
      </w:r>
      <w:r w:rsidRPr="00D44E62">
        <w:t xml:space="preserve"> by considering the requisite demand</w:t>
      </w:r>
      <w:r>
        <w:noBreakHyphen/>
      </w:r>
      <w:r w:rsidRPr="00D44E62">
        <w:t>side substitutability factors.</w:t>
      </w:r>
      <w:r>
        <w:rPr>
          <w:rStyle w:val="FootnoteReference"/>
        </w:rPr>
        <w:footnoteReference w:id="1306"/>
      </w:r>
      <w:r>
        <w:t xml:space="preserve"> Contrary to what the European Union </w:t>
      </w:r>
      <w:r>
        <w:rPr>
          <w:szCs w:val="18"/>
        </w:rPr>
        <w:t xml:space="preserve">appears to suggest, the Panel therefore did not disregard the European Union's argument </w:t>
      </w:r>
      <w:r w:rsidRPr="00B6417E">
        <w:rPr>
          <w:szCs w:val="18"/>
        </w:rPr>
        <w:t>that</w:t>
      </w:r>
      <w:r>
        <w:rPr>
          <w:szCs w:val="18"/>
        </w:rPr>
        <w:t xml:space="preserve"> competition in the single-aisle LCA market takes place in two separate product markets: one for the c</w:t>
      </w:r>
      <w:r w:rsidR="00944042">
        <w:rPr>
          <w:szCs w:val="18"/>
        </w:rPr>
        <w:t>urrent versions of the A320 and </w:t>
      </w:r>
      <w:r>
        <w:rPr>
          <w:szCs w:val="18"/>
        </w:rPr>
        <w:t>737NG families; and the other for the new generation A320neo and 737MAX families.</w:t>
      </w:r>
      <w:r>
        <w:rPr>
          <w:rStyle w:val="FootnoteReference"/>
          <w:szCs w:val="18"/>
        </w:rPr>
        <w:footnoteReference w:id="1307"/>
      </w:r>
      <w:r>
        <w:rPr>
          <w:szCs w:val="18"/>
        </w:rPr>
        <w:t xml:space="preserve"> Rather, the Panel addressed this argument by the European Union, but disagreed with it.</w:t>
      </w:r>
    </w:p>
    <w:p w:rsidR="00AE4AC1" w:rsidRPr="00D44E62" w:rsidRDefault="00AE4AC1" w:rsidP="009E6402">
      <w:pPr>
        <w:pStyle w:val="BodyText"/>
      </w:pPr>
      <w:r>
        <w:t xml:space="preserve">The Panel </w:t>
      </w:r>
      <w:r w:rsidRPr="00D44E62">
        <w:t>consider</w:t>
      </w:r>
      <w:r>
        <w:t>ed, for example,</w:t>
      </w:r>
      <w:r w:rsidRPr="00D44E62">
        <w:t xml:space="preserve"> the </w:t>
      </w:r>
      <w:r>
        <w:t>United States'</w:t>
      </w:r>
      <w:r w:rsidRPr="00D44E62">
        <w:t xml:space="preserve"> argument that "the </w:t>
      </w:r>
      <w:r w:rsidRPr="00D92844">
        <w:t xml:space="preserve">existence of </w:t>
      </w:r>
      <w:r w:rsidRPr="00007EA9">
        <w:rPr>
          <w:i/>
        </w:rPr>
        <w:t>effective</w:t>
      </w:r>
      <w:r w:rsidRPr="00D92844">
        <w:t xml:space="preserve"> competition between the current and new generation of single-aisle</w:t>
      </w:r>
      <w:r w:rsidRPr="00D44E62">
        <w:t xml:space="preserve"> LCA products is evidenced by the pricing pressures that the two sets of LCA place on each other</w:t>
      </w:r>
      <w:r>
        <w:t>.</w:t>
      </w:r>
      <w:r w:rsidRPr="00D44E62">
        <w:t>"</w:t>
      </w:r>
      <w:r>
        <w:rPr>
          <w:rStyle w:val="FootnoteReference"/>
        </w:rPr>
        <w:footnoteReference w:id="1308"/>
      </w:r>
      <w:r w:rsidRPr="00D44E62">
        <w:t xml:space="preserve"> The Panel found </w:t>
      </w:r>
      <w:r>
        <w:t xml:space="preserve">in this regard </w:t>
      </w:r>
      <w:r w:rsidRPr="00D44E62">
        <w:t>that</w:t>
      </w:r>
      <w:r>
        <w:t>,</w:t>
      </w:r>
      <w:r w:rsidRPr="00D44E62">
        <w:t xml:space="preserve"> "in setting the price for new generation products, Airbus and Boeing {would} not only have to consider each other's pricing on the 737MAX and A320neo, but also the</w:t>
      </w:r>
      <w:r w:rsidR="00267BCB">
        <w:t> </w:t>
      </w:r>
      <w:r w:rsidRPr="00D44E62">
        <w:t>737NG and A320ceo</w:t>
      </w:r>
      <w:r>
        <w:t>.</w:t>
      </w:r>
      <w:r w:rsidRPr="00D44E62">
        <w:t>"</w:t>
      </w:r>
      <w:r>
        <w:rPr>
          <w:rStyle w:val="FootnoteReference"/>
        </w:rPr>
        <w:footnoteReference w:id="1309"/>
      </w:r>
      <w:r w:rsidRPr="00D44E62">
        <w:t xml:space="preserve"> According to the Panel, this suggested that </w:t>
      </w:r>
      <w:r>
        <w:t>"</w:t>
      </w:r>
      <w:r w:rsidRPr="00D44E62">
        <w:t xml:space="preserve">current versions of Airbus and Boeing single-aisle LCA </w:t>
      </w:r>
      <w:r>
        <w:t>do</w:t>
      </w:r>
      <w:r w:rsidRPr="00D44E62">
        <w:t xml:space="preserve"> impose</w:t>
      </w:r>
      <w:r>
        <w:t xml:space="preserve"> </w:t>
      </w:r>
      <w:r w:rsidRPr="00D44E62">
        <w:t>pricing constraints on their new generation models".</w:t>
      </w:r>
      <w:r>
        <w:rPr>
          <w:rStyle w:val="FootnoteReference"/>
        </w:rPr>
        <w:footnoteReference w:id="1310"/>
      </w:r>
      <w:r w:rsidRPr="00D44E62">
        <w:t xml:space="preserve"> The Panel found add</w:t>
      </w:r>
      <w:r>
        <w:t>itional</w:t>
      </w:r>
      <w:r w:rsidRPr="00D44E62">
        <w:t xml:space="preserve"> support from the evidence on record, noting:</w:t>
      </w:r>
    </w:p>
    <w:p w:rsidR="00AE4AC1" w:rsidRPr="00D92844" w:rsidRDefault="00AE4AC1" w:rsidP="00267BCB">
      <w:pPr>
        <w:pStyle w:val="Quotation"/>
        <w:rPr>
          <w:szCs w:val="20"/>
        </w:rPr>
      </w:pPr>
      <w:r w:rsidRPr="00D92844">
        <w:rPr>
          <w:szCs w:val="20"/>
        </w:rPr>
        <w:t xml:space="preserve">From customer's perspective, the only meaningful difference between the {current version and new generation aircraft} is an operating cost difference driven by the improved fuel efficiency of the new engines on the neo and the MAX. </w:t>
      </w:r>
      <w:r w:rsidRPr="00D92844">
        <w:rPr>
          <w:i/>
          <w:szCs w:val="20"/>
        </w:rPr>
        <w:t>Neither Airbus nor Boeing is able to increase prices for the newer models by the net present value of their enhanced fuel efficiency, since that would neutralize their operating cost advantage over earlier models and thereby leave customers with little incentive to adopt the newer models</w:t>
      </w:r>
      <w:r w:rsidRPr="00D92844">
        <w:rPr>
          <w:szCs w:val="20"/>
        </w:rPr>
        <w:t>. Indeed, pricing for the A320neo and 737MAX is generally constrained by the market presence of earlier models, as the value of the latter's fuel burn disadvantage tend to diminish on a dollar-for-dollar basis as neo and MAX prices increase.</w:t>
      </w:r>
      <w:r>
        <w:rPr>
          <w:rStyle w:val="FootnoteReference"/>
          <w:szCs w:val="20"/>
        </w:rPr>
        <w:footnoteReference w:id="1311"/>
      </w:r>
    </w:p>
    <w:p w:rsidR="00AE4AC1" w:rsidRPr="00505C5A" w:rsidRDefault="00AE4AC1" w:rsidP="00267BCB">
      <w:pPr>
        <w:pStyle w:val="Quotation"/>
        <w:rPr>
          <w:szCs w:val="20"/>
        </w:rPr>
      </w:pPr>
      <w:r w:rsidRPr="00D92844">
        <w:rPr>
          <w:szCs w:val="20"/>
        </w:rPr>
        <w:t xml:space="preserve">Airlines will be able to take the advertised and guaranteed fuel burn advantages of the new generation aircraft and apply what they know about fuel prices and their own operations to estimate these present values. </w:t>
      </w:r>
      <w:r w:rsidRPr="00D92844">
        <w:rPr>
          <w:i/>
          <w:szCs w:val="20"/>
        </w:rPr>
        <w:t xml:space="preserve">This will allow them to quantify the advantage that operating new generation aircraft offers to the airlines' bottom line over current generation aircraft. In practice, Boeing and Airbus have had to "share" </w:t>
      </w:r>
      <w:r w:rsidRPr="00505C5A">
        <w:rPr>
          <w:i/>
          <w:szCs w:val="20"/>
        </w:rPr>
        <w:t>the cost-savings and value advantages from new generation ne</w:t>
      </w:r>
      <w:r>
        <w:rPr>
          <w:i/>
          <w:szCs w:val="20"/>
        </w:rPr>
        <w:t>o</w:t>
      </w:r>
      <w:r w:rsidRPr="00505C5A">
        <w:rPr>
          <w:i/>
          <w:szCs w:val="20"/>
        </w:rPr>
        <w:t xml:space="preserve"> and MAX with single</w:t>
      </w:r>
      <w:r w:rsidRPr="00505C5A">
        <w:rPr>
          <w:i/>
          <w:szCs w:val="20"/>
        </w:rPr>
        <w:noBreakHyphen/>
        <w:t>aisle customers.</w:t>
      </w:r>
      <w:r w:rsidRPr="008A597A">
        <w:rPr>
          <w:rStyle w:val="FootnoteReference"/>
          <w:szCs w:val="20"/>
        </w:rPr>
        <w:footnoteReference w:id="1312"/>
      </w:r>
    </w:p>
    <w:p w:rsidR="00AE4AC1" w:rsidRDefault="00AE4AC1" w:rsidP="009E6402">
      <w:pPr>
        <w:pStyle w:val="BodyText"/>
      </w:pPr>
      <w:r>
        <w:t>The Panel also considered the</w:t>
      </w:r>
      <w:r w:rsidRPr="00505C5A">
        <w:t xml:space="preserve"> </w:t>
      </w:r>
      <w:r>
        <w:t>European Union's arguments</w:t>
      </w:r>
      <w:r w:rsidRPr="00505C5A">
        <w:t xml:space="preserve"> that "the current versions of Airbus and Boeing single-aisle LCA products {did} not place any significant pricing constraints on their respective new generation models"</w:t>
      </w:r>
      <w:r w:rsidRPr="00505C5A">
        <w:rPr>
          <w:rStyle w:val="FootnoteReference"/>
        </w:rPr>
        <w:footnoteReference w:id="1313"/>
      </w:r>
      <w:r w:rsidRPr="00505C5A">
        <w:t xml:space="preserve"> and "the only significant pricing constraints that affect the sale of Airbus and Boeing new generation aircraft result exclusively from the competitive pressures that the 737MAX and the A320neo place on each other</w:t>
      </w:r>
      <w:r>
        <w:t>.</w:t>
      </w:r>
      <w:r w:rsidRPr="00505C5A">
        <w:t>"</w:t>
      </w:r>
      <w:r w:rsidRPr="00505C5A">
        <w:rPr>
          <w:rStyle w:val="FootnoteReference"/>
        </w:rPr>
        <w:footnoteReference w:id="1314"/>
      </w:r>
      <w:r w:rsidRPr="00505C5A">
        <w:t xml:space="preserve"> Based on its analysis of the</w:t>
      </w:r>
      <w:r>
        <w:t xml:space="preserve"> evidence adduced by the </w:t>
      </w:r>
      <w:r w:rsidRPr="00505C5A">
        <w:t xml:space="preserve">European Union, </w:t>
      </w:r>
      <w:r>
        <w:t xml:space="preserve">the </w:t>
      </w:r>
      <w:r w:rsidRPr="00505C5A">
        <w:t xml:space="preserve">Panel </w:t>
      </w:r>
      <w:r>
        <w:t>found</w:t>
      </w:r>
      <w:r w:rsidRPr="00505C5A">
        <w:t xml:space="preserve"> that, "{w}hile operating costs (including fuel-efficiency) {would} invariably play a significant role in any customer's purchase decision, there {were} other factors that {would} also play an important role", </w:t>
      </w:r>
      <w:r w:rsidR="00EA71C7">
        <w:t>such as "price, </w:t>
      </w:r>
      <w:r w:rsidRPr="00505C5A">
        <w:t>fleet commonality, and date of delivery".</w:t>
      </w:r>
      <w:r w:rsidRPr="00505C5A">
        <w:rPr>
          <w:rStyle w:val="FootnoteReference"/>
        </w:rPr>
        <w:footnoteReference w:id="1315"/>
      </w:r>
      <w:r w:rsidRPr="00505C5A">
        <w:t xml:space="preserve"> The Panel further considered that "the available date of delivery of a particular aircraft {would} weigh heavily in the economic assessment that a potential customer {would} undertake of the value of that aircraft to its business model and strategic objectives."</w:t>
      </w:r>
      <w:r w:rsidRPr="00505C5A">
        <w:rPr>
          <w:rStyle w:val="FootnoteReference"/>
        </w:rPr>
        <w:footnoteReference w:id="1316"/>
      </w:r>
      <w:r w:rsidRPr="00505C5A">
        <w:t xml:space="preserve"> In each case, the customer would have</w:t>
      </w:r>
      <w:r w:rsidR="00267BCB">
        <w:t xml:space="preserve"> to choose between two options: </w:t>
      </w:r>
      <w:r w:rsidRPr="00505C5A">
        <w:t>(i)</w:t>
      </w:r>
      <w:r>
        <w:t> </w:t>
      </w:r>
      <w:r w:rsidRPr="00505C5A">
        <w:t xml:space="preserve">"buying a relatively higher priced {new generation} aircraft with relatively low operating costs that </w:t>
      </w:r>
      <w:r w:rsidRPr="008A597A">
        <w:rPr>
          <w:i/>
        </w:rPr>
        <w:t>is</w:t>
      </w:r>
      <w:r w:rsidRPr="00505C5A">
        <w:rPr>
          <w:i/>
        </w:rPr>
        <w:t xml:space="preserve"> not </w:t>
      </w:r>
      <w:r w:rsidRPr="00505C5A">
        <w:t>available in the near term"</w:t>
      </w:r>
      <w:r>
        <w:t>;</w:t>
      </w:r>
      <w:r w:rsidRPr="00505C5A">
        <w:t xml:space="preserve"> or (ii) "buying a lower priced {current version} aircraft with higher operating costs that </w:t>
      </w:r>
      <w:r w:rsidRPr="008A597A">
        <w:rPr>
          <w:i/>
        </w:rPr>
        <w:t>is</w:t>
      </w:r>
      <w:r w:rsidR="00CB69E6">
        <w:t xml:space="preserve"> available in the near term</w:t>
      </w:r>
      <w:r w:rsidRPr="00505C5A">
        <w:t>".</w:t>
      </w:r>
      <w:r w:rsidRPr="00505C5A">
        <w:rPr>
          <w:rStyle w:val="FootnoteReference"/>
        </w:rPr>
        <w:footnoteReference w:id="1317"/>
      </w:r>
      <w:r w:rsidR="00EA71C7">
        <w:t xml:space="preserve"> On </w:t>
      </w:r>
      <w:r w:rsidRPr="00505C5A">
        <w:t xml:space="preserve">this basis, the Panel agreed with the United States that </w:t>
      </w:r>
      <w:r>
        <w:t>"</w:t>
      </w:r>
      <w:r w:rsidRPr="00505C5A">
        <w:t xml:space="preserve">the superiority of the new generation aircraft over current versions delivered on the same date </w:t>
      </w:r>
      <w:r w:rsidRPr="00505C5A">
        <w:rPr>
          <w:i/>
        </w:rPr>
        <w:t>does not establish that the two sets of LCA are not substitutable</w:t>
      </w:r>
      <w:r w:rsidRPr="00505C5A">
        <w:t>."</w:t>
      </w:r>
      <w:r w:rsidRPr="00505C5A">
        <w:rPr>
          <w:rStyle w:val="FootnoteReference"/>
        </w:rPr>
        <w:footnoteReference w:id="1318"/>
      </w:r>
      <w:r w:rsidRPr="00505C5A">
        <w:t xml:space="preserve"> The Panel added</w:t>
      </w:r>
      <w:r>
        <w:t>:</w:t>
      </w:r>
      <w:r w:rsidRPr="00505C5A">
        <w:t xml:space="preserve"> </w:t>
      </w:r>
    </w:p>
    <w:p w:rsidR="00AE4AC1" w:rsidRPr="00D976D1" w:rsidRDefault="00AE4AC1" w:rsidP="00267BCB">
      <w:pPr>
        <w:pStyle w:val="BodyText"/>
        <w:numPr>
          <w:ilvl w:val="0"/>
          <w:numId w:val="0"/>
        </w:numPr>
        <w:ind w:left="547" w:right="562"/>
      </w:pPr>
      <w:r>
        <w:t>t</w:t>
      </w:r>
      <w:r w:rsidRPr="00505C5A">
        <w:t>o the extent that delivery dates may (alone or in combination with other non</w:t>
      </w:r>
      <w:r w:rsidRPr="00505C5A">
        <w:noBreakHyphen/>
        <w:t>price factors) play a decisive role in a customer's purchase decision, it is apparent that airlines wanting to purchase aircraft that can perform single</w:t>
      </w:r>
      <w:r>
        <w:noBreakHyphen/>
      </w:r>
      <w:r w:rsidRPr="00505C5A">
        <w:t xml:space="preserve">aisle missions are likely to view the current versions and new </w:t>
      </w:r>
      <w:r w:rsidRPr="00D976D1">
        <w:t xml:space="preserve">generation models of Airbus and Boeing single-aisle LCA to be </w:t>
      </w:r>
      <w:r w:rsidRPr="00D976D1">
        <w:rPr>
          <w:i/>
        </w:rPr>
        <w:t>potential substitutes</w:t>
      </w:r>
      <w:r w:rsidRPr="00D976D1">
        <w:t>.</w:t>
      </w:r>
      <w:r w:rsidRPr="00D976D1">
        <w:rPr>
          <w:rStyle w:val="FootnoteReference"/>
        </w:rPr>
        <w:footnoteReference w:id="1319"/>
      </w:r>
    </w:p>
    <w:p w:rsidR="00AE4AC1" w:rsidRPr="00D92844" w:rsidRDefault="00AE4AC1" w:rsidP="009E6402">
      <w:pPr>
        <w:pStyle w:val="BodyText"/>
      </w:pPr>
      <w:r w:rsidRPr="00D976D1">
        <w:t>Thereafter, the Panel turned to the arguments and evidence presented by the parties in respect of specific sales campaigns. Based on its analysis, the Panel did</w:t>
      </w:r>
      <w:r w:rsidR="00267BCB">
        <w:t xml:space="preserve"> not understand the 2011 </w:t>
      </w:r>
      <w:r w:rsidRPr="00D976D1">
        <w:t>AirAsia, Cebu Pacific Air, GoAir, IndiGo, Lufthansa, Qantas/Jetstar, and TAM sales campaigns "to be examples of situations where customers found new generation and current versions of Airbus and Boeing single-aisle</w:t>
      </w:r>
      <w:r w:rsidRPr="00D44E62">
        <w:t xml:space="preserve"> aircraft not to compete".</w:t>
      </w:r>
      <w:r>
        <w:rPr>
          <w:rStyle w:val="FootnoteReference"/>
        </w:rPr>
        <w:footnoteReference w:id="1320"/>
      </w:r>
      <w:r w:rsidRPr="00D44E62">
        <w:t xml:space="preserve"> Rather, </w:t>
      </w:r>
      <w:r>
        <w:t>the Panel considered that</w:t>
      </w:r>
      <w:r w:rsidRPr="00D44E62">
        <w:t xml:space="preserve"> "the fact that </w:t>
      </w:r>
      <w:r w:rsidRPr="00D92844">
        <w:t xml:space="preserve">several airlines chose to purchase the A320neo </w:t>
      </w:r>
      <w:r w:rsidRPr="00152F9C">
        <w:rPr>
          <w:i/>
        </w:rPr>
        <w:t>over the 737NG</w:t>
      </w:r>
      <w:r w:rsidRPr="00D92844">
        <w:t>, simply suggest{ed}</w:t>
      </w:r>
      <w:r w:rsidRPr="00D44E62">
        <w:t xml:space="preserve"> that each of the relevant customers found the A320neo to be a better fit with its business model and strategic objectives, in the light of the economic value offered by </w:t>
      </w:r>
      <w:r w:rsidR="00EA71C7">
        <w:rPr>
          <w:i/>
        </w:rPr>
        <w:t>each </w:t>
      </w:r>
      <w:r w:rsidRPr="00152F9C">
        <w:rPr>
          <w:i/>
        </w:rPr>
        <w:t>aircraft</w:t>
      </w:r>
      <w:r w:rsidRPr="00F858DE">
        <w:t>,</w:t>
      </w:r>
      <w:r w:rsidRPr="00152F9C">
        <w:rPr>
          <w:i/>
        </w:rPr>
        <w:t xml:space="preserve"> </w:t>
      </w:r>
      <w:r w:rsidRPr="00D92844">
        <w:t>including the proposed terms and conditions of sale."</w:t>
      </w:r>
      <w:r>
        <w:rPr>
          <w:rStyle w:val="FootnoteReference"/>
        </w:rPr>
        <w:footnoteReference w:id="1321"/>
      </w:r>
      <w:r w:rsidRPr="00D92844">
        <w:t xml:space="preserve"> </w:t>
      </w:r>
    </w:p>
    <w:p w:rsidR="00AE4AC1" w:rsidRPr="00D44E62" w:rsidRDefault="00AE4AC1" w:rsidP="009E6402">
      <w:pPr>
        <w:pStyle w:val="BodyText"/>
      </w:pPr>
      <w:r w:rsidRPr="00D44E62">
        <w:t>Turning to the 2011 American Airlines and 2011</w:t>
      </w:r>
      <w:r w:rsidRPr="00D44E62">
        <w:noBreakHyphen/>
        <w:t xml:space="preserve">2012 Norwegian Air Shuttle campaigns, the Panel found that these sales campaigns did </w:t>
      </w:r>
      <w:r>
        <w:t>"</w:t>
      </w:r>
      <w:r w:rsidRPr="00D44E62">
        <w:t xml:space="preserve">not show that the 737NG </w:t>
      </w:r>
      <w:r w:rsidRPr="00D92844">
        <w:t xml:space="preserve">did not compete </w:t>
      </w:r>
      <w:r w:rsidRPr="00D92844">
        <w:rPr>
          <w:i/>
        </w:rPr>
        <w:t>sufficiently</w:t>
      </w:r>
      <w:r w:rsidRPr="00D92844">
        <w:t xml:space="preserve"> with the A320neo to conclude that the two aircraft are in</w:t>
      </w:r>
      <w:r w:rsidRPr="00D44E62">
        <w:t xml:space="preserve"> different product </w:t>
      </w:r>
      <w:r w:rsidRPr="006812C3">
        <w:t>markets</w:t>
      </w:r>
      <w:r w:rsidR="00E30092">
        <w:t>, but </w:t>
      </w:r>
      <w:r w:rsidRPr="00D44E62">
        <w:t>only that the A320neo, on the terms and conditions it was offered in that sales campaign, was a very strong competitor".</w:t>
      </w:r>
      <w:r>
        <w:rPr>
          <w:rStyle w:val="FootnoteReference"/>
        </w:rPr>
        <w:footnoteReference w:id="1322"/>
      </w:r>
      <w:r w:rsidRPr="00D44E62">
        <w:t xml:space="preserve"> The Panel </w:t>
      </w:r>
      <w:bookmarkStart w:id="157" w:name="_Ref374440035"/>
      <w:r>
        <w:t xml:space="preserve">added that, "{r}ather than showing that the 737NG </w:t>
      </w:r>
      <w:r w:rsidR="00AA2C33">
        <w:t>{did}</w:t>
      </w:r>
      <w:r>
        <w:t xml:space="preserve"> not compete with the A320neo", </w:t>
      </w:r>
      <w:r w:rsidRPr="00D44E62">
        <w:t xml:space="preserve">the 2011 American Airlines sales campaign represented </w:t>
      </w:r>
      <w:r>
        <w:t>"</w:t>
      </w:r>
      <w:r w:rsidRPr="00D44E62">
        <w:t xml:space="preserve">a clear example of one aspect of the </w:t>
      </w:r>
      <w:r w:rsidRPr="00D45CBB">
        <w:rPr>
          <w:i/>
        </w:rPr>
        <w:t>very essence of competition</w:t>
      </w:r>
      <w:r w:rsidRPr="00D44E62">
        <w:t xml:space="preserve"> between Airbus and Boeing"</w:t>
      </w:r>
      <w:r>
        <w:rPr>
          <w:rStyle w:val="FootnoteReference"/>
        </w:rPr>
        <w:footnoteReference w:id="1323"/>
      </w:r>
      <w:r>
        <w:t>,</w:t>
      </w:r>
      <w:r w:rsidRPr="00D44E62">
        <w:t xml:space="preserve"> namely, "the introduction </w:t>
      </w:r>
      <w:r w:rsidRPr="00D92844">
        <w:t xml:space="preserve">of technologically superior products for the purpose of </w:t>
      </w:r>
      <w:r w:rsidRPr="00D92844">
        <w:rPr>
          <w:i/>
        </w:rPr>
        <w:t>winning the competition</w:t>
      </w:r>
      <w:r w:rsidRPr="00D92844">
        <w:t xml:space="preserve"> for</w:t>
      </w:r>
      <w:r w:rsidRPr="00D44E62">
        <w:t xml:space="preserve"> single-aisle aircraft customers</w:t>
      </w:r>
      <w:r>
        <w:t>.</w:t>
      </w:r>
      <w:r w:rsidRPr="00D44E62">
        <w:t>"</w:t>
      </w:r>
      <w:r>
        <w:rPr>
          <w:rStyle w:val="FootnoteReference"/>
        </w:rPr>
        <w:footnoteReference w:id="1324"/>
      </w:r>
      <w:r w:rsidRPr="00D44E62">
        <w:t xml:space="preserve"> The Panel further stated that</w:t>
      </w:r>
      <w:r>
        <w:t xml:space="preserve"> it did "</w:t>
      </w:r>
      <w:r w:rsidRPr="00D44E62">
        <w:t xml:space="preserve">not believe that the acknowledged fuel-burn superiority of the </w:t>
      </w:r>
      <w:r w:rsidRPr="00D92844">
        <w:t>new generation of Airbus and Boeing single</w:t>
      </w:r>
      <w:r>
        <w:noBreakHyphen/>
      </w:r>
      <w:r w:rsidRPr="00D92844">
        <w:t xml:space="preserve">aisle LCA </w:t>
      </w:r>
      <w:r w:rsidRPr="00D92844">
        <w:rPr>
          <w:i/>
        </w:rPr>
        <w:t>necessarily</w:t>
      </w:r>
      <w:r w:rsidRPr="00D92844">
        <w:t xml:space="preserve"> mean{t} that they</w:t>
      </w:r>
      <w:r w:rsidRPr="00D44E62">
        <w:t xml:space="preserve"> {did} not compete with current versions of their single</w:t>
      </w:r>
      <w:r>
        <w:noBreakHyphen/>
      </w:r>
      <w:r w:rsidRPr="00D44E62">
        <w:t>aisle offerings</w:t>
      </w:r>
      <w:r>
        <w:t>.</w:t>
      </w:r>
      <w:r w:rsidRPr="00D44E62">
        <w:t>"</w:t>
      </w:r>
      <w:r>
        <w:rPr>
          <w:rStyle w:val="FootnoteReference"/>
        </w:rPr>
        <w:footnoteReference w:id="1325"/>
      </w:r>
      <w:r w:rsidRPr="00D44E62">
        <w:t xml:space="preserve"> In</w:t>
      </w:r>
      <w:r>
        <w:t>stead</w:t>
      </w:r>
      <w:r w:rsidRPr="00D44E62">
        <w:t>, the Panel recalled that "both manufacturers' new generation aircraft {were} specifically intended to operate missions that {would} largely overlap those already serviced by current versions</w:t>
      </w:r>
      <w:r>
        <w:t>.</w:t>
      </w:r>
      <w:r w:rsidRPr="00D44E62">
        <w:t>"</w:t>
      </w:r>
      <w:bookmarkEnd w:id="157"/>
      <w:r>
        <w:rPr>
          <w:rStyle w:val="FootnoteReference"/>
        </w:rPr>
        <w:footnoteReference w:id="1326"/>
      </w:r>
      <w:r w:rsidRPr="00D44E62">
        <w:t xml:space="preserve"> It was in this context that the Panel stated that</w:t>
      </w:r>
      <w:r>
        <w:t>, "{in} </w:t>
      </w:r>
      <w:r w:rsidRPr="00D44E62">
        <w:t xml:space="preserve">order to accept that the 737NG did not compete with the A320neo </w:t>
      </w:r>
      <w:r w:rsidRPr="00D44E62">
        <w:rPr>
          <w:u w:val="single"/>
        </w:rPr>
        <w:t>in these sales</w:t>
      </w:r>
      <w:r w:rsidRPr="00D44E62">
        <w:t xml:space="preserve">, {it} would have to be convinced that in the absence of the A320neo, the same airlines would have </w:t>
      </w:r>
      <w:r w:rsidRPr="00D92844">
        <w:t xml:space="preserve">preferred to purchase </w:t>
      </w:r>
      <w:r w:rsidRPr="00D92844">
        <w:rPr>
          <w:i/>
        </w:rPr>
        <w:t xml:space="preserve">no aircraft at all – </w:t>
      </w:r>
      <w:r w:rsidRPr="00D92844">
        <w:t>in other words, that</w:t>
      </w:r>
      <w:r w:rsidRPr="00D92844">
        <w:rPr>
          <w:i/>
        </w:rPr>
        <w:t xml:space="preserve"> </w:t>
      </w:r>
      <w:r w:rsidRPr="00D92844">
        <w:t>at the time of the sales, the</w:t>
      </w:r>
      <w:r w:rsidRPr="00D44E62">
        <w:t xml:space="preserve"> A320neo had a temporary monopoly."</w:t>
      </w:r>
      <w:r>
        <w:rPr>
          <w:rStyle w:val="FootnoteReference"/>
        </w:rPr>
        <w:footnoteReference w:id="1327"/>
      </w:r>
      <w:r w:rsidRPr="00D44E62">
        <w:t xml:space="preserve"> </w:t>
      </w:r>
      <w:r w:rsidRPr="00A54D77">
        <w:t>As we understand it, this statement by the Panel concerns circumstances in which the Panel could find that the 737NG and the A320neo did not compete in the context of a particular sales campaign</w:t>
      </w:r>
      <w:r>
        <w:t>;</w:t>
      </w:r>
      <w:r w:rsidRPr="00A54D77">
        <w:t xml:space="preserve"> </w:t>
      </w:r>
      <w:r>
        <w:t>i</w:t>
      </w:r>
      <w:r w:rsidRPr="00A54D77">
        <w:t>t does not suggest that the Panel considered the degree and nature of competition between different product types to be altogether irrelevant, as the European</w:t>
      </w:r>
      <w:r>
        <w:t> </w:t>
      </w:r>
      <w:r w:rsidRPr="00A54D77">
        <w:t>Union suggests. Indeed, the Panel observed that the nature and degree of competition between product types may vary "</w:t>
      </w:r>
      <w:r w:rsidRPr="00A54D77">
        <w:rPr>
          <w:i/>
        </w:rPr>
        <w:t>depending upon the particular circumstances of a sale</w:t>
      </w:r>
      <w:r w:rsidRPr="00A54D77">
        <w:t>".</w:t>
      </w:r>
      <w:r w:rsidRPr="00A54D77">
        <w:rPr>
          <w:vertAlign w:val="superscript"/>
        </w:rPr>
        <w:footnoteReference w:id="1328"/>
      </w:r>
    </w:p>
    <w:p w:rsidR="00AE4AC1" w:rsidRDefault="00AE4AC1" w:rsidP="009E6402">
      <w:pPr>
        <w:pStyle w:val="BodyText"/>
      </w:pPr>
      <w:r w:rsidRPr="003B1AA5">
        <w:t xml:space="preserve">As we see it, the Panel therefore </w:t>
      </w:r>
      <w:r>
        <w:t xml:space="preserve">sufficiently </w:t>
      </w:r>
      <w:r w:rsidRPr="003B1AA5">
        <w:t>scrutinized the nature and extent of actual or potential competition between the new generation and the current generation of Boeing and Airbus single-aisle LCA</w:t>
      </w:r>
      <w:r>
        <w:t>,</w:t>
      </w:r>
      <w:r w:rsidRPr="003B1AA5">
        <w:t xml:space="preserve"> in light of th</w:t>
      </w:r>
      <w:r w:rsidRPr="0018483E">
        <w:t xml:space="preserve">e arguments and evidence </w:t>
      </w:r>
      <w:r w:rsidRPr="00400AB2">
        <w:t>presented by the parties</w:t>
      </w:r>
      <w:r>
        <w:t>,</w:t>
      </w:r>
      <w:r w:rsidRPr="00400AB2">
        <w:t xml:space="preserve"> to conclude </w:t>
      </w:r>
      <w:r w:rsidRPr="00CB077A">
        <w:t>eventually that "</w:t>
      </w:r>
      <w:r w:rsidRPr="00CB077A">
        <w:rPr>
          <w:i/>
        </w:rPr>
        <w:t xml:space="preserve">the degree of demand-side substitution that exists between these two lines of single-aisle aircraft is </w:t>
      </w:r>
      <w:r w:rsidRPr="00304924">
        <w:rPr>
          <w:i/>
        </w:rPr>
        <w:t>sufficient</w:t>
      </w:r>
      <w:r w:rsidRPr="00304924">
        <w:t>"</w:t>
      </w:r>
      <w:r>
        <w:rPr>
          <w:rStyle w:val="FootnoteReference"/>
        </w:rPr>
        <w:footnoteReference w:id="1329"/>
      </w:r>
      <w:r w:rsidRPr="003B1AA5">
        <w:t xml:space="preserve"> to </w:t>
      </w:r>
      <w:r w:rsidRPr="0018483E">
        <w:t xml:space="preserve">confirm the United States' contention that, "for the purpose of the serious prejudice disciplines of the </w:t>
      </w:r>
      <w:r w:rsidRPr="00400AB2">
        <w:t>SCM Agreement, all Airbus and Boeing single</w:t>
      </w:r>
      <w:r w:rsidRPr="00400AB2">
        <w:noBreakHyphen/>
        <w:t>aisle aircraft compete in one and the same product market</w:t>
      </w:r>
      <w:r w:rsidRPr="00CB077A">
        <w:t>."</w:t>
      </w:r>
      <w:r>
        <w:rPr>
          <w:rStyle w:val="FootnoteReference"/>
        </w:rPr>
        <w:footnoteReference w:id="1330"/>
      </w:r>
      <w:r w:rsidRPr="003B1AA5">
        <w:t xml:space="preserve"> In reaching this conclusion, the Panel analysed the relevant qualitative factors concerning demand-side substitutability in its assessment of the nature and extent of actual or potential competition</w:t>
      </w:r>
      <w:r w:rsidRPr="0018483E">
        <w:t xml:space="preserve">, and also considered that, in the facts of this dispute, "producing accurate and </w:t>
      </w:r>
      <w:r>
        <w:t xml:space="preserve">reliable </w:t>
      </w:r>
      <w:r w:rsidRPr="0018483E">
        <w:t>quantitative evidence of the degree of demand-side substitution between differ</w:t>
      </w:r>
      <w:r w:rsidRPr="00400AB2">
        <w:t>ent LCA products would be a formidable task.</w:t>
      </w:r>
      <w:r w:rsidRPr="00CB077A">
        <w:t>"</w:t>
      </w:r>
      <w:r>
        <w:rPr>
          <w:rStyle w:val="FootnoteReference"/>
        </w:rPr>
        <w:footnoteReference w:id="1331"/>
      </w:r>
      <w:r w:rsidR="00E30092">
        <w:t xml:space="preserve"> In particular, the </w:t>
      </w:r>
      <w:r w:rsidRPr="003B1AA5">
        <w:t xml:space="preserve">Panel considered that, "to generate accurate and meaningful results" in the use of quantitative analysis for the purposes of identifying relevant product </w:t>
      </w:r>
      <w:r w:rsidRPr="0018483E">
        <w:t>markets, "a significant volume of historical information on</w:t>
      </w:r>
      <w:r>
        <w:t xml:space="preserve"> the</w:t>
      </w:r>
      <w:r w:rsidRPr="0018483E">
        <w:t xml:space="preserve"> prices </w:t>
      </w:r>
      <w:r w:rsidRPr="0018483E">
        <w:rPr>
          <w:i/>
        </w:rPr>
        <w:t>actually</w:t>
      </w:r>
      <w:r w:rsidRPr="0018483E">
        <w:t xml:space="preserve"> paid by LCA customers"</w:t>
      </w:r>
      <w:r>
        <w:rPr>
          <w:rStyle w:val="FootnoteReference"/>
        </w:rPr>
        <w:footnoteReference w:id="1332"/>
      </w:r>
      <w:r w:rsidRPr="003B1AA5">
        <w:t xml:space="preserve"> would be required. </w:t>
      </w:r>
      <w:r>
        <w:t>T</w:t>
      </w:r>
      <w:r w:rsidR="00EA71C7">
        <w:t>he Panel "raised </w:t>
      </w:r>
      <w:r w:rsidRPr="003B1AA5">
        <w:t>doubts about the availability of such actual pricing data"</w:t>
      </w:r>
      <w:r>
        <w:rPr>
          <w:rStyle w:val="FootnoteReference"/>
        </w:rPr>
        <w:footnoteReference w:id="1333"/>
      </w:r>
      <w:r w:rsidR="00EA71C7">
        <w:t>, observing further that, "when </w:t>
      </w:r>
      <w:r w:rsidRPr="003B1AA5">
        <w:t>asked to disclose the anticipated A350XW</w:t>
      </w:r>
      <w:r w:rsidRPr="0018483E">
        <w:t xml:space="preserve">B price information used by Professor Whitelaw to derive the internal rates of return", the </w:t>
      </w:r>
      <w:r w:rsidRPr="00400AB2">
        <w:t>European Union "redacted the price data from its response".</w:t>
      </w:r>
      <w:r>
        <w:rPr>
          <w:rStyle w:val="FootnoteReference"/>
        </w:rPr>
        <w:footnoteReference w:id="1334"/>
      </w:r>
      <w:r w:rsidRPr="003B1AA5">
        <w:t xml:space="preserve"> The Panel went on to observe that, "even with this information, the task of performing a reliable econo</w:t>
      </w:r>
      <w:r w:rsidRPr="0018483E">
        <w:t xml:space="preserve">metric analysis of the demand for LCA products would face a number of significant methodological </w:t>
      </w:r>
      <w:r>
        <w:t xml:space="preserve">and </w:t>
      </w:r>
      <w:r w:rsidRPr="0018483E">
        <w:t>data challenges."</w:t>
      </w:r>
      <w:r>
        <w:rPr>
          <w:rStyle w:val="FootnoteReference"/>
        </w:rPr>
        <w:footnoteReference w:id="1335"/>
      </w:r>
      <w:r w:rsidRPr="003B1AA5">
        <w:t xml:space="preserve"> In addition, the Panel </w:t>
      </w:r>
      <w:r w:rsidRPr="0018483E">
        <w:t xml:space="preserve">considered </w:t>
      </w:r>
      <w:r>
        <w:t>the "</w:t>
      </w:r>
      <w:r w:rsidR="00EA71C7">
        <w:t>limited </w:t>
      </w:r>
      <w:r w:rsidRPr="0018483E">
        <w:t xml:space="preserve">argumentation … advanced in respect of </w:t>
      </w:r>
      <w:r w:rsidRPr="0018483E">
        <w:rPr>
          <w:i/>
        </w:rPr>
        <w:t>supply-side substitutability</w:t>
      </w:r>
      <w:r w:rsidRPr="0018483E">
        <w:t>"</w:t>
      </w:r>
      <w:r>
        <w:rPr>
          <w:rStyle w:val="FootnoteReference"/>
        </w:rPr>
        <w:footnoteReference w:id="1336"/>
      </w:r>
      <w:r w:rsidRPr="003B1AA5">
        <w:t xml:space="preserve"> by the parties.</w:t>
      </w:r>
      <w:r>
        <w:rPr>
          <w:rStyle w:val="FootnoteReference"/>
        </w:rPr>
        <w:footnoteReference w:id="1337"/>
      </w:r>
      <w:r w:rsidRPr="003B1AA5">
        <w:t xml:space="preserve"> </w:t>
      </w:r>
    </w:p>
    <w:p w:rsidR="00AE4AC1" w:rsidRPr="004B70BA" w:rsidRDefault="00AE4AC1" w:rsidP="009E6402">
      <w:pPr>
        <w:pStyle w:val="BodyText"/>
      </w:pPr>
      <w:r>
        <w:t xml:space="preserve">In sum, we are satisfied that </w:t>
      </w:r>
      <w:r w:rsidRPr="003B1AA5">
        <w:t xml:space="preserve">the Panel's identification of the single-aisle </w:t>
      </w:r>
      <w:r>
        <w:t xml:space="preserve">LCA </w:t>
      </w:r>
      <w:r w:rsidRPr="003B1AA5">
        <w:t xml:space="preserve">market </w:t>
      </w:r>
      <w:r>
        <w:t xml:space="preserve">as </w:t>
      </w:r>
      <w:r w:rsidRPr="003B1AA5">
        <w:t>comprising the new generation and the current generation of Boeing and Airbus single-aisle LCA</w:t>
      </w:r>
      <w:r w:rsidRPr="0018483E">
        <w:t xml:space="preserve"> </w:t>
      </w:r>
      <w:r>
        <w:t xml:space="preserve">was </w:t>
      </w:r>
      <w:r w:rsidRPr="0018483E">
        <w:t xml:space="preserve">based on </w:t>
      </w:r>
      <w:r>
        <w:t>a</w:t>
      </w:r>
      <w:r w:rsidRPr="0018483E">
        <w:t xml:space="preserve"> </w:t>
      </w:r>
      <w:r>
        <w:t xml:space="preserve">proper </w:t>
      </w:r>
      <w:r w:rsidRPr="0018483E">
        <w:t>analysis of the competition between these products</w:t>
      </w:r>
      <w:r>
        <w:t>,</w:t>
      </w:r>
      <w:r w:rsidRPr="0018483E">
        <w:t xml:space="preserve"> </w:t>
      </w:r>
      <w:r>
        <w:t>which</w:t>
      </w:r>
      <w:r w:rsidRPr="0018483E">
        <w:t xml:space="preserve"> </w:t>
      </w:r>
      <w:r>
        <w:t xml:space="preserve">the Panel found to demonstrate sufficient substitutability, in accordance with the standard articulated by the Appellate </w:t>
      </w:r>
      <w:r w:rsidRPr="000B2BB9">
        <w:t>Body in the original proceedings.</w:t>
      </w:r>
      <w:r>
        <w:t xml:space="preserve"> We do not agree with the</w:t>
      </w:r>
      <w:r w:rsidRPr="00D44E62">
        <w:t xml:space="preserve"> European Union </w:t>
      </w:r>
      <w:r>
        <w:t xml:space="preserve">that the Panel's analysis of competition in the single-aisle LCA market was based on the premise that </w:t>
      </w:r>
      <w:r w:rsidR="003C50A6">
        <w:t>two </w:t>
      </w:r>
      <w:r w:rsidRPr="00D44E62">
        <w:t xml:space="preserve">products </w:t>
      </w:r>
      <w:r>
        <w:t xml:space="preserve">would be </w:t>
      </w:r>
      <w:r w:rsidRPr="00D44E62">
        <w:t xml:space="preserve">"in separate product </w:t>
      </w:r>
      <w:r w:rsidRPr="00B06755">
        <w:t>markets</w:t>
      </w:r>
      <w:r w:rsidRPr="00D44E62">
        <w:t xml:space="preserve"> only where </w:t>
      </w:r>
      <w:r>
        <w:t>…</w:t>
      </w:r>
      <w:r w:rsidRPr="00D92844">
        <w:t xml:space="preserve"> customers would buy </w:t>
      </w:r>
      <w:r w:rsidR="003C50A6">
        <w:rPr>
          <w:i/>
        </w:rPr>
        <w:t>no </w:t>
      </w:r>
      <w:r w:rsidRPr="00367C95">
        <w:rPr>
          <w:i/>
        </w:rPr>
        <w:t>product at all</w:t>
      </w:r>
      <w:r w:rsidRPr="00D92844">
        <w:t xml:space="preserve"> if the</w:t>
      </w:r>
      <w:r w:rsidRPr="00D44E62">
        <w:t xml:space="preserve"> subsidised product were unavailable"</w:t>
      </w:r>
      <w:r>
        <w:t>.</w:t>
      </w:r>
      <w:r>
        <w:rPr>
          <w:rStyle w:val="FootnoteReference"/>
        </w:rPr>
        <w:footnoteReference w:id="1338"/>
      </w:r>
      <w:r w:rsidRPr="004F68D2">
        <w:t xml:space="preserve"> </w:t>
      </w:r>
      <w:r>
        <w:t xml:space="preserve">Nor do we agree with the European Union </w:t>
      </w:r>
      <w:r>
        <w:rPr>
          <w:szCs w:val="18"/>
        </w:rPr>
        <w:t>that the Panel disregarded the European Union's arguments regarding the nature and degree of competition between the new and current generati</w:t>
      </w:r>
      <w:r w:rsidR="003C50A6">
        <w:rPr>
          <w:szCs w:val="18"/>
        </w:rPr>
        <w:t>ons of Boeing and Airbus single</w:t>
      </w:r>
      <w:r w:rsidR="003C50A6">
        <w:rPr>
          <w:szCs w:val="18"/>
        </w:rPr>
        <w:noBreakHyphen/>
      </w:r>
      <w:r>
        <w:rPr>
          <w:szCs w:val="18"/>
        </w:rPr>
        <w:t xml:space="preserve">aisle LCA such that they should be placed into different product markets. </w:t>
      </w:r>
      <w:r>
        <w:t>Rather, as noted, the Panel considered those arguments but decided to reject them. In light of the foregoing considerations, we are satisfied that the Panel's analysis identifying the single-aisle LCA market reflects a proper reading of the term "market" in Article 6.3 of the SCM Agreement.</w:t>
      </w:r>
    </w:p>
    <w:p w:rsidR="00AE4AC1" w:rsidRPr="004B70BA" w:rsidRDefault="00AE4AC1" w:rsidP="009E6402">
      <w:pPr>
        <w:pStyle w:val="Heading5"/>
      </w:pPr>
      <w:bookmarkStart w:id="158" w:name="_Toc514059267"/>
      <w:r w:rsidRPr="004B70BA">
        <w:t>Twin-aisle LCA market</w:t>
      </w:r>
      <w:bookmarkEnd w:id="158"/>
    </w:p>
    <w:p w:rsidR="00AE4AC1" w:rsidRDefault="00AE4AC1" w:rsidP="009E6402">
      <w:pPr>
        <w:pStyle w:val="BodyText"/>
      </w:pPr>
      <w:r w:rsidRPr="004B70BA">
        <w:t xml:space="preserve">The European Union similarly submits that the Panel considered the intensity of competition to be "irrelevant" when it found that "the A330 and the 777 belong in the same product market because </w:t>
      </w:r>
      <w:r>
        <w:t xml:space="preserve">{the} </w:t>
      </w:r>
      <w:r w:rsidRPr="004B70BA">
        <w:t xml:space="preserve">'potential customer base for the A330 </w:t>
      </w:r>
      <w:r>
        <w:rPr>
          <w:i/>
        </w:rPr>
        <w:t>{</w:t>
      </w:r>
      <w:r w:rsidR="00AA2C33">
        <w:rPr>
          <w:i/>
        </w:rPr>
        <w:t>was</w:t>
      </w:r>
      <w:r>
        <w:rPr>
          <w:i/>
        </w:rPr>
        <w:t>}</w:t>
      </w:r>
      <w:r w:rsidRPr="004B70BA">
        <w:rPr>
          <w:i/>
        </w:rPr>
        <w:t xml:space="preserve"> likely to at least overlap</w:t>
      </w:r>
      <w:r w:rsidRPr="004B70BA">
        <w:t xml:space="preserve"> with the range of customers that </w:t>
      </w:r>
      <w:r>
        <w:t>{would}</w:t>
      </w:r>
      <w:r w:rsidRPr="004B70BA">
        <w:t xml:space="preserve"> be interested in the 777'"</w:t>
      </w:r>
      <w:r w:rsidRPr="004B70BA">
        <w:rPr>
          <w:rStyle w:val="FootnoteReference"/>
        </w:rPr>
        <w:footnoteReference w:id="1339"/>
      </w:r>
      <w:r w:rsidRPr="004B70BA">
        <w:t xml:space="preserve"> and</w:t>
      </w:r>
      <w:r>
        <w:t>,</w:t>
      </w:r>
      <w:r w:rsidRPr="004B70BA">
        <w:t xml:space="preserve"> further</w:t>
      </w:r>
      <w:r>
        <w:t>,</w:t>
      </w:r>
      <w:r w:rsidRPr="004B70BA">
        <w:t xml:space="preserve"> in finding that "</w:t>
      </w:r>
      <w:r w:rsidRPr="000B2BB9">
        <w:t>the A330</w:t>
      </w:r>
      <w:r>
        <w:noBreakHyphen/>
      </w:r>
      <w:r w:rsidRPr="000B2BB9">
        <w:t>300 and the 777</w:t>
      </w:r>
      <w:r w:rsidRPr="000B2BB9">
        <w:noBreakHyphen/>
        <w:t>200ER belong</w:t>
      </w:r>
      <w:r>
        <w:t>{ed}</w:t>
      </w:r>
      <w:r w:rsidRPr="000B2BB9">
        <w:t xml:space="preserve"> in the same product market</w:t>
      </w:r>
      <w:r>
        <w:t>" based on the absence of evidence</w:t>
      </w:r>
      <w:r w:rsidRPr="000B2BB9">
        <w:t xml:space="preserve"> </w:t>
      </w:r>
      <w:r>
        <w:t xml:space="preserve">indicating that </w:t>
      </w:r>
      <w:r w:rsidRPr="000B2BB9">
        <w:t xml:space="preserve">they exercise </w:t>
      </w:r>
      <w:r w:rsidR="00AA2C33">
        <w:t>"</w:t>
      </w:r>
      <w:r w:rsidRPr="000B2BB9">
        <w:t>competitive constraints on each other".</w:t>
      </w:r>
      <w:r w:rsidRPr="000B2BB9">
        <w:rPr>
          <w:rStyle w:val="FootnoteReference"/>
        </w:rPr>
        <w:footnoteReference w:id="1340"/>
      </w:r>
      <w:r w:rsidRPr="000B2BB9">
        <w:t xml:space="preserve"> </w:t>
      </w:r>
    </w:p>
    <w:p w:rsidR="00AE4AC1" w:rsidRPr="000B2BB9" w:rsidRDefault="00AE4AC1" w:rsidP="009E6402">
      <w:pPr>
        <w:pStyle w:val="BodyText"/>
      </w:pPr>
      <w:r>
        <w:t>The United States contends that a</w:t>
      </w:r>
      <w:r>
        <w:rPr>
          <w:lang w:val="en-US"/>
        </w:rPr>
        <w:t>n overlap</w:t>
      </w:r>
      <w:r w:rsidRPr="00DB42B7">
        <w:rPr>
          <w:lang w:val="en-US"/>
        </w:rPr>
        <w:t xml:space="preserve"> in customer bases is highly relevant to assessing demand-side substitutability and the dynamics of competition</w:t>
      </w:r>
      <w:r>
        <w:rPr>
          <w:lang w:val="en-US"/>
        </w:rPr>
        <w:t>, but</w:t>
      </w:r>
      <w:r w:rsidRPr="00DB42B7">
        <w:rPr>
          <w:lang w:val="en-US"/>
        </w:rPr>
        <w:t xml:space="preserve"> </w:t>
      </w:r>
      <w:r>
        <w:rPr>
          <w:lang w:val="en-US"/>
        </w:rPr>
        <w:t>that "</w:t>
      </w:r>
      <w:r w:rsidRPr="00DB42B7">
        <w:rPr>
          <w:lang w:val="en-US"/>
        </w:rPr>
        <w:t>the Panel never suggested that it was the only, or even the primary, reason for its product market definitions</w:t>
      </w:r>
      <w:r>
        <w:rPr>
          <w:lang w:val="en-US"/>
        </w:rPr>
        <w:t>".</w:t>
      </w:r>
      <w:r>
        <w:rPr>
          <w:rStyle w:val="FootnoteReference"/>
          <w:lang w:val="en-US"/>
        </w:rPr>
        <w:footnoteReference w:id="1341"/>
      </w:r>
      <w:r>
        <w:rPr>
          <w:lang w:val="en-US"/>
        </w:rPr>
        <w:t xml:space="preserve"> According to the United States, the statement in the Panel Report that the European Union refers to "is simply one observation" from a detailed analysis carried out by the Panel.</w:t>
      </w:r>
      <w:r>
        <w:rPr>
          <w:rStyle w:val="FootnoteReference"/>
          <w:lang w:val="en-US"/>
        </w:rPr>
        <w:footnoteReference w:id="1342"/>
      </w:r>
    </w:p>
    <w:p w:rsidR="00AE4AC1" w:rsidRPr="00D44E62" w:rsidRDefault="00AE4AC1" w:rsidP="009E6402">
      <w:pPr>
        <w:pStyle w:val="BodyText"/>
      </w:pPr>
      <w:r w:rsidRPr="00D44E62">
        <w:t xml:space="preserve">We </w:t>
      </w:r>
      <w:r>
        <w:t>recall in this regard that,</w:t>
      </w:r>
      <w:r w:rsidRPr="00D44E62">
        <w:t xml:space="preserve"> in considering the "competitive relationship between the A330 and the 777"</w:t>
      </w:r>
      <w:r>
        <w:rPr>
          <w:rStyle w:val="FootnoteReference"/>
        </w:rPr>
        <w:footnoteReference w:id="1343"/>
      </w:r>
      <w:r w:rsidRPr="00D44E62">
        <w:t>, the Panel noted that "a customer's decision to purchase an LCA {would} be guided by the overall value of the aircraft package it is offered", in "the light of a number of factors, including its particular business model; and one of the key determinants of an airline's business model {would} be the types of missions it intends to operate".</w:t>
      </w:r>
      <w:r>
        <w:rPr>
          <w:rStyle w:val="FootnoteReference"/>
        </w:rPr>
        <w:footnoteReference w:id="1344"/>
      </w:r>
      <w:r w:rsidRPr="00D44E62">
        <w:t xml:space="preserve"> The Panel noted </w:t>
      </w:r>
      <w:r>
        <w:t xml:space="preserve">that </w:t>
      </w:r>
      <w:r w:rsidRPr="00D44E62">
        <w:t xml:space="preserve">"passenger demand </w:t>
      </w:r>
      <w:r>
        <w:t>is</w:t>
      </w:r>
      <w:r w:rsidRPr="00D44E62">
        <w:t xml:space="preserve"> a multi</w:t>
      </w:r>
      <w:r w:rsidRPr="00D44E62">
        <w:noBreakHyphen/>
        <w:t>faceted parameter that for any particular route</w:t>
      </w:r>
      <w:r>
        <w:t>" would</w:t>
      </w:r>
      <w:r w:rsidRPr="00D44E62">
        <w:t xml:space="preserve"> </w:t>
      </w:r>
      <w:r>
        <w:t>"</w:t>
      </w:r>
      <w:r w:rsidRPr="00D44E62">
        <w:t>vary 'at all times of the day or from one season or year to the next', not only between different airlines but also for an individual airline".</w:t>
      </w:r>
      <w:r>
        <w:rPr>
          <w:rStyle w:val="FootnoteReference"/>
        </w:rPr>
        <w:footnoteReference w:id="1345"/>
      </w:r>
      <w:r w:rsidRPr="00D44E62">
        <w:t xml:space="preserve"> Thus, the Panel considered that "the process of forecasting required seating capacity and route structures over the commercial life of any particular aircraft for a potential LCA customer {was} likely to be highly complex, bringing with it a certain measure of risk."</w:t>
      </w:r>
      <w:r>
        <w:rPr>
          <w:rStyle w:val="FootnoteReference"/>
        </w:rPr>
        <w:footnoteReference w:id="1346"/>
      </w:r>
      <w:r>
        <w:t xml:space="preserve"> Based on its analysis, t</w:t>
      </w:r>
      <w:r w:rsidRPr="00D44E62">
        <w:t xml:space="preserve">he Panel </w:t>
      </w:r>
      <w:r>
        <w:t>found</w:t>
      </w:r>
      <w:r w:rsidRPr="00D44E62">
        <w:t xml:space="preserve"> it </w:t>
      </w:r>
      <w:r>
        <w:t>"</w:t>
      </w:r>
      <w:r w:rsidRPr="00D44E62">
        <w:t>difficult to see how the simple fact that the A330 may be better suited than the 777" to "perform the particular range of medium</w:t>
      </w:r>
      <w:r>
        <w:noBreakHyphen/>
      </w:r>
      <w:r w:rsidRPr="00D44E62">
        <w:t xml:space="preserve">range missions for which it </w:t>
      </w:r>
      <w:r>
        <w:t>{was}</w:t>
      </w:r>
      <w:r w:rsidRPr="00D44E62">
        <w:t xml:space="preserve"> specifically designed necessarily implie{d} that it {would} face no competition from the 777".</w:t>
      </w:r>
      <w:r>
        <w:rPr>
          <w:rStyle w:val="FootnoteReference"/>
        </w:rPr>
        <w:footnoteReference w:id="1347"/>
      </w:r>
      <w:r w:rsidRPr="00D44E62">
        <w:t xml:space="preserve"> The </w:t>
      </w:r>
      <w:r w:rsidRPr="00D92844">
        <w:t>Panel went on to state that</w:t>
      </w:r>
      <w:r>
        <w:t>,</w:t>
      </w:r>
      <w:r w:rsidRPr="00D92844">
        <w:t xml:space="preserve"> "{i}f relative performance advantages over </w:t>
      </w:r>
      <w:r w:rsidRPr="00007EA9">
        <w:rPr>
          <w:i/>
        </w:rPr>
        <w:t>optimized</w:t>
      </w:r>
      <w:r w:rsidRPr="00D44E62">
        <w:t xml:space="preserve"> missions were a sufficient basis to identify relevant </w:t>
      </w:r>
      <w:r w:rsidRPr="006812C3">
        <w:t>product markets in the LCA sector"</w:t>
      </w:r>
      <w:r>
        <w:rPr>
          <w:rStyle w:val="FootnoteReference"/>
        </w:rPr>
        <w:footnoteReference w:id="1348"/>
      </w:r>
      <w:r w:rsidRPr="006812C3">
        <w:t>, it would seem that "most, if not all, of the Airbus and Boeing twin-aisle families of LCA would be in separate, narrowly defined, monopoly markets because</w:t>
      </w:r>
      <w:r w:rsidRPr="00D44E62">
        <w:t>, in one way or another, all Airbus and Boeing twin-aisle LCA are differentiated in terms of their performance characteristics."</w:t>
      </w:r>
      <w:r>
        <w:rPr>
          <w:rStyle w:val="FootnoteReference"/>
        </w:rPr>
        <w:footnoteReference w:id="1349"/>
      </w:r>
    </w:p>
    <w:p w:rsidR="00AE4AC1" w:rsidRDefault="00AE4AC1" w:rsidP="009E6402">
      <w:pPr>
        <w:pStyle w:val="BodyText"/>
      </w:pPr>
      <w:r w:rsidRPr="00D44E62">
        <w:t>It was in this context that the Panel considered "the potential customer base</w:t>
      </w:r>
      <w:r>
        <w:t>{</w:t>
      </w:r>
      <w:r w:rsidRPr="00D44E62">
        <w:t>s</w:t>
      </w:r>
      <w:r>
        <w:t>}</w:t>
      </w:r>
      <w:r w:rsidR="00E80D8D">
        <w:t>" for the </w:t>
      </w:r>
      <w:r w:rsidRPr="00D44E62">
        <w:t xml:space="preserve">A330 and the 777 as part of its assessment of the competitive relationship between </w:t>
      </w:r>
      <w:r w:rsidR="00AA2C33">
        <w:t>these aircraft</w:t>
      </w:r>
      <w:r w:rsidRPr="00D44E62">
        <w:t>, noting that</w:t>
      </w:r>
      <w:r>
        <w:t xml:space="preserve"> </w:t>
      </w:r>
      <w:r w:rsidRPr="00D44E62">
        <w:t xml:space="preserve">evidence of the existence of </w:t>
      </w:r>
      <w:r>
        <w:t>"</w:t>
      </w:r>
      <w:r w:rsidRPr="00D44E62">
        <w:t xml:space="preserve">an overlapping potential customer base … may be highly relevant to the task of identifying LCA product </w:t>
      </w:r>
      <w:r w:rsidRPr="00B80F85">
        <w:t>markets</w:t>
      </w:r>
      <w:r>
        <w:t>.</w:t>
      </w:r>
      <w:r w:rsidRPr="00D44E62">
        <w:t>"</w:t>
      </w:r>
      <w:r>
        <w:rPr>
          <w:rStyle w:val="FootnoteReference"/>
        </w:rPr>
        <w:footnoteReference w:id="1350"/>
      </w:r>
      <w:r w:rsidRPr="00D44E62">
        <w:t xml:space="preserve"> In this respect, the United States had pointed to </w:t>
      </w:r>
      <w:r>
        <w:t>"</w:t>
      </w:r>
      <w:r w:rsidRPr="00D44E62">
        <w:t>a number of examples of airlines having chosen to operate a</w:t>
      </w:r>
      <w:r w:rsidR="00267BCB">
        <w:t xml:space="preserve"> range of different twin</w:t>
      </w:r>
      <w:r w:rsidR="00267BCB">
        <w:noBreakHyphen/>
      </w:r>
      <w:r w:rsidRPr="00D44E62">
        <w:t>aisle aircraft on the same routes"</w:t>
      </w:r>
      <w:r>
        <w:rPr>
          <w:rStyle w:val="FootnoteReference"/>
        </w:rPr>
        <w:footnoteReference w:id="1351"/>
      </w:r>
      <w:r w:rsidRPr="00D44E62">
        <w:t>, arguing that</w:t>
      </w:r>
      <w:r>
        <w:t xml:space="preserve"> this</w:t>
      </w:r>
      <w:r w:rsidRPr="00D44E62">
        <w:t xml:space="preserve"> "support{ed} the view that there {was} a degree of overlap in the use of all twin</w:t>
      </w:r>
      <w:r w:rsidRPr="00D44E62">
        <w:noBreakHyphen/>
        <w:t xml:space="preserve">aisle aircraft" and, therefore, that </w:t>
      </w:r>
      <w:r w:rsidRPr="00F858DE">
        <w:t>"</w:t>
      </w:r>
      <w:r w:rsidR="00E80D8D">
        <w:t>one </w:t>
      </w:r>
      <w:r w:rsidRPr="00D44E62">
        <w:t>must be wary of narrowly defining bright lines to segment a product space</w:t>
      </w:r>
      <w:r>
        <w:t>" in light of</w:t>
      </w:r>
      <w:r w:rsidRPr="00D44E62">
        <w:t xml:space="preserve"> </w:t>
      </w:r>
      <w:r>
        <w:t>the "</w:t>
      </w:r>
      <w:r w:rsidRPr="00D44E62">
        <w:t>complex patterns of customer demand and product uses</w:t>
      </w:r>
      <w:r w:rsidRPr="00F858DE">
        <w:t>"</w:t>
      </w:r>
      <w:r w:rsidRPr="00D44E62">
        <w:t>.</w:t>
      </w:r>
      <w:r>
        <w:rPr>
          <w:rStyle w:val="FootnoteReference"/>
        </w:rPr>
        <w:footnoteReference w:id="1352"/>
      </w:r>
      <w:r w:rsidRPr="00D44E62">
        <w:t xml:space="preserve"> </w:t>
      </w:r>
      <w:r w:rsidRPr="004B70BA">
        <w:t xml:space="preserve">Based on </w:t>
      </w:r>
      <w:r>
        <w:t>the evidence before it</w:t>
      </w:r>
      <w:r w:rsidR="00E80D8D">
        <w:t>, the </w:t>
      </w:r>
      <w:r w:rsidRPr="004B70BA">
        <w:t>Panel found</w:t>
      </w:r>
      <w:r>
        <w:t>, for example,</w:t>
      </w:r>
      <w:r w:rsidRPr="004B70BA">
        <w:t xml:space="preserve"> that the </w:t>
      </w:r>
      <w:r>
        <w:t xml:space="preserve">decision by </w:t>
      </w:r>
      <w:r w:rsidRPr="004B70BA">
        <w:t xml:space="preserve">Malaysia Airlines and Singapore Airlines </w:t>
      </w:r>
      <w:r>
        <w:t>to</w:t>
      </w:r>
      <w:r w:rsidR="00E80D8D">
        <w:t> </w:t>
      </w:r>
      <w:r>
        <w:t>"</w:t>
      </w:r>
      <w:r w:rsidRPr="004B70BA">
        <w:t>switch away from the 777 to the A330 provide</w:t>
      </w:r>
      <w:r>
        <w:t>{d}</w:t>
      </w:r>
      <w:r w:rsidRPr="004B70BA">
        <w:t xml:space="preserve"> not only a </w:t>
      </w:r>
      <w:r w:rsidRPr="00004B5E">
        <w:rPr>
          <w:i/>
        </w:rPr>
        <w:t>clear example of demand-side substitutability</w:t>
      </w:r>
      <w:r w:rsidRPr="004B70BA">
        <w:t xml:space="preserve"> between two differentiated products"</w:t>
      </w:r>
      <w:r w:rsidRPr="004B70BA">
        <w:rPr>
          <w:rStyle w:val="FootnoteReference"/>
        </w:rPr>
        <w:footnoteReference w:id="1353"/>
      </w:r>
      <w:r w:rsidRPr="004B70BA">
        <w:t xml:space="preserve">, </w:t>
      </w:r>
      <w:r>
        <w:t>but</w:t>
      </w:r>
      <w:r w:rsidRPr="004B70BA">
        <w:t xml:space="preserve"> "also demonstrate</w:t>
      </w:r>
      <w:r>
        <w:t>{d}</w:t>
      </w:r>
      <w:r w:rsidRPr="004B70BA">
        <w:t xml:space="preserve"> the important and undisputed role that technological development plays in a customer's choice of aircraft, highlighting a key dimension of competition between Airbus and Boeing".</w:t>
      </w:r>
      <w:r w:rsidRPr="004B70BA">
        <w:rPr>
          <w:rStyle w:val="FootnoteReference"/>
        </w:rPr>
        <w:footnoteReference w:id="1354"/>
      </w:r>
      <w:r w:rsidRPr="00D44E62">
        <w:t xml:space="preserve"> </w:t>
      </w:r>
      <w:r>
        <w:t>We see no error in the Panel's analysis in this regard. Nor do we understand the statements referred to by the European Union</w:t>
      </w:r>
      <w:r w:rsidRPr="004B70BA">
        <w:rPr>
          <w:rStyle w:val="FootnoteReference"/>
        </w:rPr>
        <w:footnoteReference w:id="1355"/>
      </w:r>
      <w:r>
        <w:t xml:space="preserve"> to indicate that the Panel </w:t>
      </w:r>
      <w:r w:rsidRPr="004B70BA">
        <w:t xml:space="preserve">considered the intensity of competition </w:t>
      </w:r>
      <w:r w:rsidR="00E80D8D">
        <w:t>in the twin</w:t>
      </w:r>
      <w:r w:rsidR="00E80D8D">
        <w:noBreakHyphen/>
      </w:r>
      <w:r>
        <w:t xml:space="preserve">aisle LCA market </w:t>
      </w:r>
      <w:r w:rsidRPr="004B70BA">
        <w:t>to be irrelevant</w:t>
      </w:r>
      <w:r>
        <w:t>.</w:t>
      </w:r>
      <w:r w:rsidRPr="000B2BB9">
        <w:t xml:space="preserve"> </w:t>
      </w:r>
      <w:r>
        <w:t>Indeed, as noted by the A</w:t>
      </w:r>
      <w:r w:rsidRPr="00D44E62">
        <w:t>ppellate Body</w:t>
      </w:r>
      <w:r>
        <w:t xml:space="preserve"> in the original proceedings, </w:t>
      </w:r>
      <w:r w:rsidRPr="00D44E62">
        <w:t>"when customers procure a range of products to satisfy their needs, this may give an indication that all such products could be competing in the same market</w:t>
      </w:r>
      <w:r>
        <w:t>.</w:t>
      </w:r>
      <w:r w:rsidRPr="00D44E62">
        <w:t>"</w:t>
      </w:r>
      <w:r>
        <w:rPr>
          <w:rStyle w:val="FootnoteReference"/>
        </w:rPr>
        <w:footnoteReference w:id="1356"/>
      </w:r>
    </w:p>
    <w:p w:rsidR="00AE4AC1" w:rsidRPr="00304924" w:rsidRDefault="00AE4AC1" w:rsidP="009E6402">
      <w:pPr>
        <w:pStyle w:val="BodyText"/>
      </w:pPr>
      <w:r>
        <w:t>Moreover, we note that t</w:t>
      </w:r>
      <w:r w:rsidRPr="00D44E62">
        <w:t xml:space="preserve">he Panel considered </w:t>
      </w:r>
      <w:r>
        <w:t>the European Union's arguments and came to the conclusion that,</w:t>
      </w:r>
      <w:r w:rsidRPr="00D44E62">
        <w:t xml:space="preserve"> for </w:t>
      </w:r>
      <w:r>
        <w:t>the Panel</w:t>
      </w:r>
      <w:r w:rsidRPr="00D44E62">
        <w:t xml:space="preserve"> "to accept that the differences in </w:t>
      </w:r>
      <w:r>
        <w:t>{net present values}</w:t>
      </w:r>
      <w:r w:rsidRPr="00D44E62">
        <w:t xml:space="preserve"> of the A330 and 777 when performing </w:t>
      </w:r>
      <w:r w:rsidRPr="00B80F85">
        <w:rPr>
          <w:i/>
        </w:rPr>
        <w:t>optimized missions</w:t>
      </w:r>
      <w:r w:rsidRPr="00D44E62">
        <w:t xml:space="preserve"> demonstrate</w:t>
      </w:r>
      <w:r>
        <w:t>{d}</w:t>
      </w:r>
      <w:r w:rsidRPr="00D44E62">
        <w:t xml:space="preserve"> that the two aircraft </w:t>
      </w:r>
      <w:r>
        <w:t>{did}</w:t>
      </w:r>
      <w:r w:rsidRPr="00D44E62">
        <w:t xml:space="preserve"> not impose competitive constraints on each other"</w:t>
      </w:r>
      <w:r w:rsidRPr="00D44E62">
        <w:rPr>
          <w:rStyle w:val="FootnoteReference"/>
        </w:rPr>
        <w:footnoteReference w:id="1357"/>
      </w:r>
      <w:r w:rsidRPr="00D44E62">
        <w:t xml:space="preserve"> would be akin to finding that "only two types of customers </w:t>
      </w:r>
      <w:r>
        <w:t>{were} presently</w:t>
      </w:r>
      <w:r w:rsidRPr="00D44E62">
        <w:t xml:space="preserve"> interested in considering the two aircraft </w:t>
      </w:r>
      <w:r>
        <w:t>–</w:t>
      </w:r>
      <w:r w:rsidRPr="00D44E62">
        <w:t xml:space="preserve"> either: (a) customers looking for an aircraft to move a relatively large number of passengers over relatively lo</w:t>
      </w:r>
      <w:r>
        <w:t>ng routes (who would favour the </w:t>
      </w:r>
      <w:r w:rsidRPr="00D44E62">
        <w:t>777); or (b) customers wanting an aircraft to fly a smaller number of passengers on medium-haul routes (who would choose the A330)</w:t>
      </w:r>
      <w:r>
        <w:t>.</w:t>
      </w:r>
      <w:r w:rsidRPr="00D44E62">
        <w:t>"</w:t>
      </w:r>
      <w:r w:rsidRPr="00D44E62">
        <w:rPr>
          <w:rStyle w:val="FootnoteReference"/>
        </w:rPr>
        <w:footnoteReference w:id="1358"/>
      </w:r>
      <w:r w:rsidRPr="00D44E62">
        <w:t xml:space="preserve"> The Panel found the European Union's position </w:t>
      </w:r>
      <w:r>
        <w:t>"</w:t>
      </w:r>
      <w:r w:rsidRPr="00D44E62">
        <w:t>to be overly simplistic and at odds with even its own description of the core features of aircraft demand".</w:t>
      </w:r>
      <w:r w:rsidRPr="00D44E62">
        <w:rPr>
          <w:rStyle w:val="FootnoteReference"/>
        </w:rPr>
        <w:footnoteReference w:id="1359"/>
      </w:r>
      <w:r w:rsidRPr="00D44E62">
        <w:t xml:space="preserve"> </w:t>
      </w:r>
      <w:r>
        <w:t xml:space="preserve">The Panel thus rejected the European Union's argument that </w:t>
      </w:r>
      <w:r w:rsidRPr="00373699">
        <w:t xml:space="preserve">"the A330 and 777 are each sold in their own separate monopoly </w:t>
      </w:r>
      <w:r w:rsidRPr="00A17A72">
        <w:t>markets f</w:t>
      </w:r>
      <w:r w:rsidRPr="00D44E62">
        <w:t>or smaller, medium</w:t>
      </w:r>
      <w:r>
        <w:noBreakHyphen/>
      </w:r>
      <w:r w:rsidRPr="00D44E62">
        <w:t>range aircraft (in the case of the A330) and larger, longer-range aircraft (in the case of the 777) that are available for near-term delivery</w:t>
      </w:r>
      <w:r>
        <w:t>.</w:t>
      </w:r>
      <w:r w:rsidRPr="00D44E62">
        <w:t>"</w:t>
      </w:r>
      <w:r w:rsidRPr="00D44E62">
        <w:rPr>
          <w:rStyle w:val="FootnoteReference"/>
        </w:rPr>
        <w:footnoteReference w:id="1360"/>
      </w:r>
      <w:r>
        <w:t xml:space="preserve"> </w:t>
      </w:r>
    </w:p>
    <w:p w:rsidR="00AE4AC1" w:rsidRDefault="00AE4AC1" w:rsidP="009E6402">
      <w:pPr>
        <w:pStyle w:val="BodyText"/>
      </w:pPr>
      <w:r>
        <w:t xml:space="preserve">Turning to the A350XWB, the Panel recalled the European Union's contention that </w:t>
      </w:r>
      <w:r w:rsidR="00EA71C7">
        <w:t>"the </w:t>
      </w:r>
      <w:r w:rsidRPr="008A1A31">
        <w:t>A350XWB and the 787 closely compete</w:t>
      </w:r>
      <w:r>
        <w:t>{d}</w:t>
      </w:r>
      <w:r w:rsidRPr="008A1A31">
        <w:t xml:space="preserve"> in the same product market for techno</w:t>
      </w:r>
      <w:r w:rsidRPr="00373699">
        <w:t>logically advanced and fuel-efficient new generation aircraft"</w:t>
      </w:r>
      <w:r>
        <w:t>.</w:t>
      </w:r>
      <w:r>
        <w:rPr>
          <w:rStyle w:val="FootnoteReference"/>
        </w:rPr>
        <w:footnoteReference w:id="1361"/>
      </w:r>
      <w:r>
        <w:t xml:space="preserve"> However, the Panel considered that </w:t>
      </w:r>
      <w:r w:rsidRPr="00087CD8">
        <w:t xml:space="preserve">the fact that Airbus chose to highlight </w:t>
      </w:r>
      <w:r>
        <w:t>"</w:t>
      </w:r>
      <w:r w:rsidRPr="00087CD8">
        <w:t>the alleged performance advantages of the A350XWB-900 over the 787</w:t>
      </w:r>
      <w:r>
        <w:noBreakHyphen/>
      </w:r>
      <w:r w:rsidRPr="00087CD8">
        <w:t xml:space="preserve">9 </w:t>
      </w:r>
      <w:r w:rsidRPr="00297339">
        <w:rPr>
          <w:i/>
        </w:rPr>
        <w:t>and the 777-200ER</w:t>
      </w:r>
      <w:r w:rsidRPr="00087CD8">
        <w:t xml:space="preserve"> at the time of launch</w:t>
      </w:r>
      <w:r>
        <w:t>"</w:t>
      </w:r>
      <w:r w:rsidRPr="00087CD8">
        <w:t xml:space="preserve"> suggest</w:t>
      </w:r>
      <w:r>
        <w:t>ed</w:t>
      </w:r>
      <w:r w:rsidRPr="00087CD8">
        <w:t xml:space="preserve"> that </w:t>
      </w:r>
      <w:r>
        <w:t>"</w:t>
      </w:r>
      <w:r w:rsidRPr="00087CD8">
        <w:t xml:space="preserve">it must have expected potential customers to be interested in learning about the relative performance characteristics of </w:t>
      </w:r>
      <w:r w:rsidRPr="00297339">
        <w:rPr>
          <w:i/>
        </w:rPr>
        <w:t>all three aircraft</w:t>
      </w:r>
      <w:r>
        <w:t>".</w:t>
      </w:r>
      <w:r>
        <w:rPr>
          <w:rStyle w:val="FootnoteReference"/>
        </w:rPr>
        <w:footnoteReference w:id="1362"/>
      </w:r>
      <w:r>
        <w:t xml:space="preserve"> The Panel further noted that, "since it was launched, Airbus … continued to market the A350XWB family as an alternative to both the 787 </w:t>
      </w:r>
      <w:r w:rsidRPr="00297339">
        <w:rPr>
          <w:i/>
        </w:rPr>
        <w:t>and the 777</w:t>
      </w:r>
      <w:r w:rsidRPr="006C5ADB">
        <w:t>.</w:t>
      </w:r>
      <w:r w:rsidRPr="00087CD8">
        <w:t>"</w:t>
      </w:r>
      <w:r>
        <w:rPr>
          <w:rStyle w:val="FootnoteReference"/>
        </w:rPr>
        <w:footnoteReference w:id="1363"/>
      </w:r>
      <w:r>
        <w:t xml:space="preserve"> The Panel considered that </w:t>
      </w:r>
      <w:r w:rsidRPr="006C448F">
        <w:t xml:space="preserve">the fact that the </w:t>
      </w:r>
      <w:r>
        <w:t>evidence on record</w:t>
      </w:r>
      <w:r w:rsidRPr="006C448F">
        <w:t xml:space="preserve"> </w:t>
      </w:r>
      <w:r>
        <w:t>sought</w:t>
      </w:r>
      <w:r w:rsidRPr="006C448F">
        <w:t xml:space="preserve"> </w:t>
      </w:r>
      <w:r>
        <w:t>"</w:t>
      </w:r>
      <w:r w:rsidRPr="006C448F">
        <w:t xml:space="preserve">to highlight the </w:t>
      </w:r>
      <w:r>
        <w:t>'</w:t>
      </w:r>
      <w:r w:rsidRPr="00297339">
        <w:rPr>
          <w:i/>
        </w:rPr>
        <w:t>competitiveness</w:t>
      </w:r>
      <w:r>
        <w:t>'</w:t>
      </w:r>
      <w:r w:rsidRPr="006C448F">
        <w:t xml:space="preserve"> of the technologically advanced A350XWB by focusing on its relative performance advantages over the 787, 777, and 767</w:t>
      </w:r>
      <w:r>
        <w:t>"</w:t>
      </w:r>
      <w:r w:rsidRPr="006C448F">
        <w:t xml:space="preserve"> </w:t>
      </w:r>
      <w:r>
        <w:t>was</w:t>
      </w:r>
      <w:r w:rsidRPr="006C448F">
        <w:t xml:space="preserve"> consistent with </w:t>
      </w:r>
      <w:r>
        <w:t>the fact that "</w:t>
      </w:r>
      <w:r w:rsidRPr="006C448F">
        <w:t xml:space="preserve">the A350XWB was developed for the specific purpose of </w:t>
      </w:r>
      <w:r w:rsidRPr="00297339">
        <w:rPr>
          <w:i/>
        </w:rPr>
        <w:t>winning sales</w:t>
      </w:r>
      <w:r w:rsidRPr="006C448F">
        <w:t xml:space="preserve"> from a range of customers that would otherwise be potentially interested in the performance characteristics of, at least, all three families of Boeing aircraft</w:t>
      </w:r>
      <w:r>
        <w:t>."</w:t>
      </w:r>
      <w:r>
        <w:rPr>
          <w:rStyle w:val="FootnoteReference"/>
        </w:rPr>
        <w:footnoteReference w:id="1364"/>
      </w:r>
      <w:r>
        <w:t xml:space="preserve"> </w:t>
      </w:r>
    </w:p>
    <w:p w:rsidR="00AE4AC1" w:rsidRDefault="00AE4AC1" w:rsidP="009E6402">
      <w:pPr>
        <w:pStyle w:val="BodyText"/>
      </w:pPr>
      <w:r>
        <w:t>The Panel further found that there was evidence to suggest that "</w:t>
      </w:r>
      <w:r w:rsidRPr="00D33C1C">
        <w:t xml:space="preserve">Airbus intended to win sales away from the 787 not only using the A350XWB, </w:t>
      </w:r>
      <w:r w:rsidRPr="00A214CA">
        <w:rPr>
          <w:i/>
        </w:rPr>
        <w:t>but also the A330</w:t>
      </w:r>
      <w:r w:rsidRPr="004D6109">
        <w:t>."</w:t>
      </w:r>
      <w:r>
        <w:rPr>
          <w:rStyle w:val="FootnoteReference"/>
        </w:rPr>
        <w:footnoteReference w:id="1365"/>
      </w:r>
      <w:r>
        <w:t xml:space="preserve"> In this </w:t>
      </w:r>
      <w:r w:rsidR="00E30092">
        <w:t>regard, the </w:t>
      </w:r>
      <w:r>
        <w:t>Panel considered that it did</w:t>
      </w:r>
      <w:r w:rsidRPr="00D33C1C">
        <w:t xml:space="preserve"> </w:t>
      </w:r>
      <w:r>
        <w:t>"</w:t>
      </w:r>
      <w:r w:rsidRPr="00D33C1C">
        <w:t>not understand the lack of near-</w:t>
      </w:r>
      <w:r w:rsidR="00B17B13">
        <w:t>term delivery positions for one </w:t>
      </w:r>
      <w:r w:rsidRPr="00D33C1C">
        <w:t>aircraft compared to another to necessarily mean that they do not impose any competitive constraints on each other</w:t>
      </w:r>
      <w:r>
        <w:t>".</w:t>
      </w:r>
      <w:r>
        <w:rPr>
          <w:rStyle w:val="FootnoteReference"/>
        </w:rPr>
        <w:footnoteReference w:id="1366"/>
      </w:r>
      <w:r>
        <w:t xml:space="preserve"> According to the Panel, the evidence</w:t>
      </w:r>
      <w:r w:rsidR="00267BCB">
        <w:t xml:space="preserve"> on record recognized that "the </w:t>
      </w:r>
      <w:r>
        <w:t>A330 was … in a competitive relationship with the 787"</w:t>
      </w:r>
      <w:r>
        <w:rPr>
          <w:rStyle w:val="FootnoteReference"/>
        </w:rPr>
        <w:footnoteReference w:id="1367"/>
      </w:r>
      <w:r>
        <w:t>, and in particular</w:t>
      </w:r>
      <w:r w:rsidR="004D6109">
        <w:t>,</w:t>
      </w:r>
      <w:r w:rsidR="00E30092">
        <w:t xml:space="preserve"> "the Mourey </w:t>
      </w:r>
      <w:r>
        <w:t>Statement … explain{ed} that 'as a result of Boeing's launch of the 787 {in 2004}, for a number of years, the A330 saw its prices, orders and marke</w:t>
      </w:r>
      <w:r w:rsidR="00E30092">
        <w:t>t share drop dramatically, with </w:t>
      </w:r>
      <w:r>
        <w:t>airlines ordering the 787'."</w:t>
      </w:r>
      <w:r>
        <w:rPr>
          <w:rStyle w:val="FootnoteReference"/>
        </w:rPr>
        <w:footnoteReference w:id="1368"/>
      </w:r>
      <w:r>
        <w:t xml:space="preserve"> In the Panel's view, these con</w:t>
      </w:r>
      <w:r w:rsidR="00E30092">
        <w:t>siderations suggested that "the </w:t>
      </w:r>
      <w:r>
        <w:t>787 and the A350XWB {did} not merely face competitive c</w:t>
      </w:r>
      <w:r w:rsidR="00E30092">
        <w:t>onstraints from each other, but </w:t>
      </w:r>
      <w:r>
        <w:t>also from other twin-aisle aircraft."</w:t>
      </w:r>
      <w:r>
        <w:rPr>
          <w:rStyle w:val="FootnoteReference"/>
        </w:rPr>
        <w:footnoteReference w:id="1369"/>
      </w:r>
      <w:r>
        <w:t xml:space="preserve"> </w:t>
      </w:r>
    </w:p>
    <w:p w:rsidR="00AE4AC1" w:rsidRDefault="00AE4AC1" w:rsidP="009E6402">
      <w:pPr>
        <w:pStyle w:val="BodyText"/>
      </w:pPr>
      <w:r>
        <w:t>As regards the 767, the Panel found that "the range of missions and operating performance offered by the 767" were "somewhat limited compared with the larger versions of the 787, and the 777 and A350XWB families".</w:t>
      </w:r>
      <w:r>
        <w:rPr>
          <w:rStyle w:val="FootnoteReference"/>
        </w:rPr>
        <w:footnoteReference w:id="1370"/>
      </w:r>
      <w:r>
        <w:t xml:space="preserve"> The Panel noted that the evidence indicated that the 767 and the A330 were roughly the same size offering a "comparable range"</w:t>
      </w:r>
      <w:r>
        <w:rPr>
          <w:rStyle w:val="FootnoteReference"/>
        </w:rPr>
        <w:footnoteReference w:id="1371"/>
      </w:r>
      <w:r>
        <w:t>, and further that, with the introduction of the 787, the sales of both "the 767 and the A330 were significantly affected".</w:t>
      </w:r>
      <w:r>
        <w:rPr>
          <w:rStyle w:val="FootnoteReference"/>
        </w:rPr>
        <w:footnoteReference w:id="1372"/>
      </w:r>
      <w:r>
        <w:t xml:space="preserve"> This, in the Panel's view, suggested</w:t>
      </w:r>
      <w:r w:rsidRPr="00BC28C2">
        <w:t xml:space="preserve"> the possibility that customers were choosing Boeing's new generation aircraft over both the A330 and the 767.</w:t>
      </w:r>
      <w:r>
        <w:rPr>
          <w:rStyle w:val="FootnoteReference"/>
        </w:rPr>
        <w:footnoteReference w:id="1373"/>
      </w:r>
      <w:r>
        <w:t xml:space="preserve"> The Panel also found evidence that the A330 was marketed "by comparing its sales performance and operating characteristics against not only the 777 and 787</w:t>
      </w:r>
      <w:r w:rsidRPr="00BC28C2">
        <w:t>, but also the 767</w:t>
      </w:r>
      <w:r>
        <w:t>".</w:t>
      </w:r>
      <w:r>
        <w:rPr>
          <w:rStyle w:val="FootnoteReference"/>
        </w:rPr>
        <w:footnoteReference w:id="1374"/>
      </w:r>
      <w:r>
        <w:t xml:space="preserve"> Finally, the Panel considered that, "{a}s an 'eventual replacement' of an aircraft, which at the time, was considered by Airbus to be a better performing rival to the 767", it logically followed that "the A350XWB would inevitably appeal to a range of customers including some of those that may have been interested in exploring the suitability of the 767 or the A330."</w:t>
      </w:r>
      <w:r>
        <w:rPr>
          <w:rStyle w:val="FootnoteReference"/>
        </w:rPr>
        <w:footnoteReference w:id="1375"/>
      </w:r>
      <w:r>
        <w:t xml:space="preserve"> To that extent, we find the Panel to have addressed and rejected the European Union's argument that the 767 did not compete with the A330 and that, in any case, it had been replaced by the 787.</w:t>
      </w:r>
      <w:r>
        <w:rPr>
          <w:rStyle w:val="FootnoteReference"/>
        </w:rPr>
        <w:footnoteReference w:id="1376"/>
      </w:r>
    </w:p>
    <w:p w:rsidR="00AE4AC1" w:rsidRDefault="00AE4AC1" w:rsidP="009E6402">
      <w:pPr>
        <w:pStyle w:val="BodyText"/>
      </w:pPr>
      <w:r>
        <w:t>T</w:t>
      </w:r>
      <w:r w:rsidRPr="005602BE">
        <w:t xml:space="preserve">he Panel </w:t>
      </w:r>
      <w:r>
        <w:t>observed</w:t>
      </w:r>
      <w:r w:rsidRPr="005602BE">
        <w:t xml:space="preserve"> that "the competitive relationships between all five families of Airbus and Boeing twin-aisle aircraft {ha</w:t>
      </w:r>
      <w:r>
        <w:t>d</w:t>
      </w:r>
      <w:r w:rsidRPr="005602BE">
        <w:t>} been constantly evolving, reflecting not only changing demand … but also the pace and nature of aircraft innovation</w:t>
      </w:r>
      <w:r>
        <w:t>.</w:t>
      </w:r>
      <w:r w:rsidRPr="005602BE">
        <w:t>"</w:t>
      </w:r>
      <w:r w:rsidRPr="005602BE">
        <w:rPr>
          <w:vertAlign w:val="superscript"/>
        </w:rPr>
        <w:footnoteReference w:id="1377"/>
      </w:r>
      <w:r w:rsidRPr="005602BE">
        <w:t xml:space="preserve"> </w:t>
      </w:r>
      <w:r w:rsidRPr="00D44E62">
        <w:t xml:space="preserve">The Panel </w:t>
      </w:r>
      <w:r w:rsidR="00E80D8D">
        <w:t>further explained </w:t>
      </w:r>
      <w:r w:rsidRPr="00D44E62">
        <w:t>that</w:t>
      </w:r>
      <w:r>
        <w:t>:</w:t>
      </w:r>
      <w:r w:rsidRPr="00D44E62">
        <w:t xml:space="preserve"> </w:t>
      </w:r>
    </w:p>
    <w:p w:rsidR="00AE4AC1" w:rsidRDefault="00AE4AC1" w:rsidP="00267BCB">
      <w:pPr>
        <w:pStyle w:val="BodyText"/>
        <w:numPr>
          <w:ilvl w:val="0"/>
          <w:numId w:val="0"/>
        </w:numPr>
        <w:ind w:left="547" w:right="562"/>
      </w:pPr>
      <w:r w:rsidRPr="00D44E62">
        <w:t>in terms of basic physical characteristics and end-uses, the five families of Airbus and Boeing twin-aisle LCA are, as a whole, able to satisfy a relatively broad spectrum of mission requirements starting with the regional routes serviced by the smaller 767 and A330 families of aircraft and ending with the larger capacity, long-haul, missions for which the bigger versions of the 777 and A350XWB were specifically designed.</w:t>
      </w:r>
      <w:r w:rsidRPr="00D44E62">
        <w:rPr>
          <w:rStyle w:val="FootnoteReference"/>
        </w:rPr>
        <w:footnoteReference w:id="1378"/>
      </w:r>
      <w:r>
        <w:t xml:space="preserve"> </w:t>
      </w:r>
    </w:p>
    <w:p w:rsidR="00AE4AC1" w:rsidRDefault="00AE4AC1" w:rsidP="009E6402">
      <w:pPr>
        <w:pStyle w:val="BodyText"/>
      </w:pPr>
      <w:r w:rsidRPr="005602BE">
        <w:t xml:space="preserve">However, </w:t>
      </w:r>
      <w:r>
        <w:t xml:space="preserve">as noted above, in rejecting the European Union's contention, </w:t>
      </w:r>
      <w:r w:rsidRPr="005602BE">
        <w:t>the Panel cautioned that</w:t>
      </w:r>
      <w:r>
        <w:t>,</w:t>
      </w:r>
      <w:r w:rsidRPr="005602BE">
        <w:t xml:space="preserve"> "to say that </w:t>
      </w:r>
      <w:r w:rsidRPr="005602BE">
        <w:rPr>
          <w:i/>
        </w:rPr>
        <w:t>every time</w:t>
      </w:r>
      <w:r w:rsidRPr="005602BE">
        <w:t xml:space="preserve"> a newly introduced technologically advanced or more efficient aircraft wins sales against existing models mean</w:t>
      </w:r>
      <w:r w:rsidR="004D6109">
        <w:t>{t}</w:t>
      </w:r>
      <w:r w:rsidRPr="005602BE">
        <w:t xml:space="preserve"> that it face</w:t>
      </w:r>
      <w:r w:rsidR="004D6109">
        <w:t>{d}</w:t>
      </w:r>
      <w:r w:rsidRPr="005602BE">
        <w:t xml:space="preserve"> no competitive constraints from aircraft that were not chosen by those customers", would be "incorrect and an oversimplification of the complicated dynamics of competition in the LCA industry".</w:t>
      </w:r>
      <w:r w:rsidRPr="005602BE">
        <w:rPr>
          <w:vertAlign w:val="superscript"/>
        </w:rPr>
        <w:footnoteReference w:id="1379"/>
      </w:r>
      <w:r>
        <w:t xml:space="preserve"> </w:t>
      </w:r>
      <w:r w:rsidRPr="00D44E62">
        <w:t xml:space="preserve">The Panel </w:t>
      </w:r>
      <w:r>
        <w:t xml:space="preserve">therefore </w:t>
      </w:r>
      <w:r w:rsidRPr="00D44E62">
        <w:t xml:space="preserve">did </w:t>
      </w:r>
      <w:r>
        <w:t>"</w:t>
      </w:r>
      <w:r w:rsidRPr="00D44E62">
        <w:t xml:space="preserve">not consider </w:t>
      </w:r>
      <w:r w:rsidR="004D6109">
        <w:t xml:space="preserve">{that} </w:t>
      </w:r>
      <w:r w:rsidRPr="00D44E62">
        <w:t xml:space="preserve">the superior operating performance of the new generation of Airbus and Boeing twin-aisle aircraft compared </w:t>
      </w:r>
      <w:r w:rsidRPr="008A1A31">
        <w:t>with their current generation models</w:t>
      </w:r>
      <w:r w:rsidR="00B83DBC">
        <w:t xml:space="preserve"> </w:t>
      </w:r>
      <w:r w:rsidRPr="008A1A31">
        <w:t>signal{</w:t>
      </w:r>
      <w:r>
        <w:t>ed</w:t>
      </w:r>
      <w:r w:rsidRPr="008A1A31">
        <w:t xml:space="preserve">} that they {were} sold </w:t>
      </w:r>
      <w:r>
        <w:t xml:space="preserve">{in} </w:t>
      </w:r>
      <w:r w:rsidRPr="008A1A31">
        <w:t>separate product markets."</w:t>
      </w:r>
      <w:r w:rsidRPr="008A1A31">
        <w:rPr>
          <w:rStyle w:val="FootnoteReference"/>
        </w:rPr>
        <w:footnoteReference w:id="1380"/>
      </w:r>
    </w:p>
    <w:p w:rsidR="00AE4AC1" w:rsidRDefault="00AE4AC1" w:rsidP="009E6402">
      <w:pPr>
        <w:pStyle w:val="BodyText"/>
      </w:pPr>
      <w:r>
        <w:t xml:space="preserve">As we see it, the Panel's analysis concerning the twin-aisle market took into account the competing arguments and evidence put forward by the European Union in support of its position. In our view, </w:t>
      </w:r>
      <w:r w:rsidRPr="00F40BF9">
        <w:t xml:space="preserve">the Panel's identification of the </w:t>
      </w:r>
      <w:r>
        <w:t>twin</w:t>
      </w:r>
      <w:r w:rsidRPr="00F40BF9">
        <w:t xml:space="preserve">-aisle LCA market </w:t>
      </w:r>
      <w:r>
        <w:t xml:space="preserve">as </w:t>
      </w:r>
      <w:r w:rsidRPr="00F40BF9">
        <w:t xml:space="preserve">comprising </w:t>
      </w:r>
      <w:r>
        <w:t>the Boeing 767, 777, 787 and the Airbus A330 and A350XWB families</w:t>
      </w:r>
      <w:r w:rsidRPr="00F40BF9">
        <w:t xml:space="preserve"> </w:t>
      </w:r>
      <w:r>
        <w:t xml:space="preserve">was </w:t>
      </w:r>
      <w:r w:rsidRPr="00F40BF9">
        <w:t xml:space="preserve">based on </w:t>
      </w:r>
      <w:r>
        <w:t>a proper</w:t>
      </w:r>
      <w:r w:rsidRPr="00F40BF9">
        <w:t xml:space="preserve"> analysis of the competition between these products</w:t>
      </w:r>
      <w:r>
        <w:t>, which</w:t>
      </w:r>
      <w:r w:rsidRPr="00F40BF9">
        <w:t xml:space="preserve"> the</w:t>
      </w:r>
      <w:r>
        <w:t xml:space="preserve"> Panel found to demonstrate sufficient substitutability, in accordance with the standard articulated by the Appellate Body in the original proceedings</w:t>
      </w:r>
      <w:r w:rsidRPr="00F40BF9">
        <w:t xml:space="preserve">. </w:t>
      </w:r>
      <w:r w:rsidRPr="00C5243F">
        <w:t>Before reaching this finding, the Panel discussed the part</w:t>
      </w:r>
      <w:r>
        <w:t>ies</w:t>
      </w:r>
      <w:r w:rsidRPr="00C5243F">
        <w:t>' arguments regarding the intensity of competition</w:t>
      </w:r>
      <w:r>
        <w:t xml:space="preserve"> between various twin-aisle LCA</w:t>
      </w:r>
      <w:r w:rsidRPr="00C5243F">
        <w:t xml:space="preserve"> offered by Boeing and Airbus. As we understand it, the existence of meaningful competition was not contested between the </w:t>
      </w:r>
      <w:r>
        <w:t>parties</w:t>
      </w:r>
      <w:r w:rsidRPr="00C5243F">
        <w:t xml:space="preserve"> in relation to certain Airbus and Boeing product pairings (the A350WXB and the 787). However, the</w:t>
      </w:r>
      <w:r>
        <w:t xml:space="preserve"> parties</w:t>
      </w:r>
      <w:r w:rsidRPr="00C5243F">
        <w:t xml:space="preserve"> disagreed on the nature and degree of competition between other A</w:t>
      </w:r>
      <w:r w:rsidR="00267BCB">
        <w:t>irbus and Boeing twin</w:t>
      </w:r>
      <w:r w:rsidR="00267BCB">
        <w:noBreakHyphen/>
      </w:r>
      <w:r>
        <w:t>aisle LCA</w:t>
      </w:r>
      <w:r w:rsidRPr="00C5243F">
        <w:t xml:space="preserve"> (the 767, 777, and A330). Having evaluated the </w:t>
      </w:r>
      <w:r>
        <w:t>parties</w:t>
      </w:r>
      <w:r w:rsidRPr="00C5243F">
        <w:t>' arguments regarding the varying degrees of competitive relationship between these twin</w:t>
      </w:r>
      <w:r>
        <w:noBreakHyphen/>
      </w:r>
      <w:r w:rsidRPr="00C5243F">
        <w:t>aisle LCA, we see no reason to disagree with the Panel</w:t>
      </w:r>
      <w:r>
        <w:t>'s</w:t>
      </w:r>
      <w:r w:rsidRPr="00C5243F">
        <w:t xml:space="preserve"> conclusion that</w:t>
      </w:r>
      <w:r>
        <w:t xml:space="preserve"> "</w:t>
      </w:r>
      <w:r w:rsidRPr="00C5243F">
        <w:t>all five families of Airbus and Boeing twin-aisle LCA exercise</w:t>
      </w:r>
      <w:r>
        <w:t>{</w:t>
      </w:r>
      <w:r w:rsidRPr="00C5243F">
        <w:t>d</w:t>
      </w:r>
      <w:r>
        <w:t>}</w:t>
      </w:r>
      <w:r w:rsidRPr="00C5243F">
        <w:t xml:space="preserve"> differing but </w:t>
      </w:r>
      <w:r>
        <w:t xml:space="preserve">overall </w:t>
      </w:r>
      <w:r w:rsidRPr="00C5243F">
        <w:t xml:space="preserve">sufficient degrees of competitive constraints </w:t>
      </w:r>
      <w:r>
        <w:t xml:space="preserve">against each </w:t>
      </w:r>
      <w:r w:rsidRPr="00C5243F">
        <w:t xml:space="preserve">other such that they should all be considered to fall within the same product market for the purpose of </w:t>
      </w:r>
      <w:r>
        <w:t>the serious prejudice claims</w:t>
      </w:r>
      <w:r w:rsidRPr="00C5243F">
        <w:t>"</w:t>
      </w:r>
      <w:r>
        <w:t>.</w:t>
      </w:r>
      <w:r w:rsidRPr="008A597A">
        <w:rPr>
          <w:rStyle w:val="FootnoteReference"/>
        </w:rPr>
        <w:footnoteReference w:id="1381"/>
      </w:r>
      <w:r>
        <w:t xml:space="preserve"> In light of the foregoing considerations, we are satisfied that </w:t>
      </w:r>
      <w:r w:rsidRPr="00F40BF9">
        <w:t xml:space="preserve">the Panel's analysis </w:t>
      </w:r>
      <w:r>
        <w:t>identifying the twin-aisle LCA market reflects a proper reading of the term "market" in Article 6.3 of the SCM Agreement.</w:t>
      </w:r>
    </w:p>
    <w:p w:rsidR="00AE4AC1" w:rsidRPr="00D44E62" w:rsidRDefault="00AE4AC1" w:rsidP="009E6402">
      <w:pPr>
        <w:pStyle w:val="Heading5"/>
      </w:pPr>
      <w:bookmarkStart w:id="159" w:name="_Toc514059268"/>
      <w:r>
        <w:t>VLA market</w:t>
      </w:r>
      <w:bookmarkEnd w:id="159"/>
    </w:p>
    <w:p w:rsidR="00AE4AC1" w:rsidRPr="00B17738" w:rsidRDefault="00AE4AC1" w:rsidP="009E6402">
      <w:pPr>
        <w:pStyle w:val="BodyText"/>
      </w:pPr>
      <w:bookmarkStart w:id="160" w:name="_Ref472065032"/>
      <w:r w:rsidRPr="00B17738">
        <w:t xml:space="preserve">With regard to the Panel's analysis of the VLA market, the European Union </w:t>
      </w:r>
      <w:bookmarkEnd w:id="160"/>
      <w:r w:rsidRPr="00B17738">
        <w:t>points to yet another statement by the Panel, arguing that it demonstrates that the Panel treated the nature and extent of competition as "irrelevant".</w:t>
      </w:r>
      <w:r w:rsidRPr="00B17738">
        <w:rPr>
          <w:rStyle w:val="FootnoteReference"/>
        </w:rPr>
        <w:footnoteReference w:id="1382"/>
      </w:r>
      <w:r w:rsidRPr="00B17738">
        <w:t xml:space="preserve"> Specifically, the Euro</w:t>
      </w:r>
      <w:r w:rsidR="00E80D8D">
        <w:t>pean Union takes issue with the </w:t>
      </w:r>
      <w:r w:rsidRPr="00B17738">
        <w:t xml:space="preserve">Panel's statement that: </w:t>
      </w:r>
    </w:p>
    <w:p w:rsidR="00AE4AC1" w:rsidRPr="00D44E62" w:rsidRDefault="00AE4AC1" w:rsidP="00267BCB">
      <w:pPr>
        <w:pStyle w:val="Quotation"/>
        <w:rPr>
          <w:szCs w:val="20"/>
        </w:rPr>
      </w:pPr>
      <w:r w:rsidRPr="00D44E62">
        <w:rPr>
          <w:szCs w:val="20"/>
        </w:rPr>
        <w:t xml:space="preserve">to accept that the A380's relative performance advantage over the 747-8I places it in a monopoly market, we would have to accept that the </w:t>
      </w:r>
      <w:r w:rsidRPr="00793859">
        <w:rPr>
          <w:szCs w:val="20"/>
        </w:rPr>
        <w:t xml:space="preserve">A380 was developed to </w:t>
      </w:r>
      <w:r w:rsidRPr="00793859">
        <w:rPr>
          <w:i/>
          <w:szCs w:val="20"/>
        </w:rPr>
        <w:t>exclusively serve a particular customer space that the 747 (or indeed any other aircraft)</w:t>
      </w:r>
      <w:r w:rsidRPr="00793859">
        <w:rPr>
          <w:szCs w:val="20"/>
        </w:rPr>
        <w:t xml:space="preserve"> </w:t>
      </w:r>
      <w:r w:rsidRPr="00793859">
        <w:rPr>
          <w:i/>
          <w:szCs w:val="20"/>
        </w:rPr>
        <w:t>could not attract</w:t>
      </w:r>
      <w:r w:rsidRPr="00793859">
        <w:rPr>
          <w:szCs w:val="20"/>
        </w:rPr>
        <w:t>.</w:t>
      </w:r>
      <w:r>
        <w:rPr>
          <w:rStyle w:val="FootnoteReference"/>
          <w:szCs w:val="20"/>
        </w:rPr>
        <w:footnoteReference w:id="1383"/>
      </w:r>
    </w:p>
    <w:p w:rsidR="00AE4AC1" w:rsidRDefault="00AE4AC1" w:rsidP="009E6402">
      <w:pPr>
        <w:pStyle w:val="BodyText"/>
      </w:pPr>
      <w:r>
        <w:t xml:space="preserve">The United States recalls that the Panel </w:t>
      </w:r>
      <w:r w:rsidRPr="00914A43">
        <w:t>extensively di</w:t>
      </w:r>
      <w:r w:rsidR="00B17B13">
        <w:t>scussed the reasons why the two </w:t>
      </w:r>
      <w:r w:rsidRPr="00914A43">
        <w:t>aircraft compete with one another</w:t>
      </w:r>
      <w:r>
        <w:t xml:space="preserve">, including </w:t>
      </w:r>
      <w:r w:rsidRPr="00914A43">
        <w:t>the existence of an overlapping customer base</w:t>
      </w:r>
      <w:r>
        <w:t>, which in turn</w:t>
      </w:r>
      <w:r w:rsidRPr="00914A43">
        <w:t xml:space="preserve"> was consistent with </w:t>
      </w:r>
      <w:r>
        <w:t>"</w:t>
      </w:r>
      <w:r w:rsidRPr="00914A43">
        <w:t>the pattern of competitive interaction that drives Airbus</w:t>
      </w:r>
      <w:r>
        <w:t>' and Boeing's supply decisions".</w:t>
      </w:r>
      <w:r w:rsidRPr="00914A43">
        <w:rPr>
          <w:rStyle w:val="FootnoteReference"/>
        </w:rPr>
        <w:footnoteReference w:id="1384"/>
      </w:r>
      <w:r>
        <w:t xml:space="preserve"> The United States further notes the Panel's description of </w:t>
      </w:r>
      <w:r w:rsidRPr="00914A43">
        <w:t xml:space="preserve">the strategy employed by both LCA producers </w:t>
      </w:r>
      <w:r>
        <w:t>to meet</w:t>
      </w:r>
      <w:r w:rsidRPr="00914A43">
        <w:t xml:space="preserve"> demand with the fewest possible product lines to satisfy a wide array of requirements</w:t>
      </w:r>
      <w:r>
        <w:t>.</w:t>
      </w:r>
      <w:r>
        <w:rPr>
          <w:rStyle w:val="FootnoteReference"/>
        </w:rPr>
        <w:footnoteReference w:id="1385"/>
      </w:r>
      <w:r>
        <w:t xml:space="preserve"> Thus, the United States submits that </w:t>
      </w:r>
      <w:r w:rsidRPr="00914A43">
        <w:t>the Panel</w:t>
      </w:r>
      <w:r>
        <w:t>'s</w:t>
      </w:r>
      <w:r w:rsidRPr="00914A43">
        <w:t xml:space="preserve"> statement highlighted by the E</w:t>
      </w:r>
      <w:r>
        <w:t xml:space="preserve">uropean </w:t>
      </w:r>
      <w:r w:rsidRPr="00914A43">
        <w:t>U</w:t>
      </w:r>
      <w:r>
        <w:t>nion</w:t>
      </w:r>
      <w:r w:rsidRPr="00914A43">
        <w:t xml:space="preserve"> was intended to explain that </w:t>
      </w:r>
      <w:r>
        <w:t>"</w:t>
      </w:r>
      <w:r w:rsidRPr="00914A43">
        <w:t xml:space="preserve">the </w:t>
      </w:r>
      <w:r>
        <w:t>{European Union's}</w:t>
      </w:r>
      <w:r w:rsidRPr="00914A43">
        <w:t xml:space="preserve"> theory of the A380 being placed in a monopoly market would require accepting that the A380 was devel</w:t>
      </w:r>
      <w:r>
        <w:t>oped not to compete with Boeing'</w:t>
      </w:r>
      <w:r w:rsidRPr="00914A43">
        <w:t xml:space="preserve">s nearest competitor, but rather to </w:t>
      </w:r>
      <w:r w:rsidR="00E80D8D">
        <w:t>serve a customer space that the </w:t>
      </w:r>
      <w:r w:rsidRPr="00914A43">
        <w:t>747 could not attract, which is contrary to the evidence regarding how Boeing and Airbus develop their product lines</w:t>
      </w:r>
      <w:r>
        <w:t>."</w:t>
      </w:r>
      <w:r>
        <w:rPr>
          <w:rStyle w:val="FootnoteReference"/>
        </w:rPr>
        <w:footnoteReference w:id="1386"/>
      </w:r>
    </w:p>
    <w:p w:rsidR="00AE4AC1" w:rsidRPr="00D44E62" w:rsidRDefault="00AE4AC1" w:rsidP="009E6402">
      <w:pPr>
        <w:pStyle w:val="BodyText"/>
      </w:pPr>
      <w:r w:rsidRPr="00D44E62">
        <w:t xml:space="preserve">We begin by noting that the statement quoted by the European Union was made by the Panel in the context of analysing the physical and performance characteristics, end-uses, and customers for the A380 and the 747-8I to determine if the A380 and the 747-8I fell </w:t>
      </w:r>
      <w:r>
        <w:t>with</w:t>
      </w:r>
      <w:r w:rsidRPr="00D44E62">
        <w:t xml:space="preserve">in the same product market </w:t>
      </w:r>
      <w:r>
        <w:t>–</w:t>
      </w:r>
      <w:r w:rsidRPr="00D44E62">
        <w:t xml:space="preserve"> i.e. the product market for VLA, as proposed by the United States. However, prior to that</w:t>
      </w:r>
      <w:r>
        <w:t>,</w:t>
      </w:r>
      <w:r w:rsidRPr="00D44E62">
        <w:t xml:space="preserve"> the Panel </w:t>
      </w:r>
      <w:r>
        <w:t xml:space="preserve">had </w:t>
      </w:r>
      <w:r w:rsidRPr="00D44E62">
        <w:t xml:space="preserve">considered that, as regards the A380 and </w:t>
      </w:r>
      <w:r>
        <w:t xml:space="preserve">the </w:t>
      </w:r>
      <w:r w:rsidR="00E80D8D">
        <w:t>747-8I, "the </w:t>
      </w:r>
      <w:r w:rsidRPr="00D44E62">
        <w:t xml:space="preserve">essential point of divergence between the parties … </w:t>
      </w:r>
      <w:r w:rsidRPr="00793859">
        <w:t xml:space="preserve">focused on the conclusions that </w:t>
      </w:r>
      <w:r>
        <w:t>{could}</w:t>
      </w:r>
      <w:r w:rsidRPr="00793859">
        <w:t xml:space="preserve"> be drawn about the </w:t>
      </w:r>
      <w:r w:rsidRPr="00793859">
        <w:rPr>
          <w:i/>
        </w:rPr>
        <w:t>degree of demand-side substitutability</w:t>
      </w:r>
      <w:r w:rsidRPr="00793859">
        <w:t xml:space="preserve"> that exist</w:t>
      </w:r>
      <w:r>
        <w:t>{ed}</w:t>
      </w:r>
      <w:r w:rsidRPr="00793859">
        <w:t xml:space="preserve"> between the A380 and the 747-8I as a result of their relative</w:t>
      </w:r>
      <w:r w:rsidRPr="00D44E62">
        <w:t xml:space="preserve"> performance advantages</w:t>
      </w:r>
      <w:r>
        <w:t>.</w:t>
      </w:r>
      <w:r w:rsidRPr="00D44E62">
        <w:t>"</w:t>
      </w:r>
      <w:r>
        <w:rPr>
          <w:rStyle w:val="FootnoteReference"/>
        </w:rPr>
        <w:footnoteReference w:id="1387"/>
      </w:r>
      <w:r w:rsidRPr="00D44E62">
        <w:t xml:space="preserve"> Thus, the Panel was aware of its task to consider the nature and degree of demand-side substitutability, a factor </w:t>
      </w:r>
      <w:r>
        <w:t>that</w:t>
      </w:r>
      <w:r w:rsidRPr="00D44E62">
        <w:t xml:space="preserve"> the Appellate Body</w:t>
      </w:r>
      <w:r>
        <w:t>, in the original proceedings,</w:t>
      </w:r>
      <w:r w:rsidRPr="00D44E62">
        <w:t xml:space="preserve"> considered to be </w:t>
      </w:r>
      <w:r>
        <w:t>"</w:t>
      </w:r>
      <w:r w:rsidRPr="00D44E62">
        <w:t>indispensable</w:t>
      </w:r>
      <w:r>
        <w:t>"</w:t>
      </w:r>
      <w:r w:rsidRPr="00D44E62">
        <w:t xml:space="preserve"> when assessing whether two products are in a single market.</w:t>
      </w:r>
      <w:r>
        <w:rPr>
          <w:rStyle w:val="FootnoteReference"/>
        </w:rPr>
        <w:footnoteReference w:id="1388"/>
      </w:r>
    </w:p>
    <w:p w:rsidR="00AE4AC1" w:rsidRPr="00D44E62" w:rsidRDefault="00AE4AC1" w:rsidP="00526697">
      <w:pPr>
        <w:pStyle w:val="BodyText"/>
        <w:keepNext/>
      </w:pPr>
      <w:r w:rsidRPr="00D44E62">
        <w:t>The Panel began by setting out the following table of data submitted by the parties</w:t>
      </w:r>
      <w:r>
        <w:t>.</w:t>
      </w:r>
    </w:p>
    <w:p w:rsidR="00AE4AC1" w:rsidRDefault="00AE4AC1" w:rsidP="00526697">
      <w:pPr>
        <w:pStyle w:val="Caption"/>
      </w:pPr>
      <w:r>
        <w:t xml:space="preserve">Table </w:t>
      </w:r>
      <w:r w:rsidR="009A724D">
        <w:fldChar w:fldCharType="begin"/>
      </w:r>
      <w:r w:rsidR="009A724D">
        <w:instrText xml:space="preserve"> SEQ Table \* ARABIC </w:instrText>
      </w:r>
      <w:r w:rsidR="009A724D">
        <w:fldChar w:fldCharType="separate"/>
      </w:r>
      <w:r w:rsidR="00FD2727">
        <w:rPr>
          <w:noProof/>
        </w:rPr>
        <w:t>7</w:t>
      </w:r>
      <w:r w:rsidR="009A724D">
        <w:rPr>
          <w:noProof/>
        </w:rPr>
        <w:fldChar w:fldCharType="end"/>
      </w:r>
      <w:r>
        <w:t>: Basic physical and performance characteristics of Airbus and Boeing VLA</w:t>
      </w:r>
      <w:r>
        <w:rPr>
          <w:rStyle w:val="FootnoteReference"/>
        </w:rPr>
        <w:footnoteReference w:id="1389"/>
      </w:r>
    </w:p>
    <w:tbl>
      <w:tblPr>
        <w:tblW w:w="9039"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1311"/>
        <w:gridCol w:w="1372"/>
        <w:gridCol w:w="1327"/>
        <w:gridCol w:w="1584"/>
        <w:gridCol w:w="915"/>
        <w:gridCol w:w="1544"/>
        <w:gridCol w:w="986"/>
      </w:tblGrid>
      <w:tr w:rsidR="00AE4AC1" w:rsidRPr="00445322" w:rsidTr="00267BCB">
        <w:trPr>
          <w:cantSplit/>
        </w:trPr>
        <w:tc>
          <w:tcPr>
            <w:tcW w:w="1311" w:type="dxa"/>
            <w:shd w:val="clear" w:color="auto" w:fill="006283"/>
            <w:vAlign w:val="center"/>
          </w:tcPr>
          <w:p w:rsidR="00AE4AC1" w:rsidRPr="007B2F7C" w:rsidRDefault="00AE4AC1" w:rsidP="00526697">
            <w:pPr>
              <w:keepNext/>
              <w:spacing w:before="60" w:after="60"/>
              <w:jc w:val="center"/>
              <w:rPr>
                <w:b/>
                <w:color w:val="FFFFFF"/>
                <w:sz w:val="16"/>
                <w:szCs w:val="16"/>
              </w:rPr>
            </w:pPr>
            <w:r w:rsidRPr="007B2F7C">
              <w:rPr>
                <w:b/>
                <w:color w:val="FFFFFF"/>
                <w:sz w:val="16"/>
                <w:szCs w:val="16"/>
              </w:rPr>
              <w:t>Model</w:t>
            </w:r>
          </w:p>
        </w:tc>
        <w:tc>
          <w:tcPr>
            <w:tcW w:w="1372" w:type="dxa"/>
            <w:shd w:val="clear" w:color="auto" w:fill="006283"/>
            <w:vAlign w:val="center"/>
          </w:tcPr>
          <w:p w:rsidR="00AE4AC1" w:rsidRPr="007B2F7C" w:rsidRDefault="00AE4AC1" w:rsidP="00526697">
            <w:pPr>
              <w:keepNext/>
              <w:spacing w:before="60" w:after="60"/>
              <w:jc w:val="center"/>
              <w:rPr>
                <w:b/>
                <w:color w:val="FFFFFF"/>
                <w:sz w:val="16"/>
                <w:szCs w:val="16"/>
              </w:rPr>
            </w:pPr>
            <w:r w:rsidRPr="007B2F7C">
              <w:rPr>
                <w:b/>
                <w:color w:val="FFFFFF"/>
                <w:sz w:val="16"/>
                <w:szCs w:val="16"/>
              </w:rPr>
              <w:t>Typical Seats</w:t>
            </w:r>
          </w:p>
          <w:p w:rsidR="00AE4AC1" w:rsidRPr="007B2F7C" w:rsidRDefault="00AE4AC1" w:rsidP="00526697">
            <w:pPr>
              <w:keepNext/>
              <w:spacing w:before="60" w:after="60"/>
              <w:jc w:val="center"/>
              <w:rPr>
                <w:b/>
                <w:color w:val="FFFFFF"/>
                <w:sz w:val="16"/>
                <w:szCs w:val="16"/>
              </w:rPr>
            </w:pPr>
            <w:r w:rsidRPr="007B2F7C">
              <w:rPr>
                <w:b/>
                <w:color w:val="FFFFFF"/>
                <w:sz w:val="16"/>
                <w:szCs w:val="16"/>
              </w:rPr>
              <w:t>(Airbus / Boeing)</w:t>
            </w:r>
          </w:p>
          <w:p w:rsidR="00AE4AC1" w:rsidRPr="007B2F7C" w:rsidRDefault="00AE4AC1" w:rsidP="00526697">
            <w:pPr>
              <w:keepNext/>
              <w:spacing w:before="60" w:after="60"/>
              <w:jc w:val="center"/>
              <w:rPr>
                <w:b/>
                <w:color w:val="FFFFFF"/>
                <w:sz w:val="16"/>
                <w:szCs w:val="16"/>
              </w:rPr>
            </w:pPr>
          </w:p>
        </w:tc>
        <w:tc>
          <w:tcPr>
            <w:tcW w:w="1327" w:type="dxa"/>
            <w:shd w:val="clear" w:color="auto" w:fill="006283"/>
            <w:vAlign w:val="center"/>
          </w:tcPr>
          <w:p w:rsidR="00AE4AC1" w:rsidRPr="007B2F7C" w:rsidRDefault="00AE4AC1" w:rsidP="00526697">
            <w:pPr>
              <w:keepNext/>
              <w:spacing w:before="60" w:after="60"/>
              <w:jc w:val="center"/>
              <w:rPr>
                <w:b/>
                <w:color w:val="FFFFFF"/>
                <w:sz w:val="16"/>
                <w:szCs w:val="16"/>
              </w:rPr>
            </w:pPr>
            <w:r w:rsidRPr="007B2F7C">
              <w:rPr>
                <w:b/>
                <w:color w:val="FFFFFF"/>
                <w:sz w:val="16"/>
                <w:szCs w:val="16"/>
              </w:rPr>
              <w:t>MTOW (t)</w:t>
            </w:r>
          </w:p>
          <w:p w:rsidR="00AE4AC1" w:rsidRPr="007B2F7C" w:rsidRDefault="00AE4AC1" w:rsidP="00526697">
            <w:pPr>
              <w:keepNext/>
              <w:spacing w:before="60" w:after="60"/>
              <w:ind w:hanging="20"/>
              <w:jc w:val="center"/>
              <w:rPr>
                <w:b/>
                <w:color w:val="FFFFFF"/>
                <w:sz w:val="16"/>
                <w:szCs w:val="16"/>
              </w:rPr>
            </w:pPr>
            <w:r w:rsidRPr="007B2F7C">
              <w:rPr>
                <w:b/>
                <w:color w:val="FFFFFF"/>
                <w:sz w:val="16"/>
                <w:szCs w:val="16"/>
              </w:rPr>
              <w:t>(Airbus / Boeing)</w:t>
            </w:r>
          </w:p>
        </w:tc>
        <w:tc>
          <w:tcPr>
            <w:tcW w:w="1584" w:type="dxa"/>
            <w:shd w:val="clear" w:color="auto" w:fill="006283"/>
            <w:vAlign w:val="center"/>
          </w:tcPr>
          <w:p w:rsidR="00AE4AC1" w:rsidRPr="007B2F7C" w:rsidRDefault="00AE4AC1" w:rsidP="00526697">
            <w:pPr>
              <w:keepNext/>
              <w:spacing w:before="60" w:after="60"/>
              <w:jc w:val="center"/>
              <w:rPr>
                <w:b/>
                <w:color w:val="FFFFFF"/>
                <w:sz w:val="16"/>
                <w:szCs w:val="16"/>
              </w:rPr>
            </w:pPr>
            <w:r w:rsidRPr="007B2F7C">
              <w:rPr>
                <w:b/>
                <w:color w:val="FFFFFF"/>
                <w:sz w:val="16"/>
                <w:szCs w:val="16"/>
              </w:rPr>
              <w:t>Max Range (nm)</w:t>
            </w:r>
          </w:p>
          <w:p w:rsidR="00AE4AC1" w:rsidRPr="007B2F7C" w:rsidRDefault="00AE4AC1" w:rsidP="00526697">
            <w:pPr>
              <w:keepNext/>
              <w:spacing w:before="60" w:after="60"/>
              <w:jc w:val="center"/>
              <w:rPr>
                <w:b/>
                <w:color w:val="FFFFFF"/>
                <w:sz w:val="16"/>
                <w:szCs w:val="16"/>
              </w:rPr>
            </w:pPr>
            <w:r w:rsidRPr="007B2F7C">
              <w:rPr>
                <w:b/>
                <w:color w:val="FFFFFF"/>
                <w:sz w:val="16"/>
                <w:szCs w:val="16"/>
              </w:rPr>
              <w:t>(full capacity)</w:t>
            </w:r>
          </w:p>
          <w:p w:rsidR="00AE4AC1" w:rsidRPr="007B2F7C" w:rsidRDefault="00AE4AC1" w:rsidP="00526697">
            <w:pPr>
              <w:keepNext/>
              <w:spacing w:before="60" w:after="60"/>
              <w:jc w:val="center"/>
              <w:rPr>
                <w:b/>
                <w:color w:val="FFFFFF"/>
                <w:sz w:val="16"/>
                <w:szCs w:val="16"/>
              </w:rPr>
            </w:pPr>
            <w:r w:rsidRPr="007B2F7C">
              <w:rPr>
                <w:b/>
                <w:color w:val="FFFFFF"/>
                <w:sz w:val="16"/>
                <w:szCs w:val="16"/>
              </w:rPr>
              <w:t>(Airbus / Boeing)</w:t>
            </w:r>
          </w:p>
        </w:tc>
        <w:tc>
          <w:tcPr>
            <w:tcW w:w="915" w:type="dxa"/>
            <w:shd w:val="clear" w:color="auto" w:fill="006283"/>
            <w:vAlign w:val="center"/>
          </w:tcPr>
          <w:p w:rsidR="00AE4AC1" w:rsidRPr="007B2F7C" w:rsidRDefault="00AE4AC1" w:rsidP="00526697">
            <w:pPr>
              <w:keepNext/>
              <w:spacing w:before="60" w:after="60"/>
              <w:jc w:val="center"/>
              <w:rPr>
                <w:b/>
                <w:color w:val="FFFFFF"/>
                <w:sz w:val="16"/>
                <w:szCs w:val="16"/>
              </w:rPr>
            </w:pPr>
            <w:r w:rsidRPr="007B2F7C">
              <w:rPr>
                <w:b/>
                <w:color w:val="FFFFFF"/>
                <w:sz w:val="16"/>
                <w:szCs w:val="16"/>
              </w:rPr>
              <w:t>Length</w:t>
            </w:r>
          </w:p>
          <w:p w:rsidR="00AE4AC1" w:rsidRPr="007B2F7C" w:rsidRDefault="00AE4AC1" w:rsidP="00526697">
            <w:pPr>
              <w:keepNext/>
              <w:spacing w:before="60" w:after="60"/>
              <w:jc w:val="center"/>
              <w:rPr>
                <w:b/>
                <w:color w:val="FFFFFF"/>
                <w:sz w:val="16"/>
                <w:szCs w:val="16"/>
              </w:rPr>
            </w:pPr>
            <w:r w:rsidRPr="007B2F7C">
              <w:rPr>
                <w:b/>
                <w:color w:val="FFFFFF"/>
                <w:sz w:val="16"/>
                <w:szCs w:val="16"/>
              </w:rPr>
              <w:t>(m)</w:t>
            </w:r>
          </w:p>
        </w:tc>
        <w:tc>
          <w:tcPr>
            <w:tcW w:w="1544" w:type="dxa"/>
            <w:shd w:val="clear" w:color="auto" w:fill="006283"/>
            <w:vAlign w:val="center"/>
          </w:tcPr>
          <w:p w:rsidR="00AE4AC1" w:rsidRPr="007B2F7C" w:rsidRDefault="00AE4AC1" w:rsidP="00526697">
            <w:pPr>
              <w:keepNext/>
              <w:spacing w:before="60" w:after="60"/>
              <w:jc w:val="center"/>
              <w:rPr>
                <w:b/>
                <w:color w:val="FFFFFF"/>
                <w:sz w:val="16"/>
                <w:szCs w:val="16"/>
              </w:rPr>
            </w:pPr>
            <w:r w:rsidRPr="007B2F7C">
              <w:rPr>
                <w:b/>
                <w:color w:val="FFFFFF"/>
                <w:sz w:val="16"/>
                <w:szCs w:val="16"/>
              </w:rPr>
              <w:t>Wing Span (m)</w:t>
            </w:r>
          </w:p>
          <w:p w:rsidR="00AE4AC1" w:rsidRPr="007B2F7C" w:rsidRDefault="00AE4AC1" w:rsidP="00526697">
            <w:pPr>
              <w:keepNext/>
              <w:spacing w:before="60" w:after="60"/>
              <w:jc w:val="center"/>
              <w:rPr>
                <w:b/>
                <w:color w:val="FFFFFF"/>
                <w:sz w:val="16"/>
                <w:szCs w:val="16"/>
              </w:rPr>
            </w:pPr>
            <w:r w:rsidRPr="007B2F7C">
              <w:rPr>
                <w:b/>
                <w:color w:val="FFFFFF"/>
                <w:sz w:val="16"/>
                <w:szCs w:val="16"/>
              </w:rPr>
              <w:t>(Airbus / Boeing)</w:t>
            </w:r>
          </w:p>
        </w:tc>
        <w:tc>
          <w:tcPr>
            <w:tcW w:w="986" w:type="dxa"/>
            <w:shd w:val="clear" w:color="auto" w:fill="006283"/>
            <w:vAlign w:val="center"/>
          </w:tcPr>
          <w:p w:rsidR="00AE4AC1" w:rsidRPr="007B2F7C" w:rsidRDefault="00AE4AC1" w:rsidP="00526697">
            <w:pPr>
              <w:keepNext/>
              <w:spacing w:before="60" w:after="60"/>
              <w:jc w:val="center"/>
              <w:rPr>
                <w:b/>
                <w:color w:val="FFFFFF"/>
                <w:sz w:val="16"/>
                <w:szCs w:val="16"/>
              </w:rPr>
            </w:pPr>
            <w:r w:rsidRPr="007B2F7C">
              <w:rPr>
                <w:b/>
                <w:color w:val="FFFFFF"/>
                <w:sz w:val="16"/>
                <w:szCs w:val="16"/>
              </w:rPr>
              <w:t>2011 List Price (USD M)</w:t>
            </w:r>
          </w:p>
        </w:tc>
      </w:tr>
      <w:tr w:rsidR="00AE4AC1" w:rsidRPr="00445322" w:rsidTr="00267BCB">
        <w:trPr>
          <w:cantSplit/>
        </w:trPr>
        <w:tc>
          <w:tcPr>
            <w:tcW w:w="1311" w:type="dxa"/>
            <w:shd w:val="clear" w:color="auto" w:fill="auto"/>
          </w:tcPr>
          <w:p w:rsidR="00AE4AC1" w:rsidRPr="007B2F7C" w:rsidRDefault="00AE4AC1" w:rsidP="00526697">
            <w:pPr>
              <w:keepNext/>
              <w:spacing w:before="60" w:after="60"/>
              <w:rPr>
                <w:b/>
                <w:sz w:val="16"/>
                <w:szCs w:val="16"/>
              </w:rPr>
            </w:pPr>
            <w:r w:rsidRPr="007B2F7C">
              <w:rPr>
                <w:b/>
                <w:sz w:val="16"/>
                <w:szCs w:val="16"/>
              </w:rPr>
              <w:t>A380-800</w:t>
            </w:r>
          </w:p>
        </w:tc>
        <w:tc>
          <w:tcPr>
            <w:tcW w:w="1372" w:type="dxa"/>
            <w:shd w:val="clear" w:color="auto" w:fill="auto"/>
          </w:tcPr>
          <w:p w:rsidR="00AE4AC1" w:rsidRPr="007B2F7C" w:rsidRDefault="00AE4AC1" w:rsidP="00526697">
            <w:pPr>
              <w:keepNext/>
              <w:spacing w:before="60" w:after="60"/>
              <w:jc w:val="center"/>
              <w:rPr>
                <w:sz w:val="16"/>
                <w:szCs w:val="16"/>
              </w:rPr>
            </w:pPr>
            <w:r w:rsidRPr="007B2F7C">
              <w:rPr>
                <w:sz w:val="16"/>
                <w:szCs w:val="16"/>
              </w:rPr>
              <w:t>525 / 555</w:t>
            </w:r>
          </w:p>
        </w:tc>
        <w:tc>
          <w:tcPr>
            <w:tcW w:w="1327" w:type="dxa"/>
            <w:shd w:val="clear" w:color="auto" w:fill="auto"/>
          </w:tcPr>
          <w:p w:rsidR="00AE4AC1" w:rsidRPr="007B2F7C" w:rsidRDefault="00AE4AC1" w:rsidP="00526697">
            <w:pPr>
              <w:keepNext/>
              <w:spacing w:before="60" w:after="60"/>
              <w:jc w:val="center"/>
              <w:rPr>
                <w:sz w:val="16"/>
                <w:szCs w:val="16"/>
              </w:rPr>
            </w:pPr>
            <w:r w:rsidRPr="007B2F7C">
              <w:rPr>
                <w:sz w:val="16"/>
                <w:szCs w:val="16"/>
              </w:rPr>
              <w:t>560 / 633.9</w:t>
            </w:r>
          </w:p>
        </w:tc>
        <w:tc>
          <w:tcPr>
            <w:tcW w:w="1584" w:type="dxa"/>
            <w:shd w:val="clear" w:color="auto" w:fill="auto"/>
          </w:tcPr>
          <w:p w:rsidR="00AE4AC1" w:rsidRPr="007B2F7C" w:rsidRDefault="00AE4AC1" w:rsidP="00526697">
            <w:pPr>
              <w:keepNext/>
              <w:spacing w:before="60" w:after="60"/>
              <w:jc w:val="center"/>
              <w:rPr>
                <w:sz w:val="16"/>
                <w:szCs w:val="16"/>
              </w:rPr>
            </w:pPr>
            <w:r w:rsidRPr="007B2F7C">
              <w:rPr>
                <w:sz w:val="16"/>
                <w:szCs w:val="16"/>
              </w:rPr>
              <w:t>8,500 / 7,870</w:t>
            </w:r>
          </w:p>
        </w:tc>
        <w:tc>
          <w:tcPr>
            <w:tcW w:w="915" w:type="dxa"/>
            <w:shd w:val="clear" w:color="auto" w:fill="auto"/>
          </w:tcPr>
          <w:p w:rsidR="00AE4AC1" w:rsidRPr="007B2F7C" w:rsidRDefault="00AE4AC1" w:rsidP="00526697">
            <w:pPr>
              <w:keepNext/>
              <w:spacing w:before="60" w:after="60"/>
              <w:jc w:val="center"/>
              <w:rPr>
                <w:sz w:val="16"/>
                <w:szCs w:val="16"/>
              </w:rPr>
            </w:pPr>
            <w:r w:rsidRPr="007B2F7C">
              <w:rPr>
                <w:sz w:val="16"/>
                <w:szCs w:val="16"/>
              </w:rPr>
              <w:t>72.72 / 72.70</w:t>
            </w:r>
          </w:p>
        </w:tc>
        <w:tc>
          <w:tcPr>
            <w:tcW w:w="1544" w:type="dxa"/>
            <w:shd w:val="clear" w:color="auto" w:fill="auto"/>
          </w:tcPr>
          <w:p w:rsidR="00AE4AC1" w:rsidRPr="007B2F7C" w:rsidRDefault="00AE4AC1" w:rsidP="00526697">
            <w:pPr>
              <w:keepNext/>
              <w:spacing w:before="60" w:after="60"/>
              <w:jc w:val="center"/>
              <w:rPr>
                <w:sz w:val="16"/>
                <w:szCs w:val="16"/>
              </w:rPr>
            </w:pPr>
            <w:r w:rsidRPr="007B2F7C">
              <w:rPr>
                <w:sz w:val="16"/>
                <w:szCs w:val="16"/>
              </w:rPr>
              <w:t>79.75 / 79.80</w:t>
            </w:r>
          </w:p>
        </w:tc>
        <w:tc>
          <w:tcPr>
            <w:tcW w:w="986" w:type="dxa"/>
            <w:shd w:val="clear" w:color="auto" w:fill="auto"/>
          </w:tcPr>
          <w:p w:rsidR="00AE4AC1" w:rsidRPr="007B2F7C" w:rsidRDefault="00AE4AC1" w:rsidP="00526697">
            <w:pPr>
              <w:keepNext/>
              <w:spacing w:before="60" w:after="60"/>
              <w:jc w:val="center"/>
              <w:rPr>
                <w:sz w:val="16"/>
                <w:szCs w:val="16"/>
              </w:rPr>
            </w:pPr>
            <w:r w:rsidRPr="007B2F7C">
              <w:rPr>
                <w:sz w:val="16"/>
                <w:szCs w:val="16"/>
              </w:rPr>
              <w:t>375.3</w:t>
            </w:r>
          </w:p>
        </w:tc>
      </w:tr>
      <w:tr w:rsidR="00AE4AC1" w:rsidRPr="00445322" w:rsidTr="00267BCB">
        <w:trPr>
          <w:cantSplit/>
        </w:trPr>
        <w:tc>
          <w:tcPr>
            <w:tcW w:w="1311" w:type="dxa"/>
            <w:shd w:val="clear" w:color="auto" w:fill="C9DED4"/>
          </w:tcPr>
          <w:p w:rsidR="00AE4AC1" w:rsidRPr="007B2F7C" w:rsidRDefault="00AE4AC1" w:rsidP="00526697">
            <w:pPr>
              <w:keepNext/>
              <w:spacing w:before="60" w:after="60"/>
              <w:rPr>
                <w:b/>
                <w:sz w:val="16"/>
                <w:szCs w:val="16"/>
              </w:rPr>
            </w:pPr>
            <w:r w:rsidRPr="007B2F7C">
              <w:rPr>
                <w:b/>
                <w:sz w:val="16"/>
                <w:szCs w:val="16"/>
              </w:rPr>
              <w:t>747-8I</w:t>
            </w:r>
          </w:p>
        </w:tc>
        <w:tc>
          <w:tcPr>
            <w:tcW w:w="1372" w:type="dxa"/>
            <w:shd w:val="clear" w:color="auto" w:fill="C9DED4"/>
          </w:tcPr>
          <w:p w:rsidR="00AE4AC1" w:rsidRPr="007B2F7C" w:rsidRDefault="00AE4AC1" w:rsidP="00526697">
            <w:pPr>
              <w:keepNext/>
              <w:spacing w:before="60" w:after="60"/>
              <w:jc w:val="center"/>
              <w:rPr>
                <w:sz w:val="16"/>
                <w:szCs w:val="16"/>
              </w:rPr>
            </w:pPr>
            <w:r w:rsidRPr="007B2F7C">
              <w:rPr>
                <w:sz w:val="16"/>
                <w:szCs w:val="16"/>
              </w:rPr>
              <w:t>405 / 467</w:t>
            </w:r>
          </w:p>
        </w:tc>
        <w:tc>
          <w:tcPr>
            <w:tcW w:w="1327" w:type="dxa"/>
            <w:shd w:val="clear" w:color="auto" w:fill="C9DED4"/>
          </w:tcPr>
          <w:p w:rsidR="00AE4AC1" w:rsidRPr="007B2F7C" w:rsidRDefault="00AE4AC1" w:rsidP="00526697">
            <w:pPr>
              <w:keepNext/>
              <w:spacing w:before="60" w:after="60"/>
              <w:jc w:val="center"/>
              <w:rPr>
                <w:sz w:val="16"/>
                <w:szCs w:val="16"/>
              </w:rPr>
            </w:pPr>
            <w:r w:rsidRPr="007B2F7C">
              <w:rPr>
                <w:sz w:val="16"/>
                <w:szCs w:val="16"/>
              </w:rPr>
              <w:t>447.7 / 493.5</w:t>
            </w:r>
          </w:p>
        </w:tc>
        <w:tc>
          <w:tcPr>
            <w:tcW w:w="1584" w:type="dxa"/>
            <w:shd w:val="clear" w:color="auto" w:fill="C9DED4"/>
          </w:tcPr>
          <w:p w:rsidR="00AE4AC1" w:rsidRPr="007B2F7C" w:rsidRDefault="00AE4AC1" w:rsidP="00526697">
            <w:pPr>
              <w:keepNext/>
              <w:spacing w:before="60" w:after="60"/>
              <w:jc w:val="center"/>
              <w:rPr>
                <w:sz w:val="16"/>
                <w:szCs w:val="16"/>
              </w:rPr>
            </w:pPr>
            <w:r w:rsidRPr="007B2F7C">
              <w:rPr>
                <w:sz w:val="16"/>
                <w:szCs w:val="16"/>
              </w:rPr>
              <w:t>7,600 / 7,760</w:t>
            </w:r>
          </w:p>
        </w:tc>
        <w:tc>
          <w:tcPr>
            <w:tcW w:w="915" w:type="dxa"/>
            <w:shd w:val="clear" w:color="auto" w:fill="C9DED4"/>
          </w:tcPr>
          <w:p w:rsidR="00AE4AC1" w:rsidRPr="007B2F7C" w:rsidRDefault="00AE4AC1" w:rsidP="00526697">
            <w:pPr>
              <w:keepNext/>
              <w:spacing w:before="60" w:after="60"/>
              <w:jc w:val="center"/>
              <w:rPr>
                <w:sz w:val="16"/>
                <w:szCs w:val="16"/>
              </w:rPr>
            </w:pPr>
            <w:r w:rsidRPr="007B2F7C">
              <w:rPr>
                <w:sz w:val="16"/>
                <w:szCs w:val="16"/>
              </w:rPr>
              <w:t>76.30</w:t>
            </w:r>
          </w:p>
        </w:tc>
        <w:tc>
          <w:tcPr>
            <w:tcW w:w="1544" w:type="dxa"/>
            <w:shd w:val="clear" w:color="auto" w:fill="C9DED4"/>
          </w:tcPr>
          <w:p w:rsidR="00AE4AC1" w:rsidRPr="007B2F7C" w:rsidRDefault="00AE4AC1" w:rsidP="00526697">
            <w:pPr>
              <w:keepNext/>
              <w:spacing w:before="60" w:after="60"/>
              <w:jc w:val="center"/>
              <w:rPr>
                <w:sz w:val="16"/>
                <w:szCs w:val="16"/>
              </w:rPr>
            </w:pPr>
            <w:r w:rsidRPr="007B2F7C">
              <w:rPr>
                <w:sz w:val="16"/>
                <w:szCs w:val="16"/>
              </w:rPr>
              <w:t>68.50</w:t>
            </w:r>
          </w:p>
        </w:tc>
        <w:tc>
          <w:tcPr>
            <w:tcW w:w="986" w:type="dxa"/>
            <w:shd w:val="clear" w:color="auto" w:fill="C9DED4"/>
          </w:tcPr>
          <w:p w:rsidR="00AE4AC1" w:rsidRPr="007B2F7C" w:rsidRDefault="00AE4AC1" w:rsidP="00526697">
            <w:pPr>
              <w:keepNext/>
              <w:spacing w:before="60" w:after="60"/>
              <w:jc w:val="center"/>
              <w:rPr>
                <w:sz w:val="16"/>
                <w:szCs w:val="16"/>
              </w:rPr>
            </w:pPr>
            <w:r w:rsidRPr="007B2F7C">
              <w:rPr>
                <w:sz w:val="16"/>
                <w:szCs w:val="16"/>
              </w:rPr>
              <w:t xml:space="preserve">332.9 </w:t>
            </w:r>
          </w:p>
        </w:tc>
      </w:tr>
    </w:tbl>
    <w:p w:rsidR="00AE4AC1" w:rsidRDefault="00AE4AC1" w:rsidP="00267BCB">
      <w:pPr>
        <w:pStyle w:val="NoteText"/>
        <w:spacing w:before="120"/>
      </w:pPr>
      <w:r>
        <w:t>Source: Panel Report, Table 18 at paragraph 6.1373</w:t>
      </w:r>
      <w:r w:rsidR="004D6109">
        <w:t>.</w:t>
      </w:r>
    </w:p>
    <w:p w:rsidR="00AE4AC1" w:rsidRPr="00D44E62" w:rsidRDefault="00AE4AC1" w:rsidP="00526697">
      <w:pPr>
        <w:pStyle w:val="BodyText"/>
        <w:keepNext/>
        <w:keepLines/>
        <w:spacing w:before="240"/>
      </w:pPr>
      <w:r w:rsidRPr="00D44E62">
        <w:t>The Panel considered that</w:t>
      </w:r>
      <w:r>
        <w:t>,</w:t>
      </w:r>
      <w:r w:rsidRPr="00D44E62">
        <w:t xml:space="preserve"> although the European Union denied the existence of anything more than "weak or minimal" competition between the 747-8I and the A380</w:t>
      </w:r>
      <w:r>
        <w:rPr>
          <w:rStyle w:val="FootnoteReference"/>
        </w:rPr>
        <w:footnoteReference w:id="1390"/>
      </w:r>
      <w:r w:rsidRPr="00D44E62">
        <w:t xml:space="preserve">, </w:t>
      </w:r>
      <w:r w:rsidR="00E30092">
        <w:t>the Mourey </w:t>
      </w:r>
      <w:r w:rsidRPr="00793859">
        <w:t>Statement "recognize{d} that the two aircraft '</w:t>
      </w:r>
      <w:r>
        <w:t>{were}</w:t>
      </w:r>
      <w:r w:rsidRPr="00793859">
        <w:rPr>
          <w:i/>
        </w:rPr>
        <w:t xml:space="preserve"> </w:t>
      </w:r>
      <w:r w:rsidRPr="00793859">
        <w:t>the closest to one</w:t>
      </w:r>
      <w:r w:rsidRPr="00D44E62">
        <w:t xml:space="preserve"> another' in terms of size"</w:t>
      </w:r>
      <w:r>
        <w:rPr>
          <w:rStyle w:val="FootnoteReference"/>
        </w:rPr>
        <w:footnoteReference w:id="1391"/>
      </w:r>
      <w:r w:rsidRPr="00D44E62">
        <w:t xml:space="preserve"> and, "moreover, 'ha</w:t>
      </w:r>
      <w:r>
        <w:t>{d}</w:t>
      </w:r>
      <w:r w:rsidRPr="00D44E62">
        <w:t xml:space="preserve"> </w:t>
      </w:r>
      <w:r w:rsidRPr="00172292">
        <w:t>similar range capabilities'</w:t>
      </w:r>
      <w:r w:rsidRPr="00D44E62">
        <w:t xml:space="preserve">, meaning that they </w:t>
      </w:r>
      <w:r>
        <w:t>{could}</w:t>
      </w:r>
      <w:r w:rsidRPr="00D44E62">
        <w:t xml:space="preserve"> both 'generally be used for the same long-haul routes'</w:t>
      </w:r>
      <w:r>
        <w:t>.</w:t>
      </w:r>
      <w:r w:rsidRPr="00D44E62">
        <w:t>"</w:t>
      </w:r>
      <w:r>
        <w:rPr>
          <w:rStyle w:val="FootnoteReference"/>
        </w:rPr>
        <w:footnoteReference w:id="1392"/>
      </w:r>
      <w:r w:rsidRPr="00D44E62">
        <w:t xml:space="preserve"> Accordingly, the Panel noted that the parties therefore "seem{ed} to agree that the differences between the A380 and the 747-8I in terms of size and flying range {did} not preclude the possibility that, in general, the two aircraft </w:t>
      </w:r>
      <w:r>
        <w:t>{could}</w:t>
      </w:r>
      <w:r w:rsidRPr="00D44E62">
        <w:t xml:space="preserve"> be used to serve the same long-haul routes</w:t>
      </w:r>
      <w:r>
        <w:t>.</w:t>
      </w:r>
      <w:r w:rsidRPr="00D44E62">
        <w:t>"</w:t>
      </w:r>
      <w:r>
        <w:rPr>
          <w:rStyle w:val="FootnoteReference"/>
        </w:rPr>
        <w:footnoteReference w:id="1393"/>
      </w:r>
    </w:p>
    <w:p w:rsidR="00AE4AC1" w:rsidRPr="00D44E62" w:rsidRDefault="00AE4AC1" w:rsidP="00526697">
      <w:pPr>
        <w:pStyle w:val="BodyText"/>
      </w:pPr>
      <w:r w:rsidRPr="00D44E62">
        <w:t xml:space="preserve">The Panel noted </w:t>
      </w:r>
      <w:r>
        <w:t xml:space="preserve">that the </w:t>
      </w:r>
      <w:r w:rsidRPr="00D44E62">
        <w:t xml:space="preserve">A380 and </w:t>
      </w:r>
      <w:r>
        <w:t xml:space="preserve">the </w:t>
      </w:r>
      <w:r w:rsidRPr="00D44E62">
        <w:t xml:space="preserve">747-8I </w:t>
      </w:r>
      <w:r>
        <w:t>were</w:t>
      </w:r>
      <w:r w:rsidRPr="00D44E62">
        <w:t xml:space="preserve"> the largest civil aircraft produced by Airbus and Boeing, and c</w:t>
      </w:r>
      <w:r>
        <w:t>ould</w:t>
      </w:r>
      <w:r w:rsidRPr="00D44E62">
        <w:t xml:space="preserve"> both genera</w:t>
      </w:r>
      <w:r>
        <w:t xml:space="preserve">lly be used to cover </w:t>
      </w:r>
      <w:r w:rsidRPr="00172292">
        <w:t>the same long</w:t>
      </w:r>
      <w:r w:rsidRPr="00172292">
        <w:noBreakHyphen/>
        <w:t>haul routes</w:t>
      </w:r>
      <w:r w:rsidRPr="00D44E62">
        <w:t>.</w:t>
      </w:r>
      <w:r>
        <w:rPr>
          <w:rStyle w:val="FootnoteReference"/>
        </w:rPr>
        <w:footnoteReference w:id="1394"/>
      </w:r>
      <w:r w:rsidR="00E30092">
        <w:t xml:space="preserve"> The </w:t>
      </w:r>
      <w:r w:rsidRPr="00D44E62">
        <w:t>Panel stated that</w:t>
      </w:r>
      <w:r>
        <w:t>,</w:t>
      </w:r>
      <w:r w:rsidRPr="00D44E62">
        <w:t xml:space="preserve"> "{w}hile the A380's larger seating capacity and relatively modern technologies mean{t} that it ha{d} a per/seat operating cost and revenue advantage over the 747-8I", the Panel considered that "this advantage {would} decrease the closer the expected seating capacity of a particular mission {was} to the maximum seating capacity of the 747-8I".</w:t>
      </w:r>
      <w:r>
        <w:rPr>
          <w:rStyle w:val="FootnoteReference"/>
        </w:rPr>
        <w:footnoteReference w:id="1395"/>
      </w:r>
      <w:r w:rsidRPr="00D44E62">
        <w:t xml:space="preserve"> For the Panel, "{t}he smaller the difference, the greater {was} the possibility that the A380's advantage might be overcome by a combination of other factors informing a customer's purchase decision, including price, fleet commonality and/or delivery date."</w:t>
      </w:r>
      <w:r>
        <w:rPr>
          <w:rStyle w:val="FootnoteReference"/>
        </w:rPr>
        <w:footnoteReference w:id="1396"/>
      </w:r>
      <w:r w:rsidRPr="00D44E62">
        <w:t xml:space="preserve"> Thus, the Panel considered it </w:t>
      </w:r>
      <w:r>
        <w:t>"</w:t>
      </w:r>
      <w:r w:rsidRPr="00D44E62">
        <w:t xml:space="preserve">apparent from </w:t>
      </w:r>
      <w:r w:rsidRPr="00793859">
        <w:t xml:space="preserve">the </w:t>
      </w:r>
      <w:r w:rsidRPr="00793859">
        <w:rPr>
          <w:i/>
        </w:rPr>
        <w:t>conditions of competition</w:t>
      </w:r>
      <w:r w:rsidRPr="00793859">
        <w:t xml:space="preserve"> in the LCA industry that the A380 and the 747-8I {would}</w:t>
      </w:r>
      <w:r w:rsidRPr="00D44E62">
        <w:t xml:space="preserve"> have a potential customer base that {would} include airlines with mission requirements that overlap the capabilities of the two aircraft</w:t>
      </w:r>
      <w:r>
        <w:t>.</w:t>
      </w:r>
      <w:r w:rsidRPr="00D44E62">
        <w:t>"</w:t>
      </w:r>
      <w:r>
        <w:rPr>
          <w:rStyle w:val="FootnoteReference"/>
        </w:rPr>
        <w:footnoteReference w:id="1397"/>
      </w:r>
      <w:r w:rsidRPr="00D44E62">
        <w:t xml:space="preserve"> The Panel found that a number of features of demand and supply of LCA products</w:t>
      </w:r>
      <w:r>
        <w:rPr>
          <w:rStyle w:val="FootnoteReference"/>
        </w:rPr>
        <w:footnoteReference w:id="1398"/>
      </w:r>
      <w:r w:rsidRPr="00D44E62">
        <w:t xml:space="preserve"> suggested that "the potential customer base of the A380 {was} likely to be broader, encompassing not only airlines projecting consistently high levels of passenger demand, but also airlines with lower or varying projections of passenger demand overlapping the capacities of the A380 and the 747-8I."</w:t>
      </w:r>
      <w:r>
        <w:rPr>
          <w:rStyle w:val="FootnoteReference"/>
        </w:rPr>
        <w:footnoteReference w:id="1399"/>
      </w:r>
      <w:r w:rsidRPr="00D44E62">
        <w:t xml:space="preserve"> The Panel concluded that "{t}hese general and A380</w:t>
      </w:r>
      <w:r>
        <w:noBreakHyphen/>
      </w:r>
      <w:r w:rsidRPr="00D44E62">
        <w:t xml:space="preserve">specific features of LCA demand {did} not weigh in favour of the argument that the A380's potential customers </w:t>
      </w:r>
      <w:r w:rsidRPr="00793859">
        <w:t xml:space="preserve">{would} </w:t>
      </w:r>
      <w:r w:rsidRPr="00793859">
        <w:rPr>
          <w:i/>
        </w:rPr>
        <w:t>only</w:t>
      </w:r>
      <w:r w:rsidRPr="00793859">
        <w:t xml:space="preserve"> ever seriously consider purchasing it for the purpose of missions that</w:t>
      </w:r>
      <w:r w:rsidRPr="00D44E62">
        <w:t xml:space="preserve"> </w:t>
      </w:r>
      <w:r>
        <w:t>{could not}</w:t>
      </w:r>
      <w:r w:rsidRPr="00D44E62">
        <w:t xml:space="preserve"> also be serviced by the 747-8I".</w:t>
      </w:r>
      <w:r>
        <w:rPr>
          <w:rStyle w:val="FootnoteReference"/>
        </w:rPr>
        <w:footnoteReference w:id="1400"/>
      </w:r>
      <w:r w:rsidRPr="00D44E62">
        <w:t xml:space="preserve"> This, according to the Panel, "implie{d} that … there {were} customers that {would} explore the economics of both the A380 and the 747</w:t>
      </w:r>
      <w:r w:rsidRPr="00D44E62">
        <w:noBreakHyphen/>
        <w:t>8I for the purpose of performing comparable missions".</w:t>
      </w:r>
      <w:r>
        <w:rPr>
          <w:rStyle w:val="FootnoteReference"/>
        </w:rPr>
        <w:footnoteReference w:id="1401"/>
      </w:r>
    </w:p>
    <w:p w:rsidR="00AE4AC1" w:rsidRPr="00D44E62" w:rsidRDefault="00AE4AC1" w:rsidP="00526697">
      <w:pPr>
        <w:pStyle w:val="BodyText"/>
      </w:pPr>
      <w:r w:rsidRPr="00D44E62">
        <w:t>It was in this context that the Panel stated that</w:t>
      </w:r>
      <w:r>
        <w:t>,</w:t>
      </w:r>
      <w:r w:rsidRPr="00D44E62">
        <w:t xml:space="preserve"> "to accept that the A380's relative performance advantage over the 747-8I place</w:t>
      </w:r>
      <w:r>
        <w:t>{d}</w:t>
      </w:r>
      <w:r w:rsidRPr="00D44E62">
        <w:t xml:space="preserve"> it in a monopoly market, {it} would have to accept that the A380 was developed to exclusively serve a particular customer space that the 747 (or indeed any other aircraft) could not attract."</w:t>
      </w:r>
      <w:r>
        <w:rPr>
          <w:rStyle w:val="FootnoteReference"/>
        </w:rPr>
        <w:footnoteReference w:id="1402"/>
      </w:r>
      <w:r w:rsidRPr="00D44E62">
        <w:t xml:space="preserve"> </w:t>
      </w:r>
      <w:r>
        <w:t xml:space="preserve">As we understand it, </w:t>
      </w:r>
      <w:r w:rsidRPr="00284B65">
        <w:t xml:space="preserve">the Panel appears, in this context, to have simply expressed this view </w:t>
      </w:r>
      <w:r w:rsidRPr="00284B65">
        <w:rPr>
          <w:i/>
        </w:rPr>
        <w:t>only</w:t>
      </w:r>
      <w:r w:rsidRPr="00284B65">
        <w:t xml:space="preserve"> with respect to the A380's relative performance advantage over the 747-8I. It does not follow from this that the Panel considered that </w:t>
      </w:r>
      <w:r>
        <w:t xml:space="preserve">the A380 and the 747-8I </w:t>
      </w:r>
      <w:r w:rsidRPr="00284B65">
        <w:t xml:space="preserve">would compete in the same market </w:t>
      </w:r>
      <w:r w:rsidRPr="00284B65">
        <w:rPr>
          <w:i/>
        </w:rPr>
        <w:t>regardless of the nature and degree of competition</w:t>
      </w:r>
      <w:r w:rsidRPr="00284B65">
        <w:t xml:space="preserve"> that exist</w:t>
      </w:r>
      <w:r>
        <w:t>ed</w:t>
      </w:r>
      <w:r w:rsidRPr="00284B65">
        <w:t xml:space="preserve"> between them.</w:t>
      </w:r>
      <w:r w:rsidRPr="00793859">
        <w:t xml:space="preserve"> </w:t>
      </w:r>
      <w:r>
        <w:t xml:space="preserve">As we recall, the Panel found </w:t>
      </w:r>
      <w:r w:rsidRPr="00D44E62">
        <w:t>that the conditions of competition revealed that "the A380 and the 747-8I {would} have a potential customer base that {would} include airlines with mission requirements that overlap the capabilities of the two aircraft</w:t>
      </w:r>
      <w:r>
        <w:t>.</w:t>
      </w:r>
      <w:r w:rsidRPr="00D44E62">
        <w:t>"</w:t>
      </w:r>
      <w:r>
        <w:rPr>
          <w:rStyle w:val="FootnoteReference"/>
        </w:rPr>
        <w:footnoteReference w:id="1403"/>
      </w:r>
      <w:r>
        <w:t xml:space="preserve"> T</w:t>
      </w:r>
      <w:r w:rsidRPr="00793859">
        <w:t xml:space="preserve">he Panel's analysis </w:t>
      </w:r>
      <w:r>
        <w:t>is</w:t>
      </w:r>
      <w:r w:rsidRPr="00793859">
        <w:t xml:space="preserve"> in consonance with the Appellate Body's guidance </w:t>
      </w:r>
      <w:r>
        <w:t xml:space="preserve">in the original proceedings </w:t>
      </w:r>
      <w:r w:rsidRPr="00D44E62">
        <w:t>that</w:t>
      </w:r>
      <w:r>
        <w:t>,</w:t>
      </w:r>
      <w:r w:rsidRPr="00D44E62">
        <w:t xml:space="preserve"> in determining "whether two products compete in the same market … it may also be relevant to consider whether customers demand a range </w:t>
      </w:r>
      <w:r w:rsidRPr="00793859">
        <w:t xml:space="preserve">of products or </w:t>
      </w:r>
      <w:r w:rsidRPr="00793859">
        <w:rPr>
          <w:i/>
        </w:rPr>
        <w:t>whether they are interested in only a particular product type</w:t>
      </w:r>
      <w:r w:rsidRPr="0012158D">
        <w:t>.</w:t>
      </w:r>
      <w:r w:rsidRPr="00793859">
        <w:t>"</w:t>
      </w:r>
      <w:r>
        <w:rPr>
          <w:rStyle w:val="FootnoteReference"/>
        </w:rPr>
        <w:footnoteReference w:id="1404"/>
      </w:r>
      <w:r w:rsidRPr="00793859">
        <w:t xml:space="preserve"> In case</w:t>
      </w:r>
      <w:r w:rsidRPr="00D44E62">
        <w:t xml:space="preserve"> of the former, the Appellate Body considered that</w:t>
      </w:r>
      <w:r>
        <w:t>,</w:t>
      </w:r>
      <w:r w:rsidRPr="00D44E62">
        <w:t xml:space="preserve"> "when customers procure a range of products to satisfy their needs, this may give an indication that all such products could be competing in the same market."</w:t>
      </w:r>
      <w:r>
        <w:rPr>
          <w:rStyle w:val="FootnoteReference"/>
        </w:rPr>
        <w:footnoteReference w:id="1405"/>
      </w:r>
      <w:r w:rsidRPr="00D44E62">
        <w:t xml:space="preserve"> </w:t>
      </w:r>
    </w:p>
    <w:p w:rsidR="00AE4AC1" w:rsidRPr="00D44E62" w:rsidRDefault="00AE4AC1" w:rsidP="00526697">
      <w:pPr>
        <w:pStyle w:val="BodyText"/>
      </w:pPr>
      <w:r w:rsidRPr="00D44E62">
        <w:t xml:space="preserve">Moreover, we note that the Panel's analysis did not end </w:t>
      </w:r>
      <w:r>
        <w:t>t</w:t>
      </w:r>
      <w:r w:rsidRPr="00D44E62">
        <w:t>here. Instead, after reviewing the evidence on record, the Panel noted that</w:t>
      </w:r>
      <w:r>
        <w:t>,</w:t>
      </w:r>
      <w:r w:rsidRPr="00D44E62">
        <w:t xml:space="preserve"> "outside of the context of this proceeding, Airbus ha{d} consistently maintained the view that the potential customers of the A380 {would} also be likely to seriously consider the 747-8I in a segment of the LCA market</w:t>
      </w:r>
      <w:r w:rsidR="00E80D8D">
        <w:t xml:space="preserve"> that {was} covered by no other </w:t>
      </w:r>
      <w:r w:rsidRPr="00D44E62">
        <w:t>aircraft</w:t>
      </w:r>
      <w:r>
        <w:t>.</w:t>
      </w:r>
      <w:r w:rsidRPr="00D44E62">
        <w:t>"</w:t>
      </w:r>
      <w:r>
        <w:rPr>
          <w:rStyle w:val="FootnoteReference"/>
        </w:rPr>
        <w:footnoteReference w:id="1406"/>
      </w:r>
    </w:p>
    <w:p w:rsidR="00AE4AC1" w:rsidRPr="00D44E62" w:rsidRDefault="00AE4AC1" w:rsidP="00526697">
      <w:pPr>
        <w:pStyle w:val="BodyText"/>
      </w:pPr>
      <w:r w:rsidRPr="00D44E62">
        <w:t xml:space="preserve">As </w:t>
      </w:r>
      <w:r>
        <w:t>it did in the context of</w:t>
      </w:r>
      <w:r w:rsidRPr="00D44E62">
        <w:t xml:space="preserve"> its analysis </w:t>
      </w:r>
      <w:r>
        <w:t>of competition in</w:t>
      </w:r>
      <w:r w:rsidRPr="00D44E62">
        <w:t xml:space="preserve"> the single-aisle and twin-aisle LCA </w:t>
      </w:r>
      <w:r w:rsidRPr="00A70420">
        <w:t>markets</w:t>
      </w:r>
      <w:r w:rsidRPr="00D44E62">
        <w:t>, the Panel next turned to consider whether the existence of competition between the A380 and the 747-8I was evidenced by the pricing pressure that</w:t>
      </w:r>
      <w:r w:rsidR="00E80D8D">
        <w:t xml:space="preserve"> each aircraft imposed upon the </w:t>
      </w:r>
      <w:r w:rsidRPr="00D44E62">
        <w:t xml:space="preserve">other. </w:t>
      </w:r>
    </w:p>
    <w:p w:rsidR="00AE4AC1" w:rsidRPr="00D44E62" w:rsidRDefault="00AE4AC1" w:rsidP="00526697">
      <w:pPr>
        <w:pStyle w:val="BodyText"/>
      </w:pPr>
      <w:r>
        <w:t>Before the Panel, t</w:t>
      </w:r>
      <w:r w:rsidRPr="00D44E62">
        <w:t xml:space="preserve">he United States had referred to certain HSBI evidence, which, according to the United States, revealed Boeing's </w:t>
      </w:r>
      <w:r>
        <w:t>net present value</w:t>
      </w:r>
      <w:r w:rsidRPr="00D44E62">
        <w:t xml:space="preserve"> analyses and pricing considerations with respect to both aircraft in the 2007 Emirates and 2006 British Airways sales campaigns.</w:t>
      </w:r>
      <w:r>
        <w:rPr>
          <w:rStyle w:val="FootnoteReference"/>
        </w:rPr>
        <w:footnoteReference w:id="1407"/>
      </w:r>
      <w:r w:rsidRPr="00D44E62">
        <w:t xml:space="preserve"> The United States additionally argued that "the existence of reciprocal pricing constraints follow{ed} logically from the dynamics of sales negotiations in the LCA industry, where 'companies bargain over prices based on the best alternative to negotiated agreement </w:t>
      </w:r>
      <w:r>
        <w:t>…</w:t>
      </w:r>
      <w:r w:rsidRPr="00D44E62">
        <w:t xml:space="preserve"> faced by each player'."</w:t>
      </w:r>
      <w:r>
        <w:rPr>
          <w:rStyle w:val="FootnoteReference"/>
        </w:rPr>
        <w:footnoteReference w:id="1408"/>
      </w:r>
      <w:r w:rsidRPr="00D44E62">
        <w:t xml:space="preserve"> The Panel noted that, while the European Union accepted that "the A380's presence ha</w:t>
      </w:r>
      <w:r>
        <w:t>{d}</w:t>
      </w:r>
      <w:r w:rsidRPr="00D44E62">
        <w:t xml:space="preserve"> caused signific</w:t>
      </w:r>
      <w:r>
        <w:t>ant pricing pressure on the </w:t>
      </w:r>
      <w:r w:rsidRPr="00D44E62">
        <w:t>747</w:t>
      </w:r>
      <w:r w:rsidRPr="00D44E62">
        <w:noBreakHyphen/>
        <w:t>8I"</w:t>
      </w:r>
      <w:r>
        <w:rPr>
          <w:rStyle w:val="FootnoteReference"/>
        </w:rPr>
        <w:footnoteReference w:id="1409"/>
      </w:r>
      <w:r w:rsidRPr="00D44E62">
        <w:t>, it denied that "the 747-8I constrain</w:t>
      </w:r>
      <w:r>
        <w:t>{ed}</w:t>
      </w:r>
      <w:r w:rsidRPr="00D44E62">
        <w:t xml:space="preserve"> Airbus' pricing of the A380 in any substantial way"</w:t>
      </w:r>
      <w:r>
        <w:rPr>
          <w:rStyle w:val="FootnoteReference"/>
        </w:rPr>
        <w:footnoteReference w:id="1410"/>
      </w:r>
      <w:r w:rsidRPr="00D44E62">
        <w:t>, asserting further that</w:t>
      </w:r>
      <w:r>
        <w:t>,</w:t>
      </w:r>
      <w:r w:rsidRPr="00D44E62">
        <w:t xml:space="preserve"> just because "the 747-8I may be the 'closest alternative' to the A380 </w:t>
      </w:r>
      <w:r>
        <w:t>{did}</w:t>
      </w:r>
      <w:r w:rsidRPr="00D44E62">
        <w:t xml:space="preserve"> not … reveal the degree of competition that exist</w:t>
      </w:r>
      <w:r>
        <w:t>{ed}</w:t>
      </w:r>
      <w:r w:rsidRPr="00D44E62">
        <w:t xml:space="preserve"> between the two products, and for this reason, it {was} legally and factually insufficient to establish the requisite demand-side substitutability."</w:t>
      </w:r>
      <w:r>
        <w:rPr>
          <w:rStyle w:val="FootnoteReference"/>
        </w:rPr>
        <w:footnoteReference w:id="1411"/>
      </w:r>
    </w:p>
    <w:p w:rsidR="00AE4AC1" w:rsidRPr="00D44E62" w:rsidRDefault="00AE4AC1" w:rsidP="00526697">
      <w:pPr>
        <w:pStyle w:val="BodyText"/>
      </w:pPr>
      <w:r w:rsidRPr="00D44E62">
        <w:t>The Panel agreed that "the mere fact that one aircraft may be an 'alternative' to another for the purpose of flying the same missions {said} little about the degree of competition that exist{ed} between those aircraft".</w:t>
      </w:r>
      <w:r>
        <w:rPr>
          <w:rStyle w:val="FootnoteReference"/>
        </w:rPr>
        <w:footnoteReference w:id="1412"/>
      </w:r>
      <w:r w:rsidRPr="00D44E62">
        <w:t xml:space="preserve"> The Panel also considered that "the HSBI evidence relied upon by the United States … represent{ed} no more than Boeing's view that at a certain point in time during the 2007 Emirates and 2006 British </w:t>
      </w:r>
      <w:r w:rsidRPr="00793859">
        <w:t xml:space="preserve">Airways sales campaigns, </w:t>
      </w:r>
      <w:r w:rsidRPr="00793859">
        <w:rPr>
          <w:b/>
        </w:rPr>
        <w:t>[</w:t>
      </w:r>
      <w:r w:rsidR="00E8168B" w:rsidRPr="00C8434D">
        <w:rPr>
          <w:b/>
          <w:szCs w:val="16"/>
        </w:rPr>
        <w:t>BCI</w:t>
      </w:r>
      <w:r w:rsidRPr="00D44E62">
        <w:rPr>
          <w:b/>
        </w:rPr>
        <w:t>]</w:t>
      </w:r>
      <w:r w:rsidRPr="00D44E62">
        <w:t>".</w:t>
      </w:r>
      <w:r>
        <w:rPr>
          <w:rStyle w:val="FootnoteReference"/>
        </w:rPr>
        <w:footnoteReference w:id="1413"/>
      </w:r>
      <w:r w:rsidRPr="00D44E62">
        <w:t xml:space="preserve"> </w:t>
      </w:r>
      <w:r>
        <w:t xml:space="preserve">Addressing </w:t>
      </w:r>
      <w:r w:rsidRPr="00D44E62">
        <w:t xml:space="preserve">the European Union's </w:t>
      </w:r>
      <w:r>
        <w:t>net present value analyses of the A380 and the </w:t>
      </w:r>
      <w:r w:rsidRPr="00D44E62">
        <w:t xml:space="preserve">747-8I, the Panel </w:t>
      </w:r>
      <w:r>
        <w:t>found</w:t>
      </w:r>
      <w:r w:rsidRPr="00D44E62">
        <w:t xml:space="preserve"> that the </w:t>
      </w:r>
      <w:r>
        <w:t>net present value</w:t>
      </w:r>
      <w:r w:rsidRPr="00D44E62">
        <w:t xml:space="preserve"> comparison analysis conducted in the Supplemental Mourey Statement "fail{ed} to demonstrate that the two aircraft {did} not compete with one another in the same product market".</w:t>
      </w:r>
      <w:r>
        <w:rPr>
          <w:rStyle w:val="FootnoteReference"/>
        </w:rPr>
        <w:footnoteReference w:id="1414"/>
      </w:r>
      <w:r w:rsidRPr="00D44E62">
        <w:t xml:space="preserve"> The Panel reasoned that "all that the </w:t>
      </w:r>
      <w:r>
        <w:t>{net present value}</w:t>
      </w:r>
      <w:r w:rsidRPr="00D44E62">
        <w:t xml:space="preserve"> analyses ultimately demonstrate{d} {was} that, excluding price, fleet commonality, delivery date and other factors … the A380 {would} have a significant operating cost and revenue advantage over the 747-8I on missions where the latter {could not} satisfy the demand for seating capacity, which demand {could} only be met by one aircraft in the LCA industry – the A380."</w:t>
      </w:r>
      <w:r>
        <w:rPr>
          <w:rStyle w:val="FootnoteReference"/>
        </w:rPr>
        <w:footnoteReference w:id="1415"/>
      </w:r>
    </w:p>
    <w:p w:rsidR="00AE4AC1" w:rsidRPr="00793859" w:rsidRDefault="00AE4AC1" w:rsidP="00526697">
      <w:pPr>
        <w:pStyle w:val="BodyText"/>
      </w:pPr>
      <w:r w:rsidRPr="00D44E62">
        <w:t>The Panel further noted that</w:t>
      </w:r>
      <w:r>
        <w:t>,</w:t>
      </w:r>
      <w:r w:rsidRPr="00D44E62">
        <w:t xml:space="preserve"> as the </w:t>
      </w:r>
      <w:r>
        <w:t xml:space="preserve">A380 and the 747-8I were the </w:t>
      </w:r>
      <w:r w:rsidRPr="00D44E62">
        <w:t xml:space="preserve">only two aircraft capable of flying well over 400 passengers on long-haul routes, </w:t>
      </w:r>
      <w:r>
        <w:t xml:space="preserve">the Panel found </w:t>
      </w:r>
      <w:r w:rsidRPr="00D44E62">
        <w:t xml:space="preserve">it </w:t>
      </w:r>
      <w:r>
        <w:t>"</w:t>
      </w:r>
      <w:r w:rsidRPr="00D44E62">
        <w:t>difficult to believe that airlines interested in purchasing LCA with capabilities such as those of the A380 and the 747-8I would not try to negotiate and obtain price discounts"</w:t>
      </w:r>
      <w:r w:rsidR="00E30092">
        <w:t xml:space="preserve"> from Airbus and Boeing on "the </w:t>
      </w:r>
      <w:r w:rsidRPr="00D44E62">
        <w:t>basis of the strength of each company's respective sales offer, even when the superiority of one aircraft over the other may be relatively apparent".</w:t>
      </w:r>
      <w:r>
        <w:rPr>
          <w:rStyle w:val="FootnoteReference"/>
        </w:rPr>
        <w:footnoteReference w:id="1416"/>
      </w:r>
      <w:r w:rsidRPr="00D44E62">
        <w:t xml:space="preserve"> The Panel found that "the fact that Airbus may </w:t>
      </w:r>
      <w:r>
        <w:t xml:space="preserve">{have} </w:t>
      </w:r>
      <w:r w:rsidRPr="00D44E62">
        <w:t>face</w:t>
      </w:r>
      <w:r>
        <w:t>{d}</w:t>
      </w:r>
      <w:r w:rsidRPr="00D44E62">
        <w:t xml:space="preserve"> relatively less pricing pressure from the 747-8I when a potential customer {was} looking for an LCA with a seating capacity that approximate</w:t>
      </w:r>
      <w:r>
        <w:t>{d}</w:t>
      </w:r>
      <w:r w:rsidRPr="00D44E62">
        <w:t xml:space="preserve"> the maximum capacity of the A380 {did} not necessarily signal the absence of reciprocal pricing constraints</w:t>
      </w:r>
      <w:r>
        <w:t>.</w:t>
      </w:r>
      <w:r w:rsidRPr="00D44E62">
        <w:t>"</w:t>
      </w:r>
      <w:r>
        <w:rPr>
          <w:rStyle w:val="FootnoteReference"/>
        </w:rPr>
        <w:footnoteReference w:id="1417"/>
      </w:r>
      <w:r w:rsidRPr="00D44E62">
        <w:t xml:space="preserve"> Rather, according to the Panel, "given that there {would} be a range of customer demands for LCA with a passenger capacity exceeding 400 seats", one would "expect to find differing degrees of reciprocal pricing constraints between the A380 and the 747</w:t>
      </w:r>
      <w:r>
        <w:noBreakHyphen/>
      </w:r>
      <w:r w:rsidRPr="00D44E62">
        <w:t>8I, depending upon how close a particular customer's needs reflect</w:t>
      </w:r>
      <w:r>
        <w:t>{ed}</w:t>
      </w:r>
      <w:r w:rsidRPr="00D44E62">
        <w:t xml:space="preserve"> the relative advantage of one aircraft over the other</w:t>
      </w:r>
      <w:r>
        <w:t>.</w:t>
      </w:r>
      <w:r w:rsidRPr="00D44E62">
        <w:t>"</w:t>
      </w:r>
      <w:r>
        <w:rPr>
          <w:rStyle w:val="FootnoteReference"/>
        </w:rPr>
        <w:footnoteReference w:id="1418"/>
      </w:r>
      <w:r w:rsidRPr="00D44E62">
        <w:t xml:space="preserve"> </w:t>
      </w:r>
      <w:r>
        <w:t>T</w:t>
      </w:r>
      <w:r w:rsidRPr="00D44E62">
        <w:t>he Panel concluded that</w:t>
      </w:r>
      <w:r>
        <w:t>,</w:t>
      </w:r>
      <w:r w:rsidRPr="00D44E62">
        <w:t xml:space="preserve"> </w:t>
      </w:r>
      <w:r>
        <w:t>"{</w:t>
      </w:r>
      <w:r w:rsidRPr="00D44E62">
        <w:t>a</w:t>
      </w:r>
      <w:r>
        <w:t>}</w:t>
      </w:r>
      <w:r w:rsidRPr="00D44E62">
        <w:t>t either end of this range of customer needs, one aircraft {would} impose greater pricing pressure on the other</w:t>
      </w:r>
      <w:r>
        <w:t>.</w:t>
      </w:r>
      <w:r w:rsidRPr="00D44E62">
        <w:t>"</w:t>
      </w:r>
      <w:r>
        <w:rPr>
          <w:rStyle w:val="FootnoteReference"/>
        </w:rPr>
        <w:footnoteReference w:id="1419"/>
      </w:r>
      <w:r w:rsidRPr="00D44E62">
        <w:t xml:space="preserve"> </w:t>
      </w:r>
      <w:r>
        <w:t>However</w:t>
      </w:r>
      <w:r w:rsidRPr="00D44E62">
        <w:t xml:space="preserve">, according to the Panel, </w:t>
      </w:r>
      <w:r>
        <w:t xml:space="preserve">this did </w:t>
      </w:r>
      <w:r w:rsidRPr="00D44E62">
        <w:t xml:space="preserve">"not imply the </w:t>
      </w:r>
      <w:r w:rsidRPr="00793859">
        <w:t>absence of competition, but only that</w:t>
      </w:r>
      <w:r w:rsidRPr="00D03848">
        <w:rPr>
          <w:i/>
        </w:rPr>
        <w:t xml:space="preserve"> the competitive constraints imposed by one LCA on the other </w:t>
      </w:r>
      <w:r>
        <w:rPr>
          <w:i/>
        </w:rPr>
        <w:t>{would}</w:t>
      </w:r>
      <w:r w:rsidRPr="00D03848">
        <w:rPr>
          <w:i/>
        </w:rPr>
        <w:t xml:space="preserve"> be more or less intense depending </w:t>
      </w:r>
      <w:r w:rsidRPr="00793859">
        <w:t>upon which product more closely satisfie</w:t>
      </w:r>
      <w:r>
        <w:t>{d}</w:t>
      </w:r>
      <w:r w:rsidRPr="00793859">
        <w:t xml:space="preserve"> </w:t>
      </w:r>
      <w:r w:rsidR="00267BCB">
        <w:rPr>
          <w:i/>
        </w:rPr>
        <w:t>the </w:t>
      </w:r>
      <w:r w:rsidRPr="00D03848">
        <w:rPr>
          <w:i/>
        </w:rPr>
        <w:t>relevant needs of a potential customer</w:t>
      </w:r>
      <w:r w:rsidRPr="00793859">
        <w:t>".</w:t>
      </w:r>
      <w:r>
        <w:rPr>
          <w:rStyle w:val="FootnoteReference"/>
        </w:rPr>
        <w:footnoteReference w:id="1420"/>
      </w:r>
      <w:r>
        <w:t xml:space="preserve"> </w:t>
      </w:r>
      <w:r w:rsidRPr="00A54D77">
        <w:t>As we understand it, this statement suggest</w:t>
      </w:r>
      <w:r>
        <w:t>s</w:t>
      </w:r>
      <w:r w:rsidRPr="00A54D77">
        <w:t xml:space="preserve"> that the Panel considered the </w:t>
      </w:r>
      <w:r>
        <w:t xml:space="preserve">nature and </w:t>
      </w:r>
      <w:r w:rsidRPr="00A54D77">
        <w:t xml:space="preserve">degree of competition between </w:t>
      </w:r>
      <w:r w:rsidR="00B17B13">
        <w:t>these two </w:t>
      </w:r>
      <w:r>
        <w:t xml:space="preserve">product types to vary depending upon the needs of a customer. </w:t>
      </w:r>
      <w:r w:rsidRPr="00A54D77">
        <w:t xml:space="preserve">In our view, this is in line with the Panel's observation that the nature and degree of competition between product types </w:t>
      </w:r>
      <w:r>
        <w:t>could</w:t>
      </w:r>
      <w:r w:rsidRPr="00A54D77">
        <w:t xml:space="preserve"> vary "</w:t>
      </w:r>
      <w:r w:rsidRPr="00D03848">
        <w:rPr>
          <w:i/>
        </w:rPr>
        <w:t>depending upon the particular circumstances of a sale</w:t>
      </w:r>
      <w:r w:rsidRPr="00A54D77">
        <w:t>".</w:t>
      </w:r>
      <w:r w:rsidRPr="00A54D77">
        <w:rPr>
          <w:rStyle w:val="FootnoteReference"/>
        </w:rPr>
        <w:footnoteReference w:id="1421"/>
      </w:r>
      <w:r>
        <w:t xml:space="preserve"> We do not find the </w:t>
      </w:r>
      <w:r w:rsidRPr="00A54D77">
        <w:t xml:space="preserve">Panel </w:t>
      </w:r>
      <w:r>
        <w:t xml:space="preserve">to have </w:t>
      </w:r>
      <w:r w:rsidRPr="00A54D77">
        <w:t xml:space="preserve">considered the </w:t>
      </w:r>
      <w:r>
        <w:t xml:space="preserve">nature and </w:t>
      </w:r>
      <w:r w:rsidRPr="00A54D77">
        <w:t xml:space="preserve">degree of competition between </w:t>
      </w:r>
      <w:r>
        <w:t xml:space="preserve">these two </w:t>
      </w:r>
      <w:r w:rsidRPr="00A54D77">
        <w:t xml:space="preserve">product types </w:t>
      </w:r>
      <w:r>
        <w:t xml:space="preserve">to be </w:t>
      </w:r>
      <w:r w:rsidRPr="00A54D77">
        <w:t>altogether irrelevant, as the European Union suggests.</w:t>
      </w:r>
      <w:r>
        <w:t xml:space="preserve"> </w:t>
      </w:r>
    </w:p>
    <w:p w:rsidR="00AE4AC1" w:rsidRPr="00793859" w:rsidRDefault="00AE4AC1" w:rsidP="00526697">
      <w:pPr>
        <w:pStyle w:val="BodyText"/>
      </w:pPr>
      <w:r w:rsidRPr="00D44E62">
        <w:t>Turning to the sales campaigns at issue, the Panel considered that</w:t>
      </w:r>
      <w:r>
        <w:t>,</w:t>
      </w:r>
      <w:r w:rsidRPr="00D44E62">
        <w:t xml:space="preserve"> although it had no evidence before it "of actual </w:t>
      </w:r>
      <w:r w:rsidRPr="00A70420">
        <w:rPr>
          <w:i/>
        </w:rPr>
        <w:t>customer</w:t>
      </w:r>
      <w:r w:rsidRPr="00D44E62">
        <w:t xml:space="preserve"> evaluations of the economics of the A380 and the 747-8I", the United States' "HSBI evidence of Boeing's analysis of the competitive interaction between the two aircraft in the 2007 Emirates and 2006 British Airways sales campaigns"</w:t>
      </w:r>
      <w:r>
        <w:rPr>
          <w:rStyle w:val="FootnoteReference"/>
        </w:rPr>
        <w:footnoteReference w:id="1422"/>
      </w:r>
      <w:r w:rsidRPr="00D44E62">
        <w:t xml:space="preserve"> suggested that, "according to Boeing, at a certain point in time during those campaigns, </w:t>
      </w:r>
      <w:r w:rsidRPr="00D44E62">
        <w:rPr>
          <w:b/>
        </w:rPr>
        <w:t>[</w:t>
      </w:r>
      <w:r w:rsidR="00E8168B" w:rsidRPr="00C8434D">
        <w:rPr>
          <w:b/>
          <w:szCs w:val="16"/>
        </w:rPr>
        <w:t>BCI</w:t>
      </w:r>
      <w:r w:rsidRPr="00D44E62">
        <w:rPr>
          <w:b/>
        </w:rPr>
        <w:t>]</w:t>
      </w:r>
      <w:r w:rsidRPr="00D44E62">
        <w:t>."</w:t>
      </w:r>
      <w:r>
        <w:rPr>
          <w:rStyle w:val="FootnoteReference"/>
        </w:rPr>
        <w:footnoteReference w:id="1423"/>
      </w:r>
      <w:r w:rsidRPr="00D44E62">
        <w:t xml:space="preserve"> The Panel found this to be consistent with "not only the evidence showing that Airbus considered competition for the British Airways' sales to be 'intense'"</w:t>
      </w:r>
      <w:r>
        <w:rPr>
          <w:rStyle w:val="FootnoteReference"/>
        </w:rPr>
        <w:footnoteReference w:id="1424"/>
      </w:r>
      <w:r w:rsidRPr="00D44E62">
        <w:t>, but also that, from "the evidence {it had} reviewed from four other sales campaigns (Asiana Airlines, Hong Kong Airlines, Skymark and Qantas)", it was "apparent that Boeing presented the 747-8I as an alternative to the A380 with a view to winning sales from the relevant customers</w:t>
      </w:r>
      <w:r>
        <w:t>.</w:t>
      </w:r>
      <w:r w:rsidRPr="00D44E62">
        <w:t>"</w:t>
      </w:r>
      <w:r>
        <w:rPr>
          <w:rStyle w:val="FootnoteReference"/>
        </w:rPr>
        <w:footnoteReference w:id="1425"/>
      </w:r>
      <w:r w:rsidRPr="00D44E62">
        <w:t xml:space="preserve"> In particular, the Panel considered that the sales campaign for British Airways showed that Airbus appeared "to have explicitly recognized the existence of '</w:t>
      </w:r>
      <w:r w:rsidRPr="006D6929">
        <w:rPr>
          <w:i/>
        </w:rPr>
        <w:t>intense</w:t>
      </w:r>
      <w:r w:rsidRPr="00D44E62">
        <w:t>' competitive pressure, with its then-CEO, Tom Enders, describing the British Airways sales campaign as having involved 'an intensive year-long competitive evaluation'</w:t>
      </w:r>
      <w:r>
        <w:t>.</w:t>
      </w:r>
      <w:r w:rsidRPr="00D44E62">
        <w:t>"</w:t>
      </w:r>
      <w:r>
        <w:rPr>
          <w:rStyle w:val="FootnoteReference"/>
        </w:rPr>
        <w:footnoteReference w:id="1426"/>
      </w:r>
      <w:r w:rsidRPr="00D44E62">
        <w:t xml:space="preserve"> Moreover, we also recall that</w:t>
      </w:r>
      <w:r>
        <w:t>,</w:t>
      </w:r>
      <w:r w:rsidRPr="00D44E62">
        <w:t xml:space="preserve"> in its analysis of the sales campaigns for Transaero, Korean Air, and Lufthansa, the Panel noted that</w:t>
      </w:r>
      <w:r>
        <w:t>,</w:t>
      </w:r>
      <w:r w:rsidRPr="00D44E62">
        <w:t xml:space="preserve"> "{w}hile {it} agree</w:t>
      </w:r>
      <w:r>
        <w:t>{</w:t>
      </w:r>
      <w:r w:rsidRPr="00D44E62">
        <w:t>d</w:t>
      </w:r>
      <w:r>
        <w:t>}</w:t>
      </w:r>
      <w:r w:rsidRPr="00D44E62">
        <w:t xml:space="preserve"> with the European Union that the evidence … suggest{ed} that the three airlines purchased the A380 and the 747-8I to fill different capacity segments of their operations", the Panel did "not believe that this alone implie{d} that the two LCA were </w:t>
      </w:r>
      <w:r w:rsidRPr="00793859">
        <w:t xml:space="preserve">sold to each customer in the </w:t>
      </w:r>
      <w:r w:rsidRPr="00D83D39">
        <w:t>absence of effective competition</w:t>
      </w:r>
      <w:r>
        <w:t>.</w:t>
      </w:r>
      <w:r w:rsidRPr="00793859">
        <w:t>"</w:t>
      </w:r>
      <w:r>
        <w:rPr>
          <w:rStyle w:val="FootnoteReference"/>
        </w:rPr>
        <w:footnoteReference w:id="1427"/>
      </w:r>
      <w:r w:rsidRPr="00793859">
        <w:t xml:space="preserve"> </w:t>
      </w:r>
    </w:p>
    <w:p w:rsidR="00AE4AC1" w:rsidRDefault="00AE4AC1" w:rsidP="00526697">
      <w:pPr>
        <w:pStyle w:val="BodyText"/>
      </w:pPr>
      <w:r w:rsidRPr="0052596F">
        <w:t>Based on its analysis</w:t>
      </w:r>
      <w:r w:rsidRPr="00D44E62">
        <w:t xml:space="preserve">, </w:t>
      </w:r>
      <w:r>
        <w:t>the Panel found that "despite som</w:t>
      </w:r>
      <w:r w:rsidR="00E80D8D">
        <w:t>e appreciable differences", the </w:t>
      </w:r>
      <w:r>
        <w:t>A380 and 747-8I are "sufficiently similar to be considered by air</w:t>
      </w:r>
      <w:r w:rsidR="00267BCB">
        <w:t>lines wanting to … operate long</w:t>
      </w:r>
      <w:r w:rsidR="00267BCB">
        <w:noBreakHyphen/>
      </w:r>
      <w:r>
        <w:t>haul, slot-constrained missions requiring a maximum se</w:t>
      </w:r>
      <w:r w:rsidR="00E80D8D">
        <w:t>ating capacity in excess of 400 </w:t>
      </w:r>
      <w:r>
        <w:t>passengers".</w:t>
      </w:r>
      <w:r>
        <w:rPr>
          <w:rStyle w:val="FootnoteReference"/>
        </w:rPr>
        <w:footnoteReference w:id="1428"/>
      </w:r>
      <w:r>
        <w:t xml:space="preserve"> T</w:t>
      </w:r>
      <w:r w:rsidRPr="00D44E62">
        <w:t>he Panel concluded that the United States ha</w:t>
      </w:r>
      <w:r>
        <w:t>d</w:t>
      </w:r>
      <w:r w:rsidRPr="00D44E62">
        <w:t xml:space="preserve"> established that, </w:t>
      </w:r>
      <w:r>
        <w:t>"</w:t>
      </w:r>
      <w:r w:rsidRPr="00D44E62">
        <w:t xml:space="preserve">for the purpose of evaluating its claims of serious prejudice under Article 6.3 … the A380 and 747-8I </w:t>
      </w:r>
      <w:r>
        <w:t>{could}</w:t>
      </w:r>
      <w:r w:rsidRPr="00D44E62">
        <w:t xml:space="preserve"> be considered to compete against each other in one single product market for VLA."</w:t>
      </w:r>
      <w:r>
        <w:rPr>
          <w:rStyle w:val="FootnoteReference"/>
        </w:rPr>
        <w:footnoteReference w:id="1429"/>
      </w:r>
      <w:r w:rsidRPr="00D44E62">
        <w:t xml:space="preserve"> The Panel further considered that its "conclusion reflect{ed} the Appellate Body's explicit confirmation … that 'there {was} competition between the Airbus A380 and the Boeing 747 and that Airbus and Boeing competed for the Emirates' Airlines A380 orders in 2000</w:t>
      </w:r>
      <w:r>
        <w:t>.</w:t>
      </w:r>
      <w:r w:rsidRPr="00D44E62">
        <w:t>"</w:t>
      </w:r>
      <w:r>
        <w:rPr>
          <w:rStyle w:val="FootnoteReference"/>
        </w:rPr>
        <w:footnoteReference w:id="1430"/>
      </w:r>
      <w:r w:rsidRPr="00D44E62">
        <w:t xml:space="preserve"> </w:t>
      </w:r>
    </w:p>
    <w:p w:rsidR="00AE4AC1" w:rsidRDefault="00AE4AC1" w:rsidP="00526697">
      <w:pPr>
        <w:pStyle w:val="BodyText"/>
      </w:pPr>
      <w:r>
        <w:t xml:space="preserve">Based on the above, we see no interpretative error in the Panel's reading of the term "market", and the standard it sought to apply. Nor do we agree with the European Union that the Panel considered the nature and degree of competition in the VLA market to be irrelevant for purposes of its analysis. Indeed, as noted, </w:t>
      </w:r>
      <w:r w:rsidRPr="00910634">
        <w:t>the Panel clarified that "{t}here {would} be weaker and stronger competitive relationships within each market depending upon the particular circumstances of a sale</w:t>
      </w:r>
      <w:r>
        <w:t>.</w:t>
      </w:r>
      <w:r w:rsidRPr="00910634">
        <w:t>"</w:t>
      </w:r>
      <w:r>
        <w:rPr>
          <w:rStyle w:val="FootnoteReference"/>
        </w:rPr>
        <w:footnoteReference w:id="1431"/>
      </w:r>
      <w:r w:rsidRPr="00910634">
        <w:t xml:space="preserve"> </w:t>
      </w:r>
      <w:r>
        <w:t>We also disagree with the European Union to the extent</w:t>
      </w:r>
      <w:r w:rsidR="003B220E">
        <w:t xml:space="preserve"> that</w:t>
      </w:r>
      <w:r>
        <w:t xml:space="preserve"> it suggests that the Panel failed to consider whether these product types were sufficiently substitutable to be placed into the same market, or that the Pane</w:t>
      </w:r>
      <w:r w:rsidR="00251ADE">
        <w:t>l disregarded the European </w:t>
      </w:r>
      <w:r>
        <w:t>Union's argument that "the larger passenger capacity and advanced technologies of the A380" meant that "the A380 ha{d} an insurmountable per{} seat operating cost advantage and generate{d} higher revenues … placing it in a separate product market."</w:t>
      </w:r>
      <w:r>
        <w:rPr>
          <w:rStyle w:val="FootnoteReference"/>
        </w:rPr>
        <w:footnoteReference w:id="1432"/>
      </w:r>
      <w:r>
        <w:t xml:space="preserve"> </w:t>
      </w:r>
      <w:r w:rsidR="00251ADE">
        <w:rPr>
          <w:szCs w:val="18"/>
        </w:rPr>
        <w:t>Rather, we </w:t>
      </w:r>
      <w:r>
        <w:rPr>
          <w:szCs w:val="18"/>
        </w:rPr>
        <w:t>understand</w:t>
      </w:r>
      <w:r>
        <w:t xml:space="preserve"> the Panel to have considered these arguments but rejected them based on its review of the parties' arguments and of evidence regarding physical characteristics, end-uses, customers, pricing constraints, and sales campaigns. In light of t</w:t>
      </w:r>
      <w:r w:rsidR="00251ADE">
        <w:t>he foregoing considerations, we </w:t>
      </w:r>
      <w:r>
        <w:t>are satisfied that the Panel's analysis identifying the VLA product market reflects a proper reading of the term "market"</w:t>
      </w:r>
      <w:r w:rsidR="00267BCB">
        <w:t xml:space="preserve"> in Article 6.3 of the SCM </w:t>
      </w:r>
      <w:r>
        <w:t>Agreement.</w:t>
      </w:r>
    </w:p>
    <w:p w:rsidR="00AE4AC1" w:rsidRPr="00D44E62" w:rsidRDefault="00AE4AC1" w:rsidP="00526697">
      <w:pPr>
        <w:pStyle w:val="BodyText"/>
      </w:pPr>
      <w:r>
        <w:t>Moreover</w:t>
      </w:r>
      <w:r w:rsidRPr="00910634">
        <w:t xml:space="preserve">, </w:t>
      </w:r>
      <w:r>
        <w:t xml:space="preserve">we understand that </w:t>
      </w:r>
      <w:r w:rsidRPr="00910634">
        <w:t xml:space="preserve">the Panel </w:t>
      </w:r>
      <w:r>
        <w:t xml:space="preserve">took into account the European Union's contention </w:t>
      </w:r>
      <w:r w:rsidRPr="00D44E62">
        <w:t>that "differing degrees of less-than-vigorous competition exist{ed} between other combinations of Airbus and Boeing aircraft"</w:t>
      </w:r>
      <w:r>
        <w:rPr>
          <w:rStyle w:val="FootnoteReference"/>
        </w:rPr>
        <w:footnoteReference w:id="1433"/>
      </w:r>
      <w:r>
        <w:t>,</w:t>
      </w:r>
      <w:r w:rsidRPr="00D44E62">
        <w:t xml:space="preserve"> </w:t>
      </w:r>
      <w:r>
        <w:t>and</w:t>
      </w:r>
      <w:r w:rsidRPr="00D44E62">
        <w:t xml:space="preserve"> that</w:t>
      </w:r>
      <w:r>
        <w:t>,</w:t>
      </w:r>
      <w:r w:rsidRPr="00D44E62">
        <w:t xml:space="preserve"> "in some cases, an LCA product of one manufacturer </w:t>
      </w:r>
      <w:r>
        <w:t>{could}</w:t>
      </w:r>
      <w:r w:rsidRPr="00D44E62">
        <w:t xml:space="preserve"> impose significant competitive constraints on another LCA product without having to face any or the same level of competitive constraint from that product itself</w:t>
      </w:r>
      <w:r>
        <w:t>.</w:t>
      </w:r>
      <w:r w:rsidRPr="00D44E62">
        <w:t>"</w:t>
      </w:r>
      <w:r>
        <w:rPr>
          <w:rStyle w:val="FootnoteReference"/>
        </w:rPr>
        <w:footnoteReference w:id="1434"/>
      </w:r>
      <w:r>
        <w:t xml:space="preserve"> </w:t>
      </w:r>
      <w:r w:rsidR="00E80D8D">
        <w:t>In particular, the </w:t>
      </w:r>
      <w:r w:rsidRPr="00D44E62">
        <w:t xml:space="preserve">Panel recalled that, according to the European Union, there </w:t>
      </w:r>
      <w:r>
        <w:t>was</w:t>
      </w:r>
      <w:r w:rsidRPr="00D44E62">
        <w:t xml:space="preserve"> "'limited' or 'very little' competition between the new and current generations of Airbus a</w:t>
      </w:r>
      <w:r w:rsidR="00837581">
        <w:t>nd Boeing single-aisle and twin</w:t>
      </w:r>
      <w:r w:rsidR="00837581">
        <w:noBreakHyphen/>
      </w:r>
      <w:r w:rsidRPr="00D44E62">
        <w:t>aisle aircraft"</w:t>
      </w:r>
      <w:r>
        <w:rPr>
          <w:rStyle w:val="FootnoteReference"/>
        </w:rPr>
        <w:footnoteReference w:id="1435"/>
      </w:r>
      <w:r w:rsidRPr="00D44E62">
        <w:t>; "'little' or 'weak' competition between the A330 and all three families of Boeing twin-aisle LCA"</w:t>
      </w:r>
      <w:r>
        <w:rPr>
          <w:rStyle w:val="FootnoteReference"/>
        </w:rPr>
        <w:footnoteReference w:id="1436"/>
      </w:r>
      <w:r w:rsidRPr="00D44E62">
        <w:t>; and "'very limited' or 'very weak' competition between the A380 and the 747-8".</w:t>
      </w:r>
      <w:r>
        <w:rPr>
          <w:rStyle w:val="FootnoteReference"/>
        </w:rPr>
        <w:footnoteReference w:id="1437"/>
      </w:r>
      <w:r>
        <w:t xml:space="preserve"> However, on balance, the Panel </w:t>
      </w:r>
      <w:r w:rsidRPr="00910634">
        <w:t>considered that</w:t>
      </w:r>
      <w:r>
        <w:t>,</w:t>
      </w:r>
      <w:r w:rsidRPr="00910634">
        <w:t xml:space="preserve"> "while it {was} apparent that the three product markets the United States {had} chosen to rely upon to bring its complaint … {did} not exhaustively capture how competition takes</w:t>
      </w:r>
      <w:r w:rsidRPr="00D44E62">
        <w:t xml:space="preserve"> place between aircraft in the LCA sector at all times", it was satisfied that "they </w:t>
      </w:r>
      <w:r w:rsidRPr="00793859">
        <w:t xml:space="preserve">represent{ed} the three segments within which </w:t>
      </w:r>
      <w:r w:rsidRPr="00D83D39">
        <w:rPr>
          <w:i/>
        </w:rPr>
        <w:t>most competitive interactions</w:t>
      </w:r>
      <w:r w:rsidRPr="00793859">
        <w:t xml:space="preserve"> between</w:t>
      </w:r>
      <w:r w:rsidRPr="00D44E62">
        <w:t xml:space="preserve"> the relevant aircraft {would} commonly take place</w:t>
      </w:r>
      <w:r>
        <w:t>.</w:t>
      </w:r>
      <w:r w:rsidRPr="00D44E62">
        <w:t>"</w:t>
      </w:r>
      <w:r>
        <w:rPr>
          <w:rStyle w:val="FootnoteReference"/>
        </w:rPr>
        <w:footnoteReference w:id="1438"/>
      </w:r>
      <w:r>
        <w:t xml:space="preserve"> </w:t>
      </w:r>
    </w:p>
    <w:p w:rsidR="00AE4AC1" w:rsidRDefault="00AE4AC1" w:rsidP="00526697">
      <w:pPr>
        <w:pStyle w:val="BodyText"/>
      </w:pPr>
      <w:r w:rsidRPr="00D44E62">
        <w:t>As we see it, th</w:t>
      </w:r>
      <w:r>
        <w:t>is discussion by the Panel, including its</w:t>
      </w:r>
      <w:r w:rsidRPr="00D44E62">
        <w:t xml:space="preserve"> emphasis on the three market segments as areas where the "most competitive interactions" take place</w:t>
      </w:r>
      <w:r>
        <w:t xml:space="preserve">, clearly suggests that </w:t>
      </w:r>
      <w:r w:rsidRPr="00D44E62">
        <w:t>the Panel</w:t>
      </w:r>
      <w:r>
        <w:t xml:space="preserve"> </w:t>
      </w:r>
      <w:r w:rsidRPr="00D44E62">
        <w:t xml:space="preserve">considered the intensity of competition between concerned aircrafts to be relevant, and sought to take it into account in its analysis. We therefore </w:t>
      </w:r>
      <w:r>
        <w:t xml:space="preserve">do not agree with </w:t>
      </w:r>
      <w:r w:rsidRPr="00D44E62">
        <w:t xml:space="preserve">the </w:t>
      </w:r>
      <w:r>
        <w:t xml:space="preserve">European Union </w:t>
      </w:r>
      <w:r w:rsidRPr="00D44E62">
        <w:t xml:space="preserve">that the Panel sought </w:t>
      </w:r>
      <w:r>
        <w:t xml:space="preserve">simply </w:t>
      </w:r>
      <w:r w:rsidRPr="00D44E62">
        <w:t>to assess whether there were "</w:t>
      </w:r>
      <w:r w:rsidRPr="00EE4720">
        <w:t>some</w:t>
      </w:r>
      <w:r w:rsidRPr="00D44E62">
        <w:t xml:space="preserve">" competitive constraints or interactions </w:t>
      </w:r>
      <w:r>
        <w:t>among</w:t>
      </w:r>
      <w:r w:rsidRPr="00D44E62">
        <w:t xml:space="preserve"> different LCA models. </w:t>
      </w:r>
      <w:r>
        <w:t xml:space="preserve">Instead, we agree with the United States that, </w:t>
      </w:r>
      <w:r w:rsidRPr="000E25F8">
        <w:t>consistent with the Appellate Body's guidance, the Panel was aware of the differences in the degree of competition between products</w:t>
      </w:r>
      <w:r>
        <w:rPr>
          <w:rStyle w:val="FootnoteReference"/>
        </w:rPr>
        <w:footnoteReference w:id="1439"/>
      </w:r>
      <w:r w:rsidRPr="000E25F8">
        <w:t xml:space="preserve"> and "did </w:t>
      </w:r>
      <w:r w:rsidRPr="00CE4BCD">
        <w:rPr>
          <w:i/>
        </w:rPr>
        <w:t>not</w:t>
      </w:r>
      <w:r w:rsidRPr="000E25F8">
        <w:t xml:space="preserve"> define markets based on the </w:t>
      </w:r>
      <w:r w:rsidRPr="007177BC">
        <w:t>slightest</w:t>
      </w:r>
      <w:r w:rsidRPr="000E25F8">
        <w:t xml:space="preserve"> competitive constraints or interactions, as evidenced by its finding that the three</w:t>
      </w:r>
      <w:r>
        <w:noBreakHyphen/>
      </w:r>
      <w:r w:rsidRPr="000E25F8">
        <w:t>market delineation does not 'exhaustively capture how competition takes place between aircraft in the LCA sector at all times'."</w:t>
      </w:r>
      <w:r>
        <w:rPr>
          <w:rStyle w:val="FootnoteReference"/>
        </w:rPr>
        <w:footnoteReference w:id="1440"/>
      </w:r>
      <w:r>
        <w:t xml:space="preserve"> Our review above also suggests that the Panel's three-way product market delineation was based on a proper</w:t>
      </w:r>
      <w:r w:rsidRPr="00F40BF9">
        <w:t xml:space="preserve"> analysis of the competition between </w:t>
      </w:r>
      <w:r>
        <w:t>relevant LCA</w:t>
      </w:r>
      <w:r w:rsidRPr="00F40BF9">
        <w:t xml:space="preserve"> that the</w:t>
      </w:r>
      <w:r>
        <w:t xml:space="preserve"> Panel found to demonstrate sufficient substitutability, in accordance with the standard articulated by t</w:t>
      </w:r>
      <w:r w:rsidR="00A35FD0">
        <w:t>he Appellate </w:t>
      </w:r>
      <w:r>
        <w:t>Body in the original proceedings</w:t>
      </w:r>
      <w:r w:rsidRPr="00F40BF9">
        <w:t>.</w:t>
      </w:r>
      <w:r>
        <w:t xml:space="preserve"> </w:t>
      </w:r>
    </w:p>
    <w:p w:rsidR="00AE4AC1" w:rsidRPr="00B56CE2" w:rsidRDefault="00AE4AC1" w:rsidP="00526697">
      <w:pPr>
        <w:pStyle w:val="BodyText"/>
      </w:pPr>
      <w:r>
        <w:t>Finally, the European Union contends that the Panel considered the intensity of competition to be "irrelevant" when it stated that "</w:t>
      </w:r>
      <w:r w:rsidRPr="00CC1982">
        <w:rPr>
          <w:lang w:val="en-US"/>
        </w:rPr>
        <w:t>Airbus</w:t>
      </w:r>
      <w:r>
        <w:rPr>
          <w:lang w:val="en-US"/>
        </w:rPr>
        <w:t>' and Boeing'</w:t>
      </w:r>
      <w:r w:rsidRPr="00CC1982">
        <w:rPr>
          <w:lang w:val="en-US"/>
        </w:rPr>
        <w:t>s mere participation with a particular product offering in a sales campaign</w:t>
      </w:r>
      <w:r w:rsidR="00477264">
        <w:rPr>
          <w:lang w:val="en-US"/>
        </w:rPr>
        <w:t>{}</w:t>
      </w:r>
      <w:r w:rsidRPr="00CC1982">
        <w:rPr>
          <w:lang w:val="en-US"/>
        </w:rPr>
        <w:t xml:space="preserve"> was </w:t>
      </w:r>
      <w:r>
        <w:rPr>
          <w:lang w:val="en-US"/>
        </w:rPr>
        <w:t>'</w:t>
      </w:r>
      <w:r w:rsidRPr="00CC1982">
        <w:rPr>
          <w:lang w:val="en-US"/>
        </w:rPr>
        <w:t>highly relevant to {the} task of determining the existence of relevant product mark</w:t>
      </w:r>
      <w:r>
        <w:rPr>
          <w:lang w:val="en-US"/>
        </w:rPr>
        <w:t>ets',</w:t>
      </w:r>
      <w:r w:rsidRPr="00CC1982">
        <w:rPr>
          <w:lang w:val="en-US"/>
        </w:rPr>
        <w:t xml:space="preserve"> because it indicated that the manufacturer had a reasonable expectation of </w:t>
      </w:r>
      <w:r>
        <w:rPr>
          <w:lang w:val="en-US"/>
        </w:rPr>
        <w:t>'</w:t>
      </w:r>
      <w:r w:rsidRPr="00CC1982">
        <w:rPr>
          <w:lang w:val="en-US"/>
        </w:rPr>
        <w:t xml:space="preserve">imposing </w:t>
      </w:r>
      <w:r w:rsidRPr="00CC1982">
        <w:rPr>
          <w:i/>
          <w:lang w:val="en-US"/>
        </w:rPr>
        <w:t>some level of competitive constraint</w:t>
      </w:r>
      <w:r>
        <w:rPr>
          <w:lang w:val="en-US"/>
        </w:rPr>
        <w:t xml:space="preserve"> on its rival'</w:t>
      </w:r>
      <w:r w:rsidRPr="00CC1982">
        <w:rPr>
          <w:lang w:val="en-US"/>
        </w:rPr>
        <w:t>s offering</w:t>
      </w:r>
      <w:r>
        <w:rPr>
          <w:lang w:val="en-US"/>
        </w:rPr>
        <w:t>'."</w:t>
      </w:r>
      <w:r w:rsidRPr="00CC1982">
        <w:rPr>
          <w:vertAlign w:val="superscript"/>
          <w:lang w:val="en-US"/>
        </w:rPr>
        <w:footnoteReference w:id="1441"/>
      </w:r>
      <w:r>
        <w:rPr>
          <w:lang w:val="en-US"/>
        </w:rPr>
        <w:t xml:space="preserve"> </w:t>
      </w:r>
    </w:p>
    <w:p w:rsidR="00AE4AC1" w:rsidRPr="000A4426" w:rsidRDefault="00AE4AC1" w:rsidP="00526697">
      <w:pPr>
        <w:pStyle w:val="BodyText"/>
      </w:pPr>
      <w:r>
        <w:t>For its part, t</w:t>
      </w:r>
      <w:r>
        <w:rPr>
          <w:lang w:val="en-US"/>
        </w:rPr>
        <w:t>he United States recalls the Panel's explanation that "</w:t>
      </w:r>
      <w:r w:rsidRPr="00F967F9">
        <w:rPr>
          <w:lang w:val="en-US"/>
        </w:rPr>
        <w:t>it is difficult to believe that Airbus or Boeing would go to the expense of participating in a sales campaign if either company did not believe it had a reasonable chance of convincing a customer to purchase its own LCA products ahead of those of its rival or, at the very least, imposing some level of competitive cons</w:t>
      </w:r>
      <w:r>
        <w:rPr>
          <w:lang w:val="en-US"/>
        </w:rPr>
        <w:t>traint on its rival's offering."</w:t>
      </w:r>
      <w:r w:rsidRPr="00F967F9">
        <w:rPr>
          <w:vertAlign w:val="superscript"/>
          <w:lang w:val="en-US"/>
        </w:rPr>
        <w:footnoteReference w:id="1442"/>
      </w:r>
      <w:r w:rsidRPr="00F967F9">
        <w:rPr>
          <w:lang w:val="en-US"/>
        </w:rPr>
        <w:t xml:space="preserve"> </w:t>
      </w:r>
      <w:r>
        <w:rPr>
          <w:lang w:val="en-US"/>
        </w:rPr>
        <w:t>The United States submits that t</w:t>
      </w:r>
      <w:r w:rsidRPr="00BE51A2">
        <w:rPr>
          <w:lang w:val="en-US"/>
        </w:rPr>
        <w:t>he Panel was correct in this analysis</w:t>
      </w:r>
      <w:r>
        <w:rPr>
          <w:lang w:val="en-US"/>
        </w:rPr>
        <w:t xml:space="preserve"> and</w:t>
      </w:r>
      <w:r w:rsidRPr="00BE51A2">
        <w:rPr>
          <w:lang w:val="en-US"/>
        </w:rPr>
        <w:t xml:space="preserve"> </w:t>
      </w:r>
      <w:r>
        <w:rPr>
          <w:lang w:val="en-US"/>
        </w:rPr>
        <w:t xml:space="preserve">that nothing </w:t>
      </w:r>
      <w:r w:rsidRPr="00BE51A2">
        <w:rPr>
          <w:lang w:val="en-US"/>
        </w:rPr>
        <w:t xml:space="preserve">suggests that the Panel considered the intensity, degree, or level of competition to be </w:t>
      </w:r>
      <w:r>
        <w:rPr>
          <w:lang w:val="en-US"/>
        </w:rPr>
        <w:t>"</w:t>
      </w:r>
      <w:r w:rsidRPr="00BE51A2">
        <w:rPr>
          <w:lang w:val="en-US"/>
        </w:rPr>
        <w:t>irrelevant</w:t>
      </w:r>
      <w:r>
        <w:rPr>
          <w:lang w:val="en-US"/>
        </w:rPr>
        <w:t>"</w:t>
      </w:r>
      <w:r w:rsidRPr="00BE51A2">
        <w:rPr>
          <w:lang w:val="en-US"/>
        </w:rPr>
        <w:t>.</w:t>
      </w:r>
      <w:r>
        <w:rPr>
          <w:rStyle w:val="FootnoteReference"/>
          <w:lang w:val="en-US"/>
        </w:rPr>
        <w:footnoteReference w:id="1443"/>
      </w:r>
      <w:r>
        <w:rPr>
          <w:lang w:val="en-US"/>
        </w:rPr>
        <w:t xml:space="preserve"> </w:t>
      </w:r>
    </w:p>
    <w:p w:rsidR="00AE4AC1" w:rsidRDefault="00AE4AC1" w:rsidP="00526697">
      <w:pPr>
        <w:pStyle w:val="BodyText"/>
      </w:pPr>
      <w:r>
        <w:t>We recall the Panel's finding that "evidence showing that Airbus and Boeing presented or formally offered one or more LCA products for consideration in a particular sales campaign {would} be highly relevant to {its} task of determining existence of relevant product markets."</w:t>
      </w:r>
      <w:r>
        <w:rPr>
          <w:rStyle w:val="FootnoteReference"/>
        </w:rPr>
        <w:footnoteReference w:id="1444"/>
      </w:r>
      <w:r>
        <w:t xml:space="preserve"> The Panel considered such evidence to "strongly suggest that a customer's ultimate purchase decision {would} be informed by its consideration of the relative strengths and weaknesses of either company's respective offerings."</w:t>
      </w:r>
      <w:r>
        <w:rPr>
          <w:rStyle w:val="FootnoteReference"/>
        </w:rPr>
        <w:footnoteReference w:id="1445"/>
      </w:r>
      <w:r>
        <w:t xml:space="preserve"> In support, the Panel recalled the Appellate Body's finding </w:t>
      </w:r>
      <w:r w:rsidRPr="00FC2AB8">
        <w:t xml:space="preserve">in the original proceedings dismissing the European Union's appeal against the original panel's conclusion that "an order for A380s made by Emirates Airlines in 2000 </w:t>
      </w:r>
      <w:r w:rsidR="00251ADE">
        <w:t>constituted 'lost </w:t>
      </w:r>
      <w:r w:rsidRPr="00FC2AB8">
        <w:t>sales' to the United States' LCA industry, notwithstanding the absence of any formal aircraft offer having been made on the part of Boeing</w:t>
      </w:r>
      <w:r>
        <w:t>.</w:t>
      </w:r>
      <w:r w:rsidRPr="00FC2AB8">
        <w:t>"</w:t>
      </w:r>
      <w:r w:rsidRPr="00FC2AB8">
        <w:rPr>
          <w:vertAlign w:val="superscript"/>
        </w:rPr>
        <w:footnoteReference w:id="1446"/>
      </w:r>
      <w:r>
        <w:t xml:space="preserve"> Contrary to what the European Union suggests, we do not understand the Panel to have treated participation in a particular sales campaign as determinative of two products competing in the same market. Rather, the Panel stated that it was difficult to believe that "Airbus or Boeing would go to the expense of participating in a sales campaign if either company did not believe it had a reasonable chance of convincing a customer to purchase its own LCA products ahead of those of its rival" or, "at the very least, imposing some level of competitive constraint on its rival's offering."</w:t>
      </w:r>
      <w:r>
        <w:rPr>
          <w:rStyle w:val="FootnoteReference"/>
        </w:rPr>
        <w:footnoteReference w:id="1447"/>
      </w:r>
      <w:r>
        <w:t xml:space="preserve"> We see nothing objectionable </w:t>
      </w:r>
      <w:r w:rsidRPr="008A597A">
        <w:rPr>
          <w:i/>
        </w:rPr>
        <w:t>per se</w:t>
      </w:r>
      <w:r>
        <w:t xml:space="preserve"> in these statements. Nor do we understand the Panel to have discounted the intensity of competition between the relevant LCA in coming to its three-way market delineation. Instead, as considered above, the Panel's overall analysis, in our view, shows that the Panel's assessment and identification of the three product markets was based on competition that was "meaningful" between the relevant pairings of LCA.</w:t>
      </w:r>
    </w:p>
    <w:p w:rsidR="00AE4AC1" w:rsidRPr="00C42A9F" w:rsidRDefault="00AE4AC1" w:rsidP="00526697">
      <w:pPr>
        <w:pStyle w:val="BodyText"/>
      </w:pPr>
      <w:r w:rsidRPr="00C42A9F">
        <w:t>In light of the foregoing</w:t>
      </w:r>
      <w:r>
        <w:t xml:space="preserve"> considerations</w:t>
      </w:r>
      <w:r w:rsidRPr="00C42A9F">
        <w:t xml:space="preserve">, we do not agree with the European Union to the extent that it </w:t>
      </w:r>
      <w:r>
        <w:t>claims</w:t>
      </w:r>
      <w:r w:rsidRPr="00C42A9F">
        <w:t xml:space="preserve"> that the Panel erred in its interpretation of the term "market" in Article 6.3 of the SCM Agreement.</w:t>
      </w:r>
      <w:r w:rsidRPr="00C42A9F">
        <w:rPr>
          <w:rStyle w:val="FootnoteReference"/>
        </w:rPr>
        <w:footnoteReference w:id="1448"/>
      </w:r>
      <w:r w:rsidRPr="00C42A9F">
        <w:t xml:space="preserve"> </w:t>
      </w:r>
      <w:r>
        <w:t>Instead, our review above of the Panel's product market analysis, including for each of the three LCA markets, shows that the Panel did not err in its interpretation of the term "market" in Article 6.3 of the SCM Agreement.</w:t>
      </w:r>
    </w:p>
    <w:p w:rsidR="00AE4AC1" w:rsidRPr="00D33994" w:rsidRDefault="00AE4AC1" w:rsidP="00526697">
      <w:pPr>
        <w:pStyle w:val="Heading4"/>
      </w:pPr>
      <w:bookmarkStart w:id="161" w:name="_Toc479164692"/>
      <w:bookmarkStart w:id="162" w:name="_Toc495062863"/>
      <w:bookmarkStart w:id="163" w:name="_Toc514059269"/>
      <w:r>
        <w:t xml:space="preserve">Whether the Panel erred in its </w:t>
      </w:r>
      <w:bookmarkEnd w:id="161"/>
      <w:bookmarkEnd w:id="162"/>
      <w:r>
        <w:t>application of Article 6.3 of the SCM Agreement</w:t>
      </w:r>
      <w:bookmarkEnd w:id="163"/>
    </w:p>
    <w:p w:rsidR="00AE4AC1" w:rsidRPr="00D449AA" w:rsidRDefault="00AE4AC1" w:rsidP="00526697">
      <w:pPr>
        <w:pStyle w:val="BodyText"/>
      </w:pPr>
      <w:r w:rsidRPr="00D449AA">
        <w:t>The European Union submits</w:t>
      </w:r>
      <w:r>
        <w:t xml:space="preserve"> in the alternative</w:t>
      </w:r>
      <w:r w:rsidRPr="00D449AA">
        <w:t xml:space="preserve"> that</w:t>
      </w:r>
      <w:r>
        <w:t>,</w:t>
      </w:r>
      <w:r w:rsidRPr="00D449AA">
        <w:t xml:space="preserve"> even assuming </w:t>
      </w:r>
      <w:r>
        <w:t xml:space="preserve">that </w:t>
      </w:r>
      <w:r w:rsidRPr="00D449AA">
        <w:t>the Panel properly interpreted Article 6.3 of the SCM Agreement, it nonetheless erred in applying th</w:t>
      </w:r>
      <w:r>
        <w:t>is</w:t>
      </w:r>
      <w:r w:rsidRPr="00D449AA">
        <w:t xml:space="preserve"> provision to the facts of this case.</w:t>
      </w:r>
      <w:r>
        <w:rPr>
          <w:rStyle w:val="FootnoteReference"/>
        </w:rPr>
        <w:footnoteReference w:id="1449"/>
      </w:r>
      <w:r w:rsidRPr="00D449AA">
        <w:t xml:space="preserve"> In this regard, the European Union recalls that both parties agreed that, under a broad approach to the interpretation of the term "market", all LCA could be placed in the same product market.</w:t>
      </w:r>
      <w:r>
        <w:rPr>
          <w:rStyle w:val="FootnoteReference"/>
        </w:rPr>
        <w:footnoteReference w:id="1450"/>
      </w:r>
      <w:r w:rsidRPr="00D449AA">
        <w:t xml:space="preserve"> The European Union </w:t>
      </w:r>
      <w:r>
        <w:t>adds</w:t>
      </w:r>
      <w:r w:rsidRPr="00D449AA">
        <w:t xml:space="preserve"> that </w:t>
      </w:r>
      <w:r>
        <w:t xml:space="preserve">the </w:t>
      </w:r>
      <w:r w:rsidRPr="00D449AA">
        <w:t>evid</w:t>
      </w:r>
      <w:r w:rsidR="00267BCB">
        <w:t>ence offered by the parties "is </w:t>
      </w:r>
      <w:r w:rsidRPr="00D449AA">
        <w:t>consistent with the Panel's findings of the existence of competition between aircraft that the United States placed into separate product markets"</w:t>
      </w:r>
      <w:r>
        <w:rPr>
          <w:rStyle w:val="FootnoteReference"/>
        </w:rPr>
        <w:footnoteReference w:id="1451"/>
      </w:r>
      <w:r w:rsidRPr="00D449AA">
        <w:t>, pointing in particular to the competition between the 747-8 (placed in the VLA market) and the 777-300ER and the A350XWB</w:t>
      </w:r>
      <w:r>
        <w:noBreakHyphen/>
      </w:r>
      <w:r w:rsidRPr="00D449AA">
        <w:t xml:space="preserve">1000 (placed in the twin-aisle </w:t>
      </w:r>
      <w:r>
        <w:t xml:space="preserve">LCA </w:t>
      </w:r>
      <w:r w:rsidRPr="00D449AA">
        <w:t>market)</w:t>
      </w:r>
      <w:r w:rsidR="00A35FD0">
        <w:t>,</w:t>
      </w:r>
      <w:r w:rsidRPr="00D449AA">
        <w:t xml:space="preserve"> as cited by the Panel itself.</w:t>
      </w:r>
      <w:r>
        <w:rPr>
          <w:rStyle w:val="FootnoteReference"/>
        </w:rPr>
        <w:footnoteReference w:id="1452"/>
      </w:r>
      <w:r w:rsidRPr="00D449AA">
        <w:t xml:space="preserve"> Therefore, the European Union contends that, "{h}aving recognised that competition existed </w:t>
      </w:r>
      <w:r>
        <w:t>{among}</w:t>
      </w:r>
      <w:r w:rsidRPr="00D449AA">
        <w:t xml:space="preserve"> all LCA, the Panel should have applied its product market standard to find a single product market in which all LCA (if not also a range of other means of transport) competed".</w:t>
      </w:r>
      <w:r>
        <w:rPr>
          <w:rStyle w:val="FootnoteReference"/>
        </w:rPr>
        <w:footnoteReference w:id="1453"/>
      </w:r>
      <w:r w:rsidRPr="00D449AA">
        <w:t xml:space="preserve"> </w:t>
      </w:r>
    </w:p>
    <w:p w:rsidR="00AE4AC1" w:rsidRPr="00D449AA" w:rsidRDefault="00AE4AC1" w:rsidP="00526697">
      <w:pPr>
        <w:pStyle w:val="BodyText"/>
      </w:pPr>
      <w:r w:rsidRPr="00D449AA">
        <w:t>The United States counters that the European Union's argument is based on "the flawed premise that the Panel 'replaced the Appellate Body's 'significant competitive constraints' standard with a standard based on the mere existence of competitive constraints'."</w:t>
      </w:r>
      <w:r>
        <w:rPr>
          <w:rStyle w:val="FootnoteReference"/>
        </w:rPr>
        <w:footnoteReference w:id="1454"/>
      </w:r>
      <w:r w:rsidRPr="00D449AA">
        <w:t xml:space="preserve"> The United States further submits that n</w:t>
      </w:r>
      <w:r>
        <w:t>either</w:t>
      </w:r>
      <w:r w:rsidRPr="00D449AA">
        <w:t xml:space="preserve"> party argued for broader product market definitions, and that, "in any event, broadening the definitions would have risked including products in the same market that placed insufficient competitive constraints on each other</w:t>
      </w:r>
      <w:r>
        <w:t>.</w:t>
      </w:r>
      <w:r w:rsidRPr="00D449AA">
        <w:t>"</w:t>
      </w:r>
      <w:r>
        <w:rPr>
          <w:rStyle w:val="FootnoteReference"/>
        </w:rPr>
        <w:footnoteReference w:id="1455"/>
      </w:r>
      <w:r w:rsidRPr="00D449AA">
        <w:t xml:space="preserve"> </w:t>
      </w:r>
    </w:p>
    <w:p w:rsidR="00AE4AC1" w:rsidRDefault="00AE4AC1" w:rsidP="00526697">
      <w:pPr>
        <w:pStyle w:val="BodyText"/>
      </w:pPr>
      <w:r w:rsidRPr="000061AF">
        <w:t xml:space="preserve">We understand this aspect of the European Union's appeal to be predicated on its view that the Panel considered the existence of </w:t>
      </w:r>
      <w:r w:rsidRPr="000061AF">
        <w:rPr>
          <w:i/>
        </w:rPr>
        <w:t>any</w:t>
      </w:r>
      <w:r w:rsidRPr="000061AF">
        <w:t xml:space="preserve"> or </w:t>
      </w:r>
      <w:r w:rsidRPr="000061AF">
        <w:rPr>
          <w:i/>
        </w:rPr>
        <w:t>some</w:t>
      </w:r>
      <w:r w:rsidRPr="000061AF">
        <w:t xml:space="preserve"> competition to be sufficient to support a finding that two products fall within the same product market. We have disagreed with that proposition above. </w:t>
      </w:r>
      <w:r>
        <w:t>Instead, we have found that the Panel's three-way product market delineation was based on a proper</w:t>
      </w:r>
      <w:r w:rsidRPr="00F40BF9">
        <w:t xml:space="preserve"> analysis of the competition </w:t>
      </w:r>
      <w:r>
        <w:t>among</w:t>
      </w:r>
      <w:r w:rsidRPr="00F40BF9">
        <w:t xml:space="preserve"> </w:t>
      </w:r>
      <w:r>
        <w:t>relevant LCA</w:t>
      </w:r>
      <w:r w:rsidRPr="00F40BF9">
        <w:t xml:space="preserve"> that the</w:t>
      </w:r>
      <w:r>
        <w:t xml:space="preserve"> Panel found to demonstrate sufficient substitutability, in accordance with the standard articulated by the Appellate Body in the original proceedings</w:t>
      </w:r>
      <w:r w:rsidRPr="00F40BF9">
        <w:t>.</w:t>
      </w:r>
      <w:r>
        <w:t xml:space="preserve"> </w:t>
      </w:r>
      <w:r w:rsidRPr="000061AF">
        <w:t>In these circumstances, we see no reason to further engage with the arguments advanced by the European Union in this regard.</w:t>
      </w:r>
      <w:r w:rsidRPr="00CE4BCD">
        <w:rPr>
          <w:highlight w:val="yellow"/>
        </w:rPr>
        <w:t xml:space="preserve"> </w:t>
      </w:r>
    </w:p>
    <w:p w:rsidR="00AE4AC1" w:rsidRPr="00D44E62" w:rsidRDefault="00AE4AC1" w:rsidP="00526697">
      <w:pPr>
        <w:pStyle w:val="Heading4"/>
      </w:pPr>
      <w:bookmarkStart w:id="164" w:name="_Toc514059270"/>
      <w:r>
        <w:t>Article 11 of the DSU</w:t>
      </w:r>
      <w:bookmarkEnd w:id="164"/>
    </w:p>
    <w:p w:rsidR="00AE4AC1" w:rsidRPr="002F6866" w:rsidRDefault="00AE4AC1" w:rsidP="00526697">
      <w:pPr>
        <w:pStyle w:val="BodyText"/>
      </w:pPr>
      <w:r w:rsidRPr="00D44E62">
        <w:t>In a final set of arguments, the European Union claims that the Panel acted inconsistently with its obligations under Article 11 of the DSU</w:t>
      </w:r>
      <w:r>
        <w:t xml:space="preserve"> by</w:t>
      </w:r>
      <w:r w:rsidRPr="002F6866">
        <w:t xml:space="preserve"> view</w:t>
      </w:r>
      <w:r>
        <w:t>ing</w:t>
      </w:r>
      <w:r w:rsidRPr="002F6866">
        <w:t xml:space="preserve"> its task as </w:t>
      </w:r>
      <w:r>
        <w:t xml:space="preserve">consisting solely of carrying out an </w:t>
      </w:r>
      <w:r w:rsidRPr="002F6866">
        <w:t>examin</w:t>
      </w:r>
      <w:r>
        <w:t>ation</w:t>
      </w:r>
      <w:r w:rsidRPr="002F6866">
        <w:t xml:space="preserve"> </w:t>
      </w:r>
      <w:r>
        <w:t>of "</w:t>
      </w:r>
      <w:r w:rsidRPr="002F6866">
        <w:t>whether there existed intra</w:t>
      </w:r>
      <w:r w:rsidRPr="002F6866">
        <w:noBreakHyphen/>
        <w:t xml:space="preserve">market competition between products that the </w:t>
      </w:r>
      <w:r w:rsidRPr="008E6FAF">
        <w:rPr>
          <w:i/>
        </w:rPr>
        <w:t>United States</w:t>
      </w:r>
      <w:r w:rsidRPr="002F6866">
        <w:t xml:space="preserve"> had placed within each of its three alleged product markets"</w:t>
      </w:r>
      <w:r>
        <w:t>.</w:t>
      </w:r>
      <w:r>
        <w:rPr>
          <w:rStyle w:val="FootnoteReference"/>
        </w:rPr>
        <w:footnoteReference w:id="1456"/>
      </w:r>
      <w:r w:rsidRPr="002F6866">
        <w:t xml:space="preserve"> </w:t>
      </w:r>
      <w:r>
        <w:t>According to the European Union, this was not sufficient</w:t>
      </w:r>
      <w:r w:rsidR="00A35FD0">
        <w:t>,</w:t>
      </w:r>
      <w:r>
        <w:t xml:space="preserve"> given that the Panel was also required to assess whether "</w:t>
      </w:r>
      <w:r w:rsidRPr="00D44E62">
        <w:t xml:space="preserve">the competitive dynamic between a given pairing of aircraft, which the United States asserted to be in two </w:t>
      </w:r>
      <w:r w:rsidRPr="008E6FAF">
        <w:rPr>
          <w:i/>
        </w:rPr>
        <w:t>separate</w:t>
      </w:r>
      <w:r w:rsidRPr="000E25F8">
        <w:t xml:space="preserve"> product markets, was such that the aircraft should instead be placed in the </w:t>
      </w:r>
      <w:r w:rsidRPr="008E6FAF">
        <w:rPr>
          <w:i/>
        </w:rPr>
        <w:t>same</w:t>
      </w:r>
      <w:r w:rsidRPr="000E25F8">
        <w:t xml:space="preserve"> product market."</w:t>
      </w:r>
      <w:r>
        <w:rPr>
          <w:rStyle w:val="FootnoteReference"/>
        </w:rPr>
        <w:footnoteReference w:id="1457"/>
      </w:r>
      <w:r>
        <w:t xml:space="preserve"> </w:t>
      </w:r>
      <w:r w:rsidRPr="002F6866">
        <w:t>The European Union contends that, "on the sole basis that the United States alleged them to be in different product markets, the Panel neglected altogether to examine whether the A321neo exerts competitive constraints on the 767, or whether the 777</w:t>
      </w:r>
      <w:r>
        <w:noBreakHyphen/>
      </w:r>
      <w:r w:rsidRPr="002F6866">
        <w:t>300ER or the A350XWB-1000 exert competitive constraints on the 747-8".</w:t>
      </w:r>
      <w:r>
        <w:rPr>
          <w:rStyle w:val="FootnoteReference"/>
        </w:rPr>
        <w:footnoteReference w:id="1458"/>
      </w:r>
      <w:r>
        <w:t xml:space="preserve"> </w:t>
      </w:r>
      <w:r w:rsidR="00251ADE">
        <w:t>The </w:t>
      </w:r>
      <w:r w:rsidRPr="002F6866">
        <w:t xml:space="preserve">European Union </w:t>
      </w:r>
      <w:r>
        <w:t xml:space="preserve">submits that this constitutes error </w:t>
      </w:r>
      <w:r w:rsidRPr="002F6866">
        <w:t>under Article 11 of the DSU.</w:t>
      </w:r>
      <w:r>
        <w:rPr>
          <w:rStyle w:val="FootnoteReference"/>
        </w:rPr>
        <w:footnoteReference w:id="1459"/>
      </w:r>
      <w:r>
        <w:t xml:space="preserve"> </w:t>
      </w:r>
    </w:p>
    <w:p w:rsidR="00AE4AC1" w:rsidRDefault="00AE4AC1" w:rsidP="00526697">
      <w:pPr>
        <w:pStyle w:val="BodyText"/>
      </w:pPr>
      <w:r w:rsidRPr="00683F05">
        <w:t>For its part, the United States submits that "the Panel determined that the three product markets outlined by the United States provided a proper basis to analyze allegations of displacement, impedance, and lost sales"</w:t>
      </w:r>
      <w:r w:rsidR="00A35FD0">
        <w:rPr>
          <w:rStyle w:val="FootnoteReference"/>
        </w:rPr>
        <w:footnoteReference w:id="1460"/>
      </w:r>
      <w:r>
        <w:t>,</w:t>
      </w:r>
      <w:r w:rsidRPr="00683F05">
        <w:t xml:space="preserve"> while recogniz</w:t>
      </w:r>
      <w:r>
        <w:t>ing</w:t>
      </w:r>
      <w:r w:rsidR="00A35FD0">
        <w:t>,</w:t>
      </w:r>
      <w:r w:rsidRPr="00683F05">
        <w:t xml:space="preserve"> based on the voluminous evidence</w:t>
      </w:r>
      <w:r>
        <w:t xml:space="preserve"> adduced by the parties</w:t>
      </w:r>
      <w:r w:rsidR="00A35FD0">
        <w:t>,</w:t>
      </w:r>
      <w:r>
        <w:t xml:space="preserve"> that</w:t>
      </w:r>
      <w:r w:rsidRPr="00683F05">
        <w:t xml:space="preserve"> </w:t>
      </w:r>
      <w:r w:rsidRPr="001676E9">
        <w:t>"</w:t>
      </w:r>
      <w:r w:rsidRPr="00683F05">
        <w:t xml:space="preserve">important competitive relationships may also exist between pairings or combinations of aircraft </w:t>
      </w:r>
      <w:r w:rsidRPr="000F36DF">
        <w:rPr>
          <w:i/>
        </w:rPr>
        <w:t xml:space="preserve">across </w:t>
      </w:r>
      <w:r w:rsidRPr="00683F05">
        <w:t>two, or even all three, of the product markets</w:t>
      </w:r>
      <w:r>
        <w:t>.</w:t>
      </w:r>
      <w:r w:rsidRPr="001676E9">
        <w:t>"</w:t>
      </w:r>
      <w:r>
        <w:rPr>
          <w:rStyle w:val="FootnoteReference"/>
        </w:rPr>
        <w:footnoteReference w:id="1461"/>
      </w:r>
      <w:r w:rsidRPr="00683F05">
        <w:t xml:space="preserve"> However, the Panel determined that, </w:t>
      </w:r>
      <w:r w:rsidRPr="001676E9">
        <w:t>"</w:t>
      </w:r>
      <w:r w:rsidRPr="00683F05">
        <w:t xml:space="preserve">while it </w:t>
      </w:r>
      <w:r>
        <w:t>{was}</w:t>
      </w:r>
      <w:r w:rsidRPr="00683F05">
        <w:t xml:space="preserve"> apparent that the three product markets the United States ha</w:t>
      </w:r>
      <w:r>
        <w:t>{d}</w:t>
      </w:r>
      <w:r w:rsidRPr="00683F05">
        <w:t xml:space="preserve"> chosen to rely upon to bring its complaint of non-compliance </w:t>
      </w:r>
      <w:r>
        <w:t>{did}</w:t>
      </w:r>
      <w:r w:rsidRPr="00683F05">
        <w:t xml:space="preserve"> not exhaustively capture how competition takes place</w:t>
      </w:r>
      <w:r w:rsidRPr="00D44E62">
        <w:t xml:space="preserve"> between aircraft in the LCA sector at all times</w:t>
      </w:r>
      <w:r w:rsidRPr="001676E9">
        <w:t>"</w:t>
      </w:r>
      <w:r w:rsidRPr="0013593C">
        <w:t xml:space="preserve">, </w:t>
      </w:r>
      <w:r w:rsidRPr="00D44E62">
        <w:t>it was "satisfied that at present (as in the original proceeding) they represent</w:t>
      </w:r>
      <w:r>
        <w:t>{ed}</w:t>
      </w:r>
      <w:r w:rsidRPr="00D44E62">
        <w:t xml:space="preserve"> the three segments within which most competitive interactions between the relevant aircraft will commonly take place."</w:t>
      </w:r>
      <w:r>
        <w:rPr>
          <w:rStyle w:val="FootnoteReference"/>
        </w:rPr>
        <w:footnoteReference w:id="1462"/>
      </w:r>
      <w:r w:rsidR="00267BCB">
        <w:t xml:space="preserve"> In </w:t>
      </w:r>
      <w:r w:rsidRPr="00D44E62">
        <w:t>respect of the European Union's assertion that the Panel neglected to examine, for example, whether the A321neo exert</w:t>
      </w:r>
      <w:r>
        <w:t>ed</w:t>
      </w:r>
      <w:r w:rsidRPr="00D44E62">
        <w:t xml:space="preserve"> competitive constraints on the 767, the United States submits that</w:t>
      </w:r>
      <w:r>
        <w:t>,</w:t>
      </w:r>
      <w:r w:rsidRPr="00D44E62">
        <w:t xml:space="preserve"> "{d}espite submitting thousands of pages of briefing and thousands of exhibits, neither party suggested that the A321neo (which is in the A320 family) and the 767 were in the same market</w:t>
      </w:r>
      <w:r>
        <w:t>.</w:t>
      </w:r>
      <w:r w:rsidRPr="00D44E62">
        <w:t>"</w:t>
      </w:r>
      <w:r>
        <w:rPr>
          <w:rStyle w:val="FootnoteReference"/>
        </w:rPr>
        <w:footnoteReference w:id="1463"/>
      </w:r>
      <w:r w:rsidRPr="00D44E62">
        <w:t xml:space="preserve"> Accordingly, the United States </w:t>
      </w:r>
      <w:r>
        <w:t>maintains</w:t>
      </w:r>
      <w:r w:rsidRPr="00D44E62">
        <w:t xml:space="preserve"> that there was no reason for the Panel to "explain in detail why these products were not placed in the same market</w:t>
      </w:r>
      <w:r>
        <w:t>"</w:t>
      </w:r>
      <w:r w:rsidRPr="00D44E62">
        <w:t>.</w:t>
      </w:r>
      <w:r>
        <w:rPr>
          <w:rStyle w:val="FootnoteReference"/>
        </w:rPr>
        <w:footnoteReference w:id="1464"/>
      </w:r>
      <w:r>
        <w:t xml:space="preserve"> T</w:t>
      </w:r>
      <w:r w:rsidRPr="00D44E62">
        <w:t xml:space="preserve">he </w:t>
      </w:r>
      <w:r>
        <w:t xml:space="preserve">United States adds that the </w:t>
      </w:r>
      <w:r w:rsidRPr="00D44E62">
        <w:t>Panel "conducted an exhaustive review of all of the evidence and argumentation submitted by the parties, and gave equal consideration to both parties' proposals"</w:t>
      </w:r>
      <w:r>
        <w:rPr>
          <w:rStyle w:val="FootnoteReference"/>
        </w:rPr>
        <w:footnoteReference w:id="1465"/>
      </w:r>
      <w:r>
        <w:t>,</w:t>
      </w:r>
      <w:r w:rsidRPr="00D44E62">
        <w:t xml:space="preserve"> and did not act inconsistently with Article 11 of the DSU.</w:t>
      </w:r>
      <w:r>
        <w:rPr>
          <w:rStyle w:val="FootnoteReference"/>
        </w:rPr>
        <w:footnoteReference w:id="1466"/>
      </w:r>
    </w:p>
    <w:p w:rsidR="00AE4AC1" w:rsidRPr="00D44E62" w:rsidRDefault="00AE4AC1" w:rsidP="00526697">
      <w:pPr>
        <w:pStyle w:val="BodyText"/>
      </w:pPr>
      <w:r>
        <w:t>For purposes of identifying relevant product market(s) in the context of a serious prejudice analysis under Articles 6.3(a) and 6.3(b) of the SCM Agreement, the mandate of a panel under Article 11 of the DSU is "</w:t>
      </w:r>
      <w:r w:rsidRPr="00E92B43">
        <w:t>to make an objective assessment of the competitive relationship between specific products in the marketplace and to define the relevant product market in order to determine whether particular products can be treated as forming part of a single product market or several product markets</w:t>
      </w:r>
      <w:r>
        <w:t>"</w:t>
      </w:r>
      <w:r w:rsidRPr="00E92B43">
        <w:t>.</w:t>
      </w:r>
      <w:r>
        <w:rPr>
          <w:rStyle w:val="FootnoteReference"/>
        </w:rPr>
        <w:footnoteReference w:id="1467"/>
      </w:r>
      <w:r>
        <w:t xml:space="preserve"> In this regard, a</w:t>
      </w:r>
      <w:r w:rsidRPr="00D44E62">
        <w:t xml:space="preserve"> panel is </w:t>
      </w:r>
      <w:r>
        <w:t xml:space="preserve">called upon </w:t>
      </w:r>
      <w:r w:rsidRPr="00D44E62">
        <w:t xml:space="preserve">to carry out a holistic consideration of all </w:t>
      </w:r>
      <w:r w:rsidR="00A35FD0">
        <w:t xml:space="preserve">the </w:t>
      </w:r>
      <w:r w:rsidRPr="00D44E62">
        <w:t xml:space="preserve">relevant evidence and arguments before it in order to </w:t>
      </w:r>
      <w:r>
        <w:t xml:space="preserve">make an objective </w:t>
      </w:r>
      <w:r w:rsidRPr="00D44E62">
        <w:t>determin</w:t>
      </w:r>
      <w:r>
        <w:t xml:space="preserve">ation of the relevant product market. A panel should assess </w:t>
      </w:r>
      <w:r w:rsidRPr="00D44E62">
        <w:t>whether it is appropriate to examine serious prejudice claims on the basis of the particular market segmentation proposed by the complainant</w:t>
      </w:r>
      <w:r>
        <w:t xml:space="preserve"> or whether the range of products at issue compete in different and distinct markets</w:t>
      </w:r>
      <w:r w:rsidRPr="00D44E62">
        <w:t xml:space="preserve">. </w:t>
      </w:r>
      <w:r>
        <w:t>In so doing, the panel has to examine the respondent's arguments alleging the existence of different market segmentations and rebutting the complainant's arguments.</w:t>
      </w:r>
      <w:r>
        <w:rPr>
          <w:rStyle w:val="FootnoteReference"/>
        </w:rPr>
        <w:footnoteReference w:id="1468"/>
      </w:r>
      <w:r>
        <w:t xml:space="preserve"> </w:t>
      </w:r>
    </w:p>
    <w:p w:rsidR="00AE4AC1" w:rsidRPr="00032CE0" w:rsidRDefault="00AE4AC1" w:rsidP="00526697">
      <w:pPr>
        <w:pStyle w:val="BodyText"/>
      </w:pPr>
      <w:r>
        <w:t xml:space="preserve">Depending on the facts of a particular case, </w:t>
      </w:r>
      <w:r w:rsidRPr="00D44E62">
        <w:t xml:space="preserve">there can be multiple ways in which a complainant may choose to frame the scope of its serious prejudice claims. </w:t>
      </w:r>
      <w:r>
        <w:t>W</w:t>
      </w:r>
      <w:r w:rsidRPr="00D44E62">
        <w:t xml:space="preserve">e recall </w:t>
      </w:r>
      <w:r>
        <w:t xml:space="preserve">that </w:t>
      </w:r>
      <w:r w:rsidRPr="00D44E62">
        <w:t xml:space="preserve">the Appellate Body </w:t>
      </w:r>
      <w:r>
        <w:t xml:space="preserve">in the original proceedings </w:t>
      </w:r>
      <w:r w:rsidRPr="00D44E62">
        <w:t>recognized that "there is no inhibition on how a complainant may choose to formulate its claim as to the scope of the 'subsidized product'"</w:t>
      </w:r>
      <w:r>
        <w:rPr>
          <w:rStyle w:val="FootnoteReference"/>
        </w:rPr>
        <w:footnoteReference w:id="1469"/>
      </w:r>
      <w:r w:rsidRPr="00D44E62">
        <w:t>, adding that "it can do so as it thinks best comports with the adverse effects it seeks to challenge</w:t>
      </w:r>
      <w:r>
        <w:t>.</w:t>
      </w:r>
      <w:r w:rsidRPr="00D44E62">
        <w:t>"</w:t>
      </w:r>
      <w:r>
        <w:rPr>
          <w:rStyle w:val="FootnoteReference"/>
        </w:rPr>
        <w:footnoteReference w:id="1470"/>
      </w:r>
      <w:r w:rsidRPr="00D44E62">
        <w:t xml:space="preserve"> Accordingly, the Appellate Body agreed with the original panel that "Members of the WTO have the sovereign right to structure their complaints as they choose."</w:t>
      </w:r>
      <w:r>
        <w:rPr>
          <w:rStyle w:val="FootnoteReference"/>
        </w:rPr>
        <w:footnoteReference w:id="1471"/>
      </w:r>
      <w:r w:rsidRPr="00D44E62">
        <w:t xml:space="preserve"> However, </w:t>
      </w:r>
      <w:r>
        <w:t xml:space="preserve">at the same time, </w:t>
      </w:r>
      <w:r w:rsidRPr="00D44E62">
        <w:t xml:space="preserve">the Appellate Body </w:t>
      </w:r>
      <w:r>
        <w:t>emphasized</w:t>
      </w:r>
      <w:r w:rsidRPr="00D44E62">
        <w:t xml:space="preserve"> "the difference between a WTO Member's freedom to formulate its complaint"</w:t>
      </w:r>
      <w:r>
        <w:rPr>
          <w:rStyle w:val="FootnoteReference"/>
        </w:rPr>
        <w:footnoteReference w:id="1472"/>
      </w:r>
      <w:r w:rsidRPr="00D44E62">
        <w:t xml:space="preserve"> and the duty of a panel to scruti</w:t>
      </w:r>
      <w:r w:rsidR="00251ADE">
        <w:t>nize "whether the complaint, so </w:t>
      </w:r>
      <w:r w:rsidRPr="00D44E62">
        <w:t>formulated, holds true and is a proper account of the phenomenon in question, be it displacement, impedance, or any other effect of a subsidy</w:t>
      </w:r>
      <w:r w:rsidR="00A35FD0">
        <w:t>.</w:t>
      </w:r>
      <w:r w:rsidRPr="00D44E62">
        <w:t>"</w:t>
      </w:r>
      <w:r>
        <w:rPr>
          <w:rStyle w:val="FootnoteReference"/>
        </w:rPr>
        <w:footnoteReference w:id="1473"/>
      </w:r>
      <w:r w:rsidRPr="00D44E62">
        <w:t xml:space="preserve"> </w:t>
      </w:r>
    </w:p>
    <w:p w:rsidR="00AE4AC1" w:rsidRPr="00793859" w:rsidRDefault="00AE4AC1" w:rsidP="00526697">
      <w:pPr>
        <w:pStyle w:val="BodyText"/>
      </w:pPr>
      <w:r w:rsidRPr="00D44E62">
        <w:t xml:space="preserve">The Panel </w:t>
      </w:r>
      <w:r>
        <w:t xml:space="preserve">in these compliance proceedings </w:t>
      </w:r>
      <w:r w:rsidRPr="00D44E62">
        <w:t xml:space="preserve">noted the European Union's argument that LCA are currently "bought and sold in up to six or seven distinct </w:t>
      </w:r>
      <w:r w:rsidRPr="00032CE0">
        <w:t>product markets, two of which are allegedly 'temporal' monopoly markets where either Airbus or Boeing is … the sole credible supplier"</w:t>
      </w:r>
      <w:r>
        <w:t>.</w:t>
      </w:r>
      <w:r>
        <w:rPr>
          <w:rStyle w:val="FootnoteReference"/>
        </w:rPr>
        <w:footnoteReference w:id="1474"/>
      </w:r>
      <w:r w:rsidRPr="00032CE0">
        <w:t xml:space="preserve"> At the same time, the Panel noted the United States' argument that "the same three … LCA product markets relied upon by the Appellate Body in the original proceeding to 'complete the analysis' continue to exist</w:t>
      </w:r>
      <w:r>
        <w:t>.</w:t>
      </w:r>
      <w:r w:rsidRPr="00032CE0">
        <w:t>"</w:t>
      </w:r>
      <w:r>
        <w:rPr>
          <w:rStyle w:val="FootnoteReference"/>
        </w:rPr>
        <w:footnoteReference w:id="1475"/>
      </w:r>
      <w:r w:rsidRPr="00032CE0">
        <w:t xml:space="preserve"> </w:t>
      </w:r>
    </w:p>
    <w:p w:rsidR="00AE4AC1" w:rsidRPr="00032CE0" w:rsidRDefault="00AE4AC1" w:rsidP="00526697">
      <w:pPr>
        <w:pStyle w:val="BodyText"/>
      </w:pPr>
      <w:r w:rsidRPr="00793859">
        <w:t xml:space="preserve">As discussed above, in assessing the three-way market segmentation proposed by the United States, we understand the Panel </w:t>
      </w:r>
      <w:r>
        <w:t>to have conducted its own objective assessment of the relevant product markets in light of the competing arguments and evidence presented by the parties. As noted, the Panel began its analysis with the three-way market segmentation proposed by the complainant but, in conducting its analysis, the Panel also addressed the arguments by the European Union regarding the existence of "up to six or seven distinct product markets".</w:t>
      </w:r>
      <w:r>
        <w:rPr>
          <w:rStyle w:val="FootnoteReference"/>
        </w:rPr>
        <w:footnoteReference w:id="1476"/>
      </w:r>
      <w:r w:rsidR="00251ADE">
        <w:t xml:space="preserve"> In </w:t>
      </w:r>
      <w:r>
        <w:t xml:space="preserve">particular, the Panel </w:t>
      </w:r>
      <w:r w:rsidRPr="00793859">
        <w:t>t</w:t>
      </w:r>
      <w:r>
        <w:t>ook</w:t>
      </w:r>
      <w:r w:rsidRPr="00793859">
        <w:t xml:space="preserve"> into account the Appellate Body's guidance </w:t>
      </w:r>
      <w:r>
        <w:t xml:space="preserve">in the original proceedings </w:t>
      </w:r>
      <w:r w:rsidRPr="00793859">
        <w:t xml:space="preserve">regarding the </w:t>
      </w:r>
      <w:r w:rsidRPr="00793859">
        <w:rPr>
          <w:i/>
        </w:rPr>
        <w:t>range</w:t>
      </w:r>
      <w:r w:rsidRPr="00793859">
        <w:t xml:space="preserve"> of factors that may assist a panel in determining whether two products are in the same market, in the sense that they "create competitive constraints on each other".</w:t>
      </w:r>
      <w:r>
        <w:rPr>
          <w:rStyle w:val="FootnoteReference"/>
        </w:rPr>
        <w:footnoteReference w:id="1477"/>
      </w:r>
      <w:r w:rsidR="00251ADE">
        <w:t xml:space="preserve"> The </w:t>
      </w:r>
      <w:r w:rsidRPr="00793859">
        <w:t xml:space="preserve">Panel </w:t>
      </w:r>
      <w:r>
        <w:t>also carefully</w:t>
      </w:r>
      <w:r w:rsidRPr="00793859">
        <w:t xml:space="preserve"> assessed whether LCA customers sought to procure a range of products to satisfy their needs and requirements</w:t>
      </w:r>
      <w:r>
        <w:t>. Indeed</w:t>
      </w:r>
      <w:r w:rsidRPr="00793859">
        <w:t>, "when customers procure a range of products to satisfy their needs, this may give an indication that all such products could be competing in the same market</w:t>
      </w:r>
      <w:r>
        <w:t>.</w:t>
      </w:r>
      <w:r w:rsidRPr="00793859">
        <w:t>"</w:t>
      </w:r>
      <w:r>
        <w:rPr>
          <w:rStyle w:val="FootnoteReference"/>
        </w:rPr>
        <w:footnoteReference w:id="1478"/>
      </w:r>
      <w:r w:rsidRPr="00793859">
        <w:t xml:space="preserve"> </w:t>
      </w:r>
      <w:r>
        <w:t>T</w:t>
      </w:r>
      <w:r w:rsidRPr="00793859">
        <w:t xml:space="preserve">he Panel analysed the relevant </w:t>
      </w:r>
      <w:r w:rsidRPr="00793859">
        <w:rPr>
          <w:i/>
        </w:rPr>
        <w:t>qualitative</w:t>
      </w:r>
      <w:r w:rsidRPr="00793859">
        <w:t xml:space="preserve"> factors concerning demand-side substitutability in its assessment of the nature and extent of actual or potential</w:t>
      </w:r>
      <w:r w:rsidRPr="00D44E62">
        <w:t xml:space="preserve"> competition between specific products</w:t>
      </w:r>
      <w:r>
        <w:t>. It</w:t>
      </w:r>
      <w:r w:rsidRPr="00D44E62">
        <w:t xml:space="preserve"> also </w:t>
      </w:r>
      <w:r>
        <w:t>noted that</w:t>
      </w:r>
      <w:r w:rsidRPr="00D44E62">
        <w:t xml:space="preserve"> "producing accurate and reliable quantitative evidence of the degree of demand</w:t>
      </w:r>
      <w:r w:rsidRPr="00D44E62">
        <w:noBreakHyphen/>
        <w:t xml:space="preserve">side substitution between </w:t>
      </w:r>
      <w:r>
        <w:t>different</w:t>
      </w:r>
      <w:r w:rsidRPr="00D44E62">
        <w:t xml:space="preserve"> LCA products would be a formidable task</w:t>
      </w:r>
      <w:r>
        <w:t>.</w:t>
      </w:r>
      <w:r w:rsidRPr="00D44E62">
        <w:t>"</w:t>
      </w:r>
      <w:r>
        <w:rPr>
          <w:rStyle w:val="FootnoteReference"/>
        </w:rPr>
        <w:footnoteReference w:id="1479"/>
      </w:r>
      <w:r w:rsidRPr="00D44E62">
        <w:t xml:space="preserve"> </w:t>
      </w:r>
      <w:r w:rsidRPr="00793859">
        <w:t>Based on its analysis of the</w:t>
      </w:r>
      <w:r w:rsidRPr="00D44E62">
        <w:t xml:space="preserve"> arguments and evidence before it, the Panel found it </w:t>
      </w:r>
      <w:r>
        <w:t>"</w:t>
      </w:r>
      <w:r w:rsidRPr="00D44E62">
        <w:t xml:space="preserve">appropriate to examine the United States' claims of serious prejudice on the basis of the three separate product </w:t>
      </w:r>
      <w:r w:rsidRPr="00032CE0">
        <w:t xml:space="preserve">markets </w:t>
      </w:r>
      <w:r>
        <w:t>{the Panel</w:t>
      </w:r>
      <w:r w:rsidRPr="00032CE0">
        <w:t xml:space="preserve"> had</w:t>
      </w:r>
      <w:r>
        <w:t>}</w:t>
      </w:r>
      <w:r w:rsidRPr="00032CE0">
        <w:t xml:space="preserve"> identified</w:t>
      </w:r>
      <w:r>
        <w:t>"</w:t>
      </w:r>
      <w:r w:rsidRPr="00032CE0">
        <w:t>.</w:t>
      </w:r>
      <w:r>
        <w:rPr>
          <w:rStyle w:val="FootnoteReference"/>
        </w:rPr>
        <w:footnoteReference w:id="1480"/>
      </w:r>
    </w:p>
    <w:p w:rsidR="00AE4AC1" w:rsidRPr="00B61325" w:rsidRDefault="00AE4AC1" w:rsidP="00526697">
      <w:pPr>
        <w:pStyle w:val="BodyText"/>
      </w:pPr>
      <w:r>
        <w:t>In so doing</w:t>
      </w:r>
      <w:r w:rsidRPr="00032CE0">
        <w:t xml:space="preserve">, </w:t>
      </w:r>
      <w:r>
        <w:t xml:space="preserve">however, </w:t>
      </w:r>
      <w:r w:rsidRPr="00032CE0">
        <w:t>the Panel</w:t>
      </w:r>
      <w:r>
        <w:t xml:space="preserve"> cautioned</w:t>
      </w:r>
      <w:r w:rsidRPr="00032CE0">
        <w:t xml:space="preserve"> that it was "</w:t>
      </w:r>
      <w:r w:rsidRPr="00067B1D">
        <w:rPr>
          <w:i/>
        </w:rPr>
        <w:t>not</w:t>
      </w:r>
      <w:r w:rsidRPr="00032CE0">
        <w:t xml:space="preserve"> {its} view that the degree of competition existing within each of these markets {would} be identical between all pairings or combinations of aircraft"</w:t>
      </w:r>
      <w:r>
        <w:rPr>
          <w:rStyle w:val="FootnoteReference"/>
        </w:rPr>
        <w:footnoteReference w:id="1481"/>
      </w:r>
      <w:r>
        <w:t>,</w:t>
      </w:r>
      <w:r w:rsidRPr="00032CE0">
        <w:t xml:space="preserve"> and further</w:t>
      </w:r>
      <w:r>
        <w:t>,</w:t>
      </w:r>
      <w:r w:rsidRPr="00032CE0">
        <w:t xml:space="preserve"> that "{t}here {would} be weaker and stronger competitive relationships within each market depending upon the particular circumstances of a sale</w:t>
      </w:r>
      <w:r>
        <w:t>.</w:t>
      </w:r>
      <w:r w:rsidRPr="00032CE0">
        <w:t>"</w:t>
      </w:r>
      <w:r>
        <w:rPr>
          <w:rStyle w:val="FootnoteReference"/>
        </w:rPr>
        <w:footnoteReference w:id="1482"/>
      </w:r>
      <w:r w:rsidRPr="00032CE0">
        <w:t xml:space="preserve"> </w:t>
      </w:r>
      <w:r>
        <w:t>I</w:t>
      </w:r>
      <w:r w:rsidRPr="00032CE0">
        <w:t>n this context</w:t>
      </w:r>
      <w:r>
        <w:t>,</w:t>
      </w:r>
      <w:r w:rsidRPr="00032CE0">
        <w:t xml:space="preserve"> the Panel observed that "important competitive relationships </w:t>
      </w:r>
      <w:r>
        <w:t>{could}</w:t>
      </w:r>
      <w:r w:rsidRPr="00032CE0">
        <w:t xml:space="preserve"> also </w:t>
      </w:r>
      <w:r>
        <w:t xml:space="preserve">{have} </w:t>
      </w:r>
      <w:r w:rsidRPr="00032CE0">
        <w:t>exist</w:t>
      </w:r>
      <w:r>
        <w:t>{ed}</w:t>
      </w:r>
      <w:r w:rsidRPr="00032CE0">
        <w:t xml:space="preserve"> between pairings or combinations of aircraft </w:t>
      </w:r>
      <w:r w:rsidRPr="00067B1D">
        <w:rPr>
          <w:i/>
        </w:rPr>
        <w:t xml:space="preserve">across </w:t>
      </w:r>
      <w:r w:rsidRPr="00032CE0">
        <w:t>two, or even all three, of the product markets</w:t>
      </w:r>
      <w:r>
        <w:t>.</w:t>
      </w:r>
      <w:r w:rsidRPr="00032CE0">
        <w:t>"</w:t>
      </w:r>
      <w:r>
        <w:rPr>
          <w:rStyle w:val="FootnoteReference"/>
        </w:rPr>
        <w:footnoteReference w:id="1483"/>
      </w:r>
      <w:r>
        <w:t xml:space="preserve"> The Panel further stated that, </w:t>
      </w:r>
      <w:r w:rsidRPr="00D44E62">
        <w:t xml:space="preserve">while </w:t>
      </w:r>
      <w:r w:rsidRPr="00032CE0">
        <w:t>the three product markets the United States had chosen to rely upon to bring its</w:t>
      </w:r>
      <w:r w:rsidRPr="00D44E62">
        <w:t xml:space="preserve"> complaint did </w:t>
      </w:r>
      <w:r>
        <w:t>"</w:t>
      </w:r>
      <w:r w:rsidRPr="00D44E62">
        <w:t xml:space="preserve">not exhaustively capture how competition </w:t>
      </w:r>
      <w:r>
        <w:t>{took}</w:t>
      </w:r>
      <w:r w:rsidRPr="00D44E62">
        <w:t xml:space="preserve"> place between aircraft in the LCA sector at all times", it was satisfied that </w:t>
      </w:r>
      <w:r>
        <w:t>"</w:t>
      </w:r>
      <w:r w:rsidRPr="00D44E62">
        <w:t xml:space="preserve">they represent{ed} the </w:t>
      </w:r>
      <w:r w:rsidRPr="00793859">
        <w:t xml:space="preserve">three segments within which </w:t>
      </w:r>
      <w:r w:rsidRPr="00067B1D">
        <w:rPr>
          <w:i/>
        </w:rPr>
        <w:t>most competitive interactions</w:t>
      </w:r>
      <w:r w:rsidRPr="00793859">
        <w:t xml:space="preserve"> between the relevant aircraft</w:t>
      </w:r>
      <w:r w:rsidRPr="00D44E62">
        <w:t xml:space="preserve"> {would} commonly take place</w:t>
      </w:r>
      <w:r>
        <w:t>.</w:t>
      </w:r>
      <w:r w:rsidRPr="00D44E62">
        <w:t>"</w:t>
      </w:r>
      <w:r>
        <w:rPr>
          <w:rStyle w:val="FootnoteReference"/>
        </w:rPr>
        <w:footnoteReference w:id="1484"/>
      </w:r>
      <w:r w:rsidRPr="00D44E62">
        <w:t xml:space="preserve"> </w:t>
      </w:r>
      <w:r>
        <w:t>That said, w</w:t>
      </w:r>
      <w:r w:rsidRPr="00D44E62">
        <w:t xml:space="preserve">e note that the European Union </w:t>
      </w:r>
      <w:r>
        <w:t>did not</w:t>
      </w:r>
      <w:r w:rsidRPr="00D44E62">
        <w:t xml:space="preserve"> argue before the Panel that the 747-8I and the 777-300ER and the A350XWB-1000 should </w:t>
      </w:r>
      <w:r>
        <w:t xml:space="preserve">have </w:t>
      </w:r>
      <w:r w:rsidRPr="00D44E62">
        <w:t>be</w:t>
      </w:r>
      <w:r>
        <w:t>en</w:t>
      </w:r>
      <w:r w:rsidRPr="00D44E62">
        <w:t xml:space="preserve"> placed in</w:t>
      </w:r>
      <w:r>
        <w:t>to</w:t>
      </w:r>
      <w:r w:rsidRPr="00D44E62">
        <w:t xml:space="preserve"> the same product market. Nor did </w:t>
      </w:r>
      <w:r>
        <w:t>it</w:t>
      </w:r>
      <w:r w:rsidRPr="00D44E62">
        <w:t xml:space="preserve"> contend that the A321neo and the 767 compete</w:t>
      </w:r>
      <w:r>
        <w:t>d</w:t>
      </w:r>
      <w:r w:rsidRPr="00D44E62">
        <w:t xml:space="preserve"> in the same market. To the contrary, we understand the European Union's position before the Panel to have been that the "allegedly 'outdated' and 'inferior' technology {of the 767} mean</w:t>
      </w:r>
      <w:r>
        <w:t>{t}</w:t>
      </w:r>
      <w:r w:rsidRPr="00D44E62">
        <w:t xml:space="preserve"> that it </w:t>
      </w:r>
      <w:r>
        <w:t>{did}</w:t>
      </w:r>
      <w:r w:rsidRPr="00D44E62">
        <w:t xml:space="preserve"> not compete in the same product market as the A330 and that, in any case, it ha</w:t>
      </w:r>
      <w:r>
        <w:t>{d}</w:t>
      </w:r>
      <w:r w:rsidRPr="00D44E62">
        <w:t xml:space="preserve"> been replaced by the 787</w:t>
      </w:r>
      <w:r>
        <w:t>."</w:t>
      </w:r>
      <w:r>
        <w:rPr>
          <w:rStyle w:val="FootnoteReference"/>
        </w:rPr>
        <w:footnoteReference w:id="1485"/>
      </w:r>
      <w:r>
        <w:t xml:space="preserve"> In respect of the 777-300ER, the European Union argued that the 777 family was in a "temporal" monopoly market</w:t>
      </w:r>
      <w:r>
        <w:rPr>
          <w:rStyle w:val="FootnoteReference"/>
        </w:rPr>
        <w:footnoteReference w:id="1486"/>
      </w:r>
      <w:r>
        <w:t>, while the A350XWB-1000 competed closely with the 787 family in the market for technologically advanced and fuel-efficient new generation aircraft.</w:t>
      </w:r>
      <w:r>
        <w:rPr>
          <w:rStyle w:val="FootnoteReference"/>
        </w:rPr>
        <w:footnoteReference w:id="1487"/>
      </w:r>
      <w:r>
        <w:t xml:space="preserve"> The European Union did not place the 747-8I into this product market but, rather, placed it into a product market of its own.</w:t>
      </w:r>
      <w:r>
        <w:rPr>
          <w:rStyle w:val="FootnoteReference"/>
        </w:rPr>
        <w:footnoteReference w:id="1488"/>
      </w:r>
      <w:r>
        <w:t xml:space="preserve"> We fail to see why the Panel would therefore have been required to separately analyse and make findings on whether "the A321neo exert{ed} competitive constraints on the 767, or whether the 777-300ER or the A350XWB-1000 exert{ed} competitive constraints on the 747-8" such that they should have been placed in the same market.</w:t>
      </w:r>
      <w:r>
        <w:rPr>
          <w:rStyle w:val="FootnoteReference"/>
        </w:rPr>
        <w:footnoteReference w:id="1489"/>
      </w:r>
      <w:r>
        <w:t xml:space="preserve"> Rather, as we see it</w:t>
      </w:r>
      <w:r w:rsidRPr="008845F5">
        <w:t>, the Panel was "required to make an objective assessment of the competitive relationship between specific products in the marketplace and to define the relevant product market"</w:t>
      </w:r>
      <w:r>
        <w:rPr>
          <w:rStyle w:val="FootnoteReference"/>
        </w:rPr>
        <w:footnoteReference w:id="1490"/>
      </w:r>
      <w:r w:rsidRPr="008845F5">
        <w:t xml:space="preserve">, taking </w:t>
      </w:r>
      <w:r>
        <w:t xml:space="preserve">properly </w:t>
      </w:r>
      <w:r w:rsidRPr="008845F5">
        <w:t xml:space="preserve">into account the European Union's </w:t>
      </w:r>
      <w:r>
        <w:t>arguments and evidence regarding the existence of up to six or seven distinct product markets</w:t>
      </w:r>
      <w:r w:rsidRPr="008845F5">
        <w:t>.</w:t>
      </w:r>
      <w:r>
        <w:rPr>
          <w:rStyle w:val="FootnoteReference"/>
        </w:rPr>
        <w:footnoteReference w:id="1491"/>
      </w:r>
      <w:r w:rsidRPr="008845F5">
        <w:t xml:space="preserve"> </w:t>
      </w:r>
      <w:r>
        <w:t xml:space="preserve">The Panel had no duty, in our view, to make additional findings regarding the nature and degree of competition among LCA that neither party had argued were in meaningful competition or were sufficiently substitutable. </w:t>
      </w:r>
    </w:p>
    <w:p w:rsidR="00AE4AC1" w:rsidRPr="000061AF" w:rsidRDefault="00AE4AC1" w:rsidP="00526697">
      <w:pPr>
        <w:pStyle w:val="BodyText"/>
      </w:pPr>
      <w:r>
        <w:t>We note that a</w:t>
      </w:r>
      <w:r w:rsidRPr="000061AF">
        <w:t xml:space="preserve"> panel is required</w:t>
      </w:r>
      <w:r>
        <w:t>, under Article 11 of the DSU,</w:t>
      </w:r>
      <w:r w:rsidRPr="000061AF">
        <w:t xml:space="preserve"> </w:t>
      </w:r>
      <w:r w:rsidR="00A35FD0">
        <w:t>"</w:t>
      </w:r>
      <w:r w:rsidRPr="000061AF">
        <w:t xml:space="preserve">to </w:t>
      </w:r>
      <w:r w:rsidR="00A35FD0">
        <w:t>'</w:t>
      </w:r>
      <w:r w:rsidRPr="000061AF">
        <w:t>consider all the evidence presented to it, assess its credibility, determine its weight, and ensure that its factual findings have a proper basis in that evidence</w:t>
      </w:r>
      <w:r w:rsidR="00A35FD0">
        <w:t>'</w:t>
      </w:r>
      <w:r w:rsidRPr="000061AF">
        <w:t>"</w:t>
      </w:r>
      <w:r w:rsidR="00A35FD0">
        <w:t>.</w:t>
      </w:r>
      <w:r w:rsidRPr="000061AF">
        <w:rPr>
          <w:vertAlign w:val="superscript"/>
        </w:rPr>
        <w:footnoteReference w:id="1492"/>
      </w:r>
      <w:r w:rsidRPr="000061AF">
        <w:t xml:space="preserve"> A panel does not err simply because it declines to accord to the evidence or </w:t>
      </w:r>
      <w:r w:rsidR="00A35FD0">
        <w:t xml:space="preserve">to </w:t>
      </w:r>
      <w:r w:rsidRPr="000061AF">
        <w:t>an argument the weight that one of the parties believes should be accorded to it.</w:t>
      </w:r>
      <w:r w:rsidRPr="000061AF">
        <w:rPr>
          <w:vertAlign w:val="superscript"/>
        </w:rPr>
        <w:footnoteReference w:id="1493"/>
      </w:r>
      <w:r>
        <w:t xml:space="preserve"> As we see it, in this case, </w:t>
      </w:r>
      <w:r w:rsidRPr="008845F5">
        <w:t xml:space="preserve">the Panel </w:t>
      </w:r>
      <w:r>
        <w:t xml:space="preserve">properly </w:t>
      </w:r>
      <w:r w:rsidRPr="000C3621">
        <w:t>as</w:t>
      </w:r>
      <w:r w:rsidR="00A35FD0">
        <w:t>sessed the United States' three</w:t>
      </w:r>
      <w:r w:rsidR="00A35FD0">
        <w:noBreakHyphen/>
      </w:r>
      <w:r w:rsidRPr="000C3621">
        <w:t xml:space="preserve">way market segmentation in light of the arguments and evidence </w:t>
      </w:r>
      <w:r w:rsidRPr="00067B1D">
        <w:t>before it, including those</w:t>
      </w:r>
      <w:r>
        <w:t xml:space="preserve"> </w:t>
      </w:r>
      <w:r w:rsidRPr="000C3621">
        <w:t>advanced by the European Union regarding the existence of more segmented market delineations</w:t>
      </w:r>
      <w:r w:rsidR="00A35FD0">
        <w:t>,</w:t>
      </w:r>
      <w:r w:rsidRPr="000C3621">
        <w:t xml:space="preserve"> before concluding that it was "appropriate to examine the United States' claims of serious prejudice on the basis of the three separate product markets {the Panel had} identified above".</w:t>
      </w:r>
      <w:r w:rsidRPr="000C3621">
        <w:rPr>
          <w:rStyle w:val="FootnoteReference"/>
        </w:rPr>
        <w:footnoteReference w:id="1494"/>
      </w:r>
      <w:r w:rsidRPr="000C3621">
        <w:t xml:space="preserve"> In coming to this conclusion, the Panel did not suggest that the United States' identification of the relevant product markets was the </w:t>
      </w:r>
      <w:r w:rsidRPr="000C3621">
        <w:rPr>
          <w:i/>
        </w:rPr>
        <w:t>only</w:t>
      </w:r>
      <w:r w:rsidRPr="000C3621">
        <w:t xml:space="preserve"> way to analyse the adverse effects of the challenged subsidies.</w:t>
      </w:r>
      <w:r>
        <w:t xml:space="preserve"> </w:t>
      </w:r>
      <w:r w:rsidRPr="000061AF">
        <w:t xml:space="preserve">The fact that the Panel did not agree with the </w:t>
      </w:r>
      <w:r>
        <w:t>six</w:t>
      </w:r>
      <w:r w:rsidRPr="000061AF">
        <w:t xml:space="preserve">- or seven-way market segmentation proposed by the European Union does not mean that the Panel committed legal error amounting to a violation of Article 11 of the DSU. </w:t>
      </w:r>
    </w:p>
    <w:p w:rsidR="00AE4AC1" w:rsidRDefault="00AE4AC1" w:rsidP="00526697">
      <w:pPr>
        <w:pStyle w:val="BodyText"/>
      </w:pPr>
      <w:r w:rsidRPr="000061AF">
        <w:t>For all these reasons, we see no basis to find that the Panel acted inconsistently with Article 11 of the DSU.</w:t>
      </w:r>
      <w:r>
        <w:t xml:space="preserve"> </w:t>
      </w:r>
    </w:p>
    <w:p w:rsidR="00AE4AC1" w:rsidRDefault="00AE4AC1" w:rsidP="00526697">
      <w:pPr>
        <w:pStyle w:val="Heading4"/>
      </w:pPr>
      <w:bookmarkStart w:id="165" w:name="_Toc514059271"/>
      <w:r>
        <w:t>Overall conclusion</w:t>
      </w:r>
      <w:bookmarkEnd w:id="165"/>
    </w:p>
    <w:p w:rsidR="00AE4AC1" w:rsidRDefault="00AE4AC1" w:rsidP="00526697">
      <w:pPr>
        <w:pStyle w:val="BodyText"/>
      </w:pPr>
      <w:r w:rsidRPr="000061AF">
        <w:t xml:space="preserve">Regarding the term "market" in </w:t>
      </w:r>
      <w:r>
        <w:t>Article </w:t>
      </w:r>
      <w:r w:rsidRPr="000061AF">
        <w:t>6.3</w:t>
      </w:r>
      <w:r>
        <w:t xml:space="preserve"> of the SCM Agreement</w:t>
      </w:r>
      <w:r w:rsidRPr="000061AF">
        <w:t xml:space="preserve">, </w:t>
      </w:r>
      <w:r>
        <w:t>for the purposes of conducting an adverse effects analysis, two products are in the same market</w:t>
      </w:r>
      <w:r w:rsidRPr="000061AF">
        <w:t xml:space="preserve"> if they are sufficiently substitutable </w:t>
      </w:r>
      <w:r>
        <w:t>and</w:t>
      </w:r>
      <w:r w:rsidRPr="000061AF">
        <w:t xml:space="preserve"> they exercise "</w:t>
      </w:r>
      <w:r w:rsidRPr="00FC0D28">
        <w:t>meaningful</w:t>
      </w:r>
      <w:r w:rsidRPr="000061AF">
        <w:t>" competitive constraints on each other.</w:t>
      </w:r>
      <w:r w:rsidR="00267BCB">
        <w:t xml:space="preserve"> A </w:t>
      </w:r>
      <w:r w:rsidRPr="00D976D1">
        <w:t xml:space="preserve">consideration of </w:t>
      </w:r>
      <w:r w:rsidRPr="00CE5E4B">
        <w:rPr>
          <w:i/>
        </w:rPr>
        <w:t>quantitative</w:t>
      </w:r>
      <w:r w:rsidRPr="00D976D1">
        <w:t xml:space="preserve"> </w:t>
      </w:r>
      <w:r>
        <w:t xml:space="preserve">tools and </w:t>
      </w:r>
      <w:r w:rsidRPr="00D976D1">
        <w:t xml:space="preserve">evidence </w:t>
      </w:r>
      <w:r>
        <w:t xml:space="preserve">may </w:t>
      </w:r>
      <w:r w:rsidRPr="00D976D1">
        <w:t xml:space="preserve">assist a panel in </w:t>
      </w:r>
      <w:r>
        <w:t>defining the relevant product markets and in answering the question of whether products exercise meaningful competitive constraints on each other and are sufficiently substitutable to fall in the same product market. However</w:t>
      </w:r>
      <w:r w:rsidRPr="00D976D1">
        <w:t xml:space="preserve">, </w:t>
      </w:r>
      <w:r>
        <w:t xml:space="preserve">like the Panel, </w:t>
      </w:r>
      <w:r w:rsidRPr="00D976D1">
        <w:t xml:space="preserve">we </w:t>
      </w:r>
      <w:r>
        <w:t xml:space="preserve">do not </w:t>
      </w:r>
      <w:r w:rsidRPr="00D976D1">
        <w:t xml:space="preserve">see </w:t>
      </w:r>
      <w:r>
        <w:t xml:space="preserve">a </w:t>
      </w:r>
      <w:r w:rsidRPr="00D976D1">
        <w:t>reason to preclude that a careful</w:t>
      </w:r>
      <w:r>
        <w:t xml:space="preserve"> scrutiny </w:t>
      </w:r>
      <w:r w:rsidRPr="00E621C0">
        <w:t xml:space="preserve">of </w:t>
      </w:r>
      <w:r w:rsidRPr="00CE5E4B">
        <w:rPr>
          <w:i/>
        </w:rPr>
        <w:t>qualitative</w:t>
      </w:r>
      <w:r w:rsidRPr="00E621C0">
        <w:t xml:space="preserve"> evidence may </w:t>
      </w:r>
      <w:r>
        <w:t xml:space="preserve">also </w:t>
      </w:r>
      <w:r w:rsidRPr="00E621C0">
        <w:t>be sufficient</w:t>
      </w:r>
      <w:r w:rsidR="00A35FD0">
        <w:t>,</w:t>
      </w:r>
      <w:r w:rsidRPr="00E621C0">
        <w:t xml:space="preserve"> provided that it permits </w:t>
      </w:r>
      <w:r>
        <w:t>an informative and meaningful analysis</w:t>
      </w:r>
      <w:r w:rsidRPr="00E621C0">
        <w:t xml:space="preserve"> of the relevant product markets.</w:t>
      </w:r>
      <w:r w:rsidRPr="00A65D44">
        <w:t xml:space="preserve"> </w:t>
      </w:r>
      <w:r>
        <w:t>D</w:t>
      </w:r>
      <w:r w:rsidRPr="00D92844">
        <w:t xml:space="preserve">epending on the particularities of a given case, it may be sufficient for a panel to examine </w:t>
      </w:r>
      <w:r w:rsidRPr="00CE5E4B">
        <w:rPr>
          <w:i/>
        </w:rPr>
        <w:t>qualitative</w:t>
      </w:r>
      <w:r>
        <w:t xml:space="preserve"> </w:t>
      </w:r>
      <w:r w:rsidRPr="00D92844">
        <w:t xml:space="preserve">evidence regarding demand-side and supply-side substitutability, product characteristics, </w:t>
      </w:r>
      <w:r>
        <w:t>end</w:t>
      </w:r>
      <w:r>
        <w:noBreakHyphen/>
      </w:r>
      <w:r w:rsidRPr="00D92844">
        <w:t>uses, and customer preferences</w:t>
      </w:r>
      <w:r>
        <w:t xml:space="preserve"> </w:t>
      </w:r>
      <w:r w:rsidRPr="00D92844">
        <w:t xml:space="preserve">in order to reach a conclusion </w:t>
      </w:r>
      <w:r>
        <w:t>as to</w:t>
      </w:r>
      <w:r w:rsidRPr="00D92844">
        <w:t xml:space="preserve"> </w:t>
      </w:r>
      <w:r>
        <w:t>the</w:t>
      </w:r>
      <w:r w:rsidRPr="00D92844">
        <w:t xml:space="preserve"> </w:t>
      </w:r>
      <w:r>
        <w:t xml:space="preserve">nature and degree of </w:t>
      </w:r>
      <w:r w:rsidRPr="00430C7F">
        <w:t>competition between two products.</w:t>
      </w:r>
      <w:r>
        <w:t xml:space="preserve"> H</w:t>
      </w:r>
      <w:r w:rsidRPr="00910634">
        <w:t xml:space="preserve">aving </w:t>
      </w:r>
      <w:r>
        <w:t>reviewed</w:t>
      </w:r>
      <w:r w:rsidRPr="00910634">
        <w:t xml:space="preserve"> the Panel's analysis of competition in the single-aisle</w:t>
      </w:r>
      <w:r w:rsidR="00A35FD0">
        <w:t xml:space="preserve"> LCA</w:t>
      </w:r>
      <w:r w:rsidRPr="00910634">
        <w:t>, twin-aisle</w:t>
      </w:r>
      <w:r w:rsidR="00A35FD0">
        <w:t xml:space="preserve"> LCA</w:t>
      </w:r>
      <w:r w:rsidRPr="00910634">
        <w:t>, and VLA</w:t>
      </w:r>
      <w:r>
        <w:t xml:space="preserve"> product </w:t>
      </w:r>
      <w:r w:rsidRPr="00910634">
        <w:t xml:space="preserve">markets, we </w:t>
      </w:r>
      <w:r>
        <w:t xml:space="preserve">are satisfied that </w:t>
      </w:r>
      <w:r w:rsidRPr="003B1AA5">
        <w:t xml:space="preserve">the Panel's identification of the </w:t>
      </w:r>
      <w:r>
        <w:t xml:space="preserve">product markets in the present dispute was </w:t>
      </w:r>
      <w:r w:rsidRPr="0018483E">
        <w:t xml:space="preserve">based on </w:t>
      </w:r>
      <w:r>
        <w:t>a</w:t>
      </w:r>
      <w:r w:rsidRPr="0018483E">
        <w:t xml:space="preserve"> </w:t>
      </w:r>
      <w:r>
        <w:t xml:space="preserve">proper </w:t>
      </w:r>
      <w:r w:rsidRPr="0018483E">
        <w:t xml:space="preserve">analysis of the competition </w:t>
      </w:r>
      <w:r>
        <w:t xml:space="preserve">among </w:t>
      </w:r>
      <w:r w:rsidRPr="0018483E">
        <w:t xml:space="preserve">the </w:t>
      </w:r>
      <w:r>
        <w:t xml:space="preserve">relevant </w:t>
      </w:r>
      <w:r w:rsidRPr="0018483E">
        <w:t>products</w:t>
      </w:r>
      <w:r>
        <w:t>,</w:t>
      </w:r>
      <w:r w:rsidRPr="0018483E">
        <w:t xml:space="preserve"> </w:t>
      </w:r>
      <w:r>
        <w:t>which</w:t>
      </w:r>
      <w:r w:rsidRPr="0018483E">
        <w:t xml:space="preserve"> </w:t>
      </w:r>
      <w:r>
        <w:t>the Panel found to demonstrate sufficient substitutability, in accordance with the standa</w:t>
      </w:r>
      <w:r w:rsidR="00267BCB">
        <w:t>rd articulated by the Appellate </w:t>
      </w:r>
      <w:r w:rsidRPr="000B2BB9">
        <w:t>Body in the original proceedings.</w:t>
      </w:r>
      <w:r>
        <w:t xml:space="preserve"> We are also satisfied that the Panel's analyse</w:t>
      </w:r>
      <w:r w:rsidRPr="00F40BF9">
        <w:t xml:space="preserve">s </w:t>
      </w:r>
      <w:r>
        <w:t>identifying the single-aisle</w:t>
      </w:r>
      <w:r w:rsidR="00A35FD0">
        <w:t xml:space="preserve"> LCA</w:t>
      </w:r>
      <w:r>
        <w:t>, twin-aisle</w:t>
      </w:r>
      <w:r w:rsidR="00A35FD0">
        <w:t xml:space="preserve"> LCA</w:t>
      </w:r>
      <w:r>
        <w:t xml:space="preserve">, and VLA product markets reflect a proper reading of the term "market" and </w:t>
      </w:r>
      <w:r w:rsidRPr="000061AF">
        <w:t xml:space="preserve">we do not agree with the </w:t>
      </w:r>
      <w:r>
        <w:t>European Union</w:t>
      </w:r>
      <w:r w:rsidRPr="000061AF">
        <w:t xml:space="preserve"> to the extent that it argues that the Panel erred in its interpretation of the term "market" in </w:t>
      </w:r>
      <w:r>
        <w:t>Article </w:t>
      </w:r>
      <w:r w:rsidRPr="000061AF">
        <w:t xml:space="preserve">6.3 of the </w:t>
      </w:r>
      <w:r>
        <w:t>SCM Agreement.</w:t>
      </w:r>
    </w:p>
    <w:p w:rsidR="00AE4AC1" w:rsidRDefault="00AE4AC1" w:rsidP="00526697">
      <w:pPr>
        <w:pStyle w:val="BodyText"/>
      </w:pPr>
      <w:r>
        <w:t xml:space="preserve">Accordingly, we </w:t>
      </w:r>
      <w:r w:rsidRPr="00E665C2">
        <w:rPr>
          <w:u w:val="single"/>
        </w:rPr>
        <w:t>uphold</w:t>
      </w:r>
      <w:r>
        <w:t xml:space="preserve"> the Panel's </w:t>
      </w:r>
      <w:r w:rsidRPr="00062091">
        <w:t>finding</w:t>
      </w:r>
      <w:r w:rsidR="003B220E">
        <w:t>,</w:t>
      </w:r>
      <w:r w:rsidRPr="00062091">
        <w:t xml:space="preserve"> in paragraph 6.1416 of the Panel Report, that the United States had brought</w:t>
      </w:r>
      <w:r>
        <w:t xml:space="preserve"> its adverse effects claims with respect to appropriately defined product markets for LCA, namely, the global markets for single-aisle LCA, twin-aisle LCA, and VLA.</w:t>
      </w:r>
    </w:p>
    <w:p w:rsidR="00AE4AC1" w:rsidRDefault="00AE4AC1" w:rsidP="00526697">
      <w:pPr>
        <w:pStyle w:val="BodyText"/>
      </w:pPr>
      <w:r>
        <w:t xml:space="preserve">That said, we wish to emphasize that </w:t>
      </w:r>
      <w:r w:rsidR="00A35FD0">
        <w:t xml:space="preserve">the </w:t>
      </w:r>
      <w:r>
        <w:t xml:space="preserve">identification of relevant product markets is </w:t>
      </w:r>
      <w:r w:rsidRPr="00291C95">
        <w:t>a threshold question, the disposition of which informs the subsequent analysis of whether a complainant has established that the effect of a particular subsidy is serious prejudice.</w:t>
      </w:r>
      <w:r>
        <w:t xml:space="preserve"> </w:t>
      </w:r>
      <w:r w:rsidRPr="00291C95">
        <w:t xml:space="preserve">While it may be possible to conduct an analysis of adverse effects and reach meaningful findings of serious prejudice in instances where "all products are not engaged in direct competition for the </w:t>
      </w:r>
      <w:r w:rsidRPr="00291C95">
        <w:rPr>
          <w:iCs/>
        </w:rPr>
        <w:t>same</w:t>
      </w:r>
      <w:r w:rsidRPr="00291C95">
        <w:t xml:space="preserve"> sales or orders – or where the competitive relationship between such products is, at most, indirect or remote"</w:t>
      </w:r>
      <w:r w:rsidRPr="00291C95">
        <w:rPr>
          <w:vertAlign w:val="superscript"/>
        </w:rPr>
        <w:footnoteReference w:id="1495"/>
      </w:r>
      <w:r w:rsidR="003B220E">
        <w:t xml:space="preserve"> – </w:t>
      </w:r>
      <w:r w:rsidRPr="00291C95">
        <w:t>this must</w:t>
      </w:r>
      <w:r w:rsidR="003B220E">
        <w:t>,</w:t>
      </w:r>
      <w:r w:rsidRPr="00291C95">
        <w:t xml:space="preserve"> </w:t>
      </w:r>
      <w:r>
        <w:t>however</w:t>
      </w:r>
      <w:r w:rsidR="003B220E">
        <w:t>,</w:t>
      </w:r>
      <w:r>
        <w:t xml:space="preserve"> </w:t>
      </w:r>
      <w:r w:rsidRPr="00291C95">
        <w:t>"be properly accounted for"</w:t>
      </w:r>
      <w:r>
        <w:t xml:space="preserve"> in the serious prejudice analysis</w:t>
      </w:r>
      <w:r w:rsidRPr="00291C95">
        <w:t>.</w:t>
      </w:r>
      <w:r w:rsidRPr="00291C95">
        <w:rPr>
          <w:vertAlign w:val="superscript"/>
        </w:rPr>
        <w:footnoteReference w:id="1496"/>
      </w:r>
    </w:p>
    <w:p w:rsidR="00C752B3" w:rsidRDefault="00C752B3" w:rsidP="00526697">
      <w:pPr>
        <w:pStyle w:val="Heading3"/>
      </w:pPr>
      <w:bookmarkStart w:id="166" w:name="_Toc514059272"/>
      <w:r>
        <w:t>"Product effects" of LA/MSF subsidies on Airbus LCA</w:t>
      </w:r>
      <w:bookmarkEnd w:id="166"/>
      <w:r>
        <w:t xml:space="preserve"> </w:t>
      </w:r>
    </w:p>
    <w:p w:rsidR="00C752B3" w:rsidRPr="007D3E23" w:rsidRDefault="00C752B3" w:rsidP="00526697">
      <w:pPr>
        <w:pStyle w:val="Heading4"/>
      </w:pPr>
      <w:bookmarkStart w:id="167" w:name="_Toc514059273"/>
      <w:r>
        <w:t>Introduction</w:t>
      </w:r>
      <w:bookmarkEnd w:id="167"/>
    </w:p>
    <w:p w:rsidR="00C752B3" w:rsidRDefault="00C752B3" w:rsidP="00526697">
      <w:pPr>
        <w:pStyle w:val="BodyText"/>
        <w:numPr>
          <w:ilvl w:val="6"/>
          <w:numId w:val="2"/>
        </w:numPr>
      </w:pPr>
      <w:r>
        <w:t xml:space="preserve">As discussed above, in examining the </w:t>
      </w:r>
      <w:r w:rsidRPr="007877D7">
        <w:t xml:space="preserve">causal link between the LA/MSF subsidies and </w:t>
      </w:r>
      <w:r w:rsidR="00A35FD0">
        <w:t xml:space="preserve">the </w:t>
      </w:r>
      <w:r>
        <w:t xml:space="preserve">alleged serious prejudice, the Panel began by reviewing the "product effects" </w:t>
      </w:r>
      <w:r w:rsidR="00D26FEE">
        <w:t xml:space="preserve">of </w:t>
      </w:r>
      <w:r>
        <w:t>the LA/MSF subsidies.</w:t>
      </w:r>
      <w:r>
        <w:rPr>
          <w:rStyle w:val="FootnoteReference"/>
        </w:rPr>
        <w:footnoteReference w:id="1497"/>
      </w:r>
      <w:r>
        <w:t xml:space="preserve"> The Panel found that the pre</w:t>
      </w:r>
      <w:r>
        <w:noBreakHyphen/>
      </w:r>
      <w:r w:rsidRPr="007877D7">
        <w:t>A350XWB LA/MSF subsidies continue to be a genuine and substantial cause of the present-day market presence of the A320, A330, and A380</w:t>
      </w:r>
      <w:r>
        <w:t xml:space="preserve"> families of </w:t>
      </w:r>
      <w:r w:rsidR="00A35FD0">
        <w:t xml:space="preserve">Airbus </w:t>
      </w:r>
      <w:r>
        <w:t>LCA</w:t>
      </w:r>
      <w:r w:rsidRPr="007877D7">
        <w:t>.</w:t>
      </w:r>
      <w:r>
        <w:rPr>
          <w:rStyle w:val="FootnoteReference"/>
        </w:rPr>
        <w:footnoteReference w:id="1498"/>
      </w:r>
      <w:r>
        <w:t xml:space="preserve"> The Panel also found that the aggregated LA/MSF subsidies, with the exception of LA/MSF for the A300 and A310, are a genuine and substantial cause of the </w:t>
      </w:r>
      <w:r w:rsidR="00D26FEE">
        <w:t>market presence</w:t>
      </w:r>
      <w:r>
        <w:t xml:space="preserve"> of the A350XWB.</w:t>
      </w:r>
      <w:r>
        <w:rPr>
          <w:rStyle w:val="FootnoteReference"/>
        </w:rPr>
        <w:footnoteReference w:id="1499"/>
      </w:r>
      <w:r>
        <w:t xml:space="preserve"> </w:t>
      </w:r>
    </w:p>
    <w:p w:rsidR="00C752B3" w:rsidRDefault="00C752B3" w:rsidP="00526697">
      <w:pPr>
        <w:pStyle w:val="BodyText"/>
        <w:numPr>
          <w:ilvl w:val="6"/>
          <w:numId w:val="2"/>
        </w:numPr>
      </w:pPr>
      <w:r>
        <w:t>On appeal, the European Union maintains that the Panel's erroneous interpretation of Article 7.8 of the SCM Agreement "led it to assess, erroneously, adverse effects of withdrawn subsidies"</w:t>
      </w:r>
      <w:r>
        <w:rPr>
          <w:rStyle w:val="FootnoteReference"/>
        </w:rPr>
        <w:footnoteReference w:id="1500"/>
      </w:r>
      <w:r>
        <w:t>, and made its causation assessment "for an overly broad basket of subsidies".</w:t>
      </w:r>
      <w:r>
        <w:rPr>
          <w:rStyle w:val="FootnoteReference"/>
        </w:rPr>
        <w:footnoteReference w:id="1501"/>
      </w:r>
      <w:r>
        <w:t xml:space="preserve"> The European Union further contends that the Panel "compounded" its errors by committing a number of additional errors in its causation analysis.</w:t>
      </w:r>
      <w:r>
        <w:rPr>
          <w:rStyle w:val="FootnoteReference"/>
        </w:rPr>
        <w:footnoteReference w:id="1502"/>
      </w:r>
      <w:r>
        <w:t xml:space="preserve"> With respect to the pre</w:t>
      </w:r>
      <w:r>
        <w:noBreakHyphen/>
        <w:t>A350XWB LA/</w:t>
      </w:r>
      <w:r w:rsidR="00D26FEE">
        <w:t>MS</w:t>
      </w:r>
      <w:r>
        <w:t>F subsidies, the European Union alleges that the Panel erred by relying solely on the original panel's finding that Airbus would not have existed with its current range of product offerings during the original reference period</w:t>
      </w:r>
      <w:r w:rsidR="00A35FD0">
        <w:t xml:space="preserve"> (2001-2006)</w:t>
      </w:r>
      <w:r>
        <w:t>, because Airbus would not h</w:t>
      </w:r>
      <w:r w:rsidR="00251ADE">
        <w:t>ave launched those products "as </w:t>
      </w:r>
      <w:r>
        <w:t xml:space="preserve">and when" it did </w:t>
      </w:r>
      <w:r w:rsidR="00A35FD0">
        <w:t>"</w:t>
      </w:r>
      <w:r>
        <w:t>but for</w:t>
      </w:r>
      <w:r w:rsidR="00A35FD0">
        <w:t>"</w:t>
      </w:r>
      <w:r>
        <w:t xml:space="preserve"> the pre</w:t>
      </w:r>
      <w:r>
        <w:noBreakHyphen/>
        <w:t>A350XWB LA/MSF subsidies.</w:t>
      </w:r>
      <w:r>
        <w:rPr>
          <w:rStyle w:val="FootnoteReference"/>
        </w:rPr>
        <w:footnoteReference w:id="1503"/>
      </w:r>
      <w:r>
        <w:t xml:space="preserve"> According to the European Union, while such a "but for" approach can identify the "necessary" cause of the </w:t>
      </w:r>
      <w:r w:rsidR="00D26FEE">
        <w:t>current</w:t>
      </w:r>
      <w:r>
        <w:t xml:space="preserve"> market presence of Airbus' product offerings</w:t>
      </w:r>
      <w:r>
        <w:rPr>
          <w:rStyle w:val="FootnoteReference"/>
        </w:rPr>
        <w:footnoteReference w:id="1504"/>
      </w:r>
      <w:r>
        <w:t>, it</w:t>
      </w:r>
      <w:r w:rsidR="00A35FD0">
        <w:t xml:space="preserve"> is incapable of determining a </w:t>
      </w:r>
      <w:r>
        <w:t>genuine and substantial cause in this case, due to its failure to account for the passage of time and relevant events during that time, including the expiry of several LA/MSF subsidies and non</w:t>
      </w:r>
      <w:r>
        <w:noBreakHyphen/>
        <w:t xml:space="preserve">subsidized investments in Airbus' A320 and A330 families of </w:t>
      </w:r>
      <w:r w:rsidR="00A35FD0">
        <w:t xml:space="preserve">Airbus </w:t>
      </w:r>
      <w:r>
        <w:t>LCA.</w:t>
      </w:r>
      <w:r>
        <w:rPr>
          <w:rStyle w:val="FootnoteReference"/>
        </w:rPr>
        <w:footnoteReference w:id="1505"/>
      </w:r>
      <w:r>
        <w:t xml:space="preserve"> </w:t>
      </w:r>
    </w:p>
    <w:p w:rsidR="00C752B3" w:rsidRPr="00815056" w:rsidRDefault="00C752B3" w:rsidP="00526697">
      <w:pPr>
        <w:pStyle w:val="BodyText"/>
        <w:numPr>
          <w:ilvl w:val="6"/>
          <w:numId w:val="2"/>
        </w:numPr>
        <w:rPr>
          <w:bCs/>
        </w:rPr>
      </w:pPr>
      <w:r w:rsidRPr="00177E3C">
        <w:rPr>
          <w:color w:val="000000"/>
        </w:rPr>
        <w:t xml:space="preserve">As a preliminary matter, </w:t>
      </w:r>
      <w:r w:rsidRPr="000830CB">
        <w:rPr>
          <w:color w:val="000000"/>
        </w:rPr>
        <w:t>we note that the errors alleged above by the European Union regarding the Panel's findings on the "product effects" of the pre-A350XWB LA/MSF subsidies on the market presence of the A320 and A330 families of</w:t>
      </w:r>
      <w:r w:rsidR="00A35FD0">
        <w:rPr>
          <w:color w:val="000000"/>
        </w:rPr>
        <w:t xml:space="preserve"> Airbus</w:t>
      </w:r>
      <w:r w:rsidRPr="000830CB">
        <w:rPr>
          <w:color w:val="000000"/>
        </w:rPr>
        <w:t xml:space="preserve"> LCA concern primarily the LA/MSF subsidies that had expired </w:t>
      </w:r>
      <w:r w:rsidRPr="00CB050D">
        <w:rPr>
          <w:color w:val="000000"/>
        </w:rPr>
        <w:t>before the end of the implementation period</w:t>
      </w:r>
      <w:r w:rsidRPr="000830CB">
        <w:rPr>
          <w:color w:val="000000"/>
        </w:rPr>
        <w:t xml:space="preserve">, namely, the subsidies for the A300, A310, A320, </w:t>
      </w:r>
      <w:r w:rsidRPr="00534A53">
        <w:rPr>
          <w:color w:val="000000"/>
        </w:rPr>
        <w:t>A330,</w:t>
      </w:r>
      <w:r w:rsidRPr="000830CB">
        <w:rPr>
          <w:color w:val="000000"/>
        </w:rPr>
        <w:t xml:space="preserve"> and A340. In particular, the European Union contends that "</w:t>
      </w:r>
      <w:r w:rsidR="00E80D8D">
        <w:t>the </w:t>
      </w:r>
      <w:r w:rsidRPr="000830CB">
        <w:t>basket of subsidies considered by the Panel included subsidies that were granted more than four decades ago, most of which the Panel itself found</w:t>
      </w:r>
      <w:r>
        <w:t xml:space="preserve"> have since expired</w:t>
      </w:r>
      <w:r w:rsidR="00A35FD0">
        <w:t>.</w:t>
      </w:r>
      <w:r>
        <w:t>"</w:t>
      </w:r>
      <w:r>
        <w:rPr>
          <w:rStyle w:val="FootnoteReference"/>
        </w:rPr>
        <w:footnoteReference w:id="1506"/>
      </w:r>
      <w:r w:rsidR="00E80D8D">
        <w:t xml:space="preserve"> In the European </w:t>
      </w:r>
      <w:r>
        <w:t>Union's view, "{c}onsistent with Article 7.8 of the SCM Agreement, the compliance Panel's task was, therefore, to examine if the passage of time, and events that have occurred during that time, including the expiry of the subsidies and massive non</w:t>
      </w:r>
      <w:r>
        <w:noBreakHyphen/>
        <w:t>subsidised post-launch investments, have resulted in 'remov{al} of the adverse effects' found to exist in the original proceedings."</w:t>
      </w:r>
      <w:r>
        <w:rPr>
          <w:rStyle w:val="FootnoteReference"/>
        </w:rPr>
        <w:footnoteReference w:id="1507"/>
      </w:r>
    </w:p>
    <w:p w:rsidR="00C752B3" w:rsidRPr="00DA7E42" w:rsidRDefault="00C752B3" w:rsidP="00526697">
      <w:pPr>
        <w:pStyle w:val="BodyText"/>
        <w:numPr>
          <w:ilvl w:val="6"/>
          <w:numId w:val="2"/>
        </w:numPr>
      </w:pPr>
      <w:r w:rsidRPr="00145239">
        <w:t xml:space="preserve">In section </w:t>
      </w:r>
      <w:r w:rsidR="00036088" w:rsidRPr="00145239">
        <w:t>5.4.2</w:t>
      </w:r>
      <w:r w:rsidRPr="00145239">
        <w:t xml:space="preserve"> </w:t>
      </w:r>
      <w:r w:rsidR="00036088" w:rsidRPr="00145239">
        <w:t>of this Report</w:t>
      </w:r>
      <w:r w:rsidRPr="00145239">
        <w:t xml:space="preserve">, we have found that the Panel erred in its interpretation of Article 7.8 of the SCM Agreement in finding that the European Union has a compliance obligation in respect of subsidies that had expired </w:t>
      </w:r>
      <w:r w:rsidRPr="00145239">
        <w:rPr>
          <w:bCs/>
        </w:rPr>
        <w:t>prior to the adoption of the panel and Appellate Body reports in the original proceedings</w:t>
      </w:r>
      <w:r w:rsidR="00A35FD0" w:rsidRPr="00145239">
        <w:rPr>
          <w:bCs/>
        </w:rPr>
        <w:t xml:space="preserve"> – </w:t>
      </w:r>
      <w:r w:rsidRPr="00145239">
        <w:rPr>
          <w:bCs/>
        </w:rPr>
        <w:t>i.e. before the beginning of the implementation period.</w:t>
      </w:r>
      <w:r w:rsidR="00E80D8D" w:rsidRPr="00145239">
        <w:t xml:space="preserve"> In </w:t>
      </w:r>
      <w:r w:rsidRPr="00145239">
        <w:t xml:space="preserve">addressing the European Union's consequential appeal in section </w:t>
      </w:r>
      <w:r w:rsidR="00036088" w:rsidRPr="00145239">
        <w:t>5.5 of this Report</w:t>
      </w:r>
      <w:r w:rsidRPr="00145239">
        <w:t xml:space="preserve">, we have therefore highlighted that </w:t>
      </w:r>
      <w:r w:rsidRPr="00145239">
        <w:rPr>
          <w:bCs/>
        </w:rPr>
        <w:t xml:space="preserve">the pertinent question for purposes of these compliance proceedings is whether the subsidies granted or maintained by the </w:t>
      </w:r>
      <w:r w:rsidR="00A35FD0" w:rsidRPr="00145239">
        <w:rPr>
          <w:bCs/>
        </w:rPr>
        <w:t>European Union – i.e.</w:t>
      </w:r>
      <w:r w:rsidRPr="00145239">
        <w:rPr>
          <w:bCs/>
        </w:rPr>
        <w:t xml:space="preserve"> </w:t>
      </w:r>
      <w:r w:rsidR="00D26FEE" w:rsidRPr="00145239">
        <w:rPr>
          <w:bCs/>
        </w:rPr>
        <w:t>the</w:t>
      </w:r>
      <w:r w:rsidR="00D26FEE">
        <w:rPr>
          <w:bCs/>
        </w:rPr>
        <w:t xml:space="preserve"> </w:t>
      </w:r>
      <w:r>
        <w:rPr>
          <w:bCs/>
        </w:rPr>
        <w:t>subsidies existing</w:t>
      </w:r>
      <w:r w:rsidRPr="00217356">
        <w:rPr>
          <w:bCs/>
        </w:rPr>
        <w:t xml:space="preserve"> in the </w:t>
      </w:r>
      <w:r>
        <w:rPr>
          <w:bCs/>
        </w:rPr>
        <w:t>post</w:t>
      </w:r>
      <w:r>
        <w:rPr>
          <w:bCs/>
        </w:rPr>
        <w:noBreakHyphen/>
      </w:r>
      <w:r w:rsidRPr="00217356">
        <w:rPr>
          <w:bCs/>
        </w:rPr>
        <w:t>implementation period</w:t>
      </w:r>
      <w:r w:rsidR="00A35FD0">
        <w:rPr>
          <w:bCs/>
        </w:rPr>
        <w:t xml:space="preserve"> (after 1 December 2011)</w:t>
      </w:r>
      <w:r w:rsidR="00B65E07">
        <w:rPr>
          <w:bCs/>
        </w:rPr>
        <w:t xml:space="preserve"> –</w:t>
      </w:r>
      <w:r w:rsidR="006A3819">
        <w:rPr>
          <w:bCs/>
        </w:rPr>
        <w:t xml:space="preserve"> </w:t>
      </w:r>
      <w:r w:rsidRPr="00217356">
        <w:rPr>
          <w:bCs/>
        </w:rPr>
        <w:t>cause adverse effects.</w:t>
      </w:r>
      <w:r>
        <w:rPr>
          <w:bCs/>
        </w:rPr>
        <w:t xml:space="preserve"> Thus, t</w:t>
      </w:r>
      <w:r>
        <w:rPr>
          <w:color w:val="000000"/>
        </w:rPr>
        <w:t xml:space="preserve">o the extent that some subsidies have expired, a further examination of the removal of the effects of those subsidies would not be necessary. In other words, </w:t>
      </w:r>
      <w:r>
        <w:rPr>
          <w:bCs/>
        </w:rPr>
        <w:t xml:space="preserve">it is not pertinent to examine whether the Panel's findings on the "product effects" of the </w:t>
      </w:r>
      <w:r w:rsidRPr="00420CED">
        <w:rPr>
          <w:bCs/>
          <w:i/>
        </w:rPr>
        <w:t>expired</w:t>
      </w:r>
      <w:r>
        <w:rPr>
          <w:bCs/>
        </w:rPr>
        <w:t xml:space="preserve"> subsidies can support its ultimate conclusion of non</w:t>
      </w:r>
      <w:r>
        <w:rPr>
          <w:bCs/>
        </w:rPr>
        <w:noBreakHyphen/>
        <w:t>compliance under Article 7.8 of the SCM Agreement.</w:t>
      </w:r>
      <w:r w:rsidRPr="00815056">
        <w:rPr>
          <w:bCs/>
        </w:rPr>
        <w:t xml:space="preserve"> </w:t>
      </w:r>
      <w:r w:rsidRPr="00177E3C">
        <w:rPr>
          <w:bCs/>
        </w:rPr>
        <w:t xml:space="preserve">In line with this view, </w:t>
      </w:r>
      <w:r>
        <w:rPr>
          <w:color w:val="000000"/>
        </w:rPr>
        <w:t xml:space="preserve">we </w:t>
      </w:r>
      <w:r w:rsidRPr="00177E3C">
        <w:rPr>
          <w:color w:val="000000"/>
        </w:rPr>
        <w:t xml:space="preserve">do not consider it necessary to </w:t>
      </w:r>
      <w:r>
        <w:rPr>
          <w:color w:val="000000"/>
        </w:rPr>
        <w:t>make separate findings on</w:t>
      </w:r>
      <w:r w:rsidRPr="00177E3C">
        <w:rPr>
          <w:color w:val="000000"/>
        </w:rPr>
        <w:t xml:space="preserve"> the </w:t>
      </w:r>
      <w:r>
        <w:rPr>
          <w:color w:val="000000"/>
        </w:rPr>
        <w:t>European Union's appeal</w:t>
      </w:r>
      <w:r w:rsidRPr="00177E3C">
        <w:rPr>
          <w:color w:val="000000"/>
        </w:rPr>
        <w:t xml:space="preserve"> insofar as </w:t>
      </w:r>
      <w:r>
        <w:rPr>
          <w:color w:val="000000"/>
        </w:rPr>
        <w:t>it</w:t>
      </w:r>
      <w:r w:rsidRPr="00177E3C">
        <w:rPr>
          <w:color w:val="000000"/>
        </w:rPr>
        <w:t xml:space="preserve"> concern</w:t>
      </w:r>
      <w:r>
        <w:rPr>
          <w:color w:val="000000"/>
        </w:rPr>
        <w:t>s</w:t>
      </w:r>
      <w:r w:rsidRPr="00177E3C">
        <w:rPr>
          <w:color w:val="000000"/>
        </w:rPr>
        <w:t xml:space="preserve"> the Panel's</w:t>
      </w:r>
      <w:r>
        <w:rPr>
          <w:color w:val="000000"/>
        </w:rPr>
        <w:t xml:space="preserve"> alleged failure to assess properly the passage of time and the events during that time in reaching its</w:t>
      </w:r>
      <w:r w:rsidRPr="00177E3C">
        <w:rPr>
          <w:color w:val="000000"/>
        </w:rPr>
        <w:t xml:space="preserve"> findings on the </w:t>
      </w:r>
      <w:r>
        <w:rPr>
          <w:color w:val="000000"/>
        </w:rPr>
        <w:t>"product effects" of</w:t>
      </w:r>
      <w:r w:rsidRPr="00177E3C">
        <w:rPr>
          <w:color w:val="000000"/>
        </w:rPr>
        <w:t xml:space="preserve"> the expired subsidies.</w:t>
      </w:r>
      <w:r>
        <w:rPr>
          <w:rStyle w:val="FootnoteReference"/>
          <w:color w:val="000000"/>
        </w:rPr>
        <w:footnoteReference w:id="1508"/>
      </w:r>
      <w:r>
        <w:rPr>
          <w:color w:val="000000"/>
        </w:rPr>
        <w:t xml:space="preserve"> </w:t>
      </w:r>
    </w:p>
    <w:p w:rsidR="00C752B3" w:rsidRDefault="00C752B3" w:rsidP="00526697">
      <w:pPr>
        <w:pStyle w:val="BodyText"/>
        <w:numPr>
          <w:ilvl w:val="6"/>
          <w:numId w:val="2"/>
        </w:numPr>
      </w:pPr>
      <w:r>
        <w:t xml:space="preserve">Furthermore, we have noted above that </w:t>
      </w:r>
      <w:r w:rsidRPr="00A50A6D">
        <w:t xml:space="preserve">whether the Panel had a sufficient basis for its </w:t>
      </w:r>
      <w:r>
        <w:t>ultimate conclusions</w:t>
      </w:r>
      <w:r w:rsidRPr="00A50A6D">
        <w:t xml:space="preserve"> is a question that can only be answered following a careful review of the Panel's reasoning and analysis</w:t>
      </w:r>
      <w:r>
        <w:t xml:space="preserve"> as it relates to the LA/MSF subsidies </w:t>
      </w:r>
      <w:r w:rsidRPr="005027BE">
        <w:rPr>
          <w:i/>
        </w:rPr>
        <w:t>existing</w:t>
      </w:r>
      <w:r>
        <w:t xml:space="preserve"> in the post</w:t>
      </w:r>
      <w:r>
        <w:noBreakHyphen/>
        <w:t>implementation period</w:t>
      </w:r>
      <w:r w:rsidRPr="00A50A6D">
        <w:t xml:space="preserve">. </w:t>
      </w:r>
      <w:r>
        <w:t>Therefore, in addressing the errors alleged by the European Union in respect of the Panel's adverse effects analysis</w:t>
      </w:r>
      <w:r>
        <w:rPr>
          <w:rStyle w:val="FootnoteReference"/>
        </w:rPr>
        <w:footnoteReference w:id="1509"/>
      </w:r>
      <w:r>
        <w:t xml:space="preserve">, we will focus our review on the Panel's analysis and findings regarding the effects of subsidies </w:t>
      </w:r>
      <w:r w:rsidRPr="00AD728F">
        <w:t>existing in the post-implementation period</w:t>
      </w:r>
      <w:r>
        <w:t xml:space="preserve">, and the European Union's appeal thereof, to determine whether those findings support the Panel's ultimate conclusion regarding serious prejudice. </w:t>
      </w:r>
    </w:p>
    <w:p w:rsidR="00C752B3" w:rsidRPr="004F5E32" w:rsidRDefault="00C752B3" w:rsidP="00526697">
      <w:pPr>
        <w:pStyle w:val="BodyText"/>
        <w:numPr>
          <w:ilvl w:val="6"/>
          <w:numId w:val="2"/>
        </w:numPr>
        <w:rPr>
          <w:bCs/>
        </w:rPr>
      </w:pPr>
      <w:r w:rsidRPr="004F5E32">
        <w:rPr>
          <w:color w:val="000000"/>
        </w:rPr>
        <w:t xml:space="preserve">With respect to the </w:t>
      </w:r>
      <w:r w:rsidR="00D26FEE">
        <w:rPr>
          <w:color w:val="000000"/>
        </w:rPr>
        <w:t>A380 LA/MSF subsidies</w:t>
      </w:r>
      <w:r w:rsidRPr="00D5488A">
        <w:rPr>
          <w:color w:val="000000"/>
        </w:rPr>
        <w:t>, which had not expired, t</w:t>
      </w:r>
      <w:r w:rsidRPr="00D5488A">
        <w:t xml:space="preserve">he European Union claims on appeal that, to the extent </w:t>
      </w:r>
      <w:r w:rsidR="00A35FD0">
        <w:t xml:space="preserve">that </w:t>
      </w:r>
      <w:r w:rsidRPr="00D5488A">
        <w:t>the Panel found that</w:t>
      </w:r>
      <w:r w:rsidR="00A35FD0">
        <w:t xml:space="preserve"> the</w:t>
      </w:r>
      <w:r w:rsidRPr="00D5488A">
        <w:t xml:space="preserve"> A380 LA/MSF</w:t>
      </w:r>
      <w:r w:rsidR="00D26FEE">
        <w:t xml:space="preserve"> subsidies</w:t>
      </w:r>
      <w:r w:rsidRPr="00D5488A">
        <w:t xml:space="preserve"> resulted in "</w:t>
      </w:r>
      <w:r w:rsidR="00A35FD0">
        <w:t>direct</w:t>
      </w:r>
      <w:r w:rsidRPr="00D5488A">
        <w:t xml:space="preserve"> effects" on the A380, such a finding lacks sufficient evidentiary basis.</w:t>
      </w:r>
      <w:r w:rsidRPr="00D5488A">
        <w:rPr>
          <w:rStyle w:val="FootnoteReference"/>
        </w:rPr>
        <w:footnoteReference w:id="1510"/>
      </w:r>
      <w:r w:rsidRPr="00D5488A">
        <w:t xml:space="preserve"> As to the Panel's finding of the "product effects" of LA/MSF </w:t>
      </w:r>
      <w:r w:rsidR="0018136C">
        <w:t xml:space="preserve">subsidies </w:t>
      </w:r>
      <w:r w:rsidRPr="00D5488A">
        <w:t>on</w:t>
      </w:r>
      <w:r>
        <w:t xml:space="preserve"> the A350XWB</w:t>
      </w:r>
      <w:r w:rsidRPr="00261A6D">
        <w:t xml:space="preserve">, the </w:t>
      </w:r>
      <w:r>
        <w:t>European Union</w:t>
      </w:r>
      <w:r w:rsidRPr="00261A6D">
        <w:t xml:space="preserve"> alleges</w:t>
      </w:r>
      <w:r>
        <w:t xml:space="preserve">, first, that the Panel's finding that </w:t>
      </w:r>
      <w:r w:rsidR="00A35FD0">
        <w:t xml:space="preserve">the </w:t>
      </w:r>
      <w:r>
        <w:t xml:space="preserve">A350XWB LA/MSF </w:t>
      </w:r>
      <w:r w:rsidR="0018136C">
        <w:t xml:space="preserve">subsidies </w:t>
      </w:r>
      <w:r>
        <w:t>had "</w:t>
      </w:r>
      <w:r w:rsidR="00A35FD0">
        <w:t>direct</w:t>
      </w:r>
      <w:r>
        <w:t xml:space="preserve"> effects" on the launch of </w:t>
      </w:r>
      <w:r w:rsidR="0018136C">
        <w:t xml:space="preserve">the </w:t>
      </w:r>
      <w:r>
        <w:t>A350XWB lacks sufficient evidentiary basis</w:t>
      </w:r>
      <w:r>
        <w:rPr>
          <w:rStyle w:val="FootnoteReference"/>
        </w:rPr>
        <w:footnoteReference w:id="1511"/>
      </w:r>
      <w:r>
        <w:t>, and is contradicted by certain other findings made by the Panel.</w:t>
      </w:r>
      <w:r>
        <w:rPr>
          <w:rStyle w:val="FootnoteReference"/>
        </w:rPr>
        <w:footnoteReference w:id="1512"/>
      </w:r>
      <w:r>
        <w:t xml:space="preserve"> Second, the European Union claims that the Panel erred in finding that </w:t>
      </w:r>
      <w:r w:rsidR="00A35FD0">
        <w:t xml:space="preserve">the </w:t>
      </w:r>
      <w:r>
        <w:t>A380 LA/MSF had "</w:t>
      </w:r>
      <w:r w:rsidR="00A35FD0">
        <w:t>indirect</w:t>
      </w:r>
      <w:r>
        <w:t xml:space="preserve"> effects" on </w:t>
      </w:r>
      <w:r w:rsidRPr="004F5E32">
        <w:rPr>
          <w:szCs w:val="18"/>
        </w:rPr>
        <w:t xml:space="preserve">Airbus' ability to launch </w:t>
      </w:r>
      <w:r>
        <w:t>the A350XWB.</w:t>
      </w:r>
      <w:r>
        <w:rPr>
          <w:rStyle w:val="FootnoteReference"/>
        </w:rPr>
        <w:footnoteReference w:id="1513"/>
      </w:r>
      <w:r>
        <w:t xml:space="preserve"> </w:t>
      </w:r>
    </w:p>
    <w:p w:rsidR="00C752B3" w:rsidRPr="004F5E32" w:rsidRDefault="00C752B3" w:rsidP="00526697">
      <w:pPr>
        <w:pStyle w:val="BodyText"/>
        <w:numPr>
          <w:ilvl w:val="6"/>
          <w:numId w:val="2"/>
        </w:numPr>
        <w:rPr>
          <w:bCs/>
        </w:rPr>
      </w:pPr>
      <w:r>
        <w:t>In carrying out our analysis of these claims, we bear in mind</w:t>
      </w:r>
      <w:r w:rsidRPr="004F5E32">
        <w:rPr>
          <w:bCs/>
        </w:rPr>
        <w:t xml:space="preserve"> the findings from the original proceedings concerning the effects </w:t>
      </w:r>
      <w:r w:rsidR="00A35FD0">
        <w:rPr>
          <w:bCs/>
        </w:rPr>
        <w:t xml:space="preserve">of the </w:t>
      </w:r>
      <w:r w:rsidRPr="004F5E32">
        <w:rPr>
          <w:bCs/>
        </w:rPr>
        <w:t xml:space="preserve">LA/MSF subsidies on Airbus' ability to launch </w:t>
      </w:r>
      <w:r w:rsidR="00A35FD0">
        <w:rPr>
          <w:bCs/>
        </w:rPr>
        <w:t xml:space="preserve">the </w:t>
      </w:r>
      <w:r w:rsidRPr="004F5E32">
        <w:rPr>
          <w:bCs/>
        </w:rPr>
        <w:t>LCA products at issue in the original proceedings as and when it did.</w:t>
      </w:r>
      <w:r w:rsidRPr="00E779A0">
        <w:t xml:space="preserve"> </w:t>
      </w:r>
      <w:r w:rsidRPr="004F5E32">
        <w:rPr>
          <w:bCs/>
        </w:rPr>
        <w:t>As noted, the</w:t>
      </w:r>
      <w:r>
        <w:t xml:space="preserve"> expired subsidies are relevant for our review of the Panel's findings </w:t>
      </w:r>
      <w:r w:rsidRPr="004F5E32">
        <w:rPr>
          <w:i/>
        </w:rPr>
        <w:t>not</w:t>
      </w:r>
      <w:r>
        <w:t xml:space="preserve"> to determine whether </w:t>
      </w:r>
      <w:r w:rsidRPr="004F5E32">
        <w:rPr>
          <w:i/>
        </w:rPr>
        <w:t>they</w:t>
      </w:r>
      <w:r>
        <w:t xml:space="preserve"> cause "</w:t>
      </w:r>
      <w:r w:rsidR="00251ADE">
        <w:t>adverse </w:t>
      </w:r>
      <w:r>
        <w:t>effects", but only as part of a matrix of analysis that seeks to understand the effects of the subsidies existing in the post</w:t>
      </w:r>
      <w:r>
        <w:noBreakHyphen/>
        <w:t xml:space="preserve">implementation period. </w:t>
      </w:r>
      <w:r w:rsidRPr="00E779A0">
        <w:t xml:space="preserve">This is particularly the case given </w:t>
      </w:r>
      <w:r w:rsidR="00C94315">
        <w:t>that, as </w:t>
      </w:r>
      <w:r>
        <w:t xml:space="preserve">further discussed below, the subsidies at issue in these compliance proceedings operate along the same causal pathway as </w:t>
      </w:r>
      <w:r w:rsidRPr="00E779A0">
        <w:t xml:space="preserve">the subsidies </w:t>
      </w:r>
      <w:r>
        <w:t xml:space="preserve">that </w:t>
      </w:r>
      <w:r w:rsidRPr="00E779A0">
        <w:t xml:space="preserve">were found to have caused adverse </w:t>
      </w:r>
      <w:r>
        <w:t xml:space="preserve">effects </w:t>
      </w:r>
      <w:r w:rsidRPr="00E779A0">
        <w:t>in the original proceedings</w:t>
      </w:r>
      <w:r>
        <w:t>.</w:t>
      </w:r>
      <w:r>
        <w:rPr>
          <w:rStyle w:val="FootnoteReference"/>
        </w:rPr>
        <w:footnoteReference w:id="1514"/>
      </w:r>
      <w:r w:rsidRPr="00E779A0">
        <w:t xml:space="preserve"> </w:t>
      </w:r>
    </w:p>
    <w:p w:rsidR="00C752B3" w:rsidRDefault="00C752B3" w:rsidP="00526697">
      <w:pPr>
        <w:pStyle w:val="BodyText"/>
        <w:numPr>
          <w:ilvl w:val="6"/>
          <w:numId w:val="2"/>
        </w:numPr>
      </w:pPr>
      <w:r>
        <w:t xml:space="preserve">With these considerations in mind, we begin by providing an overview of the Panel's findings on the "product effects" of LA/MSF subsidies. Thereafter, we recall briefly the causation standard under Articles 5 and 6 of the SCM Agreement, as explained by the Appellate Body in past disputes. We then describe </w:t>
      </w:r>
      <w:r w:rsidRPr="00AD728F">
        <w:t>the relevant</w:t>
      </w:r>
      <w:r>
        <w:t xml:space="preserve"> findings from the original proceedings concerning the "product effects" of the pre</w:t>
      </w:r>
      <w:r>
        <w:noBreakHyphen/>
        <w:t>A350XWB LA/MSF, and review the extent to which the findings from the original proceedings inform</w:t>
      </w:r>
      <w:r w:rsidR="00A35FD0">
        <w:t>ed</w:t>
      </w:r>
      <w:r>
        <w:t xml:space="preserve"> the Panel's findings on adverse effects in these compliance proceedings. Finally, we proceed to review the European Union's appeal of the Panel's findings concerning the "product effects" of the LA/MSF subsidies exist</w:t>
      </w:r>
      <w:r w:rsidR="00A35FD0">
        <w:t>ing</w:t>
      </w:r>
      <w:r>
        <w:t xml:space="preserve"> in the post-implementation period, namely, its findings regarding the A380 and A350XWB LA/MSF subsidies.</w:t>
      </w:r>
      <w:r w:rsidRPr="00D36B95">
        <w:t xml:space="preserve"> </w:t>
      </w:r>
    </w:p>
    <w:p w:rsidR="00C752B3" w:rsidRDefault="00C752B3" w:rsidP="00526697">
      <w:pPr>
        <w:pStyle w:val="Heading4"/>
      </w:pPr>
      <w:bookmarkStart w:id="168" w:name="_Toc514059274"/>
      <w:r>
        <w:t>Summary of Panel findings</w:t>
      </w:r>
      <w:bookmarkEnd w:id="168"/>
    </w:p>
    <w:p w:rsidR="00C752B3" w:rsidRDefault="00C752B3" w:rsidP="00526697">
      <w:pPr>
        <w:pStyle w:val="BodyText"/>
        <w:numPr>
          <w:ilvl w:val="6"/>
          <w:numId w:val="2"/>
        </w:numPr>
      </w:pPr>
      <w:bookmarkStart w:id="169" w:name="_Toc491432997"/>
      <w:r>
        <w:t>The Panel explained at the outset of its analysis that the effects of the relevant subsidies should be determined by conducting a unitary counterfactual analysis, which "entails comparing the actual market situation that is before the adjudicator with the market situation that would have existed in the absence of the challenged subsidies".</w:t>
      </w:r>
      <w:r>
        <w:rPr>
          <w:rStyle w:val="FootnoteReference"/>
        </w:rPr>
        <w:footnoteReference w:id="1515"/>
      </w:r>
      <w:r>
        <w:t xml:space="preserve"> The Panel agreed with the United States that the </w:t>
      </w:r>
      <w:r w:rsidRPr="00483E75">
        <w:t>starting point</w:t>
      </w:r>
      <w:r>
        <w:t xml:space="preserve"> of the counterfactual analysis in th</w:t>
      </w:r>
      <w:r w:rsidR="00A35FD0">
        <w:t>ese</w:t>
      </w:r>
      <w:r>
        <w:t xml:space="preserve"> compliance proceeding</w:t>
      </w:r>
      <w:r w:rsidR="00A35FD0">
        <w:t>s</w:t>
      </w:r>
      <w:r>
        <w:t xml:space="preserve"> should be the counterfactual that formed the basis of the original panel and Appellate Body findings on the effects of the pre</w:t>
      </w:r>
      <w:r>
        <w:noBreakHyphen/>
        <w:t>A350XWB LA/MSF subsidies in the 2001-2006 period.</w:t>
      </w:r>
      <w:r>
        <w:rPr>
          <w:rStyle w:val="FootnoteReference"/>
        </w:rPr>
        <w:footnoteReference w:id="1516"/>
      </w:r>
      <w:r w:rsidRPr="000A23BF">
        <w:t xml:space="preserve"> </w:t>
      </w:r>
      <w:r>
        <w:t xml:space="preserve">Moreover, the counterfactual analysis in this dispute requires consideration of the extent to which "the design, structure and operation of the challenged LA/MSF subsidies" </w:t>
      </w:r>
      <w:r w:rsidR="0018136C">
        <w:t>are</w:t>
      </w:r>
      <w:r>
        <w:t xml:space="preserve"> such that the same or similar effects found to exist in the 2001-2006 reference period continue to be present </w:t>
      </w:r>
      <w:r w:rsidRPr="00175C5C">
        <w:rPr>
          <w:i/>
        </w:rPr>
        <w:t xml:space="preserve">in the </w:t>
      </w:r>
      <w:r>
        <w:rPr>
          <w:i/>
        </w:rPr>
        <w:t>post</w:t>
      </w:r>
      <w:r>
        <w:rPr>
          <w:i/>
        </w:rPr>
        <w:noBreakHyphen/>
      </w:r>
      <w:r w:rsidRPr="00175C5C">
        <w:rPr>
          <w:i/>
        </w:rPr>
        <w:t>implementation period</w:t>
      </w:r>
      <w:r w:rsidR="00B2156D">
        <w:rPr>
          <w:i/>
        </w:rPr>
        <w:t xml:space="preserve"> </w:t>
      </w:r>
      <w:r w:rsidR="00B2156D">
        <w:t>(i.e. after 1 December 2011)</w:t>
      </w:r>
      <w:r>
        <w:t>.</w:t>
      </w:r>
      <w:r>
        <w:rPr>
          <w:rStyle w:val="FootnoteReference"/>
        </w:rPr>
        <w:footnoteReference w:id="1517"/>
      </w:r>
      <w:r>
        <w:t xml:space="preserve"> Having recalled the relevant findings from the original proceedings</w:t>
      </w:r>
      <w:r>
        <w:rPr>
          <w:rStyle w:val="FootnoteReference"/>
        </w:rPr>
        <w:footnoteReference w:id="1518"/>
      </w:r>
      <w:r>
        <w:t>,</w:t>
      </w:r>
      <w:r w:rsidRPr="000A23BF">
        <w:t xml:space="preserve"> </w:t>
      </w:r>
      <w:r>
        <w:t xml:space="preserve">the Panel considered that the effects of the </w:t>
      </w:r>
      <w:r>
        <w:rPr>
          <w:i/>
        </w:rPr>
        <w:t>pre</w:t>
      </w:r>
      <w:r>
        <w:rPr>
          <w:i/>
        </w:rPr>
        <w:noBreakHyphen/>
      </w:r>
      <w:r w:rsidRPr="00175C5C">
        <w:rPr>
          <w:i/>
        </w:rPr>
        <w:t>A350XWB LA/MSF</w:t>
      </w:r>
      <w:r>
        <w:t xml:space="preserve"> </w:t>
      </w:r>
      <w:r w:rsidRPr="00175C5C">
        <w:rPr>
          <w:i/>
        </w:rPr>
        <w:t>subsidies</w:t>
      </w:r>
      <w:r>
        <w:t xml:space="preserve"> in the 2001</w:t>
      </w:r>
      <w:r>
        <w:noBreakHyphen/>
        <w:t>2006 period may be characterized as having been indispensable to:</w:t>
      </w:r>
    </w:p>
    <w:p w:rsidR="00C752B3" w:rsidRDefault="00C752B3" w:rsidP="00526697">
      <w:pPr>
        <w:pStyle w:val="BodyText2"/>
      </w:pPr>
      <w:r>
        <w:t xml:space="preserve">the </w:t>
      </w:r>
      <w:r>
        <w:rPr>
          <w:i/>
        </w:rPr>
        <w:t>very existence</w:t>
      </w:r>
      <w:r>
        <w:t xml:space="preserve"> of Airbus, implying that in the absence of the pre</w:t>
      </w:r>
      <w:r>
        <w:noBreakHyphen/>
        <w:t>A350XWB LA/MSF subsidies, Airbus would not have been present on the mar</w:t>
      </w:r>
      <w:r w:rsidR="00C94315">
        <w:t>ket (the "plausible" scenario); </w:t>
      </w:r>
      <w:r>
        <w:t>or</w:t>
      </w:r>
    </w:p>
    <w:p w:rsidR="00C752B3" w:rsidRDefault="00C752B3" w:rsidP="00526697">
      <w:pPr>
        <w:pStyle w:val="BodyText2"/>
      </w:pPr>
      <w:r>
        <w:t xml:space="preserve">the ability of Airbus to offer </w:t>
      </w:r>
      <w:r>
        <w:rPr>
          <w:i/>
        </w:rPr>
        <w:t>a full range of competitive LCA</w:t>
      </w:r>
      <w:r w:rsidRPr="00B2156D">
        <w:t xml:space="preserve">, </w:t>
      </w:r>
      <w:r>
        <w:t>implying that in the absence of the pre</w:t>
      </w:r>
      <w:r>
        <w:noBreakHyphen/>
        <w:t>A350XWB LA/MSF subsidies, a "much weaker" Airbus "with at best a more limited offering of LCA models"</w:t>
      </w:r>
      <w:r>
        <w:rPr>
          <w:rStyle w:val="FootnoteReference"/>
        </w:rPr>
        <w:footnoteReference w:id="1519"/>
      </w:r>
      <w:r>
        <w:t xml:space="preserve"> would have </w:t>
      </w:r>
      <w:r w:rsidR="00C94315">
        <w:t>been present on the market (the </w:t>
      </w:r>
      <w:r>
        <w:t>"unlikely" scenario).</w:t>
      </w:r>
      <w:r>
        <w:rPr>
          <w:rStyle w:val="FootnoteReference"/>
        </w:rPr>
        <w:footnoteReference w:id="1520"/>
      </w:r>
    </w:p>
    <w:p w:rsidR="00C752B3" w:rsidRDefault="00C752B3" w:rsidP="00526697">
      <w:pPr>
        <w:pStyle w:val="BodyText"/>
        <w:numPr>
          <w:ilvl w:val="6"/>
          <w:numId w:val="2"/>
        </w:numPr>
      </w:pPr>
      <w:r>
        <w:t xml:space="preserve">Having reviewed the findings from the original proceedings, the Panel explained that it would </w:t>
      </w:r>
      <w:r w:rsidRPr="00791658">
        <w:t xml:space="preserve">begin </w:t>
      </w:r>
      <w:r>
        <w:t>its</w:t>
      </w:r>
      <w:r w:rsidRPr="00791658">
        <w:t xml:space="preserve"> evaluation by first determining the effects of the </w:t>
      </w:r>
      <w:r>
        <w:t>pre</w:t>
      </w:r>
      <w:r>
        <w:noBreakHyphen/>
      </w:r>
      <w:r w:rsidRPr="00791658">
        <w:t>A350XWB LA/MSF</w:t>
      </w:r>
      <w:r>
        <w:t xml:space="preserve"> subsidies</w:t>
      </w:r>
      <w:r w:rsidRPr="00791658">
        <w:t xml:space="preserve"> in the </w:t>
      </w:r>
      <w:r>
        <w:t>post</w:t>
      </w:r>
      <w:r>
        <w:noBreakHyphen/>
      </w:r>
      <w:r w:rsidRPr="00791658">
        <w:t>implementation period</w:t>
      </w:r>
      <w:r>
        <w:t xml:space="preserve"> on the A320, A330, and A380 families</w:t>
      </w:r>
      <w:r w:rsidR="00B2156D">
        <w:t xml:space="preserve"> of Airbus LCA</w:t>
      </w:r>
      <w:r w:rsidRPr="00791658">
        <w:t xml:space="preserve">, before examining the extent to which </w:t>
      </w:r>
      <w:r w:rsidRPr="006E65AE">
        <w:rPr>
          <w:i/>
        </w:rPr>
        <w:t>all</w:t>
      </w:r>
      <w:r w:rsidR="00B2156D">
        <w:t xml:space="preserve"> of</w:t>
      </w:r>
      <w:r w:rsidRPr="006E65AE">
        <w:rPr>
          <w:i/>
        </w:rPr>
        <w:t xml:space="preserve"> </w:t>
      </w:r>
      <w:r w:rsidRPr="00791658">
        <w:t xml:space="preserve">the challenged LA/MSF subsidies (including the </w:t>
      </w:r>
      <w:r>
        <w:t>pre</w:t>
      </w:r>
      <w:r>
        <w:noBreakHyphen/>
      </w:r>
      <w:r w:rsidRPr="00791658">
        <w:t xml:space="preserve">A350XWB </w:t>
      </w:r>
      <w:r>
        <w:t xml:space="preserve">and the A350XWB </w:t>
      </w:r>
      <w:r w:rsidRPr="00791658">
        <w:t xml:space="preserve">LA/MSF subsidies) </w:t>
      </w:r>
      <w:r w:rsidR="00B2156D">
        <w:t>allowed</w:t>
      </w:r>
      <w:r w:rsidRPr="00791658">
        <w:t xml:space="preserve"> Airbus to launch and bring to market the A350XWB as and when it did</w:t>
      </w:r>
      <w:r>
        <w:t>.</w:t>
      </w:r>
    </w:p>
    <w:p w:rsidR="00C752B3" w:rsidRDefault="00C752B3" w:rsidP="00526697">
      <w:pPr>
        <w:pStyle w:val="Heading5"/>
        <w:numPr>
          <w:ilvl w:val="4"/>
          <w:numId w:val="24"/>
        </w:numPr>
      </w:pPr>
      <w:bookmarkStart w:id="170" w:name="_Toc514059275"/>
      <w:r>
        <w:t>Findings on the "product effects</w:t>
      </w:r>
      <w:r w:rsidR="00B2156D">
        <w:t>"</w:t>
      </w:r>
      <w:r>
        <w:t xml:space="preserve"> of pre</w:t>
      </w:r>
      <w:r>
        <w:noBreakHyphen/>
        <w:t xml:space="preserve">A350XWB LA/MSF </w:t>
      </w:r>
      <w:r w:rsidR="00D65D60">
        <w:t xml:space="preserve">subsidies </w:t>
      </w:r>
      <w:r>
        <w:t xml:space="preserve">on </w:t>
      </w:r>
      <w:r w:rsidR="0018136C">
        <w:t xml:space="preserve">the </w:t>
      </w:r>
      <w:r>
        <w:t>A320, A330, and A380</w:t>
      </w:r>
      <w:bookmarkEnd w:id="170"/>
      <w:r w:rsidRPr="00791658">
        <w:t xml:space="preserve"> </w:t>
      </w:r>
      <w:bookmarkEnd w:id="169"/>
    </w:p>
    <w:p w:rsidR="00C752B3" w:rsidRDefault="00C752B3" w:rsidP="00526697">
      <w:pPr>
        <w:pStyle w:val="BodyText"/>
        <w:numPr>
          <w:ilvl w:val="6"/>
          <w:numId w:val="2"/>
        </w:numPr>
      </w:pPr>
      <w:r>
        <w:t>The Panel considered that in order for the United States to succeed in its argument that the pre</w:t>
      </w:r>
      <w:r>
        <w:noBreakHyphen/>
        <w:t xml:space="preserve">A350XWB LA/MSF subsidies have essentially the same "product effects" </w:t>
      </w:r>
      <w:r w:rsidRPr="00CB050D">
        <w:rPr>
          <w:i/>
        </w:rPr>
        <w:t xml:space="preserve">today </w:t>
      </w:r>
      <w:r>
        <w:t xml:space="preserve">as they did </w:t>
      </w:r>
      <w:r w:rsidR="00B2156D">
        <w:t>at the time of</w:t>
      </w:r>
      <w:r>
        <w:t xml:space="preserve"> the original proceedings, the United States would have to demonstrate that: (i) a non</w:t>
      </w:r>
      <w:r>
        <w:noBreakHyphen/>
        <w:t>subsidized Airbus would not exist today; or (ii) any non</w:t>
      </w:r>
      <w:r>
        <w:noBreakHyphen/>
        <w:t xml:space="preserve">subsidized Airbus </w:t>
      </w:r>
      <w:r w:rsidR="00B2156D">
        <w:t>company</w:t>
      </w:r>
      <w:r>
        <w:t xml:space="preserve"> coming into existence after the end of 2006 would not have developed and brought to market the A320, A330, and A380 (or a comparable range of LCA products), within a period of approximately five to nine years thereafter.</w:t>
      </w:r>
      <w:r>
        <w:rPr>
          <w:rStyle w:val="FootnoteReference"/>
        </w:rPr>
        <w:footnoteReference w:id="1521"/>
      </w:r>
      <w:r>
        <w:t xml:space="preserve"> Noting the </w:t>
      </w:r>
      <w:r w:rsidRPr="00F17325">
        <w:t xml:space="preserve">complexities of LCA production and the dynamics and history of competition in the LCA industry, </w:t>
      </w:r>
      <w:r>
        <w:t xml:space="preserve">the Panel found it difficult </w:t>
      </w:r>
      <w:r w:rsidRPr="00F17325">
        <w:t xml:space="preserve">to </w:t>
      </w:r>
      <w:r>
        <w:t>see how any non</w:t>
      </w:r>
      <w:r>
        <w:noBreakHyphen/>
      </w:r>
      <w:r w:rsidRPr="00F17325">
        <w:t xml:space="preserve">subsidized Airbus </w:t>
      </w:r>
      <w:r w:rsidR="00B2156D">
        <w:t>company</w:t>
      </w:r>
      <w:r w:rsidRPr="00F17325">
        <w:t xml:space="preserve"> coming into existence after the end of 2006 could have developed a full range of the same or comparable LCA within such a short space of time.</w:t>
      </w:r>
      <w:r>
        <w:rPr>
          <w:rStyle w:val="FootnoteReference"/>
        </w:rPr>
        <w:footnoteReference w:id="1522"/>
      </w:r>
      <w:r>
        <w:t xml:space="preserve"> </w:t>
      </w:r>
    </w:p>
    <w:p w:rsidR="00C752B3" w:rsidRDefault="00C752B3" w:rsidP="00526697">
      <w:pPr>
        <w:pStyle w:val="BodyText"/>
        <w:numPr>
          <w:ilvl w:val="6"/>
          <w:numId w:val="2"/>
        </w:numPr>
      </w:pPr>
      <w:r>
        <w:t>The Panel noted that the European Union did not argue that, in the absence of the challenged LA/MSF subsidies, Airbus would have come into existence at any moment after 2006 and developed a full range of LCA by 1 December 2011 (or any tim</w:t>
      </w:r>
      <w:r w:rsidR="00C94315">
        <w:t>e thereafter), nor that a "much </w:t>
      </w:r>
      <w:r>
        <w:t>weaker" non</w:t>
      </w:r>
      <w:r>
        <w:noBreakHyphen/>
        <w:t>subsidized Airbus, with "at best a more limited offering of LCA models" during the 2001-2006 period, could have developed the same or comparable range of LCA that it offers today.</w:t>
      </w:r>
      <w:r>
        <w:rPr>
          <w:rStyle w:val="FootnoteReference"/>
        </w:rPr>
        <w:footnoteReference w:id="1523"/>
      </w:r>
      <w:r>
        <w:t xml:space="preserve"> Instead, the Panel noted that the European Union's "core argument" was that any "product effects" found to exist up to the end of 2006 have today either: (i) dissipated over time; or (ii) been significantly attenuated by a number of non</w:t>
      </w:r>
      <w:r>
        <w:noBreakHyphen/>
        <w:t>subsidized Airbus investments in the A320 and A330.</w:t>
      </w:r>
      <w:r>
        <w:rPr>
          <w:rStyle w:val="FootnoteReference"/>
        </w:rPr>
        <w:footnoteReference w:id="1524"/>
      </w:r>
      <w:r>
        <w:t xml:space="preserve"> The Panel </w:t>
      </w:r>
      <w:r w:rsidR="00B2156D">
        <w:t xml:space="preserve">then </w:t>
      </w:r>
      <w:r>
        <w:t>turned to address these arguments.</w:t>
      </w:r>
      <w:r>
        <w:rPr>
          <w:rStyle w:val="FootnoteReference"/>
        </w:rPr>
        <w:footnoteReference w:id="1525"/>
      </w:r>
    </w:p>
    <w:p w:rsidR="00C752B3" w:rsidRDefault="00C752B3" w:rsidP="00526697">
      <w:pPr>
        <w:pStyle w:val="BodyText"/>
        <w:numPr>
          <w:ilvl w:val="6"/>
          <w:numId w:val="2"/>
        </w:numPr>
      </w:pPr>
      <w:r>
        <w:t>In respect of the first argument, recalling the Appellate Body's recognition that the "life" of a subsidy will not necessarily define the duration of its effects</w:t>
      </w:r>
      <w:r>
        <w:rPr>
          <w:rStyle w:val="FootnoteReference"/>
        </w:rPr>
        <w:footnoteReference w:id="1526"/>
      </w:r>
      <w:r>
        <w:t xml:space="preserve">, the Panel considered that the extent to which the effects of a subsidy will dissipate with the passage of time and eventually come to an end will be </w:t>
      </w:r>
      <w:r w:rsidRPr="0018136C">
        <w:t>a fact-specific</w:t>
      </w:r>
      <w:r>
        <w:t xml:space="preserve"> matter that may be </w:t>
      </w:r>
      <w:r w:rsidRPr="00D111A4">
        <w:t>informed, but not necessarily defined,</w:t>
      </w:r>
      <w:r>
        <w:t xml:space="preserve"> by how the "life" of that subsidy has evolved over time.</w:t>
      </w:r>
      <w:r>
        <w:rPr>
          <w:rStyle w:val="FootnoteReference"/>
        </w:rPr>
        <w:footnoteReference w:id="1527"/>
      </w:r>
      <w:r>
        <w:t xml:space="preserve"> The Panel noted that the </w:t>
      </w:r>
      <w:r w:rsidRPr="00326AAC">
        <w:rPr>
          <w:i/>
        </w:rPr>
        <w:t xml:space="preserve">ex ante </w:t>
      </w:r>
      <w:r w:rsidR="00F5081C">
        <w:t>"</w:t>
      </w:r>
      <w:r>
        <w:t>lives</w:t>
      </w:r>
      <w:r w:rsidR="00F5081C">
        <w:t>"</w:t>
      </w:r>
      <w:r>
        <w:t xml:space="preserve"> of all of</w:t>
      </w:r>
      <w:r w:rsidRPr="00326AAC">
        <w:rPr>
          <w:i/>
        </w:rPr>
        <w:t xml:space="preserve"> </w:t>
      </w:r>
      <w:r>
        <w:t>the A300, A310, and A320 LA/MSF subsidies "came to an e</w:t>
      </w:r>
      <w:r w:rsidR="00F5081C">
        <w:t>nd before the conclusion of the </w:t>
      </w:r>
      <w:r>
        <w:t xml:space="preserve">2001-2006 reference period", but the effects of those subsidies, together with the effects of all </w:t>
      </w:r>
      <w:r w:rsidR="00B2156D">
        <w:t xml:space="preserve">of the </w:t>
      </w:r>
      <w:r>
        <w:t>other challenged subsidies, were found in the original proceedings to be a "genuine and substantial" cause of serious prejudice.</w:t>
      </w:r>
      <w:r>
        <w:rPr>
          <w:rStyle w:val="FootnoteReference"/>
        </w:rPr>
        <w:footnoteReference w:id="1528"/>
      </w:r>
      <w:r>
        <w:t xml:space="preserve"> The Panel saw no reason why the logic underpinning those findings should not be equally applicable for the purpose of determining the extent to which the effects of the challenged LA/MSF subsidies in these compliance proceedings have dissipated and come to an end with the passage of time.</w:t>
      </w:r>
      <w:r>
        <w:rPr>
          <w:rStyle w:val="FootnoteReference"/>
        </w:rPr>
        <w:footnoteReference w:id="1529"/>
      </w:r>
      <w:r>
        <w:t xml:space="preserve"> </w:t>
      </w:r>
    </w:p>
    <w:p w:rsidR="00C752B3" w:rsidRDefault="00C752B3" w:rsidP="00526697">
      <w:pPr>
        <w:pStyle w:val="BodyText"/>
        <w:numPr>
          <w:ilvl w:val="6"/>
          <w:numId w:val="2"/>
        </w:numPr>
      </w:pPr>
      <w:r w:rsidRPr="0079308F">
        <w:t xml:space="preserve">The Panel recalled that the causation findings in the original proceedings were based on the existence of two types of </w:t>
      </w:r>
      <w:r>
        <w:t xml:space="preserve">"product </w:t>
      </w:r>
      <w:r w:rsidRPr="0079308F">
        <w:t>effects</w:t>
      </w:r>
      <w:r>
        <w:t>"</w:t>
      </w:r>
      <w:r w:rsidRPr="0079308F">
        <w:t xml:space="preserve"> attributable to the LA/MSF subsidies: (</w:t>
      </w:r>
      <w:r w:rsidR="00F5081C">
        <w:t>i</w:t>
      </w:r>
      <w:r w:rsidR="00251ADE">
        <w:t>) </w:t>
      </w:r>
      <w:r>
        <w:t>"</w:t>
      </w:r>
      <w:r w:rsidR="00251ADE">
        <w:t>direct </w:t>
      </w:r>
      <w:r w:rsidRPr="00C62846">
        <w:t>effects</w:t>
      </w:r>
      <w:r>
        <w:t>"</w:t>
      </w:r>
      <w:r w:rsidRPr="0079308F">
        <w:t xml:space="preserve"> – namely, the effects of any given LA/MSF </w:t>
      </w:r>
      <w:r>
        <w:t>subsidy</w:t>
      </w:r>
      <w:r w:rsidRPr="0079308F">
        <w:t xml:space="preserve"> on Airbus' ability to launch and bring to market the particular model of Airbus LCA specifically </w:t>
      </w:r>
      <w:r w:rsidR="00C94315">
        <w:t>funded by that LA/MSF loan; and </w:t>
      </w:r>
      <w:r w:rsidRPr="0079308F">
        <w:t>(</w:t>
      </w:r>
      <w:r w:rsidR="00F5081C">
        <w:t>ii) </w:t>
      </w:r>
      <w:r>
        <w:t>"</w:t>
      </w:r>
      <w:r w:rsidRPr="00C62846">
        <w:t>indirect effects</w:t>
      </w:r>
      <w:r>
        <w:t>"</w:t>
      </w:r>
      <w:r w:rsidRPr="0079308F">
        <w:t xml:space="preserve"> – namely, the "learning", scope, and financial effects that any given LA/MSF </w:t>
      </w:r>
      <w:r>
        <w:t>subsidy</w:t>
      </w:r>
      <w:r w:rsidRPr="0079308F">
        <w:t xml:space="preserve"> provided </w:t>
      </w:r>
      <w:r w:rsidR="00F5081C">
        <w:t xml:space="preserve">specifically </w:t>
      </w:r>
      <w:r w:rsidRPr="0079308F">
        <w:t xml:space="preserve">for one model of LCA may have on </w:t>
      </w:r>
      <w:r w:rsidR="00B2156D">
        <w:t>Airbus' ability</w:t>
      </w:r>
      <w:r w:rsidRPr="0079308F">
        <w:t xml:space="preserve"> to launch and bring to market another model of LCA.</w:t>
      </w:r>
      <w:r>
        <w:rPr>
          <w:rStyle w:val="FootnoteReference"/>
        </w:rPr>
        <w:footnoteReference w:id="1530"/>
      </w:r>
      <w:r>
        <w:t xml:space="preserve"> The Panel considered that the duration of </w:t>
      </w:r>
      <w:r w:rsidRPr="00F5081C">
        <w:t xml:space="preserve">the </w:t>
      </w:r>
      <w:r w:rsidR="00F5081C">
        <w:t>"</w:t>
      </w:r>
      <w:r w:rsidRPr="00F5081C">
        <w:t>direct effects</w:t>
      </w:r>
      <w:r w:rsidR="00F5081C">
        <w:t>"</w:t>
      </w:r>
      <w:r>
        <w:t xml:space="preserve"> of any particular LA/MSF subsidy should be determined on the basis of the extent to which those effects support the market presence of the specifically funded aircraft over time. Where the facts show that the very existence and ongoing market presence of a particular aircraft programme is dependent upon</w:t>
      </w:r>
      <w:r w:rsidRPr="00CB050D">
        <w:rPr>
          <w:i/>
        </w:rPr>
        <w:t xml:space="preserve"> </w:t>
      </w:r>
      <w:r>
        <w:t xml:space="preserve">specifically designated LA/MSF subsidy, then as a matter of logic, the Panel considered it likely that the </w:t>
      </w:r>
      <w:r w:rsidR="00F5081C">
        <w:t>"</w:t>
      </w:r>
      <w:r w:rsidRPr="00F5081C">
        <w:t>direct effects</w:t>
      </w:r>
      <w:r w:rsidR="00F5081C">
        <w:t>"</w:t>
      </w:r>
      <w:r>
        <w:t xml:space="preserve"> of that LA/MSF subsidy </w:t>
      </w:r>
      <w:r w:rsidR="00B2156D">
        <w:t>would</w:t>
      </w:r>
      <w:r>
        <w:t xml:space="preserve"> continue to be felt throughout the marketing life of the specifically funded aircraft.</w:t>
      </w:r>
      <w:r>
        <w:rPr>
          <w:rStyle w:val="FootnoteReference"/>
        </w:rPr>
        <w:footnoteReference w:id="1531"/>
      </w:r>
      <w:r>
        <w:t xml:space="preserve"> As for the </w:t>
      </w:r>
      <w:r w:rsidR="00F5081C">
        <w:t>"</w:t>
      </w:r>
      <w:r w:rsidRPr="00F5081C">
        <w:t>indirect effects</w:t>
      </w:r>
      <w:r w:rsidR="00F5081C">
        <w:t>"</w:t>
      </w:r>
      <w:r>
        <w:t xml:space="preserve"> of LA/MSF subsidies,</w:t>
      </w:r>
      <w:r w:rsidRPr="00E21FDC">
        <w:t xml:space="preserve"> </w:t>
      </w:r>
      <w:r>
        <w:t xml:space="preserve">the Panel was of the view that the duration of such </w:t>
      </w:r>
      <w:r w:rsidR="00F5081C">
        <w:t>"</w:t>
      </w:r>
      <w:r>
        <w:t>indirect effects</w:t>
      </w:r>
      <w:r w:rsidR="00F5081C">
        <w:t>"</w:t>
      </w:r>
      <w:r>
        <w:t xml:space="preserve"> should be "determined on the basis of the extent to which the 'learning', scope and financial effects associated with any given LA/MSF measure provided for the purpose of one specific model of LCA support the market presence of one or more other models of LCA over time".</w:t>
      </w:r>
      <w:r>
        <w:rPr>
          <w:rStyle w:val="FootnoteReference"/>
        </w:rPr>
        <w:footnoteReference w:id="1532"/>
      </w:r>
      <w:r>
        <w:t xml:space="preserve"> In sum, the Panel stated that it did </w:t>
      </w:r>
      <w:r w:rsidR="00B2156D">
        <w:t>"</w:t>
      </w:r>
      <w:r>
        <w:t xml:space="preserve">not see how, as a factual matter, the </w:t>
      </w:r>
      <w:r w:rsidRPr="00CB050D">
        <w:rPr>
          <w:i/>
        </w:rPr>
        <w:t>mere passage of time</w:t>
      </w:r>
      <w:r>
        <w:t xml:space="preserve"> could have brought the relationship of </w:t>
      </w:r>
      <w:r w:rsidR="00F5081C">
        <w:t>'</w:t>
      </w:r>
      <w:r>
        <w:t>genuine and substantial</w:t>
      </w:r>
      <w:r w:rsidR="00F5081C">
        <w:t>'</w:t>
      </w:r>
      <w:r>
        <w:t xml:space="preserve"> cause and effect between the pre</w:t>
      </w:r>
      <w:r>
        <w:noBreakHyphen/>
        <w:t>A350XWB LA/MSF subsidies and the A320, A330 and A380 to an end while those aircraft continue to be sold.</w:t>
      </w:r>
      <w:r w:rsidR="00B2156D">
        <w:t>"</w:t>
      </w:r>
      <w:r>
        <w:rPr>
          <w:rStyle w:val="FootnoteReference"/>
        </w:rPr>
        <w:footnoteReference w:id="1533"/>
      </w:r>
      <w:r>
        <w:t xml:space="preserve"> </w:t>
      </w:r>
    </w:p>
    <w:p w:rsidR="00C752B3" w:rsidRDefault="00C752B3" w:rsidP="00526697">
      <w:pPr>
        <w:pStyle w:val="BodyText"/>
        <w:numPr>
          <w:ilvl w:val="6"/>
          <w:numId w:val="2"/>
        </w:numPr>
      </w:pPr>
      <w:r>
        <w:t>Turning to the alleged non</w:t>
      </w:r>
      <w:r>
        <w:noBreakHyphen/>
        <w:t>subsidized investments</w:t>
      </w:r>
      <w:r w:rsidR="00F5081C">
        <w:t xml:space="preserve"> in the A320 and A330 families of LCA</w:t>
      </w:r>
      <w:r>
        <w:t>, the Panel had "no doubt" that the post</w:t>
      </w:r>
      <w:r>
        <w:noBreakHyphen/>
        <w:t>launch investments described by the European Union were significant and instrumental to Airbus' ability to upgrade the technologies and production processes associated with the original A320 and A330 programmes in a way that enabled Airbus to sustain their competitiveness.</w:t>
      </w:r>
      <w:r>
        <w:rPr>
          <w:rStyle w:val="FootnoteReference"/>
        </w:rPr>
        <w:footnoteReference w:id="1534"/>
      </w:r>
      <w:r>
        <w:t xml:space="preserve"> Nonetheless, the </w:t>
      </w:r>
      <w:r w:rsidRPr="00A97EF5">
        <w:t xml:space="preserve">Panel recalled that, pursuant to the two "plausible" counterfactual scenarios, the effects of the </w:t>
      </w:r>
      <w:r>
        <w:t>pre</w:t>
      </w:r>
      <w:r>
        <w:noBreakHyphen/>
      </w:r>
      <w:r w:rsidRPr="00A97EF5">
        <w:t xml:space="preserve">A350XWB LA/MSF subsidies were found to explain </w:t>
      </w:r>
      <w:r>
        <w:t>"</w:t>
      </w:r>
      <w:r w:rsidRPr="00A97EF5">
        <w:t>the very existence of Airbus in the 2001-2006 period</w:t>
      </w:r>
      <w:r>
        <w:t>"</w:t>
      </w:r>
      <w:r w:rsidRPr="00A97EF5">
        <w:t>.</w:t>
      </w:r>
      <w:r>
        <w:rPr>
          <w:rStyle w:val="FootnoteReference"/>
        </w:rPr>
        <w:footnoteReference w:id="1535"/>
      </w:r>
      <w:r w:rsidRPr="00A97EF5">
        <w:t xml:space="preserve"> </w:t>
      </w:r>
      <w:r>
        <w:t xml:space="preserve">The Panel reasoned that, </w:t>
      </w:r>
      <w:r w:rsidR="00B2156D">
        <w:t>because</w:t>
      </w:r>
      <w:r w:rsidRPr="00A97EF5">
        <w:t xml:space="preserve"> a significant part of Airbus' </w:t>
      </w:r>
      <w:r>
        <w:t>post</w:t>
      </w:r>
      <w:r>
        <w:noBreakHyphen/>
      </w:r>
      <w:r w:rsidRPr="00A97EF5">
        <w:t xml:space="preserve">launch investments took place </w:t>
      </w:r>
      <w:r w:rsidRPr="00326AAC">
        <w:rPr>
          <w:i/>
        </w:rPr>
        <w:t>before</w:t>
      </w:r>
      <w:r w:rsidRPr="00A97EF5">
        <w:t xml:space="preserve"> the end of 2006, </w:t>
      </w:r>
      <w:r>
        <w:t>"</w:t>
      </w:r>
      <w:r w:rsidR="00F5081C" w:rsidRPr="00F5081C">
        <w:t>it</w:t>
      </w:r>
      <w:r w:rsidR="00F5081C">
        <w:t> </w:t>
      </w:r>
      <w:r w:rsidRPr="00F5081C">
        <w:t>must</w:t>
      </w:r>
      <w:r w:rsidRPr="00A97EF5">
        <w:t xml:space="preserve"> logically follow that they too could not have been undertaken in the absence of the effects of the challenged LA/MSF subsidies.</w:t>
      </w:r>
      <w:r>
        <w:t>"</w:t>
      </w:r>
      <w:r>
        <w:rPr>
          <w:rStyle w:val="FootnoteReference"/>
        </w:rPr>
        <w:footnoteReference w:id="1536"/>
      </w:r>
      <w:r w:rsidRPr="00A97EF5">
        <w:t xml:space="preserve"> </w:t>
      </w:r>
      <w:r>
        <w:t>In the Panel's view, the same was true with respect to the post</w:t>
      </w:r>
      <w:r>
        <w:noBreakHyphen/>
        <w:t xml:space="preserve">launch investments the European Union identified as having taken place </w:t>
      </w:r>
      <w:r w:rsidRPr="00326AAC">
        <w:rPr>
          <w:i/>
        </w:rPr>
        <w:t>after</w:t>
      </w:r>
      <w:r w:rsidR="00F5081C">
        <w:t xml:space="preserve"> the end of </w:t>
      </w:r>
      <w:r>
        <w:t>2006. The Panel considered it difficult to contemplate how a non</w:t>
      </w:r>
      <w:r>
        <w:noBreakHyphen/>
        <w:t>subsidized Airbus entering the LCA market in 2007 (at the earliest) would have been able to develop the technical know-how and have the financial strength to launch and bring to market two aircraft types comparable to those with respect to which Airbus decided to make the post</w:t>
      </w:r>
      <w:r>
        <w:noBreakHyphen/>
        <w:t>2006 investments.</w:t>
      </w:r>
      <w:r>
        <w:rPr>
          <w:rStyle w:val="FootnoteReference"/>
        </w:rPr>
        <w:footnoteReference w:id="1537"/>
      </w:r>
      <w:r>
        <w:t xml:space="preserve"> The Panel therefore found that the </w:t>
      </w:r>
      <w:r w:rsidR="00F5081C">
        <w:t>"</w:t>
      </w:r>
      <w:r>
        <w:t>direct</w:t>
      </w:r>
      <w:r w:rsidR="00413A0B">
        <w:t xml:space="preserve"> effects</w:t>
      </w:r>
      <w:r w:rsidR="00F5081C">
        <w:t>"</w:t>
      </w:r>
      <w:r>
        <w:t xml:space="preserve"> and </w:t>
      </w:r>
      <w:r w:rsidR="00F5081C">
        <w:t>"</w:t>
      </w:r>
      <w:r>
        <w:t>indirect effects</w:t>
      </w:r>
      <w:r w:rsidR="00F5081C">
        <w:t>"</w:t>
      </w:r>
      <w:r>
        <w:t xml:space="preserve"> of the pre</w:t>
      </w:r>
      <w:r>
        <w:noBreakHyphen/>
        <w:t>A350XWB LA/MSF subsidies continued to be a "genuine and substantial" cause of the market presence of the current versions of the A320 and A330 families</w:t>
      </w:r>
      <w:r w:rsidR="00B2156D">
        <w:t xml:space="preserve"> of Airbus LCA</w:t>
      </w:r>
      <w:r>
        <w:t>, although they were</w:t>
      </w:r>
      <w:r w:rsidRPr="002648FC">
        <w:t xml:space="preserve"> </w:t>
      </w:r>
      <w:r>
        <w:t>not the only cause.</w:t>
      </w:r>
      <w:r>
        <w:rPr>
          <w:rStyle w:val="FootnoteReference"/>
        </w:rPr>
        <w:footnoteReference w:id="1538"/>
      </w:r>
      <w:r>
        <w:t xml:space="preserve"> </w:t>
      </w:r>
    </w:p>
    <w:p w:rsidR="00C752B3" w:rsidRPr="000E2C3C" w:rsidRDefault="00C752B3" w:rsidP="00526697">
      <w:pPr>
        <w:pStyle w:val="BodyText"/>
        <w:numPr>
          <w:ilvl w:val="6"/>
          <w:numId w:val="2"/>
        </w:numPr>
      </w:pPr>
      <w:r>
        <w:t>In conclusion, the Panel was not convinced that the relevant arguments and evidence before it "demonstrate</w:t>
      </w:r>
      <w:r w:rsidR="00B2156D">
        <w:t>{d}</w:t>
      </w:r>
      <w:r>
        <w:t xml:space="preserve"> that the mere passage of time or the few events which the European Union ha</w:t>
      </w:r>
      <w:r w:rsidR="00B2156D">
        <w:t>{d}</w:t>
      </w:r>
      <w:r>
        <w:t xml:space="preserve"> identified to have taken place since the beginning of 2007 (or even before then), ha</w:t>
      </w:r>
      <w:r w:rsidR="00B2156D">
        <w:t>{d}</w:t>
      </w:r>
      <w:r>
        <w:t xml:space="preserve"> materially eroded the causal link that was found to exist in the original proceeding up until the end of 2006".</w:t>
      </w:r>
      <w:r>
        <w:rPr>
          <w:rStyle w:val="FootnoteReference"/>
        </w:rPr>
        <w:footnoteReference w:id="1539"/>
      </w:r>
      <w:r>
        <w:t xml:space="preserve"> </w:t>
      </w:r>
      <w:r w:rsidRPr="000E2C3C">
        <w:t xml:space="preserve">In the Panel's view, the </w:t>
      </w:r>
      <w:r>
        <w:t>European Union</w:t>
      </w:r>
      <w:r w:rsidRPr="000E2C3C">
        <w:t xml:space="preserve">'s arguments and evidence concerning the passage of time and </w:t>
      </w:r>
      <w:r>
        <w:t>post</w:t>
      </w:r>
      <w:r>
        <w:noBreakHyphen/>
      </w:r>
      <w:r w:rsidRPr="000E2C3C">
        <w:t>launch investments were "factually unpersuasive".</w:t>
      </w:r>
      <w:r>
        <w:rPr>
          <w:rStyle w:val="FootnoteReference"/>
        </w:rPr>
        <w:footnoteReference w:id="1540"/>
      </w:r>
      <w:r w:rsidRPr="000E2C3C">
        <w:t xml:space="preserve"> Consequently, the Panel found that the </w:t>
      </w:r>
      <w:r w:rsidR="00F5081C">
        <w:t>"</w:t>
      </w:r>
      <w:r w:rsidRPr="000E2C3C">
        <w:t>direct</w:t>
      </w:r>
      <w:r w:rsidR="00413A0B">
        <w:t xml:space="preserve"> effects</w:t>
      </w:r>
      <w:r w:rsidR="00F5081C">
        <w:t>"</w:t>
      </w:r>
      <w:r w:rsidRPr="000E2C3C">
        <w:t xml:space="preserve"> and </w:t>
      </w:r>
      <w:r w:rsidR="00F5081C">
        <w:t>"</w:t>
      </w:r>
      <w:r w:rsidRPr="000E2C3C">
        <w:t>indirect effects</w:t>
      </w:r>
      <w:r w:rsidR="00F5081C">
        <w:t>"</w:t>
      </w:r>
      <w:r w:rsidRPr="000E2C3C">
        <w:t xml:space="preserve"> of the </w:t>
      </w:r>
      <w:r>
        <w:t>pre</w:t>
      </w:r>
      <w:r>
        <w:noBreakHyphen/>
      </w:r>
      <w:r w:rsidRPr="000E2C3C">
        <w:t>A350XWB LA/MSF subsidies continue to be a genuine and substantial cause of the present-day market presence of the A320, A330</w:t>
      </w:r>
      <w:r w:rsidR="00F5081C">
        <w:t>,</w:t>
      </w:r>
      <w:r w:rsidRPr="000E2C3C">
        <w:t xml:space="preserve"> and A380 families </w:t>
      </w:r>
      <w:r w:rsidR="00B2156D">
        <w:t>of Airbus LCA. In other words,</w:t>
      </w:r>
      <w:r w:rsidRPr="000E2C3C">
        <w:t xml:space="preserve"> in the absence of the </w:t>
      </w:r>
      <w:r>
        <w:t>pre</w:t>
      </w:r>
      <w:r>
        <w:noBreakHyphen/>
      </w:r>
      <w:r w:rsidRPr="000E2C3C">
        <w:t>A350XWB LA/MSF subsidies, Airbus would not be selling th</w:t>
      </w:r>
      <w:r w:rsidR="00B2156D">
        <w:t>e</w:t>
      </w:r>
      <w:r w:rsidRPr="000E2C3C">
        <w:t>se aircraft today.</w:t>
      </w:r>
      <w:r>
        <w:rPr>
          <w:rStyle w:val="FootnoteReference"/>
        </w:rPr>
        <w:footnoteReference w:id="1541"/>
      </w:r>
    </w:p>
    <w:p w:rsidR="00C752B3" w:rsidRPr="000E2C3C" w:rsidRDefault="00C752B3" w:rsidP="00526697">
      <w:pPr>
        <w:pStyle w:val="Heading5"/>
      </w:pPr>
      <w:bookmarkStart w:id="171" w:name="_Ref499649998"/>
      <w:bookmarkStart w:id="172" w:name="_Toc514059276"/>
      <w:r w:rsidRPr="000E2C3C">
        <w:t>Findings on the "product effects</w:t>
      </w:r>
      <w:r>
        <w:t>"</w:t>
      </w:r>
      <w:r w:rsidRPr="000E2C3C">
        <w:t xml:space="preserve"> of </w:t>
      </w:r>
      <w:r w:rsidR="00B2156D">
        <w:t xml:space="preserve">the </w:t>
      </w:r>
      <w:r w:rsidRPr="000E2C3C">
        <w:t xml:space="preserve">challenged LA/MSF subsidies on </w:t>
      </w:r>
      <w:r w:rsidR="00B2156D">
        <w:t>the </w:t>
      </w:r>
      <w:r w:rsidRPr="000E2C3C">
        <w:t>A350XWB</w:t>
      </w:r>
      <w:bookmarkEnd w:id="171"/>
      <w:bookmarkEnd w:id="172"/>
    </w:p>
    <w:p w:rsidR="00C752B3" w:rsidRPr="000E2C3C" w:rsidRDefault="00C752B3" w:rsidP="00526697">
      <w:pPr>
        <w:pStyle w:val="BodyText"/>
        <w:numPr>
          <w:ilvl w:val="6"/>
          <w:numId w:val="2"/>
        </w:numPr>
      </w:pPr>
      <w:r w:rsidRPr="000E2C3C">
        <w:t xml:space="preserve">With regard to the A350XWB, the Panel sought to determine whether Airbus could have launched the A350XWB </w:t>
      </w:r>
      <w:r w:rsidRPr="000E2C3C">
        <w:rPr>
          <w:i/>
        </w:rPr>
        <w:t>as and when it did</w:t>
      </w:r>
      <w:r w:rsidRPr="000E2C3C">
        <w:t xml:space="preserve"> in December 2006 in the absence of the "individual and/or combined impact" of: (i) the "direct effects" of A350XWB LA/MSF subsidies; and (ii)</w:t>
      </w:r>
      <w:r>
        <w:t> </w:t>
      </w:r>
      <w:r w:rsidRPr="000E2C3C">
        <w:t>the</w:t>
      </w:r>
      <w:r w:rsidR="00251ADE">
        <w:t> </w:t>
      </w:r>
      <w:r w:rsidRPr="000E2C3C">
        <w:t xml:space="preserve">"indirect effects" of the </w:t>
      </w:r>
      <w:r>
        <w:t>pre</w:t>
      </w:r>
      <w:r>
        <w:noBreakHyphen/>
      </w:r>
      <w:r w:rsidRPr="000E2C3C">
        <w:t>A350XWB LA/MSF subsidies.</w:t>
      </w:r>
      <w:r>
        <w:rPr>
          <w:rStyle w:val="FootnoteReference"/>
        </w:rPr>
        <w:footnoteReference w:id="1542"/>
      </w:r>
      <w:r w:rsidRPr="000E2C3C">
        <w:t xml:space="preserve"> In </w:t>
      </w:r>
      <w:r w:rsidR="00B2156D">
        <w:t>its analysis</w:t>
      </w:r>
      <w:r w:rsidRPr="000E2C3C">
        <w:t xml:space="preserve">, the Panel </w:t>
      </w:r>
      <w:r w:rsidR="00B2156D">
        <w:t>used</w:t>
      </w:r>
      <w:r w:rsidRPr="0049080C">
        <w:t xml:space="preserve"> the two "unlikely" counterfactual scenarios</w:t>
      </w:r>
      <w:r w:rsidRPr="000E2C3C">
        <w:t xml:space="preserve"> from the original proceedings as the starting point</w:t>
      </w:r>
      <w:r>
        <w:rPr>
          <w:rStyle w:val="FootnoteReference"/>
        </w:rPr>
        <w:footnoteReference w:id="1543"/>
      </w:r>
      <w:r w:rsidRPr="000E2C3C">
        <w:t>, having concluded that, under the two "plausible" counterfactual scenarios adopted in the original proceedings, "there {was} no doubt that the A350XWB could not have been launched and brought to market in the absence of LA/MSF</w:t>
      </w:r>
      <w:r w:rsidR="00B2156D">
        <w:t>.</w:t>
      </w:r>
      <w:r w:rsidRPr="000E2C3C">
        <w:t>"</w:t>
      </w:r>
      <w:r>
        <w:rPr>
          <w:rStyle w:val="FootnoteReference"/>
        </w:rPr>
        <w:footnoteReference w:id="1544"/>
      </w:r>
      <w:r w:rsidRPr="000E2C3C">
        <w:t xml:space="preserve"> </w:t>
      </w:r>
    </w:p>
    <w:p w:rsidR="00C752B3" w:rsidRDefault="00C752B3" w:rsidP="00526697">
      <w:pPr>
        <w:pStyle w:val="BodyText"/>
        <w:numPr>
          <w:ilvl w:val="6"/>
          <w:numId w:val="2"/>
        </w:numPr>
      </w:pPr>
      <w:r w:rsidRPr="000E2C3C">
        <w:t xml:space="preserve">The parties' arguments before the Panel focused on the extent to which the </w:t>
      </w:r>
      <w:r w:rsidRPr="000E2C3C">
        <w:rPr>
          <w:i/>
        </w:rPr>
        <w:t>subsidized</w:t>
      </w:r>
      <w:r>
        <w:t xml:space="preserve"> Airbus that </w:t>
      </w:r>
      <w:r w:rsidRPr="000C7762">
        <w:rPr>
          <w:i/>
        </w:rPr>
        <w:t>actually existed</w:t>
      </w:r>
      <w:r>
        <w:t xml:space="preserve"> in the 2006-2010 period could have launched the A350XWB</w:t>
      </w:r>
      <w:r w:rsidR="00B2156D">
        <w:t xml:space="preserve"> in the absence of the individual and/or combined impact of the "direct effects" of the A350XWB LA/MSF subsidies and the "indirect effects" of the pre-A350XWB LA/MSF subsidies</w:t>
      </w:r>
      <w:r>
        <w:t>. The Panel explained that this was based on "a counterfactual that is different to the one that form</w:t>
      </w:r>
      <w:r w:rsidR="00B2156D">
        <w:t>{ed}</w:t>
      </w:r>
      <w:r>
        <w:t xml:space="preserve"> the basis of the question" </w:t>
      </w:r>
      <w:r w:rsidR="00B2156D">
        <w:t xml:space="preserve">that </w:t>
      </w:r>
      <w:r>
        <w:t xml:space="preserve">the Panel </w:t>
      </w:r>
      <w:r w:rsidR="00B2156D">
        <w:t xml:space="preserve">had </w:t>
      </w:r>
      <w:r>
        <w:t>posed</w:t>
      </w:r>
      <w:r w:rsidR="00B2156D">
        <w:t>,</w:t>
      </w:r>
      <w:r>
        <w:t xml:space="preserve"> and</w:t>
      </w:r>
      <w:r w:rsidR="00F5081C">
        <w:t xml:space="preserve"> that</w:t>
      </w:r>
      <w:r>
        <w:t xml:space="preserve"> neither party </w:t>
      </w:r>
      <w:r w:rsidR="00B2156D">
        <w:t xml:space="preserve">had </w:t>
      </w:r>
      <w:r>
        <w:t xml:space="preserve">advanced any arguments as to the ability of the </w:t>
      </w:r>
      <w:r>
        <w:rPr>
          <w:i/>
        </w:rPr>
        <w:t>non</w:t>
      </w:r>
      <w:r>
        <w:rPr>
          <w:i/>
        </w:rPr>
        <w:noBreakHyphen/>
      </w:r>
      <w:r w:rsidRPr="00477742">
        <w:rPr>
          <w:i/>
        </w:rPr>
        <w:t>subsidized</w:t>
      </w:r>
      <w:r>
        <w:t xml:space="preserve"> Airbus </w:t>
      </w:r>
      <w:r w:rsidR="00B2156D">
        <w:t>company</w:t>
      </w:r>
      <w:r>
        <w:t xml:space="preserve"> that would exist in the "unlikely" counterfactual scenarios to launch the A350XWB.</w:t>
      </w:r>
      <w:r>
        <w:rPr>
          <w:rStyle w:val="FootnoteReference"/>
        </w:rPr>
        <w:footnoteReference w:id="1545"/>
      </w:r>
      <w:r>
        <w:t xml:space="preserve"> Nonetheless, the Panel considered that, by examining the impact of LA/MSF on the </w:t>
      </w:r>
      <w:r>
        <w:rPr>
          <w:i/>
        </w:rPr>
        <w:t xml:space="preserve">subsidized </w:t>
      </w:r>
      <w:r>
        <w:t xml:space="preserve">Airbus company that </w:t>
      </w:r>
      <w:r>
        <w:rPr>
          <w:i/>
        </w:rPr>
        <w:t xml:space="preserve">actually existed </w:t>
      </w:r>
      <w:r>
        <w:t xml:space="preserve">from 2006 to 2010, "inferences </w:t>
      </w:r>
      <w:r w:rsidR="00B2156D">
        <w:t>{could}</w:t>
      </w:r>
      <w:r>
        <w:t xml:space="preserve"> be drawn about the extent to which the non</w:t>
      </w:r>
      <w:r>
        <w:noBreakHyphen/>
        <w:t xml:space="preserve">subsidized Airbus company that would </w:t>
      </w:r>
      <w:r w:rsidR="00B2156D">
        <w:t xml:space="preserve">{have} </w:t>
      </w:r>
      <w:r>
        <w:t>exist</w:t>
      </w:r>
      <w:r w:rsidR="00B2156D">
        <w:t>{ed}</w:t>
      </w:r>
      <w:r>
        <w:t xml:space="preserve"> in the 'unlikely' counterfactual scenarios could have done the same", because "the non</w:t>
      </w:r>
      <w:r>
        <w:noBreakHyphen/>
        <w:t>subsidized Airbus company operating in the 'unlikely' counterfactuals would be, by definition, a 'much weaker' competitor 'with at best a more limited offering of LCA models' than the Airbus company that actually existed."</w:t>
      </w:r>
      <w:r>
        <w:rPr>
          <w:rStyle w:val="FootnoteReference"/>
        </w:rPr>
        <w:footnoteReference w:id="1546"/>
      </w:r>
      <w:r>
        <w:t xml:space="preserve"> Adopting this analytical framework</w:t>
      </w:r>
      <w:r w:rsidRPr="005803BD">
        <w:t xml:space="preserve">, </w:t>
      </w:r>
      <w:r>
        <w:t>the Panel turned to examine the merits of the parties' arguments regarding the ability of Airbus – as it actually existed in 2006 – to launch the A350XWB as and when it did, with a view to drawing inferences concerning whether the non</w:t>
      </w:r>
      <w:r>
        <w:noBreakHyphen/>
        <w:t xml:space="preserve">subsidized Airbus company that would have existed in the "unlikely" counterfactual scenarios could have launched the A350XWB </w:t>
      </w:r>
      <w:r w:rsidRPr="00477742">
        <w:rPr>
          <w:i/>
        </w:rPr>
        <w:t>as and when it did</w:t>
      </w:r>
      <w:r>
        <w:t>.</w:t>
      </w:r>
      <w:r>
        <w:rPr>
          <w:rStyle w:val="FootnoteReference"/>
        </w:rPr>
        <w:footnoteReference w:id="1547"/>
      </w:r>
    </w:p>
    <w:p w:rsidR="00C752B3" w:rsidRDefault="00C752B3" w:rsidP="00526697">
      <w:pPr>
        <w:pStyle w:val="Heading6"/>
        <w:numPr>
          <w:ilvl w:val="5"/>
          <w:numId w:val="25"/>
        </w:numPr>
      </w:pPr>
      <w:bookmarkStart w:id="173" w:name="_Toc514059277"/>
      <w:r>
        <w:t xml:space="preserve">Findings on the "direct effects" of </w:t>
      </w:r>
      <w:r w:rsidR="00B2156D">
        <w:t xml:space="preserve">the </w:t>
      </w:r>
      <w:r>
        <w:t xml:space="preserve">A350XWB LA/MSF subsidies on </w:t>
      </w:r>
      <w:r w:rsidR="00B2156D">
        <w:t>the </w:t>
      </w:r>
      <w:r>
        <w:t>A350XWB</w:t>
      </w:r>
      <w:bookmarkEnd w:id="173"/>
    </w:p>
    <w:p w:rsidR="00C752B3" w:rsidRDefault="00C752B3" w:rsidP="00526697">
      <w:pPr>
        <w:pStyle w:val="BodyText"/>
        <w:numPr>
          <w:ilvl w:val="6"/>
          <w:numId w:val="2"/>
        </w:numPr>
      </w:pPr>
      <w:r>
        <w:t>The Panel began by setting forth the factual background t</w:t>
      </w:r>
      <w:r w:rsidR="00A44458">
        <w:t>o the launch of the A350XWB, in </w:t>
      </w:r>
      <w:r>
        <w:t>the form of a "narrative" of the A350XWB programme "running from its origins through to the period during which the A350XWB LA/MSF contracts were entered into".</w:t>
      </w:r>
      <w:r>
        <w:rPr>
          <w:rStyle w:val="FootnoteReference"/>
        </w:rPr>
        <w:footnoteReference w:id="1548"/>
      </w:r>
      <w:r>
        <w:t xml:space="preserve"> The Panel divided its narrative into three main parts, beginning with an examination of the "pre</w:t>
      </w:r>
      <w:r>
        <w:noBreakHyphen/>
        <w:t>launch period"</w:t>
      </w:r>
      <w:r w:rsidR="00825D68">
        <w:rPr>
          <w:rStyle w:val="FootnoteReference"/>
        </w:rPr>
        <w:footnoteReference w:id="1549"/>
      </w:r>
      <w:r w:rsidR="00A44458">
        <w:t>, and </w:t>
      </w:r>
      <w:r>
        <w:t xml:space="preserve">then turning to the </w:t>
      </w:r>
      <w:r w:rsidR="00825D68">
        <w:t>"{l}</w:t>
      </w:r>
      <w:r>
        <w:t>aunch and the A350XWB Business Case"</w:t>
      </w:r>
      <w:r>
        <w:rPr>
          <w:rStyle w:val="FootnoteReference"/>
        </w:rPr>
        <w:footnoteReference w:id="1550"/>
      </w:r>
      <w:r>
        <w:t>, and the "post</w:t>
      </w:r>
      <w:r>
        <w:noBreakHyphen/>
        <w:t>launch period".</w:t>
      </w:r>
      <w:r>
        <w:rPr>
          <w:rStyle w:val="FootnoteReference"/>
        </w:rPr>
        <w:footnoteReference w:id="1551"/>
      </w:r>
      <w:r>
        <w:t xml:space="preserve"> </w:t>
      </w:r>
    </w:p>
    <w:p w:rsidR="00C752B3" w:rsidRDefault="00C752B3" w:rsidP="00526697">
      <w:pPr>
        <w:pStyle w:val="BodyText"/>
        <w:numPr>
          <w:ilvl w:val="6"/>
          <w:numId w:val="2"/>
        </w:numPr>
      </w:pPr>
      <w:r>
        <w:t>Beginning with the "pre</w:t>
      </w:r>
      <w:r>
        <w:noBreakHyphen/>
        <w:t>launch period", the Panel identified t</w:t>
      </w:r>
      <w:r w:rsidR="00251ADE">
        <w:t>hree "material" topics: (i) the </w:t>
      </w:r>
      <w:r>
        <w:t xml:space="preserve">origins of the A350XWB programme; (ii) the A350XWB programme's developmental status leading up to launch; and (iii) Airbus' and EADS' financial situation leading up to </w:t>
      </w:r>
      <w:r w:rsidR="00B2156D">
        <w:t xml:space="preserve">the </w:t>
      </w:r>
      <w:r>
        <w:t>launch.</w:t>
      </w:r>
      <w:r>
        <w:rPr>
          <w:rStyle w:val="FootnoteReference"/>
        </w:rPr>
        <w:footnoteReference w:id="1552"/>
      </w:r>
      <w:r>
        <w:t xml:space="preserve"> Based on its analysis of </w:t>
      </w:r>
      <w:r w:rsidR="00825D68">
        <w:t xml:space="preserve">the </w:t>
      </w:r>
      <w:r>
        <w:t>evidence pertaining to these topics, the Panel made the following findings with respect to the pre</w:t>
      </w:r>
      <w:r>
        <w:noBreakHyphen/>
        <w:t>launch period: (i) "serious financial difficulties had arisen for Airbus and EADS that adversely affected their financial condition moving forward"</w:t>
      </w:r>
      <w:r>
        <w:rPr>
          <w:rStyle w:val="FootnoteReference"/>
        </w:rPr>
        <w:footnoteReference w:id="1553"/>
      </w:r>
      <w:r>
        <w:t>; (ii)</w:t>
      </w:r>
      <w:r w:rsidRPr="00044321">
        <w:t xml:space="preserve"> </w:t>
      </w:r>
      <w:r>
        <w:t xml:space="preserve">although it was forecast to be a very expensive </w:t>
      </w:r>
      <w:r w:rsidR="00B2156D">
        <w:t>project</w:t>
      </w:r>
      <w:r>
        <w:t xml:space="preserve">, Airbus deemed the A350XWB programme important enough to pursue because of, </w:t>
      </w:r>
      <w:r w:rsidRPr="00EB5EBB">
        <w:rPr>
          <w:i/>
        </w:rPr>
        <w:t>inter alia</w:t>
      </w:r>
      <w:r>
        <w:t>, its considerable strategic importance to Airbus' competitiveness; (iii) Airbus and EADS pursued multiple strategies to put themselves in a position in which they could be sufficiently confident of their ability to fund the A350XWB programme, one of which was by securing commitments from the member States regarding the future provision of some sort of financial assistance in connection with the A350XWB programme; and (iv) </w:t>
      </w:r>
      <w:r w:rsidRPr="007A1DFB">
        <w:t xml:space="preserve">these strategies allowed Airbus and EADS to overcome their financial problems, to the point where they were prepared to proceed with </w:t>
      </w:r>
      <w:r>
        <w:t>the</w:t>
      </w:r>
      <w:r w:rsidRPr="007A1DFB">
        <w:t xml:space="preserve"> A350XWB launch decision.</w:t>
      </w:r>
      <w:r>
        <w:rPr>
          <w:rStyle w:val="FootnoteReference"/>
        </w:rPr>
        <w:footnoteReference w:id="1554"/>
      </w:r>
    </w:p>
    <w:p w:rsidR="00C752B3" w:rsidRDefault="00C752B3" w:rsidP="00526697">
      <w:pPr>
        <w:pStyle w:val="BodyText"/>
        <w:numPr>
          <w:ilvl w:val="6"/>
          <w:numId w:val="2"/>
        </w:numPr>
      </w:pPr>
      <w:r>
        <w:t xml:space="preserve">Turning to the A350XWB Business Case </w:t>
      </w:r>
      <w:r w:rsidR="007D1D27">
        <w:t>P</w:t>
      </w:r>
      <w:r w:rsidR="00B2156D">
        <w:t>resentation</w:t>
      </w:r>
      <w:r>
        <w:t xml:space="preserve"> on </w:t>
      </w:r>
      <w:r w:rsidRPr="001B4768">
        <w:rPr>
          <w:b/>
        </w:rPr>
        <w:t>[</w:t>
      </w:r>
      <w:r w:rsidR="00E8168B" w:rsidRPr="00C8434D">
        <w:rPr>
          <w:b/>
          <w:szCs w:val="16"/>
        </w:rPr>
        <w:t>BCI</w:t>
      </w:r>
      <w:r w:rsidRPr="001B4768">
        <w:rPr>
          <w:b/>
        </w:rPr>
        <w:t>]</w:t>
      </w:r>
      <w:r>
        <w:t xml:space="preserve"> in preparation for the launch of the A350XWB, the Panel took "particular note" of three aspects.</w:t>
      </w:r>
      <w:r>
        <w:rPr>
          <w:rStyle w:val="FootnoteReference"/>
        </w:rPr>
        <w:footnoteReference w:id="1555"/>
      </w:r>
      <w:r>
        <w:t xml:space="preserve"> First, based on different press reports, the Panel was of the view that disagreements among EADS' shareholders regarding how the A350XWB would be funded delayed the launch, and such disagreements were resolved, at least in part, with a French </w:t>
      </w:r>
      <w:r w:rsidR="00B2156D">
        <w:t xml:space="preserve">Government </w:t>
      </w:r>
      <w:r>
        <w:t>guarantee to provide certain financial support for the programme.</w:t>
      </w:r>
      <w:r w:rsidR="00825D68">
        <w:rPr>
          <w:rStyle w:val="FootnoteReference"/>
        </w:rPr>
        <w:footnoteReference w:id="1556"/>
      </w:r>
      <w:r>
        <w:t xml:space="preserve"> Second, the Panel found that the assumption that the A350XWB programme would be "funded in part with financing that involved member State </w:t>
      </w:r>
      <w:r w:rsidRPr="005E27E5">
        <w:rPr>
          <w:b/>
        </w:rPr>
        <w:t>[</w:t>
      </w:r>
      <w:r w:rsidR="00E8168B" w:rsidRPr="00C8434D">
        <w:rPr>
          <w:b/>
          <w:szCs w:val="16"/>
        </w:rPr>
        <w:t>BCI</w:t>
      </w:r>
      <w:r w:rsidRPr="005E27E5">
        <w:rPr>
          <w:b/>
        </w:rPr>
        <w:t>]</w:t>
      </w:r>
      <w:r>
        <w:t xml:space="preserve"> permeated the A350XWB Business Case".</w:t>
      </w:r>
      <w:r>
        <w:rPr>
          <w:rStyle w:val="FootnoteReference"/>
        </w:rPr>
        <w:footnoteReference w:id="1557"/>
      </w:r>
      <w:r>
        <w:t xml:space="preserve"> Finally, the Panel considered that the </w:t>
      </w:r>
      <w:r w:rsidR="00F15CB7">
        <w:t>b</w:t>
      </w:r>
      <w:r>
        <w:t xml:space="preserve">usiness </w:t>
      </w:r>
      <w:r w:rsidR="00F15CB7">
        <w:t>c</w:t>
      </w:r>
      <w:r>
        <w:t>ase highlighted both risks and strategic benefits associated with the A350XWB</w:t>
      </w:r>
      <w:r w:rsidR="00F15CB7">
        <w:t xml:space="preserve"> programme</w:t>
      </w:r>
      <w:r>
        <w:t>.</w:t>
      </w:r>
      <w:r>
        <w:rPr>
          <w:rStyle w:val="FootnoteReference"/>
        </w:rPr>
        <w:footnoteReference w:id="1558"/>
      </w:r>
    </w:p>
    <w:p w:rsidR="00C752B3" w:rsidRDefault="00C752B3" w:rsidP="00526697">
      <w:pPr>
        <w:pStyle w:val="BodyText"/>
        <w:numPr>
          <w:ilvl w:val="6"/>
          <w:numId w:val="2"/>
        </w:numPr>
      </w:pPr>
      <w:r>
        <w:t>The Panel next analysed evidence from the post</w:t>
      </w:r>
      <w:r>
        <w:noBreakHyphen/>
        <w:t xml:space="preserve">launch period relating to the following </w:t>
      </w:r>
      <w:r w:rsidRPr="00071578">
        <w:t>four topics: (i) the developmental status of the A350XWB programme; (ii) Airbus' and EADS' financial position during this period; (iii) negotiations between Airbus and the member States concerning financial assistance fo</w:t>
      </w:r>
      <w:r w:rsidR="00F15CB7">
        <w:t>r the A350XWB programme</w:t>
      </w:r>
      <w:r w:rsidRPr="00071578">
        <w:t xml:space="preserve"> generally, and A350XWB LA/MSF specifically; and (iv) certain government documents discussing the importance of member State financial assistance in connecti</w:t>
      </w:r>
      <w:r>
        <w:t>on with the A350XWB programme.</w:t>
      </w:r>
      <w:r w:rsidRPr="00071578">
        <w:t xml:space="preserve"> </w:t>
      </w:r>
      <w:r>
        <w:t>The Panel m</w:t>
      </w:r>
      <w:r w:rsidR="00C94315">
        <w:t>ade the following findings: </w:t>
      </w:r>
      <w:r w:rsidR="00B65E07">
        <w:t>(i) </w:t>
      </w:r>
      <w:r>
        <w:t>as of the First Contract Date</w:t>
      </w:r>
      <w:r>
        <w:rPr>
          <w:rStyle w:val="FootnoteReference"/>
        </w:rPr>
        <w:footnoteReference w:id="1559"/>
      </w:r>
      <w:r>
        <w:t>, EADS had experienced certain successes with efforts to mitigate its financial problems that had arisen in the pre</w:t>
      </w:r>
      <w:r>
        <w:noBreakHyphen/>
        <w:t>launch period, but continued to face financial problems moving forward</w:t>
      </w:r>
      <w:r>
        <w:rPr>
          <w:rStyle w:val="FootnoteReference"/>
        </w:rPr>
        <w:footnoteReference w:id="1560"/>
      </w:r>
      <w:r>
        <w:t>; (ii) although Airbus had completed significant work on the A350XWB in the absence of A350XWB LA/MSF, the most cash-intensive portions of the programme began to occur around or shortly after the First Contract Date</w:t>
      </w:r>
      <w:r>
        <w:rPr>
          <w:rStyle w:val="FootnoteReference"/>
        </w:rPr>
        <w:footnoteReference w:id="1561"/>
      </w:r>
      <w:r>
        <w:t>; (iii) statements made by certain UK and Airbus officials, the European Commission State Aid Decisions</w:t>
      </w:r>
      <w:r>
        <w:rPr>
          <w:rStyle w:val="FootnoteReference"/>
        </w:rPr>
        <w:footnoteReference w:id="1562"/>
      </w:r>
      <w:r>
        <w:t xml:space="preserve">, and a written assessment by the UK </w:t>
      </w:r>
      <w:r w:rsidR="008C597E">
        <w:t xml:space="preserve">Government </w:t>
      </w:r>
      <w:r>
        <w:t>of the merits of Airbus' request for A350XWB LA/MSF</w:t>
      </w:r>
      <w:r>
        <w:rPr>
          <w:rStyle w:val="FootnoteReference"/>
        </w:rPr>
        <w:footnoteReference w:id="1563"/>
      </w:r>
      <w:r w:rsidR="00F15CB7">
        <w:t xml:space="preserve"> (</w:t>
      </w:r>
      <w:r w:rsidR="00C94315">
        <w:t>UK </w:t>
      </w:r>
      <w:r w:rsidR="00F15CB7" w:rsidRPr="00C37517">
        <w:t>Appraisal</w:t>
      </w:r>
      <w:r w:rsidR="00F15CB7">
        <w:t>)</w:t>
      </w:r>
      <w:r>
        <w:t>, support the proposition that it would have been extremely difficult for Airbus and EADS to effectively fund the A350XWB programme in the absence of A350XWB LA/MSF</w:t>
      </w:r>
      <w:r>
        <w:rPr>
          <w:rStyle w:val="FootnoteReference"/>
        </w:rPr>
        <w:footnoteReference w:id="1564"/>
      </w:r>
      <w:r w:rsidR="00C94315">
        <w:t>; and </w:t>
      </w:r>
      <w:r>
        <w:t>(iv) Airbus and the member States continued to be in close contact regarding the eventual receipt of member State financial assistance in connection with the A350XWB programme, and there is no material evidence that Airbus ever questioned the availability of such assistance.</w:t>
      </w:r>
      <w:r>
        <w:rPr>
          <w:rStyle w:val="FootnoteReference"/>
        </w:rPr>
        <w:footnoteReference w:id="1565"/>
      </w:r>
    </w:p>
    <w:p w:rsidR="00C752B3" w:rsidRPr="00201445" w:rsidRDefault="00C752B3" w:rsidP="00526697">
      <w:pPr>
        <w:pStyle w:val="BodyText"/>
        <w:numPr>
          <w:ilvl w:val="6"/>
          <w:numId w:val="2"/>
        </w:numPr>
      </w:pPr>
      <w:r>
        <w:t xml:space="preserve">Having set out its narrative of the A350XWB programme, the Panel assessed the parties' </w:t>
      </w:r>
      <w:r w:rsidRPr="00E6174B">
        <w:t xml:space="preserve">arguments regarding the extent to which </w:t>
      </w:r>
      <w:r w:rsidR="00F15CB7">
        <w:t xml:space="preserve">the </w:t>
      </w:r>
      <w:r w:rsidRPr="00E6174B">
        <w:t xml:space="preserve">A350XWB LA/MSF subsidies had an impact on the ability of the Airbus company that </w:t>
      </w:r>
      <w:r w:rsidRPr="00E6174B">
        <w:rPr>
          <w:i/>
        </w:rPr>
        <w:t>actually existed</w:t>
      </w:r>
      <w:r w:rsidRPr="00E6174B">
        <w:t xml:space="preserve"> in the 2006</w:t>
      </w:r>
      <w:r>
        <w:t>-2010 period to launch</w:t>
      </w:r>
      <w:r w:rsidRPr="00E6174B">
        <w:t xml:space="preserve"> the A350XWB</w:t>
      </w:r>
      <w:r>
        <w:t xml:space="preserve"> as and when it did</w:t>
      </w:r>
      <w:r w:rsidRPr="00E6174B">
        <w:t xml:space="preserve">. </w:t>
      </w:r>
      <w:r>
        <w:t xml:space="preserve">In doing so, the Panel focused its analysis on the impact of </w:t>
      </w:r>
      <w:r w:rsidR="00F15CB7">
        <w:t xml:space="preserve">the </w:t>
      </w:r>
      <w:r>
        <w:t xml:space="preserve">A350XWB LA/MSF </w:t>
      </w:r>
      <w:r w:rsidR="00F15CB7">
        <w:t xml:space="preserve">subsidies </w:t>
      </w:r>
      <w:r>
        <w:t xml:space="preserve">on the "viability" of the programme </w:t>
      </w:r>
      <w:r w:rsidR="00F15CB7">
        <w:t>with</w:t>
      </w:r>
      <w:r>
        <w:t xml:space="preserve"> respect </w:t>
      </w:r>
      <w:r w:rsidR="00F15CB7">
        <w:t>to</w:t>
      </w:r>
      <w:r>
        <w:t xml:space="preserve"> both the launch date and the First Contract Date</w:t>
      </w:r>
      <w:r w:rsidR="00B65E07">
        <w:t>.</w:t>
      </w:r>
      <w:r>
        <w:rPr>
          <w:rStyle w:val="FootnoteReference"/>
        </w:rPr>
        <w:footnoteReference w:id="1566"/>
      </w:r>
      <w:r>
        <w:t xml:space="preserve"> The Panel examined four main aspects of the A350XWB programme bearing upon the issue of viability</w:t>
      </w:r>
      <w:r w:rsidRPr="00201445">
        <w:t>, namely: (i) Airbus' expected ability to effectively fund the programme with financing on market terms; (ii) the progr</w:t>
      </w:r>
      <w:r w:rsidR="00251ADE">
        <w:t>amme's base-case NPV; (iii) the </w:t>
      </w:r>
      <w:r>
        <w:t>s</w:t>
      </w:r>
      <w:r w:rsidRPr="00201445">
        <w:t>trategic reasons for Airbus to pursue the programme not already taken into account in the base</w:t>
      </w:r>
      <w:r>
        <w:noBreakHyphen/>
      </w:r>
      <w:r w:rsidRPr="00201445">
        <w:t>case NPV; and (iv) the programme's risks.</w:t>
      </w:r>
      <w:r>
        <w:rPr>
          <w:rStyle w:val="FootnoteReference"/>
        </w:rPr>
        <w:footnoteReference w:id="1567"/>
      </w:r>
      <w:r w:rsidRPr="00201445">
        <w:t xml:space="preserve"> </w:t>
      </w:r>
    </w:p>
    <w:p w:rsidR="00C752B3" w:rsidRPr="00E6174B" w:rsidRDefault="00C752B3" w:rsidP="00526697">
      <w:pPr>
        <w:pStyle w:val="BodyText"/>
        <w:numPr>
          <w:ilvl w:val="6"/>
          <w:numId w:val="2"/>
        </w:numPr>
      </w:pPr>
      <w:r w:rsidRPr="00201445">
        <w:t>Beginning with Airbus' ability to fund the programme in the absence of A350XWB LA</w:t>
      </w:r>
      <w:r>
        <w:t>/MSF, the Panel examined evidence pertaining to: (i) increased use of risk-sharing partners (RSPs)</w:t>
      </w:r>
      <w:r>
        <w:rPr>
          <w:rStyle w:val="FootnoteReference"/>
        </w:rPr>
        <w:footnoteReference w:id="1568"/>
      </w:r>
      <w:r>
        <w:t>; (ii) increased profitability and cash generation</w:t>
      </w:r>
      <w:r>
        <w:rPr>
          <w:rStyle w:val="FootnoteReference"/>
        </w:rPr>
        <w:footnoteReference w:id="1569"/>
      </w:r>
      <w:r>
        <w:t>; (iii) disposal of non</w:t>
      </w:r>
      <w:r>
        <w:noBreakHyphen/>
        <w:t>core assets; (iv) a reduction in shareholder distributions; (v) equity-related financing</w:t>
      </w:r>
      <w:r>
        <w:rPr>
          <w:rStyle w:val="FootnoteReference"/>
        </w:rPr>
        <w:footnoteReference w:id="1570"/>
      </w:r>
      <w:r>
        <w:t>; (vi) cash reserves</w:t>
      </w:r>
      <w:r>
        <w:rPr>
          <w:rStyle w:val="FootnoteReference"/>
        </w:rPr>
        <w:footnoteReference w:id="1571"/>
      </w:r>
      <w:r w:rsidR="00C94315">
        <w:t>; and </w:t>
      </w:r>
      <w:r>
        <w:t>(vii) increased debt.</w:t>
      </w:r>
      <w:r>
        <w:rPr>
          <w:rStyle w:val="FootnoteReference"/>
        </w:rPr>
        <w:footnoteReference w:id="1572"/>
      </w:r>
      <w:r>
        <w:t xml:space="preserve"> In addition to the </w:t>
      </w:r>
      <w:r w:rsidRPr="00414A86">
        <w:rPr>
          <w:i/>
        </w:rPr>
        <w:t xml:space="preserve">extent </w:t>
      </w:r>
      <w:r>
        <w:t xml:space="preserve">of the financial resources available to effectively fund the A350XWB programme, the Panel considered three other factors bearing </w:t>
      </w:r>
      <w:r w:rsidR="004647D4">
        <w:t>upon the issue of</w:t>
      </w:r>
      <w:r>
        <w:t xml:space="preserve"> viability </w:t>
      </w:r>
      <w:r w:rsidRPr="00414A86">
        <w:rPr>
          <w:i/>
        </w:rPr>
        <w:t>vis</w:t>
      </w:r>
      <w:r>
        <w:rPr>
          <w:i/>
        </w:rPr>
        <w:noBreakHyphen/>
      </w:r>
      <w:r w:rsidRPr="00414A86">
        <w:rPr>
          <w:i/>
        </w:rPr>
        <w:t>à</w:t>
      </w:r>
      <w:r>
        <w:rPr>
          <w:i/>
        </w:rPr>
        <w:noBreakHyphen/>
      </w:r>
      <w:r w:rsidRPr="00414A86">
        <w:rPr>
          <w:i/>
        </w:rPr>
        <w:t xml:space="preserve">vis </w:t>
      </w:r>
      <w:r>
        <w:t xml:space="preserve">the date of launch and the First </w:t>
      </w:r>
      <w:r w:rsidRPr="00E6174B">
        <w:t>Contract Date, namely</w:t>
      </w:r>
      <w:r w:rsidR="00F15CB7">
        <w:t>: (i)</w:t>
      </w:r>
      <w:r w:rsidR="00C94315">
        <w:t> the </w:t>
      </w:r>
      <w:r w:rsidRPr="00E6174B">
        <w:t>programme's base-case NPV</w:t>
      </w:r>
      <w:r w:rsidR="00F15CB7">
        <w:t>; (ii)</w:t>
      </w:r>
      <w:r w:rsidRPr="00E6174B">
        <w:t xml:space="preserve"> the programme's strategic benefits</w:t>
      </w:r>
      <w:r w:rsidR="00F15CB7">
        <w:t>;</w:t>
      </w:r>
      <w:r w:rsidRPr="00E6174B">
        <w:t xml:space="preserve"> and </w:t>
      </w:r>
      <w:r w:rsidR="00F15CB7">
        <w:t xml:space="preserve">(iii) </w:t>
      </w:r>
      <w:r w:rsidR="00C94315">
        <w:t>the programme's </w:t>
      </w:r>
      <w:r w:rsidRPr="00E6174B">
        <w:t>risks.</w:t>
      </w:r>
      <w:r>
        <w:rPr>
          <w:rStyle w:val="FootnoteReference"/>
        </w:rPr>
        <w:footnoteReference w:id="1573"/>
      </w:r>
      <w:r w:rsidRPr="00E6174B">
        <w:t xml:space="preserve"> </w:t>
      </w:r>
    </w:p>
    <w:p w:rsidR="00C752B3" w:rsidRDefault="00C752B3" w:rsidP="00526697">
      <w:pPr>
        <w:pStyle w:val="BodyText"/>
        <w:numPr>
          <w:ilvl w:val="6"/>
          <w:numId w:val="2"/>
        </w:numPr>
      </w:pPr>
      <w:r w:rsidRPr="00E6174B">
        <w:t xml:space="preserve">Taking all of these factors into account, the Panel found that, while "the alternative funding options available to Airbus coupled with the strong strategic reasons it had for launching and developing a new generation twin-aisle aircraft meant that the A350XWB programme would have been sufficiently attractive and, therefore, </w:t>
      </w:r>
      <w:r w:rsidRPr="00E6174B">
        <w:rPr>
          <w:i/>
        </w:rPr>
        <w:t>viable</w:t>
      </w:r>
      <w:r w:rsidRPr="00E6174B">
        <w:t xml:space="preserve"> to Airbus even without A350XWB LA/MSF", the evidence demonstrated that pursuing the programme in the absence of A350XWB LA/MSF would have been "a more complicated, more costly and riskier endeavour"</w:t>
      </w:r>
      <w:r>
        <w:rPr>
          <w:rStyle w:val="FootnoteReference"/>
        </w:rPr>
        <w:footnoteReference w:id="1574"/>
      </w:r>
      <w:r w:rsidRPr="00E6174B">
        <w:t>, s</w:t>
      </w:r>
      <w:r>
        <w:t>uch</w:t>
      </w:r>
      <w:r w:rsidRPr="00E6174B">
        <w:t xml:space="preserve"> that, in the absence of A350XWB LA/MSF, </w:t>
      </w:r>
      <w:r>
        <w:t xml:space="preserve">it would be highly likely that </w:t>
      </w:r>
      <w:r w:rsidRPr="00E6174B">
        <w:t>Airbus would, to some degree, have had "to make certain compromises with respect to the pace of the programme and/or the features of the aircraft".</w:t>
      </w:r>
      <w:r>
        <w:rPr>
          <w:rStyle w:val="FootnoteReference"/>
        </w:rPr>
        <w:footnoteReference w:id="1575"/>
      </w:r>
      <w:r w:rsidRPr="00E6174B">
        <w:t xml:space="preserve"> </w:t>
      </w:r>
      <w:r>
        <w:t>Consequently</w:t>
      </w:r>
      <w:r w:rsidRPr="00E6174B">
        <w:t xml:space="preserve">, the Panel found that, without A350XWB LA/MSF, "the Airbus company that </w:t>
      </w:r>
      <w:r w:rsidRPr="00E6174B">
        <w:rPr>
          <w:i/>
        </w:rPr>
        <w:t>actually</w:t>
      </w:r>
      <w:r w:rsidRPr="00C4720E">
        <w:rPr>
          <w:i/>
        </w:rPr>
        <w:t xml:space="preserve"> existed</w:t>
      </w:r>
      <w:r>
        <w:t xml:space="preserve"> could have pursued such a programme only by a narrow margin, with a high likelihood that it would, to some degree, have had to make certain compromises with respect to the pace of the programme and/or the features of the aircraft."</w:t>
      </w:r>
      <w:r>
        <w:rPr>
          <w:rStyle w:val="FootnoteReference"/>
        </w:rPr>
        <w:footnoteReference w:id="1576"/>
      </w:r>
    </w:p>
    <w:p w:rsidR="00C752B3" w:rsidRDefault="00C752B3" w:rsidP="00526697">
      <w:pPr>
        <w:pStyle w:val="BodyText"/>
        <w:numPr>
          <w:ilvl w:val="6"/>
          <w:numId w:val="2"/>
        </w:numPr>
      </w:pPr>
      <w:r>
        <w:t xml:space="preserve">Following its findings on the </w:t>
      </w:r>
      <w:r w:rsidRPr="00DA1027">
        <w:t xml:space="preserve">impact of A350XWB LA/MSF on the </w:t>
      </w:r>
      <w:r w:rsidRPr="009D5381">
        <w:rPr>
          <w:i/>
        </w:rPr>
        <w:t>subsidized</w:t>
      </w:r>
      <w:r w:rsidRPr="00DA1027">
        <w:t xml:space="preserve"> Airbus </w:t>
      </w:r>
      <w:r w:rsidR="00F15CB7">
        <w:t>company</w:t>
      </w:r>
      <w:r w:rsidRPr="00DA1027">
        <w:t>'s ability to launch and bring to market the A350XWB</w:t>
      </w:r>
      <w:r>
        <w:t>, and recalling that, under both "unlikely" counterfactual scenarios, a non</w:t>
      </w:r>
      <w:r>
        <w:noBreakHyphen/>
        <w:t>subsidized Airbus operating in the 2001</w:t>
      </w:r>
      <w:r>
        <w:noBreakHyphen/>
        <w:t xml:space="preserve">2006 period would have been "a 'much weaker' company 'with at best a more limited offering of LCA models'", the Panel found that a </w:t>
      </w:r>
      <w:r>
        <w:rPr>
          <w:i/>
        </w:rPr>
        <w:t>non</w:t>
      </w:r>
      <w:r>
        <w:rPr>
          <w:i/>
        </w:rPr>
        <w:noBreakHyphen/>
      </w:r>
      <w:r w:rsidRPr="00DA1027">
        <w:rPr>
          <w:i/>
        </w:rPr>
        <w:t>subsidized</w:t>
      </w:r>
      <w:r w:rsidRPr="00DA1027">
        <w:t xml:space="preserve"> Airbus operating in the "unlikely" counterfactual scenarios would have been unable to launch the A350XWB or an A350XWB-type aircraft by the end of 2006.</w:t>
      </w:r>
      <w:r>
        <w:rPr>
          <w:rStyle w:val="FootnoteReference"/>
        </w:rPr>
        <w:footnoteReference w:id="1577"/>
      </w:r>
      <w:r>
        <w:t xml:space="preserve"> The Panel explained that a non</w:t>
      </w:r>
      <w:r>
        <w:noBreakHyphen/>
        <w:t>subsidized Airbus operating in the "unlikely" counterfactual scenarios at the end of the 2006 would "not have had the same range and quality of aircraft on the market that the subsidized Airbus did at the time of the launch of the A350XWB", and that "a non</w:t>
      </w:r>
      <w:r>
        <w:noBreakHyphen/>
        <w:t>subsidized Airbus operating in the 'unlikely' counterfactual scenarios would have had neither the technical or managerial expertise nor the financial resources that were available to the Airbus company that actually existed at the end of 2006."</w:t>
      </w:r>
      <w:r>
        <w:rPr>
          <w:rStyle w:val="FootnoteReference"/>
        </w:rPr>
        <w:footnoteReference w:id="1578"/>
      </w:r>
      <w:r>
        <w:t xml:space="preserve"> </w:t>
      </w:r>
    </w:p>
    <w:p w:rsidR="00C752B3" w:rsidRDefault="00C752B3" w:rsidP="00526697">
      <w:pPr>
        <w:pStyle w:val="Heading6"/>
      </w:pPr>
      <w:bookmarkStart w:id="174" w:name="_Toc514059278"/>
      <w:r>
        <w:t xml:space="preserve">Findings on the "indirect effects" of </w:t>
      </w:r>
      <w:r w:rsidR="00F15CB7">
        <w:t xml:space="preserve">the </w:t>
      </w:r>
      <w:r>
        <w:t>pre</w:t>
      </w:r>
      <w:r>
        <w:noBreakHyphen/>
        <w:t xml:space="preserve">A350XWB LA/MSF subsidies on </w:t>
      </w:r>
      <w:r w:rsidR="00F15CB7">
        <w:t xml:space="preserve">the </w:t>
      </w:r>
      <w:r>
        <w:t>A350XWB</w:t>
      </w:r>
      <w:bookmarkEnd w:id="174"/>
      <w:r>
        <w:t xml:space="preserve"> </w:t>
      </w:r>
    </w:p>
    <w:p w:rsidR="00C752B3" w:rsidRDefault="00C752B3" w:rsidP="00526697">
      <w:pPr>
        <w:pStyle w:val="BodyText"/>
        <w:numPr>
          <w:ilvl w:val="6"/>
          <w:numId w:val="2"/>
        </w:numPr>
      </w:pPr>
      <w:r>
        <w:t xml:space="preserve">Next, the Panel considered the extent to which the "indirect effects" of </w:t>
      </w:r>
      <w:r w:rsidR="00F15CB7">
        <w:t xml:space="preserve">the </w:t>
      </w:r>
      <w:r>
        <w:t>pre</w:t>
      </w:r>
      <w:r>
        <w:noBreakHyphen/>
        <w:t xml:space="preserve">A350XWB LA/MSF </w:t>
      </w:r>
      <w:r w:rsidR="00F15CB7">
        <w:t xml:space="preserve">subsidies </w:t>
      </w:r>
      <w:r>
        <w:t xml:space="preserve">contributed to the ability of the subsidized Airbus company that </w:t>
      </w:r>
      <w:r w:rsidRPr="00811237">
        <w:rPr>
          <w:i/>
        </w:rPr>
        <w:t>actually existed</w:t>
      </w:r>
      <w:r>
        <w:t xml:space="preserve"> over the relevant period to undertake the A350XWB programme "as and when it did".</w:t>
      </w:r>
      <w:r>
        <w:rPr>
          <w:rStyle w:val="FootnoteReference"/>
        </w:rPr>
        <w:footnoteReference w:id="1579"/>
      </w:r>
      <w:r>
        <w:t xml:space="preserve"> The Panel recalled that the indirect effects of LA/MSF take the form of</w:t>
      </w:r>
      <w:r w:rsidR="00B65E07">
        <w:t>:</w:t>
      </w:r>
      <w:r>
        <w:t xml:space="preserve"> (i) "learning effects"; (ii) "scope and scale effects"; and (iii) "financial effects".</w:t>
      </w:r>
      <w:r>
        <w:rPr>
          <w:rStyle w:val="FootnoteReference"/>
        </w:rPr>
        <w:footnoteReference w:id="1580"/>
      </w:r>
      <w:r>
        <w:t xml:space="preserve"> Starting with the learning effects</w:t>
      </w:r>
      <w:r w:rsidRPr="00E6174B">
        <w:t>, the Panel examined "duelling expert reports" presented by both parties</w:t>
      </w:r>
      <w:r>
        <w:rPr>
          <w:rStyle w:val="FootnoteReference"/>
        </w:rPr>
        <w:footnoteReference w:id="1581"/>
      </w:r>
      <w:r w:rsidRPr="00E6174B">
        <w:t xml:space="preserve">, as well as </w:t>
      </w:r>
      <w:r>
        <w:t>"</w:t>
      </w:r>
      <w:r w:rsidRPr="00E6174B">
        <w:t>historical record evidence in the form of press reports, the A350XWB Business Case, Airbus/EADS presentation</w:t>
      </w:r>
      <w:r>
        <w:t>s</w:t>
      </w:r>
      <w:r w:rsidRPr="00E6174B">
        <w:t xml:space="preserve"> and other materials</w:t>
      </w:r>
      <w:r>
        <w:t>"</w:t>
      </w:r>
      <w:r>
        <w:rPr>
          <w:rStyle w:val="FootnoteReference"/>
        </w:rPr>
        <w:footnoteReference w:id="1582"/>
      </w:r>
      <w:r w:rsidRPr="00E6174B">
        <w:t>, and found the evidence to show that "the A350XWB programme significantly benefitted from Learning Effects arising from previous, subsidized Airbus LCA programmes, especially (but not only) the A380 programme."</w:t>
      </w:r>
      <w:r>
        <w:rPr>
          <w:rStyle w:val="FootnoteReference"/>
        </w:rPr>
        <w:footnoteReference w:id="1583"/>
      </w:r>
      <w:r w:rsidRPr="00E6174B">
        <w:t xml:space="preserve"> </w:t>
      </w:r>
      <w:r w:rsidR="00F15CB7">
        <w:t>The Panel</w:t>
      </w:r>
      <w:r w:rsidRPr="00E6174B">
        <w:t xml:space="preserve"> thus found the learning effects of the </w:t>
      </w:r>
      <w:r>
        <w:t>pre</w:t>
      </w:r>
      <w:r>
        <w:noBreakHyphen/>
      </w:r>
      <w:r w:rsidRPr="00E6174B">
        <w:t>A350XWB LA/MSF subsidies to be "wide-ranging and</w:t>
      </w:r>
      <w:r>
        <w:t xml:space="preserve"> significant, and their accumulation central and critical to the ability of Airbus to launch and bring the A350XWB to market as and when it did".</w:t>
      </w:r>
      <w:r>
        <w:rPr>
          <w:rStyle w:val="FootnoteReference"/>
        </w:rPr>
        <w:footnoteReference w:id="1584"/>
      </w:r>
      <w:r>
        <w:t xml:space="preserve"> The Panel however considered it "difficult to materially attribute the same degree of importance to any Learning Effects from the A300 and A310 LA/MSF subsidies".</w:t>
      </w:r>
      <w:r>
        <w:rPr>
          <w:rStyle w:val="FootnoteReference"/>
        </w:rPr>
        <w:footnoteReference w:id="1585"/>
      </w:r>
      <w:r>
        <w:t xml:space="preserve"> </w:t>
      </w:r>
    </w:p>
    <w:p w:rsidR="00C752B3" w:rsidRDefault="00C752B3" w:rsidP="00526697">
      <w:pPr>
        <w:pStyle w:val="BodyText"/>
        <w:numPr>
          <w:ilvl w:val="6"/>
          <w:numId w:val="2"/>
        </w:numPr>
      </w:pPr>
      <w:r>
        <w:t xml:space="preserve">With regard to financial effects, the Panel examined the impact of </w:t>
      </w:r>
      <w:r w:rsidR="00F15CB7">
        <w:t xml:space="preserve">the </w:t>
      </w:r>
      <w:r>
        <w:t>pre</w:t>
      </w:r>
      <w:r>
        <w:noBreakHyphen/>
        <w:t xml:space="preserve">A350XWB LA/MSF </w:t>
      </w:r>
      <w:r w:rsidR="00F15CB7">
        <w:t xml:space="preserve">subsidies </w:t>
      </w:r>
      <w:r>
        <w:t>on the A350XWB programme in terms of (i) enterprise value</w:t>
      </w:r>
      <w:r>
        <w:rPr>
          <w:rStyle w:val="FootnoteReference"/>
        </w:rPr>
        <w:footnoteReference w:id="1586"/>
      </w:r>
      <w:r>
        <w:t>; (ii) return on capital employed (ROCE)</w:t>
      </w:r>
      <w:r>
        <w:rPr>
          <w:rStyle w:val="FootnoteReference"/>
        </w:rPr>
        <w:footnoteReference w:id="1587"/>
      </w:r>
      <w:r>
        <w:t>; (iii) mitigation of A380 and A340 programme issues</w:t>
      </w:r>
      <w:r>
        <w:rPr>
          <w:rStyle w:val="FootnoteReference"/>
        </w:rPr>
        <w:footnoteReference w:id="1588"/>
      </w:r>
      <w:r>
        <w:t xml:space="preserve">; (iv) the report by </w:t>
      </w:r>
      <w:r w:rsidRPr="002552BE">
        <w:t>Professor David Wessels of the Wharton Business School</w:t>
      </w:r>
      <w:r>
        <w:rPr>
          <w:rStyle w:val="FootnoteReference"/>
        </w:rPr>
        <w:footnoteReference w:id="1589"/>
      </w:r>
      <w:r w:rsidR="00C94315">
        <w:t>; and (v) </w:t>
      </w:r>
      <w:r>
        <w:t>revenues.</w:t>
      </w:r>
      <w:r>
        <w:rPr>
          <w:rStyle w:val="FootnoteReference"/>
        </w:rPr>
        <w:footnoteReference w:id="1590"/>
      </w:r>
      <w:r>
        <w:t xml:space="preserve"> On balance, the Panel found that "the evidence … demonstrate{d} that the A350XWB programme significantly benefitted from two of the five Financial Effects of the pre</w:t>
      </w:r>
      <w:r>
        <w:noBreakHyphen/>
        <w:t>A350XWB LA/MSF subsidies … namely, the enhanced revenue and debt reduction effects", which "enabled Airbus to launch and bring to market all of its existing Airbus LCA programmes".</w:t>
      </w:r>
      <w:r>
        <w:rPr>
          <w:rStyle w:val="FootnoteReference"/>
        </w:rPr>
        <w:footnoteReference w:id="1591"/>
      </w:r>
      <w:r>
        <w:t xml:space="preserve"> The Panel</w:t>
      </w:r>
      <w:r w:rsidR="00F15CB7">
        <w:t>,</w:t>
      </w:r>
      <w:r>
        <w:t xml:space="preserve"> however</w:t>
      </w:r>
      <w:r w:rsidR="00F15CB7">
        <w:t>,</w:t>
      </w:r>
      <w:r>
        <w:t xml:space="preserve"> considered it "difficult to materially attribute such Financial Effects related to revenues to the A300 and A310 programmes".</w:t>
      </w:r>
      <w:r>
        <w:rPr>
          <w:rStyle w:val="FootnoteReference"/>
        </w:rPr>
        <w:footnoteReference w:id="1592"/>
      </w:r>
      <w:r>
        <w:t xml:space="preserve"> </w:t>
      </w:r>
    </w:p>
    <w:p w:rsidR="00C752B3" w:rsidRDefault="00C752B3" w:rsidP="00526697">
      <w:pPr>
        <w:pStyle w:val="BodyText"/>
        <w:numPr>
          <w:ilvl w:val="6"/>
          <w:numId w:val="2"/>
        </w:numPr>
      </w:pPr>
      <w:r>
        <w:t>Finally, in respect of the scope and scale effects, the Panel noted that the United States relied on the findings in the original proceedings "without referring to any specific evidence".</w:t>
      </w:r>
      <w:r>
        <w:rPr>
          <w:rStyle w:val="FootnoteReference"/>
        </w:rPr>
        <w:footnoteReference w:id="1593"/>
      </w:r>
      <w:r w:rsidR="00C94315">
        <w:t xml:space="preserve"> As </w:t>
      </w:r>
      <w:r>
        <w:t>a result, while the Panel accepted that the A350XWB "must have benefitted from the scope and scale effects of pre</w:t>
      </w:r>
      <w:r>
        <w:noBreakHyphen/>
        <w:t>A350XWB LA/MSF arising from the existence of Airbus' pre</w:t>
      </w:r>
      <w:r>
        <w:noBreakHyphen/>
        <w:t>existing models of LCA", it found that it could give this line of argument only "limited weight".</w:t>
      </w:r>
      <w:r>
        <w:rPr>
          <w:rStyle w:val="FootnoteReference"/>
        </w:rPr>
        <w:footnoteReference w:id="1594"/>
      </w:r>
      <w:r>
        <w:t xml:space="preserve"> </w:t>
      </w:r>
    </w:p>
    <w:p w:rsidR="00C752B3" w:rsidRDefault="00C752B3" w:rsidP="00526697">
      <w:pPr>
        <w:pStyle w:val="BodyText"/>
        <w:numPr>
          <w:ilvl w:val="6"/>
          <w:numId w:val="2"/>
        </w:numPr>
      </w:pPr>
      <w:r>
        <w:t>In conclusion, with respect to the indirect effects of pre</w:t>
      </w:r>
      <w:r>
        <w:noBreakHyphen/>
        <w:t xml:space="preserve">A350XWB LA/MSF subsidies, the Panel found that "the </w:t>
      </w:r>
      <w:r w:rsidRPr="00FC5133">
        <w:rPr>
          <w:i/>
        </w:rPr>
        <w:t>indirect effects</w:t>
      </w:r>
      <w:r>
        <w:t xml:space="preserve"> of pre</w:t>
      </w:r>
      <w:r>
        <w:noBreakHyphen/>
        <w:t xml:space="preserve">A350XWB LA/MSF were fundamental to Airbus' ability to launch and develop the A350XWB programme", and had no doubt that it would not have been possible to launch the A350XWB if "Airbus {had} not benefitted from these </w:t>
      </w:r>
      <w:r w:rsidRPr="00706826">
        <w:rPr>
          <w:i/>
        </w:rPr>
        <w:t>indirect effects</w:t>
      </w:r>
      <w:r>
        <w:t xml:space="preserve"> of the pre</w:t>
      </w:r>
      <w:r>
        <w:noBreakHyphen/>
        <w:t>A350XWB LA/MSF measures".</w:t>
      </w:r>
      <w:r>
        <w:rPr>
          <w:rStyle w:val="FootnoteReference"/>
        </w:rPr>
        <w:footnoteReference w:id="1595"/>
      </w:r>
      <w:r>
        <w:t xml:space="preserve"> The Panel found it "apparent" that "a non</w:t>
      </w:r>
      <w:r>
        <w:noBreakHyphen/>
        <w:t xml:space="preserve">subsidized Airbus would have had neither the technical expertise nor the financial resources that were available to the actual Airbus company operating at the end of 2006 as a result of the </w:t>
      </w:r>
      <w:r>
        <w:rPr>
          <w:i/>
        </w:rPr>
        <w:t>indirect effects</w:t>
      </w:r>
      <w:r>
        <w:t xml:space="preserve"> </w:t>
      </w:r>
      <w:r>
        <w:rPr>
          <w:i/>
        </w:rPr>
        <w:t>of pre</w:t>
      </w:r>
      <w:r>
        <w:rPr>
          <w:i/>
        </w:rPr>
        <w:noBreakHyphen/>
        <w:t>A350XWB LA/MSF</w:t>
      </w:r>
      <w:r>
        <w:t>."</w:t>
      </w:r>
      <w:r>
        <w:rPr>
          <w:rStyle w:val="FootnoteReference"/>
        </w:rPr>
        <w:footnoteReference w:id="1596"/>
      </w:r>
      <w:r>
        <w:t xml:space="preserve"> Accordingly, the Panel found that its assessment of the </w:t>
      </w:r>
      <w:r w:rsidR="00AD03FA">
        <w:t>"</w:t>
      </w:r>
      <w:r w:rsidR="00251ADE">
        <w:t>indirect </w:t>
      </w:r>
      <w:r>
        <w:t>effects</w:t>
      </w:r>
      <w:r w:rsidR="00AD03FA">
        <w:t>"</w:t>
      </w:r>
      <w:r>
        <w:t xml:space="preserve"> of the pre</w:t>
      </w:r>
      <w:r>
        <w:noBreakHyphen/>
        <w:t>A350XWB L</w:t>
      </w:r>
      <w:r w:rsidR="00AD03FA">
        <w:t>A/MSF subsidies on the A350XWB confirmed</w:t>
      </w:r>
      <w:r>
        <w:t xml:space="preserve"> its conclusion that </w:t>
      </w:r>
      <w:r w:rsidR="00AD03FA">
        <w:t>"</w:t>
      </w:r>
      <w:r>
        <w:t>a</w:t>
      </w:r>
      <w:r w:rsidR="00AD03FA">
        <w:t> </w:t>
      </w:r>
      <w:r>
        <w:t>non</w:t>
      </w:r>
      <w:r>
        <w:noBreakHyphen/>
        <w:t xml:space="preserve">subsidized Airbus operating in the 'unlikely' counterfactual scenarios could </w:t>
      </w:r>
      <w:r w:rsidRPr="00BC16A1">
        <w:rPr>
          <w:i/>
        </w:rPr>
        <w:t>not</w:t>
      </w:r>
      <w:r>
        <w:t xml:space="preserve"> have launched and brought to market the A350XWB or an A350XWB-type aircraft."</w:t>
      </w:r>
      <w:r>
        <w:rPr>
          <w:rStyle w:val="FootnoteReference"/>
        </w:rPr>
        <w:footnoteReference w:id="1597"/>
      </w:r>
    </w:p>
    <w:p w:rsidR="00C752B3" w:rsidRDefault="00C752B3" w:rsidP="00526697">
      <w:pPr>
        <w:pStyle w:val="BodyText"/>
        <w:numPr>
          <w:ilvl w:val="6"/>
          <w:numId w:val="2"/>
        </w:numPr>
      </w:pPr>
      <w:r>
        <w:t>On this basis, using all four counterfactual scenarios from the original proceedings concerning the effects of the pre</w:t>
      </w:r>
      <w:r>
        <w:noBreakHyphen/>
        <w:t>A350XWB LA/MSF subsidies until the end of 2006 as the starting point of its analysis, the Panel found it "apparent that the A350XWB could not have been launched and brought to market in the absence of LA/MSF"</w:t>
      </w:r>
      <w:r>
        <w:rPr>
          <w:rStyle w:val="FootnoteReference"/>
        </w:rPr>
        <w:footnoteReference w:id="1598"/>
      </w:r>
      <w:r>
        <w:t>, with the exception of the LA/MSF subsidies provided for the A300 and A310.</w:t>
      </w:r>
      <w:r>
        <w:rPr>
          <w:rStyle w:val="FootnoteReference"/>
        </w:rPr>
        <w:footnoteReference w:id="1599"/>
      </w:r>
      <w:r>
        <w:t xml:space="preserve"> </w:t>
      </w:r>
    </w:p>
    <w:p w:rsidR="00C752B3" w:rsidRDefault="00C752B3" w:rsidP="00526697">
      <w:pPr>
        <w:pStyle w:val="Heading4"/>
      </w:pPr>
      <w:bookmarkStart w:id="175" w:name="_Ref499649908"/>
      <w:bookmarkStart w:id="176" w:name="_Toc514059279"/>
      <w:r>
        <w:t>Causation under Articles 5(c) and 6.3 of the SCM Agreement</w:t>
      </w:r>
      <w:bookmarkEnd w:id="175"/>
      <w:bookmarkEnd w:id="176"/>
      <w:r>
        <w:t xml:space="preserve"> </w:t>
      </w:r>
    </w:p>
    <w:p w:rsidR="00C752B3" w:rsidRDefault="00C752B3" w:rsidP="00526697">
      <w:pPr>
        <w:pStyle w:val="BodyText"/>
        <w:numPr>
          <w:ilvl w:val="6"/>
          <w:numId w:val="2"/>
        </w:numPr>
      </w:pPr>
      <w:r>
        <w:t>It is well</w:t>
      </w:r>
      <w:r w:rsidR="00AD03FA">
        <w:t xml:space="preserve"> </w:t>
      </w:r>
      <w:r>
        <w:t xml:space="preserve">established that, </w:t>
      </w:r>
      <w:r w:rsidRPr="00E30EE5">
        <w:t xml:space="preserve">in disputes involving claims under Part III of the </w:t>
      </w:r>
      <w:r>
        <w:t>SCM Agreement</w:t>
      </w:r>
      <w:r w:rsidRPr="00E30EE5">
        <w:t xml:space="preserve">, a complainant must demonstrate not only the existence of the relevant subsidies and the adverse effects to its interests, but also that the subsidies have </w:t>
      </w:r>
      <w:r w:rsidRPr="000B5C69">
        <w:rPr>
          <w:i/>
        </w:rPr>
        <w:t xml:space="preserve">caused </w:t>
      </w:r>
      <w:r w:rsidRPr="00E30EE5">
        <w:t>such effects.</w:t>
      </w:r>
      <w:r>
        <w:rPr>
          <w:rStyle w:val="FootnoteReference"/>
        </w:rPr>
        <w:footnoteReference w:id="1600"/>
      </w:r>
      <w:r w:rsidRPr="00E30EE5">
        <w:t xml:space="preserve"> The </w:t>
      </w:r>
      <w:r>
        <w:t>Appellate Body</w:t>
      </w:r>
      <w:r w:rsidRPr="00E30EE5">
        <w:t xml:space="preserve"> has consistently articulated the causal link required as "a genuine and substantial relationship of cause and effect".</w:t>
      </w:r>
      <w:r>
        <w:rPr>
          <w:rStyle w:val="FootnoteReference"/>
        </w:rPr>
        <w:footnoteReference w:id="1601"/>
      </w:r>
      <w:r w:rsidRPr="00E30EE5">
        <w:t xml:space="preserve"> In other words, the subsidies must contribute, in a "genuine" and "substantial" way, to producing or bringing about one or more of the effects, or market phenomena, enumerated in </w:t>
      </w:r>
      <w:r>
        <w:t>Article </w:t>
      </w:r>
      <w:r w:rsidRPr="00E30EE5">
        <w:t>6.3</w:t>
      </w:r>
      <w:r>
        <w:t xml:space="preserve"> of the SCM Agreement</w:t>
      </w:r>
      <w:r w:rsidRPr="00E30EE5">
        <w:t>.</w:t>
      </w:r>
      <w:r>
        <w:rPr>
          <w:rStyle w:val="FootnoteReference"/>
        </w:rPr>
        <w:footnoteReference w:id="1602"/>
      </w:r>
      <w:r>
        <w:t xml:space="preserve"> </w:t>
      </w:r>
      <w:r w:rsidRPr="007E3DF1">
        <w:t>The</w:t>
      </w:r>
      <w:r>
        <w:t xml:space="preserve"> Appellate Body has noted that the</w:t>
      </w:r>
      <w:r w:rsidRPr="007E3DF1">
        <w:t xml:space="preserve"> "genuine" nature of the causal link requires a complainant to show that the nexus between cause and effect is "real" or "true".</w:t>
      </w:r>
      <w:r>
        <w:rPr>
          <w:rStyle w:val="FootnoteReference"/>
        </w:rPr>
        <w:footnoteReference w:id="1603"/>
      </w:r>
      <w:r w:rsidRPr="007E3DF1">
        <w:t xml:space="preserve"> As for the "substantial" component of the causal relationship,</w:t>
      </w:r>
      <w:r>
        <w:t xml:space="preserve"> "</w:t>
      </w:r>
      <w:r w:rsidRPr="007E3DF1">
        <w:t>this concerns the relative importance of the causal ag</w:t>
      </w:r>
      <w:r w:rsidR="00251ADE">
        <w:t>ent (the subsidies at issue) in </w:t>
      </w:r>
      <w:r w:rsidRPr="007E3DF1">
        <w:t>bringing about the adverse effect(s) in question</w:t>
      </w:r>
      <w:r>
        <w:t>"</w:t>
      </w:r>
      <w:r w:rsidR="00AD03FA">
        <w:t>.</w:t>
      </w:r>
      <w:r>
        <w:rPr>
          <w:rStyle w:val="FootnoteReference"/>
        </w:rPr>
        <w:footnoteReference w:id="1604"/>
      </w:r>
      <w:r>
        <w:t xml:space="preserve"> </w:t>
      </w:r>
    </w:p>
    <w:p w:rsidR="00C752B3" w:rsidRDefault="00C752B3" w:rsidP="00526697">
      <w:pPr>
        <w:pStyle w:val="BodyText"/>
        <w:numPr>
          <w:ilvl w:val="6"/>
          <w:numId w:val="2"/>
        </w:numPr>
      </w:pPr>
      <w:r>
        <w:t>The mere presence of other causal factors</w:t>
      </w:r>
      <w:r w:rsidRPr="00E30EE5">
        <w:t xml:space="preserve"> that contribute to a particular market effect does not, in itself, preclude the su</w:t>
      </w:r>
      <w:r w:rsidR="00AD03FA">
        <w:t xml:space="preserve">bsidy from being found to be a </w:t>
      </w:r>
      <w:r w:rsidRPr="00E30EE5">
        <w:t xml:space="preserve">genuine and substantial cause of that effect. </w:t>
      </w:r>
      <w:r>
        <w:t>Indeed,</w:t>
      </w:r>
      <w:r w:rsidRPr="00E30EE5">
        <w:t xml:space="preserve"> </w:t>
      </w:r>
      <w:r>
        <w:t>"</w:t>
      </w:r>
      <w:r w:rsidRPr="00E30EE5">
        <w:t xml:space="preserve">a panel need not determine </w:t>
      </w:r>
      <w:r>
        <w:t>{the subsidy}</w:t>
      </w:r>
      <w:r w:rsidRPr="00E30EE5">
        <w:t xml:space="preserve"> to be the </w:t>
      </w:r>
      <w:r w:rsidRPr="00B26E5A">
        <w:rPr>
          <w:i/>
          <w:iCs/>
        </w:rPr>
        <w:t xml:space="preserve">sole </w:t>
      </w:r>
      <w:r w:rsidRPr="00E30EE5">
        <w:t xml:space="preserve">cause of that effect, or even that it is the </w:t>
      </w:r>
      <w:r w:rsidRPr="00B26E5A">
        <w:rPr>
          <w:i/>
        </w:rPr>
        <w:t xml:space="preserve">only </w:t>
      </w:r>
      <w:r w:rsidRPr="00E30EE5">
        <w:t>substantial cause of that effect</w:t>
      </w:r>
      <w:r>
        <w:t>".</w:t>
      </w:r>
      <w:r>
        <w:rPr>
          <w:rStyle w:val="FootnoteReference"/>
        </w:rPr>
        <w:footnoteReference w:id="1605"/>
      </w:r>
      <w:r>
        <w:t xml:space="preserve"> However, the panel must</w:t>
      </w:r>
      <w:r w:rsidRPr="00E30EE5">
        <w:t xml:space="preserve"> </w:t>
      </w:r>
      <w:r>
        <w:t>"</w:t>
      </w:r>
      <w:r w:rsidRPr="00E30EE5">
        <w:t>take care to ensure that it does not attribute the effects of those other causal factors to the subsidies at issue, and that the other causal factors do not dilute the causal link between those subsidies and the alleged adverse effects such that it is not possible to characterize that link as a genuine and substantial relationship of cause and effect.</w:t>
      </w:r>
      <w:r>
        <w:t>"</w:t>
      </w:r>
      <w:r>
        <w:rPr>
          <w:rStyle w:val="FootnoteReference"/>
        </w:rPr>
        <w:footnoteReference w:id="1606"/>
      </w:r>
      <w:r w:rsidRPr="00B26E5A">
        <w:rPr>
          <w:sz w:val="20"/>
        </w:rPr>
        <w:t xml:space="preserve"> </w:t>
      </w:r>
      <w:r w:rsidRPr="00B26E5A">
        <w:rPr>
          <w:szCs w:val="18"/>
        </w:rPr>
        <w:t>Ultimately, a final determination as to whether the requisite causal link has been established can only be made if, "having given proper consideration to all other relevant contributing factors and their effects, the panel is satisfied that the contribution of the subsidy has been demonstrated to rise to that of a genuine and substantial cause."</w:t>
      </w:r>
      <w:r>
        <w:rPr>
          <w:rStyle w:val="FootnoteReference"/>
          <w:szCs w:val="18"/>
        </w:rPr>
        <w:footnoteReference w:id="1607"/>
      </w:r>
    </w:p>
    <w:p w:rsidR="00C752B3" w:rsidRDefault="00C752B3" w:rsidP="00526697">
      <w:pPr>
        <w:pStyle w:val="BodyText"/>
        <w:numPr>
          <w:ilvl w:val="6"/>
          <w:numId w:val="2"/>
        </w:numPr>
      </w:pPr>
      <w:r>
        <w:t xml:space="preserve">Provided that the panel adheres to the standard for causation described above, </w:t>
      </w:r>
      <w:r w:rsidRPr="00B77B2C">
        <w:t xml:space="preserve">"a panel has a certain degree of discretion in selecting an appropriate methodology for determining whether the 'effect' of a subsidy" is one of the effects set out in </w:t>
      </w:r>
      <w:r>
        <w:t>Article </w:t>
      </w:r>
      <w:r w:rsidRPr="00B77B2C">
        <w:t>6.3</w:t>
      </w:r>
      <w:r>
        <w:t>.</w:t>
      </w:r>
      <w:r w:rsidR="00AD03FA">
        <w:rPr>
          <w:rStyle w:val="FootnoteReference"/>
        </w:rPr>
        <w:footnoteReference w:id="1608"/>
      </w:r>
      <w:r w:rsidR="006A3819">
        <w:t xml:space="preserve"> </w:t>
      </w:r>
      <w:r>
        <w:t>One such methodology is the use of counterfactuals</w:t>
      </w:r>
      <w:r w:rsidR="00A06FE9">
        <w:t>,</w:t>
      </w:r>
      <w:r>
        <w:t xml:space="preserve"> which, in general terms, "</w:t>
      </w:r>
      <w:r w:rsidRPr="00B77B2C">
        <w:t>entails comparing the actual market situation that is before the adjudicator with the market situation that would have existed in the abse</w:t>
      </w:r>
      <w:r>
        <w:t>nce of the challenged subsidies".</w:t>
      </w:r>
      <w:r>
        <w:rPr>
          <w:rStyle w:val="FootnoteReference"/>
        </w:rPr>
        <w:footnoteReference w:id="1609"/>
      </w:r>
      <w:r>
        <w:t xml:space="preserve"> </w:t>
      </w:r>
      <w:r w:rsidRPr="00B77B2C">
        <w:t xml:space="preserve">The </w:t>
      </w:r>
      <w:r>
        <w:t>Appellate Body</w:t>
      </w:r>
      <w:r w:rsidRPr="00B77B2C">
        <w:t xml:space="preserve"> </w:t>
      </w:r>
      <w:r>
        <w:t xml:space="preserve">has </w:t>
      </w:r>
      <w:r w:rsidRPr="00B77B2C">
        <w:t xml:space="preserve">noted </w:t>
      </w:r>
      <w:r>
        <w:t xml:space="preserve">that </w:t>
      </w:r>
      <w:r w:rsidRPr="00B77B2C">
        <w:t>a "but for" approach could be a permissible</w:t>
      </w:r>
      <w:r>
        <w:t xml:space="preserve"> way of conducting a counterfactual analysis</w:t>
      </w:r>
      <w:r>
        <w:rPr>
          <w:rStyle w:val="FootnoteReference"/>
        </w:rPr>
        <w:footnoteReference w:id="1610"/>
      </w:r>
      <w:r>
        <w:t xml:space="preserve"> if "the subsidy is both a necessary cause of the market phenomenon </w:t>
      </w:r>
      <w:r w:rsidRPr="002871EE">
        <w:rPr>
          <w:i/>
        </w:rPr>
        <w:t>and</w:t>
      </w:r>
      <w:r>
        <w:t xml:space="preserve"> a substantial cause".</w:t>
      </w:r>
      <w:r>
        <w:rPr>
          <w:rStyle w:val="FootnoteReference"/>
        </w:rPr>
        <w:footnoteReference w:id="1611"/>
      </w:r>
    </w:p>
    <w:p w:rsidR="00C752B3" w:rsidRDefault="00C752B3" w:rsidP="00526697">
      <w:pPr>
        <w:pStyle w:val="BodyText"/>
        <w:numPr>
          <w:ilvl w:val="6"/>
          <w:numId w:val="2"/>
        </w:numPr>
      </w:pPr>
      <w:r>
        <w:t xml:space="preserve">Another methodological issue concerns </w:t>
      </w:r>
      <w:r w:rsidR="00A06FE9">
        <w:t xml:space="preserve">the </w:t>
      </w:r>
      <w:r>
        <w:t xml:space="preserve">collective assessment of the effects of multiple subsidies. As explained by the Appellate Body in </w:t>
      </w:r>
      <w:r w:rsidRPr="002871EE">
        <w:rPr>
          <w:i/>
        </w:rPr>
        <w:t>US – Large Civil Aircraft (2</w:t>
      </w:r>
      <w:r w:rsidRPr="002871EE">
        <w:rPr>
          <w:i/>
          <w:vertAlign w:val="superscript"/>
        </w:rPr>
        <w:t>nd</w:t>
      </w:r>
      <w:r w:rsidRPr="002871EE">
        <w:rPr>
          <w:i/>
        </w:rPr>
        <w:t> complaint)</w:t>
      </w:r>
      <w:r>
        <w:t xml:space="preserve">, one way to conduct such </w:t>
      </w:r>
      <w:r w:rsidR="00A06FE9">
        <w:t xml:space="preserve">a </w:t>
      </w:r>
      <w:r>
        <w:t>collective assessment is through aggregation, whereby a panel "</w:t>
      </w:r>
      <w:r w:rsidRPr="00E30EE5">
        <w:t>group</w:t>
      </w:r>
      <w:r>
        <w:t>{s}</w:t>
      </w:r>
      <w:r w:rsidRPr="00E30EE5">
        <w:t xml:space="preserve"> together subsidy measures that are sufficiently similar in their design, structure, and operation in order to ascertain their aggregated effects in an integrated causation analysis and determine whether there is a genuine and substantial causal relationship between these multiple subsidies, taken together, and the relevant market phenomena identified in </w:t>
      </w:r>
      <w:r>
        <w:t>Article </w:t>
      </w:r>
      <w:r w:rsidRPr="00E30EE5">
        <w:t xml:space="preserve">6.3 of the </w:t>
      </w:r>
      <w:r>
        <w:t>SCM Agreement".</w:t>
      </w:r>
      <w:r>
        <w:rPr>
          <w:rStyle w:val="FootnoteReference"/>
        </w:rPr>
        <w:footnoteReference w:id="1612"/>
      </w:r>
      <w:r w:rsidRPr="00420336">
        <w:t xml:space="preserve"> </w:t>
      </w:r>
      <w:r>
        <w:t>The Appellate Body cautioned that</w:t>
      </w:r>
      <w:r w:rsidR="00A06FE9">
        <w:t>,</w:t>
      </w:r>
      <w:r>
        <w:t xml:space="preserve"> in each case, "</w:t>
      </w:r>
      <w:r w:rsidRPr="00E30EE5">
        <w:t xml:space="preserve">a panel is subject to the constraint that it must employ an approach that will enable it to take due account of all of the subsidies that provide </w:t>
      </w:r>
      <w:r w:rsidRPr="002871EE">
        <w:rPr>
          <w:i/>
        </w:rPr>
        <w:t xml:space="preserve">a relevant and identifiable competitive advantage </w:t>
      </w:r>
      <w:r w:rsidRPr="00E30EE5">
        <w:t xml:space="preserve">to the recipient and its </w:t>
      </w:r>
      <w:r w:rsidRPr="00D71B33">
        <w:t>products in the market and that relate to alleged adverse effects phenomena.</w:t>
      </w:r>
      <w:r>
        <w:t>"</w:t>
      </w:r>
      <w:r>
        <w:rPr>
          <w:rStyle w:val="FootnoteReference"/>
        </w:rPr>
        <w:footnoteReference w:id="1613"/>
      </w:r>
      <w:r w:rsidRPr="00027465">
        <w:t xml:space="preserve"> </w:t>
      </w:r>
    </w:p>
    <w:p w:rsidR="00C752B3" w:rsidRDefault="00C752B3" w:rsidP="00526697">
      <w:pPr>
        <w:pStyle w:val="BodyText"/>
        <w:numPr>
          <w:ilvl w:val="6"/>
          <w:numId w:val="2"/>
        </w:numPr>
      </w:pPr>
      <w:r>
        <w:t>Finally, we recall that t</w:t>
      </w:r>
      <w:r w:rsidRPr="008D0332">
        <w:t xml:space="preserve">he </w:t>
      </w:r>
      <w:r>
        <w:t xml:space="preserve">original </w:t>
      </w:r>
      <w:r w:rsidRPr="008D0332">
        <w:t xml:space="preserve">panel </w:t>
      </w:r>
      <w:r>
        <w:t xml:space="preserve">in the present dispute </w:t>
      </w:r>
      <w:r w:rsidRPr="008D0332">
        <w:t xml:space="preserve">conducted a </w:t>
      </w:r>
      <w:r w:rsidR="004647D4">
        <w:t>two-step</w:t>
      </w:r>
      <w:r w:rsidRPr="008D0332">
        <w:t xml:space="preserve"> analysis by first examining the existence of certain market phenomena (displacement and lost sales) before analysing whether the subsidies at issue caused serious prejudice in the form of such market phenomen</w:t>
      </w:r>
      <w:r w:rsidR="00A06FE9">
        <w:t>a</w:t>
      </w:r>
      <w:r w:rsidRPr="008D0332">
        <w:t>.</w:t>
      </w:r>
      <w:r>
        <w:rPr>
          <w:rStyle w:val="FootnoteReference"/>
        </w:rPr>
        <w:footnoteReference w:id="1614"/>
      </w:r>
      <w:r w:rsidRPr="008D0332">
        <w:t xml:space="preserve"> Although the </w:t>
      </w:r>
      <w:r>
        <w:t>Appellate Body</w:t>
      </w:r>
      <w:r w:rsidRPr="008D0332">
        <w:t xml:space="preserve"> proceeded on the same basis </w:t>
      </w:r>
      <w:r>
        <w:t>in its analysis</w:t>
      </w:r>
      <w:r w:rsidRPr="008D0332">
        <w:t xml:space="preserve">, </w:t>
      </w:r>
      <w:r>
        <w:t>it nonetheless noted that</w:t>
      </w:r>
      <w:r w:rsidRPr="008D0332">
        <w:t xml:space="preserve"> it </w:t>
      </w:r>
      <w:r w:rsidR="00A06FE9">
        <w:t>wa</w:t>
      </w:r>
      <w:r w:rsidRPr="008D0332">
        <w:t xml:space="preserve">s </w:t>
      </w:r>
      <w:r w:rsidR="00A06FE9">
        <w:t>"</w:t>
      </w:r>
      <w:r w:rsidRPr="008D0332">
        <w:t>difficult to understand the market phenomena described in the various</w:t>
      </w:r>
      <w:r w:rsidRPr="00B77B2C">
        <w:t xml:space="preserve"> subparagraphs of </w:t>
      </w:r>
      <w:r>
        <w:t>Article </w:t>
      </w:r>
      <w:r w:rsidRPr="00B77B2C">
        <w:t>6.3 in isolation from the challenged subsidies".</w:t>
      </w:r>
      <w:r>
        <w:rPr>
          <w:rStyle w:val="FootnoteReference"/>
        </w:rPr>
        <w:footnoteReference w:id="1615"/>
      </w:r>
      <w:r w:rsidRPr="00B87F49">
        <w:t xml:space="preserve"> </w:t>
      </w:r>
      <w:r>
        <w:t>Thus, t</w:t>
      </w:r>
      <w:r w:rsidRPr="00907537">
        <w:t xml:space="preserve">he </w:t>
      </w:r>
      <w:r>
        <w:t>Appellate Body</w:t>
      </w:r>
      <w:r w:rsidRPr="00907537">
        <w:t xml:space="preserve"> found that panels may undertake an analysis of serious prejudice under either a unitary or </w:t>
      </w:r>
      <w:r w:rsidR="004647D4">
        <w:t>two-step</w:t>
      </w:r>
      <w:r>
        <w:t xml:space="preserve"> approach</w:t>
      </w:r>
      <w:r>
        <w:rPr>
          <w:rStyle w:val="FootnoteReference"/>
        </w:rPr>
        <w:footnoteReference w:id="1616"/>
      </w:r>
      <w:r>
        <w:t>, although "</w:t>
      </w:r>
      <w:r w:rsidRPr="00E20560">
        <w:t>a unitary approach that uses a counterfactual will generally be the more appropriate approach</w:t>
      </w:r>
      <w:r>
        <w:t>".</w:t>
      </w:r>
      <w:r>
        <w:rPr>
          <w:rStyle w:val="FootnoteReference"/>
        </w:rPr>
        <w:footnoteReference w:id="1617"/>
      </w:r>
    </w:p>
    <w:p w:rsidR="00C752B3" w:rsidRDefault="00C752B3" w:rsidP="00526697">
      <w:pPr>
        <w:pStyle w:val="Heading4"/>
      </w:pPr>
      <w:bookmarkStart w:id="177" w:name="_Toc514059280"/>
      <w:r>
        <w:t>Findings in the original proceedings and their relevance for these compliance proceedings</w:t>
      </w:r>
      <w:bookmarkEnd w:id="177"/>
    </w:p>
    <w:p w:rsidR="00C752B3" w:rsidRPr="008E118D" w:rsidRDefault="00C752B3" w:rsidP="00526697">
      <w:pPr>
        <w:pStyle w:val="BodyText"/>
        <w:numPr>
          <w:ilvl w:val="6"/>
          <w:numId w:val="2"/>
        </w:numPr>
      </w:pPr>
      <w:r w:rsidRPr="00B65E07">
        <w:t xml:space="preserve">As discussed above, </w:t>
      </w:r>
      <w:r w:rsidRPr="00B65E07">
        <w:rPr>
          <w:bCs/>
        </w:rPr>
        <w:t>the</w:t>
      </w:r>
      <w:r w:rsidRPr="000F59CC">
        <w:rPr>
          <w:bCs/>
        </w:rPr>
        <w:t xml:space="preserve"> question of whether the </w:t>
      </w:r>
      <w:r w:rsidRPr="00CE1AB8">
        <w:rPr>
          <w:bCs/>
          <w:i/>
        </w:rPr>
        <w:t>expired</w:t>
      </w:r>
      <w:r w:rsidRPr="000F59CC">
        <w:rPr>
          <w:bCs/>
        </w:rPr>
        <w:t xml:space="preserve"> subsidies cause adverse effects</w:t>
      </w:r>
      <w:r>
        <w:rPr>
          <w:bCs/>
        </w:rPr>
        <w:t xml:space="preserve"> in the post-implementation period </w:t>
      </w:r>
      <w:r w:rsidRPr="000F59CC">
        <w:rPr>
          <w:bCs/>
        </w:rPr>
        <w:t xml:space="preserve">is not within the scope of these compliance proceedings in </w:t>
      </w:r>
      <w:r>
        <w:rPr>
          <w:bCs/>
        </w:rPr>
        <w:t>light of our</w:t>
      </w:r>
      <w:r w:rsidRPr="000F59CC">
        <w:rPr>
          <w:bCs/>
        </w:rPr>
        <w:t xml:space="preserve"> interpretation of Article 7.8 of the SCM Agreement</w:t>
      </w:r>
      <w:r>
        <w:rPr>
          <w:bCs/>
        </w:rPr>
        <w:t>.</w:t>
      </w:r>
      <w:r w:rsidRPr="000F59CC">
        <w:rPr>
          <w:bCs/>
        </w:rPr>
        <w:t xml:space="preserve"> Nonetheless, findings from the original proceedings in relation to the expired subsidies, in particular those concerning the causal pathway </w:t>
      </w:r>
      <w:r>
        <w:rPr>
          <w:bCs/>
        </w:rPr>
        <w:t>linking</w:t>
      </w:r>
      <w:r w:rsidRPr="000F59CC">
        <w:rPr>
          <w:bCs/>
        </w:rPr>
        <w:t xml:space="preserve"> th</w:t>
      </w:r>
      <w:r w:rsidR="00A06FE9">
        <w:rPr>
          <w:bCs/>
        </w:rPr>
        <w:t>o</w:t>
      </w:r>
      <w:r w:rsidRPr="000F59CC">
        <w:rPr>
          <w:bCs/>
        </w:rPr>
        <w:t>se subsidies and the relevant market phenomen</w:t>
      </w:r>
      <w:r w:rsidR="00A06FE9">
        <w:rPr>
          <w:bCs/>
        </w:rPr>
        <w:t>a</w:t>
      </w:r>
      <w:r w:rsidRPr="000F59CC">
        <w:rPr>
          <w:bCs/>
        </w:rPr>
        <w:t xml:space="preserve">, remain relevant </w:t>
      </w:r>
      <w:r w:rsidR="00A06FE9">
        <w:rPr>
          <w:bCs/>
        </w:rPr>
        <w:t xml:space="preserve">for those proceedings </w:t>
      </w:r>
      <w:r>
        <w:rPr>
          <w:bCs/>
        </w:rPr>
        <w:t>insofar as they inform our understanding of the effects of the</w:t>
      </w:r>
      <w:r w:rsidR="00B65E07">
        <w:rPr>
          <w:bCs/>
        </w:rPr>
        <w:t xml:space="preserve"> subsidies existing in the post</w:t>
      </w:r>
      <w:r w:rsidR="00B65E07">
        <w:rPr>
          <w:bCs/>
        </w:rPr>
        <w:noBreakHyphen/>
      </w:r>
      <w:r>
        <w:rPr>
          <w:bCs/>
        </w:rPr>
        <w:t>implementation period</w:t>
      </w:r>
      <w:r w:rsidR="00A06FE9">
        <w:rPr>
          <w:bCs/>
        </w:rPr>
        <w:t xml:space="preserve"> (after 1 December 2011)</w:t>
      </w:r>
      <w:r>
        <w:rPr>
          <w:bCs/>
        </w:rPr>
        <w:t xml:space="preserve">. </w:t>
      </w:r>
      <w:r w:rsidRPr="000F59CC">
        <w:rPr>
          <w:bCs/>
        </w:rPr>
        <w:t>As the Panel noted, findings by the original panel and the Appellate Body "establish no</w:t>
      </w:r>
      <w:r>
        <w:rPr>
          <w:bCs/>
        </w:rPr>
        <w:t>t</w:t>
      </w:r>
      <w:r w:rsidRPr="000F59CC">
        <w:rPr>
          <w:bCs/>
        </w:rPr>
        <w:t xml:space="preserve"> only what the effects of the pre-A350XWB LA/MSF subsidies were in the 2001-2006 period, but they also describe the design, structure and operation of those subsidies, and therefore how LA/MSF impacted Airb</w:t>
      </w:r>
      <w:r w:rsidR="00B65E07">
        <w:rPr>
          <w:bCs/>
        </w:rPr>
        <w:t>us' operations until the end of </w:t>
      </w:r>
      <w:r w:rsidRPr="000F59CC">
        <w:rPr>
          <w:bCs/>
        </w:rPr>
        <w:t>2006".</w:t>
      </w:r>
      <w:r>
        <w:rPr>
          <w:rStyle w:val="FootnoteReference"/>
          <w:bCs/>
        </w:rPr>
        <w:footnoteReference w:id="1618"/>
      </w:r>
      <w:r w:rsidRPr="008E118D">
        <w:rPr>
          <w:bCs/>
        </w:rPr>
        <w:t xml:space="preserve"> </w:t>
      </w:r>
      <w:r>
        <w:rPr>
          <w:bCs/>
        </w:rPr>
        <w:t>As such,</w:t>
      </w:r>
      <w:r w:rsidRPr="000F59CC">
        <w:rPr>
          <w:bCs/>
        </w:rPr>
        <w:t xml:space="preserve"> they inform our understanding of the </w:t>
      </w:r>
      <w:r>
        <w:rPr>
          <w:bCs/>
        </w:rPr>
        <w:t>causal pathway through which the</w:t>
      </w:r>
      <w:r w:rsidRPr="000F59CC">
        <w:rPr>
          <w:bCs/>
        </w:rPr>
        <w:t xml:space="preserve"> </w:t>
      </w:r>
      <w:r>
        <w:rPr>
          <w:bCs/>
        </w:rPr>
        <w:t xml:space="preserve">existing </w:t>
      </w:r>
      <w:r w:rsidRPr="000F59CC">
        <w:rPr>
          <w:bCs/>
        </w:rPr>
        <w:t>subsidies</w:t>
      </w:r>
      <w:r>
        <w:rPr>
          <w:bCs/>
        </w:rPr>
        <w:t xml:space="preserve"> </w:t>
      </w:r>
      <w:r w:rsidRPr="000F59CC">
        <w:rPr>
          <w:bCs/>
        </w:rPr>
        <w:t>may ca</w:t>
      </w:r>
      <w:r w:rsidR="00A06FE9">
        <w:rPr>
          <w:bCs/>
        </w:rPr>
        <w:t>use adverse effects in the post</w:t>
      </w:r>
      <w:r w:rsidR="00A06FE9">
        <w:rPr>
          <w:bCs/>
        </w:rPr>
        <w:noBreakHyphen/>
      </w:r>
      <w:r w:rsidRPr="000F59CC">
        <w:rPr>
          <w:bCs/>
        </w:rPr>
        <w:t>implementation period.</w:t>
      </w:r>
      <w:r>
        <w:rPr>
          <w:bCs/>
        </w:rPr>
        <w:t xml:space="preserve"> With this in mind, we turn to recall the relevant findings from the original proceedings, particularly those concerning the causal pathway linking the LA/MSF subsidies and the alleged market phenomen</w:t>
      </w:r>
      <w:r w:rsidR="00A06FE9">
        <w:rPr>
          <w:bCs/>
        </w:rPr>
        <w:t>a</w:t>
      </w:r>
      <w:r>
        <w:rPr>
          <w:bCs/>
        </w:rPr>
        <w:t xml:space="preserve"> in the original reference period</w:t>
      </w:r>
      <w:r w:rsidR="00A06FE9">
        <w:rPr>
          <w:bCs/>
        </w:rPr>
        <w:t xml:space="preserve"> (2001-2006)</w:t>
      </w:r>
      <w:r>
        <w:rPr>
          <w:bCs/>
        </w:rPr>
        <w:t>.</w:t>
      </w:r>
    </w:p>
    <w:p w:rsidR="00C752B3" w:rsidRDefault="00C752B3" w:rsidP="00526697">
      <w:pPr>
        <w:pStyle w:val="BodyText"/>
        <w:numPr>
          <w:ilvl w:val="6"/>
          <w:numId w:val="2"/>
        </w:numPr>
      </w:pPr>
      <w:r>
        <w:t>In the original proceedings, the United States advanced a "product" theory of causation,</w:t>
      </w:r>
      <w:r w:rsidRPr="00B77B2C">
        <w:t xml:space="preserve"> </w:t>
      </w:r>
      <w:r>
        <w:t>arguing that "the subsidies had an impact on 'Airbus' ability to launch and bring to the market models of LCA that … would not otherwise have been possible</w:t>
      </w:r>
      <w:r w:rsidRPr="00B77B2C">
        <w:t xml:space="preserve"> </w:t>
      </w:r>
      <w:r>
        <w:t>at the time and in the way that it did without the support of those subsidies'</w:t>
      </w:r>
      <w:r w:rsidR="00A06FE9">
        <w:t>.</w:t>
      </w:r>
      <w:r>
        <w:t>"</w:t>
      </w:r>
      <w:r>
        <w:rPr>
          <w:rStyle w:val="FootnoteReference"/>
        </w:rPr>
        <w:footnoteReference w:id="1619"/>
      </w:r>
      <w:r>
        <w:t xml:space="preserve"> Under this "product" theory of causation, "</w:t>
      </w:r>
      <w:r w:rsidRPr="00863FFE">
        <w:t xml:space="preserve">market distortion and </w:t>
      </w:r>
      <w:r w:rsidRPr="00DA15F1">
        <w:rPr>
          <w:i/>
        </w:rPr>
        <w:t>adverse effects flow directly from Airbus' entry at a particular time with a particular aircraft</w:t>
      </w:r>
      <w:r w:rsidRPr="00E20560">
        <w:t xml:space="preserve">, which in the </w:t>
      </w:r>
      <w:r>
        <w:t>United States</w:t>
      </w:r>
      <w:r w:rsidRPr="00E20560">
        <w:t>' view would not have been possible but for the subsidies.</w:t>
      </w:r>
      <w:r>
        <w:t>"</w:t>
      </w:r>
      <w:r>
        <w:rPr>
          <w:rStyle w:val="FootnoteReference"/>
        </w:rPr>
        <w:footnoteReference w:id="1620"/>
      </w:r>
      <w:r>
        <w:t xml:space="preserve"> In analysing causation, the original panel began by examining </w:t>
      </w:r>
      <w:r w:rsidRPr="00B77B2C">
        <w:t>a r</w:t>
      </w:r>
      <w:r>
        <w:t>eport prepared by Dr</w:t>
      </w:r>
      <w:r w:rsidR="00251ADE">
        <w:t> </w:t>
      </w:r>
      <w:r w:rsidR="00251ADE" w:rsidRPr="00251ADE">
        <w:t>Gary</w:t>
      </w:r>
      <w:r w:rsidR="00251ADE">
        <w:t> </w:t>
      </w:r>
      <w:r w:rsidRPr="00251ADE">
        <w:t>Dorman</w:t>
      </w:r>
      <w:r w:rsidR="00A06FE9">
        <w:rPr>
          <w:rStyle w:val="FootnoteReference"/>
        </w:rPr>
        <w:footnoteReference w:id="1621"/>
      </w:r>
      <w:r w:rsidR="00A06FE9">
        <w:t xml:space="preserve"> (Dorman Report)</w:t>
      </w:r>
      <w:r w:rsidRPr="00B77B2C">
        <w:t>, which simulated the cash</w:t>
      </w:r>
      <w:r>
        <w:t xml:space="preserve"> </w:t>
      </w:r>
      <w:r w:rsidRPr="00B77B2C">
        <w:t>flows that would be generated under six hypothetical LCA programmes</w:t>
      </w:r>
      <w:r>
        <w:t>, in comparison with</w:t>
      </w:r>
      <w:r w:rsidRPr="00B77B2C">
        <w:t xml:space="preserve"> a base case scenario in which the NPV of the programme was calculated without the LA/MSF subsidies.</w:t>
      </w:r>
      <w:r>
        <w:rPr>
          <w:rStyle w:val="FootnoteReference"/>
        </w:rPr>
        <w:footnoteReference w:id="1622"/>
      </w:r>
      <w:r w:rsidRPr="00B77B2C">
        <w:t xml:space="preserve"> </w:t>
      </w:r>
      <w:r>
        <w:t xml:space="preserve">The original panel found that the Dorman </w:t>
      </w:r>
      <w:r w:rsidR="00271FA3">
        <w:t>R</w:t>
      </w:r>
      <w:r>
        <w:t>eport supported the</w:t>
      </w:r>
      <w:r w:rsidRPr="00600551">
        <w:t xml:space="preserve"> </w:t>
      </w:r>
      <w:r>
        <w:t>pro</w:t>
      </w:r>
      <w:r w:rsidRPr="00600551">
        <w:t xml:space="preserve">position that </w:t>
      </w:r>
      <w:r>
        <w:t>"</w:t>
      </w:r>
      <w:r w:rsidRPr="00600551">
        <w:t>Airbus product launches would not have occurred in the absence of LA/MSF</w:t>
      </w:r>
      <w:r>
        <w:t>"</w:t>
      </w:r>
      <w:r>
        <w:rPr>
          <w:rStyle w:val="FootnoteReference"/>
        </w:rPr>
        <w:footnoteReference w:id="1623"/>
      </w:r>
      <w:r>
        <w:t xml:space="preserve"> and demonstrated that "the provision of LA/MSF is likely to change the behaviour of the recipient with respect to a decision to launch a LCA by increasing the likelihood of an affirmative decision to go forward with the launch".</w:t>
      </w:r>
      <w:r>
        <w:rPr>
          <w:rStyle w:val="FootnoteReference"/>
        </w:rPr>
        <w:footnoteReference w:id="1624"/>
      </w:r>
      <w:r w:rsidRPr="000F0FF0">
        <w:t xml:space="preserve"> </w:t>
      </w:r>
    </w:p>
    <w:p w:rsidR="00C752B3" w:rsidRPr="00B306EC" w:rsidRDefault="00C752B3" w:rsidP="00526697">
      <w:pPr>
        <w:pStyle w:val="BodyText"/>
        <w:numPr>
          <w:ilvl w:val="6"/>
          <w:numId w:val="2"/>
        </w:numPr>
      </w:pPr>
      <w:r>
        <w:t xml:space="preserve">The original panel went on to analyse the business cases of various Airbus LCA </w:t>
      </w:r>
      <w:r w:rsidR="00271FA3">
        <w:t>programmes</w:t>
      </w:r>
      <w:r>
        <w:t xml:space="preserve"> and the public statements relied on by the United States. For the A300, A310, A320, A330, and A340, the original panel found that LA/MSF was necessary for Airbus to have launched these LCA as originally designed and at the time that it did.</w:t>
      </w:r>
      <w:r>
        <w:rPr>
          <w:rStyle w:val="FootnoteReference"/>
        </w:rPr>
        <w:footnoteReference w:id="1625"/>
      </w:r>
      <w:r w:rsidRPr="00B77B2C">
        <w:t xml:space="preserve"> </w:t>
      </w:r>
      <w:r w:rsidR="00251ADE">
        <w:t>The original panel noted, in </w:t>
      </w:r>
      <w:r>
        <w:t xml:space="preserve">particular, the complexities and high risks involved in launching an LCA </w:t>
      </w:r>
      <w:r w:rsidR="00271FA3">
        <w:t>programme</w:t>
      </w:r>
      <w:r>
        <w:rPr>
          <w:rStyle w:val="FootnoteReference"/>
        </w:rPr>
        <w:footnoteReference w:id="1626"/>
      </w:r>
      <w:r>
        <w:t xml:space="preserve">, and the high percentage of the development costs of these models that </w:t>
      </w:r>
      <w:r w:rsidR="00271FA3">
        <w:t xml:space="preserve">the </w:t>
      </w:r>
      <w:r>
        <w:t>LA/MSF subsidies financed.</w:t>
      </w:r>
      <w:r>
        <w:rPr>
          <w:rStyle w:val="FootnoteReference"/>
        </w:rPr>
        <w:footnoteReference w:id="1627"/>
      </w:r>
      <w:r>
        <w:t xml:space="preserve"> Moreover, the original panel emphasized that "</w:t>
      </w:r>
      <w:r w:rsidRPr="00600551">
        <w:t>static and dynamic (</w:t>
      </w:r>
      <w:r>
        <w:t>'</w:t>
      </w:r>
      <w:r w:rsidRPr="00600551">
        <w:t>learning curve</w:t>
      </w:r>
      <w:r>
        <w:t>'</w:t>
      </w:r>
      <w:r w:rsidRPr="00600551">
        <w:t xml:space="preserve">) economies of </w:t>
      </w:r>
      <w:r>
        <w:t xml:space="preserve">scope and scale </w:t>
      </w:r>
      <w:r w:rsidRPr="00600551">
        <w:t>achieved in the context of one model of LCA are an important part of the development and</w:t>
      </w:r>
      <w:r>
        <w:t xml:space="preserve"> production of other LCA models"</w:t>
      </w:r>
      <w:r w:rsidRPr="00600551">
        <w:t>.</w:t>
      </w:r>
      <w:r>
        <w:rPr>
          <w:rStyle w:val="FootnoteReference"/>
        </w:rPr>
        <w:footnoteReference w:id="1628"/>
      </w:r>
      <w:r w:rsidRPr="00B306EC">
        <w:t xml:space="preserve"> </w:t>
      </w:r>
      <w:r>
        <w:t>Thus, the original panel found that</w:t>
      </w:r>
      <w:r w:rsidR="00271FA3">
        <w:t>, for example,</w:t>
      </w:r>
      <w:r>
        <w:t xml:space="preserve"> "</w:t>
      </w:r>
      <w:r w:rsidRPr="00182154">
        <w:t>the launch of the A320 in 1984, as originally designed, was to a very large degree</w:t>
      </w:r>
      <w:r w:rsidRPr="00600551">
        <w:t xml:space="preserve"> made possible by Airbus' </w:t>
      </w:r>
      <w:r>
        <w:t xml:space="preserve">successful </w:t>
      </w:r>
      <w:r w:rsidRPr="00600551">
        <w:t>launch</w:t>
      </w:r>
      <w:r>
        <w:t>es</w:t>
      </w:r>
      <w:r w:rsidRPr="00600551">
        <w:t xml:space="preserve"> of the A300 and A310 over the previous decade with the assistance of LA/MSF.</w:t>
      </w:r>
      <w:r>
        <w:t>"</w:t>
      </w:r>
      <w:r>
        <w:rPr>
          <w:rStyle w:val="FootnoteReference"/>
        </w:rPr>
        <w:footnoteReference w:id="1629"/>
      </w:r>
    </w:p>
    <w:p w:rsidR="00C752B3" w:rsidRDefault="00C752B3" w:rsidP="00526697">
      <w:pPr>
        <w:pStyle w:val="BodyText"/>
        <w:numPr>
          <w:ilvl w:val="6"/>
          <w:numId w:val="2"/>
        </w:numPr>
      </w:pPr>
      <w:r>
        <w:t xml:space="preserve">With respect to the A330-200 and A340-500/600, the original panel noted that both were "derivative aircraft" </w:t>
      </w:r>
      <w:r w:rsidRPr="00600551">
        <w:t>whose development was dependent upon the prio</w:t>
      </w:r>
      <w:r>
        <w:t>r production of, respectively, the original A330 and A340.</w:t>
      </w:r>
      <w:r>
        <w:rPr>
          <w:rStyle w:val="FootnoteReference"/>
        </w:rPr>
        <w:footnoteReference w:id="1630"/>
      </w:r>
      <w:r>
        <w:t xml:space="preserve"> The original panel considered that, "</w:t>
      </w:r>
      <w:r w:rsidRPr="00600551">
        <w:t>while the particular grant of LA/MSF specific to the A330-200</w:t>
      </w:r>
      <w:r>
        <w:t> may not</w:t>
      </w:r>
      <w:r w:rsidRPr="00600551">
        <w:t xml:space="preserve"> have been necessary to its launch, on the whole, </w:t>
      </w:r>
      <w:r>
        <w:t>…</w:t>
      </w:r>
      <w:r w:rsidR="00251ADE">
        <w:t> </w:t>
      </w:r>
      <w:r w:rsidRPr="00600551">
        <w:t>LA/MSF was necessary to the launch of the A330-200, as without the grant of LA/MSF for the development of the original model (and all models preceding th</w:t>
      </w:r>
      <w:r>
        <w:t>at</w:t>
      </w:r>
      <w:r w:rsidRPr="00600551">
        <w:t xml:space="preserve"> model), the A330-200 could not have been launched when it was without significantly higher costs.</w:t>
      </w:r>
      <w:r>
        <w:t>"</w:t>
      </w:r>
      <w:r>
        <w:rPr>
          <w:rStyle w:val="FootnoteReference"/>
        </w:rPr>
        <w:footnoteReference w:id="1631"/>
      </w:r>
      <w:r>
        <w:t xml:space="preserve"> The original panel further considered that "</w:t>
      </w:r>
      <w:r w:rsidRPr="00600551">
        <w:t>LA/MSF was also essential to the development of the A340-500/600</w:t>
      </w:r>
      <w:r>
        <w:t xml:space="preserve">" because </w:t>
      </w:r>
      <w:r w:rsidRPr="00600551">
        <w:t>it</w:t>
      </w:r>
      <w:r>
        <w:t xml:space="preserve"> was "</w:t>
      </w:r>
      <w:r w:rsidRPr="00600551">
        <w:t xml:space="preserve">appropriate not only to consider the LA/MSF </w:t>
      </w:r>
      <w:r w:rsidRPr="0073626F">
        <w:rPr>
          <w:i/>
        </w:rPr>
        <w:t>directly</w:t>
      </w:r>
      <w:r w:rsidRPr="00600551">
        <w:t xml:space="preserve"> linked to the particular aircraft model but also to consider the role that LA/MSF </w:t>
      </w:r>
      <w:r>
        <w:t>played in the launch of</w:t>
      </w:r>
      <w:r w:rsidRPr="00600551">
        <w:t xml:space="preserve"> the aircraft </w:t>
      </w:r>
      <w:r>
        <w:t>on w</w:t>
      </w:r>
      <w:r w:rsidRPr="00600551">
        <w:t xml:space="preserve">hich </w:t>
      </w:r>
      <w:r>
        <w:t>it is based</w:t>
      </w:r>
      <w:r w:rsidRPr="00600551">
        <w:t xml:space="preserve">, as well as all </w:t>
      </w:r>
      <w:r w:rsidRPr="00CB49A1">
        <w:t>other Airbus LCA launched before it."</w:t>
      </w:r>
      <w:r>
        <w:rPr>
          <w:rStyle w:val="FootnoteReference"/>
        </w:rPr>
        <w:footnoteReference w:id="1632"/>
      </w:r>
      <w:r w:rsidRPr="00CB49A1">
        <w:t xml:space="preserve"> </w:t>
      </w:r>
    </w:p>
    <w:p w:rsidR="00C752B3" w:rsidRPr="0073626F" w:rsidRDefault="00C752B3" w:rsidP="00526697">
      <w:pPr>
        <w:pStyle w:val="BodyText"/>
        <w:numPr>
          <w:ilvl w:val="6"/>
          <w:numId w:val="2"/>
        </w:numPr>
      </w:pPr>
      <w:r w:rsidRPr="00CB49A1">
        <w:t xml:space="preserve">Finally, with regard to the A380, as </w:t>
      </w:r>
      <w:r w:rsidRPr="00145239">
        <w:t xml:space="preserve">further described in section </w:t>
      </w:r>
      <w:r w:rsidR="00036088" w:rsidRPr="00145239">
        <w:t>5.6.3.5</w:t>
      </w:r>
      <w:r w:rsidRPr="00145239">
        <w:t xml:space="preserve"> below, the original panel considered various arguments and evidence submitted by both parties, including</w:t>
      </w:r>
      <w:r w:rsidRPr="001907BF">
        <w:t xml:space="preserve"> the Airbus A380 business case</w:t>
      </w:r>
      <w:r>
        <w:t>, and</w:t>
      </w:r>
      <w:r w:rsidRPr="001907BF">
        <w:t xml:space="preserve"> </w:t>
      </w:r>
      <w:r>
        <w:t>found</w:t>
      </w:r>
      <w:r w:rsidRPr="001907BF">
        <w:t xml:space="preserve"> that, "the A380 business case suggest</w:t>
      </w:r>
      <w:r w:rsidR="00331882">
        <w:t>{ed}</w:t>
      </w:r>
      <w:r w:rsidR="004647D4">
        <w:t>, but by no means demonstrat</w:t>
      </w:r>
      <w:r w:rsidR="00331882">
        <w:t>{ed}</w:t>
      </w:r>
      <w:r w:rsidRPr="001907BF">
        <w:t>, that as a stand-alone proposition the project might have been economically viable even without LA/MSF"</w:t>
      </w:r>
      <w:r>
        <w:t>.</w:t>
      </w:r>
      <w:r>
        <w:rPr>
          <w:rStyle w:val="FootnoteReference"/>
        </w:rPr>
        <w:footnoteReference w:id="1633"/>
      </w:r>
      <w:r>
        <w:t xml:space="preserve"> However, noting the "technical capabilities" derived from its development of earlier aircraft models, and the fact that</w:t>
      </w:r>
      <w:r w:rsidRPr="001907BF">
        <w:t xml:space="preserve"> "Airbus would not have been in a position to obtain market financing for the A380, had it not financed the development of its earlier model LCA in </w:t>
      </w:r>
      <w:r>
        <w:t xml:space="preserve">significant part through LA/MSF", the original panel concluded that "either </w:t>
      </w:r>
      <w:r w:rsidRPr="0073626F">
        <w:rPr>
          <w:i/>
        </w:rPr>
        <w:t>directly</w:t>
      </w:r>
      <w:r>
        <w:t xml:space="preserve"> or </w:t>
      </w:r>
      <w:r w:rsidRPr="0073626F">
        <w:rPr>
          <w:i/>
        </w:rPr>
        <w:t>indirectly</w:t>
      </w:r>
      <w:r w:rsidRPr="00600551">
        <w:t>, LA/MSF was a necessary precondition for Airbus</w:t>
      </w:r>
      <w:r>
        <w:t>'</w:t>
      </w:r>
      <w:r w:rsidRPr="00600551">
        <w:t xml:space="preserve"> </w:t>
      </w:r>
      <w:r>
        <w:t>launch in 2000 of</w:t>
      </w:r>
      <w:r w:rsidRPr="00600551">
        <w:t xml:space="preserve"> the A380.</w:t>
      </w:r>
      <w:r>
        <w:t>"</w:t>
      </w:r>
      <w:r>
        <w:rPr>
          <w:rStyle w:val="FootnoteReference"/>
        </w:rPr>
        <w:footnoteReference w:id="1634"/>
      </w:r>
      <w:r>
        <w:t xml:space="preserve"> </w:t>
      </w:r>
      <w:r w:rsidRPr="0073626F">
        <w:rPr>
          <w:szCs w:val="24"/>
        </w:rPr>
        <w:t>Th</w:t>
      </w:r>
      <w:r w:rsidR="00251ADE">
        <w:rPr>
          <w:szCs w:val="24"/>
        </w:rPr>
        <w:t>us, </w:t>
      </w:r>
      <w:r>
        <w:rPr>
          <w:szCs w:val="24"/>
        </w:rPr>
        <w:t>with regard to the "product</w:t>
      </w:r>
      <w:r w:rsidRPr="0073626F">
        <w:rPr>
          <w:szCs w:val="24"/>
        </w:rPr>
        <w:t xml:space="preserve"> effects</w:t>
      </w:r>
      <w:r>
        <w:rPr>
          <w:szCs w:val="24"/>
        </w:rPr>
        <w:t>"</w:t>
      </w:r>
      <w:r w:rsidRPr="0073626F">
        <w:rPr>
          <w:szCs w:val="24"/>
        </w:rPr>
        <w:t xml:space="preserve"> of the above-mentioned LA/MSF subsidies, the original panel concluded that "Airbus' ability to launch, develop, and introduce to the market, each of its LCA models was dependent on subsidized LA/MSF".</w:t>
      </w:r>
      <w:r>
        <w:rPr>
          <w:rStyle w:val="FootnoteReference"/>
          <w:szCs w:val="24"/>
        </w:rPr>
        <w:footnoteReference w:id="1635"/>
      </w:r>
      <w:r w:rsidRPr="0073626F">
        <w:rPr>
          <w:szCs w:val="24"/>
        </w:rPr>
        <w:t xml:space="preserve"> </w:t>
      </w:r>
    </w:p>
    <w:p w:rsidR="00C752B3" w:rsidRPr="00B77B2C" w:rsidRDefault="00C752B3" w:rsidP="00526697">
      <w:pPr>
        <w:pStyle w:val="BodyText"/>
        <w:numPr>
          <w:ilvl w:val="6"/>
          <w:numId w:val="2"/>
        </w:numPr>
      </w:pPr>
      <w:r w:rsidRPr="0073626F">
        <w:rPr>
          <w:szCs w:val="24"/>
        </w:rPr>
        <w:t xml:space="preserve">The </w:t>
      </w:r>
      <w:r>
        <w:t xml:space="preserve">original </w:t>
      </w:r>
      <w:r w:rsidRPr="0073626F">
        <w:rPr>
          <w:szCs w:val="24"/>
        </w:rPr>
        <w:t>panel</w:t>
      </w:r>
      <w:r>
        <w:rPr>
          <w:szCs w:val="24"/>
        </w:rPr>
        <w:t xml:space="preserve"> went on</w:t>
      </w:r>
      <w:r w:rsidRPr="0073626F">
        <w:rPr>
          <w:szCs w:val="24"/>
        </w:rPr>
        <w:t xml:space="preserve"> to discuss four </w:t>
      </w:r>
      <w:r>
        <w:rPr>
          <w:szCs w:val="24"/>
        </w:rPr>
        <w:t>scenario</w:t>
      </w:r>
      <w:r w:rsidRPr="0073626F">
        <w:rPr>
          <w:szCs w:val="24"/>
        </w:rPr>
        <w:t>s "for the LCA industry in the counterfactual world that would</w:t>
      </w:r>
      <w:r w:rsidR="00331882">
        <w:rPr>
          <w:szCs w:val="24"/>
        </w:rPr>
        <w:t xml:space="preserve"> {have}</w:t>
      </w:r>
      <w:r w:rsidRPr="0073626F">
        <w:rPr>
          <w:szCs w:val="24"/>
        </w:rPr>
        <w:t xml:space="preserve"> exist</w:t>
      </w:r>
      <w:r w:rsidR="00331882">
        <w:rPr>
          <w:szCs w:val="24"/>
        </w:rPr>
        <w:t>{ed}</w:t>
      </w:r>
      <w:r w:rsidRPr="0073626F">
        <w:rPr>
          <w:szCs w:val="24"/>
        </w:rPr>
        <w:t xml:space="preserve"> in the absence of subsidies to Airbus".</w:t>
      </w:r>
      <w:r>
        <w:rPr>
          <w:rStyle w:val="FootnoteReference"/>
          <w:szCs w:val="24"/>
        </w:rPr>
        <w:footnoteReference w:id="1636"/>
      </w:r>
      <w:r w:rsidRPr="0073626F">
        <w:rPr>
          <w:szCs w:val="24"/>
        </w:rPr>
        <w:t xml:space="preserve"> Scenarios 1 and 2, which the </w:t>
      </w:r>
      <w:r>
        <w:t xml:space="preserve">original </w:t>
      </w:r>
      <w:r w:rsidRPr="0073626F">
        <w:rPr>
          <w:szCs w:val="24"/>
        </w:rPr>
        <w:t xml:space="preserve">panel considered </w:t>
      </w:r>
      <w:r>
        <w:t>"plausible", contemplated that a non</w:t>
      </w:r>
      <w:r>
        <w:noBreakHyphen/>
        <w:t>subsidized Airbus would have had no market presence in the 2001-2006 period.</w:t>
      </w:r>
      <w:r>
        <w:rPr>
          <w:rStyle w:val="FootnoteReference"/>
        </w:rPr>
        <w:footnoteReference w:id="1637"/>
      </w:r>
      <w:r w:rsidR="00331882">
        <w:t xml:space="preserve"> Scenarios </w:t>
      </w:r>
      <w:r>
        <w:t>3 and 4 were regarded as "unlikely", which envisaged that a non</w:t>
      </w:r>
      <w:r>
        <w:noBreakHyphen/>
        <w:t xml:space="preserve">subsidized Airbus would </w:t>
      </w:r>
      <w:r w:rsidR="00331882">
        <w:t>have been</w:t>
      </w:r>
      <w:r>
        <w:t xml:space="preserve"> competing in the 2001</w:t>
      </w:r>
      <w:r>
        <w:noBreakHyphen/>
        <w:t xml:space="preserve">2006 period, against either Boeing or Boeing and another US producer. To the original panel, under either of the </w:t>
      </w:r>
      <w:r w:rsidR="004647D4">
        <w:t>"</w:t>
      </w:r>
      <w:r>
        <w:t>unlikely</w:t>
      </w:r>
      <w:r w:rsidR="004647D4">
        <w:t>"</w:t>
      </w:r>
      <w:r>
        <w:t xml:space="preserve"> scenarios, </w:t>
      </w:r>
      <w:r w:rsidRPr="00B77B2C">
        <w:t xml:space="preserve">Airbus </w:t>
      </w:r>
      <w:r>
        <w:t>would have been a "much weaker" company "with at best a more limited offering of LCA models".</w:t>
      </w:r>
      <w:r>
        <w:rPr>
          <w:rStyle w:val="FootnoteReference"/>
        </w:rPr>
        <w:footnoteReference w:id="1638"/>
      </w:r>
      <w:r w:rsidR="00251ADE">
        <w:t xml:space="preserve"> In </w:t>
      </w:r>
      <w:r>
        <w:t>conclusion, the original panel found that, in the absence of the LA/MSF subsidies, Airbus would "</w:t>
      </w:r>
      <w:r w:rsidRPr="004326FD">
        <w:t>not have been able to launch and develop the LCA models it ha</w:t>
      </w:r>
      <w:r>
        <w:t>{d}</w:t>
      </w:r>
      <w:r w:rsidRPr="004326FD">
        <w:t xml:space="preserve"> actually succeeded in bringing to the market</w:t>
      </w:r>
      <w:r>
        <w:t>", and that "</w:t>
      </w:r>
      <w:r w:rsidRPr="007915FC">
        <w:t xml:space="preserve">Airbus' market presence during the period 2001-2006, as reflected in its share of the EC and certain third country markets and the sales it won at Boeing's expense, </w:t>
      </w:r>
      <w:r w:rsidR="00331882">
        <w:t>{was}</w:t>
      </w:r>
      <w:r w:rsidRPr="007915FC">
        <w:t xml:space="preserve"> clearly an effect of the subsidies</w:t>
      </w:r>
      <w:r w:rsidR="00331882">
        <w:t>"</w:t>
      </w:r>
      <w:r w:rsidRPr="007915FC">
        <w:t xml:space="preserve"> </w:t>
      </w:r>
      <w:r w:rsidR="00331882">
        <w:t>at issue in the original proceedings</w:t>
      </w:r>
      <w:r w:rsidRPr="00122E7B">
        <w:t>.</w:t>
      </w:r>
      <w:r>
        <w:rPr>
          <w:rStyle w:val="FootnoteReference"/>
        </w:rPr>
        <w:footnoteReference w:id="1639"/>
      </w:r>
    </w:p>
    <w:p w:rsidR="00C752B3" w:rsidRDefault="00C752B3" w:rsidP="00526697">
      <w:pPr>
        <w:pStyle w:val="BodyText"/>
        <w:numPr>
          <w:ilvl w:val="6"/>
          <w:numId w:val="2"/>
        </w:numPr>
      </w:pPr>
      <w:r>
        <w:t xml:space="preserve">The original panel's above analysis regarding the relevant </w:t>
      </w:r>
      <w:r w:rsidRPr="00CE1AB8">
        <w:t>causal pathway</w:t>
      </w:r>
      <w:r>
        <w:t xml:space="preserve"> of the LA/MSF subsidies remained undisturbed on appeal. </w:t>
      </w:r>
      <w:r w:rsidR="009A5A7F">
        <w:t>On appeal</w:t>
      </w:r>
      <w:r>
        <w:t>, the Appellate Body examined</w:t>
      </w:r>
      <w:r w:rsidR="009A5A7F">
        <w:t>, in particular,</w:t>
      </w:r>
      <w:r>
        <w:t xml:space="preserve"> the European Union's claim that the original panel acted inconsistently with Article 11 of the DSU in its causation finding with respect to LA/MSF for the A380.</w:t>
      </w:r>
      <w:r>
        <w:rPr>
          <w:rStyle w:val="FootnoteReference"/>
        </w:rPr>
        <w:footnoteReference w:id="1640"/>
      </w:r>
      <w:r>
        <w:t xml:space="preserve"> The Appellate Body dismissed the claim, finding that the original panel </w:t>
      </w:r>
      <w:r w:rsidR="009A5A7F">
        <w:t xml:space="preserve">had </w:t>
      </w:r>
      <w:r>
        <w:t>acted within the bounds of its discretion as initial trier of facts.</w:t>
      </w:r>
      <w:r>
        <w:rPr>
          <w:rStyle w:val="FootnoteReference"/>
        </w:rPr>
        <w:footnoteReference w:id="1641"/>
      </w:r>
      <w:r>
        <w:t xml:space="preserve"> Moreover, the Appellate Body found that, even in the counterfactual scenario posited by the European Union, in which Airbus would have been able to launch </w:t>
      </w:r>
      <w:r w:rsidR="009A5A7F">
        <w:t xml:space="preserve">an </w:t>
      </w:r>
      <w:r>
        <w:t>A320-type LCA in 1987 and a</w:t>
      </w:r>
      <w:r w:rsidR="009A5A7F">
        <w:t>n</w:t>
      </w:r>
      <w:r>
        <w:t xml:space="preserve"> A330-type LCA in 1991, "the {original panel's} conclusion that Airbus would not have been able to launch the A380 in 2000 </w:t>
      </w:r>
      <w:r w:rsidRPr="004647D4">
        <w:t>… but for LA/MSF provided in relation to earlier models of LCA</w:t>
      </w:r>
      <w:r>
        <w:t xml:space="preserve"> would hold".</w:t>
      </w:r>
      <w:r>
        <w:rPr>
          <w:rStyle w:val="FootnoteReference"/>
        </w:rPr>
        <w:footnoteReference w:id="1642"/>
      </w:r>
      <w:r>
        <w:t xml:space="preserve"> The Appellate Body also affirmed its agreement with the original panel's view that "Airbus' technical capabilities were derived in large part from its experience in the development of earlier models of LCA".</w:t>
      </w:r>
      <w:r>
        <w:rPr>
          <w:rStyle w:val="FootnoteReference"/>
        </w:rPr>
        <w:footnoteReference w:id="1643"/>
      </w:r>
      <w:r>
        <w:t xml:space="preserve"> Thus, the Appellate Body upheld the original panel's finding that "either directly or indirectly, LA/MSF was a necessary precondition for the launch of the A380 in 2000</w:t>
      </w:r>
      <w:r w:rsidR="009A5A7F">
        <w:t>.</w:t>
      </w:r>
      <w:r>
        <w:t>"</w:t>
      </w:r>
      <w:r>
        <w:rPr>
          <w:rStyle w:val="FootnoteReference"/>
        </w:rPr>
        <w:footnoteReference w:id="1644"/>
      </w:r>
    </w:p>
    <w:p w:rsidR="00C752B3" w:rsidRDefault="00C752B3" w:rsidP="00526697">
      <w:pPr>
        <w:pStyle w:val="BodyText"/>
        <w:numPr>
          <w:ilvl w:val="6"/>
          <w:numId w:val="2"/>
        </w:numPr>
      </w:pPr>
      <w:r>
        <w:t xml:space="preserve">In light of the above findings from the original proceedings, </w:t>
      </w:r>
      <w:r>
        <w:rPr>
          <w:bCs/>
        </w:rPr>
        <w:t>the Panel observed that, due to the similar design, structure, and operation of the LA/MSF subsidies in the original proceedings</w:t>
      </w:r>
      <w:r>
        <w:rPr>
          <w:rStyle w:val="FootnoteReference"/>
          <w:bCs/>
        </w:rPr>
        <w:footnoteReference w:id="1645"/>
      </w:r>
      <w:r>
        <w:rPr>
          <w:bCs/>
        </w:rPr>
        <w:t>, the original panel conducted an aggregated analysis of the effects of th</w:t>
      </w:r>
      <w:r w:rsidR="009A5A7F">
        <w:rPr>
          <w:bCs/>
        </w:rPr>
        <w:t>o</w:t>
      </w:r>
      <w:r>
        <w:rPr>
          <w:bCs/>
        </w:rPr>
        <w:t>se subsidies</w:t>
      </w:r>
      <w:r w:rsidRPr="008E118D">
        <w:t xml:space="preserve"> </w:t>
      </w:r>
      <w:r>
        <w:t>on the basis of two types of "product effects" attributable to the such subsidies: "direct</w:t>
      </w:r>
      <w:r w:rsidR="004647D4">
        <w:t xml:space="preserve"> effects</w:t>
      </w:r>
      <w:r>
        <w:t>" and "indirect effects</w:t>
      </w:r>
      <w:r w:rsidR="004647D4">
        <w:t>"</w:t>
      </w:r>
      <w:r>
        <w:t>.</w:t>
      </w:r>
      <w:r>
        <w:rPr>
          <w:rStyle w:val="FootnoteReference"/>
        </w:rPr>
        <w:footnoteReference w:id="1646"/>
      </w:r>
      <w:r>
        <w:t xml:space="preserve"> Referring to the original panel's findings, the Panel defined "direct effects" as "the effects of any given LA/MSF loan on Airbus' ability to launch and bring to market </w:t>
      </w:r>
      <w:r w:rsidRPr="008E118D">
        <w:rPr>
          <w:i/>
        </w:rPr>
        <w:t>the particular model</w:t>
      </w:r>
      <w:r>
        <w:t xml:space="preserve"> of Airbus LCA specifically funded by that LA/MSF loan".</w:t>
      </w:r>
      <w:r>
        <w:rPr>
          <w:rStyle w:val="FootnoteReference"/>
        </w:rPr>
        <w:footnoteReference w:id="1647"/>
      </w:r>
      <w:r>
        <w:t xml:space="preserve"> The Panel defined "indirect effects" as "the 'learning', scope and financial effects that any given LA/MSF loan provided for the specific purpose of one model of LCA may have on the ability of Airbus to launch and bring to market </w:t>
      </w:r>
      <w:r w:rsidRPr="008E118D">
        <w:rPr>
          <w:i/>
        </w:rPr>
        <w:t>another model</w:t>
      </w:r>
      <w:r>
        <w:t xml:space="preserve"> of LCA."</w:t>
      </w:r>
      <w:r>
        <w:rPr>
          <w:rStyle w:val="FootnoteReference"/>
        </w:rPr>
        <w:footnoteReference w:id="1648"/>
      </w:r>
      <w:r w:rsidRPr="00DF1A70">
        <w:t xml:space="preserve"> </w:t>
      </w:r>
    </w:p>
    <w:p w:rsidR="00C752B3" w:rsidRDefault="00C752B3" w:rsidP="00526697">
      <w:pPr>
        <w:pStyle w:val="BodyText"/>
        <w:numPr>
          <w:ilvl w:val="6"/>
          <w:numId w:val="2"/>
        </w:numPr>
      </w:pPr>
      <w:r>
        <w:t>As for the different types of "indirect effects", the Panel explained that, according to findings of th</w:t>
      </w:r>
      <w:r w:rsidR="004647D4">
        <w:t>e original panel: (i) </w:t>
      </w:r>
      <w:r w:rsidR="009A5A7F">
        <w:t>learning</w:t>
      </w:r>
      <w:r>
        <w:t xml:space="preserve"> effects "result from the extent to which LA/MSF enables Airbus to launch and bring to market one particular model of LCA, and thereby develop the knowledge, know-how and experience to support the launch and development of other models of Airbus LCA"</w:t>
      </w:r>
      <w:r>
        <w:rPr>
          <w:rStyle w:val="FootnoteReference"/>
        </w:rPr>
        <w:footnoteReference w:id="1649"/>
      </w:r>
      <w:r>
        <w:t>; (ii) economies of scope arise "when, for example, basic aircraft design and components are shared across different models of LCA, making i</w:t>
      </w:r>
      <w:r w:rsidR="00251ADE">
        <w:t>t possible to share inputs (and </w:t>
      </w:r>
      <w:r>
        <w:t>therefore spread costs) between the production processes of different aircraft"</w:t>
      </w:r>
      <w:r>
        <w:rPr>
          <w:rStyle w:val="FootnoteReference"/>
        </w:rPr>
        <w:footnoteReference w:id="1650"/>
      </w:r>
      <w:r w:rsidR="00251ADE">
        <w:t>; and </w:t>
      </w:r>
      <w:r w:rsidR="004647D4">
        <w:t>(iii) </w:t>
      </w:r>
      <w:r>
        <w:t>financial effects "result from not only the impact of the 'learning' and scope effects on the cost of financing new models of LCA, but also the revenues generated from sales and deliveries of LCA that would not exist in the absence of LA/MSF, as well as the below-market interest rates charged on the repayment of LA/MSF".</w:t>
      </w:r>
      <w:r>
        <w:rPr>
          <w:rStyle w:val="FootnoteReference"/>
        </w:rPr>
        <w:footnoteReference w:id="1651"/>
      </w:r>
      <w:r>
        <w:t xml:space="preserve"> </w:t>
      </w:r>
    </w:p>
    <w:p w:rsidR="00C752B3" w:rsidRDefault="00C752B3" w:rsidP="00526697">
      <w:pPr>
        <w:pStyle w:val="BodyText"/>
        <w:numPr>
          <w:ilvl w:val="6"/>
          <w:numId w:val="2"/>
        </w:numPr>
      </w:pPr>
      <w:r>
        <w:t>Our review of the original panel's findings supports the notion that the "product effects</w:t>
      </w:r>
      <w:r w:rsidR="009A5A7F">
        <w:t>"</w:t>
      </w:r>
      <w:r>
        <w:t xml:space="preserve"> of </w:t>
      </w:r>
      <w:r w:rsidR="009A5A7F">
        <w:t xml:space="preserve">the </w:t>
      </w:r>
      <w:r>
        <w:t xml:space="preserve">LA/MSF subsidies have at least two dimensions: one concerns Airbus' ability to launch the LCA </w:t>
      </w:r>
      <w:r w:rsidR="004647D4">
        <w:t>model</w:t>
      </w:r>
      <w:r w:rsidR="009A5A7F">
        <w:t xml:space="preserve"> </w:t>
      </w:r>
      <w:r>
        <w:t>that an LA/MSF subsidy directly finances, and the other relates to Airbus' ability to launch other LCA</w:t>
      </w:r>
      <w:r w:rsidR="009A5A7F">
        <w:t xml:space="preserve"> </w:t>
      </w:r>
      <w:r w:rsidR="004647D4">
        <w:t>models</w:t>
      </w:r>
      <w:r>
        <w:t>.</w:t>
      </w:r>
      <w:r w:rsidRPr="008315B1">
        <w:t xml:space="preserve"> </w:t>
      </w:r>
      <w:r>
        <w:t xml:space="preserve">As the Panel correctly noted, the original panel's causation findings "were inextricably linked to the 'learning', scope and financial effects of the LA/MSF subsidies </w:t>
      </w:r>
      <w:r w:rsidRPr="00682A1B">
        <w:rPr>
          <w:i/>
        </w:rPr>
        <w:t>across Airbus' different models of LCA</w:t>
      </w:r>
      <w:r>
        <w:t>".</w:t>
      </w:r>
      <w:r>
        <w:rPr>
          <w:rStyle w:val="FootnoteReference"/>
        </w:rPr>
        <w:footnoteReference w:id="1652"/>
      </w:r>
      <w:r>
        <w:t xml:space="preserve"> </w:t>
      </w:r>
      <w:r w:rsidRPr="00024B50">
        <w:t xml:space="preserve">At the same time, we </w:t>
      </w:r>
      <w:r>
        <w:t>caution</w:t>
      </w:r>
      <w:r w:rsidRPr="00024B50">
        <w:t xml:space="preserve"> that this nomenclature serves only as an analytical tool and</w:t>
      </w:r>
      <w:r>
        <w:t xml:space="preserve"> </w:t>
      </w:r>
      <w:r w:rsidRPr="00024B50">
        <w:t xml:space="preserve">does not change the substance of the </w:t>
      </w:r>
      <w:r w:rsidR="004647D4">
        <w:t>finding</w:t>
      </w:r>
      <w:r w:rsidR="00D111A4">
        <w:t>s</w:t>
      </w:r>
      <w:r w:rsidR="004647D4">
        <w:t xml:space="preserve"> from the original proceedings</w:t>
      </w:r>
      <w:r w:rsidRPr="00024B50">
        <w:t>. In particular, we do not see it as creating a rigid dichotomy between</w:t>
      </w:r>
      <w:r w:rsidR="009A5A7F">
        <w:t xml:space="preserve"> the</w:t>
      </w:r>
      <w:r w:rsidRPr="00024B50">
        <w:t xml:space="preserve"> </w:t>
      </w:r>
      <w:r>
        <w:t>two</w:t>
      </w:r>
      <w:r w:rsidRPr="00024B50">
        <w:t xml:space="preserve"> kinds of "product effects</w:t>
      </w:r>
      <w:r>
        <w:t>"</w:t>
      </w:r>
      <w:r w:rsidRPr="00024B50">
        <w:t xml:space="preserve"> of LA/MSF found in the original proceeding</w:t>
      </w:r>
      <w:r>
        <w:t>s</w:t>
      </w:r>
      <w:r w:rsidRPr="00024B50">
        <w:t>. As noted, the original panel found that "either directly or indirectly, LA/MSF was a necessary precondition" for the launch of certain Airbus LCA</w:t>
      </w:r>
      <w:r w:rsidR="009A5A7F">
        <w:t xml:space="preserve"> models</w:t>
      </w:r>
      <w:r w:rsidRPr="00024B50">
        <w:t xml:space="preserve"> such as the A380.</w:t>
      </w:r>
      <w:r>
        <w:rPr>
          <w:rStyle w:val="FootnoteReference"/>
        </w:rPr>
        <w:footnoteReference w:id="1653"/>
      </w:r>
      <w:r w:rsidRPr="00024B50">
        <w:t xml:space="preserve"> For purposes of the original panel's conclusion regarding the "product effects</w:t>
      </w:r>
      <w:r w:rsidR="009A5A7F">
        <w:t>"</w:t>
      </w:r>
      <w:r w:rsidRPr="00024B50">
        <w:t xml:space="preserve">, it was not necessary for the original panel to </w:t>
      </w:r>
      <w:r>
        <w:t>have mad</w:t>
      </w:r>
      <w:r w:rsidRPr="00024B50">
        <w:t xml:space="preserve">e a separate finding with regard to each of </w:t>
      </w:r>
      <w:r w:rsidRPr="00FC5EF6">
        <w:t xml:space="preserve">these two dimensions. </w:t>
      </w:r>
    </w:p>
    <w:p w:rsidR="00C752B3" w:rsidRDefault="00C752B3" w:rsidP="00526697">
      <w:pPr>
        <w:pStyle w:val="Heading4"/>
      </w:pPr>
      <w:bookmarkStart w:id="178" w:name="_Toc514059281"/>
      <w:bookmarkStart w:id="179" w:name="_Ref499650134"/>
      <w:r>
        <w:t>Whether the Panel erred in its findings on the "product effects" of the LA/MSF subsidies existing in the post-implementation period</w:t>
      </w:r>
      <w:bookmarkEnd w:id="178"/>
    </w:p>
    <w:p w:rsidR="00C752B3" w:rsidRDefault="00C752B3" w:rsidP="00526697">
      <w:pPr>
        <w:pStyle w:val="BodyText"/>
        <w:numPr>
          <w:ilvl w:val="6"/>
          <w:numId w:val="2"/>
        </w:numPr>
      </w:pPr>
      <w:r>
        <w:t xml:space="preserve">Keeping in mind </w:t>
      </w:r>
      <w:r w:rsidR="009A5A7F">
        <w:t xml:space="preserve">the </w:t>
      </w:r>
      <w:r>
        <w:t>above considerations regarding the relevance of the findings from the original proceedings</w:t>
      </w:r>
      <w:r w:rsidR="009A5A7F">
        <w:t xml:space="preserve"> for these compliance proceedings</w:t>
      </w:r>
      <w:r>
        <w:t>, we turn to review the Panel's findings regarding the effects of the subsidies existing in the post-implementation period</w:t>
      </w:r>
      <w:r w:rsidR="00B65E07">
        <w:t xml:space="preserve"> (after </w:t>
      </w:r>
      <w:r w:rsidR="009A5A7F">
        <w:t>1 </w:t>
      </w:r>
      <w:r w:rsidR="009A5A7F" w:rsidRPr="009A5A7F">
        <w:t>December</w:t>
      </w:r>
      <w:r w:rsidR="004647D4">
        <w:t> </w:t>
      </w:r>
      <w:r w:rsidR="009A5A7F" w:rsidRPr="009A5A7F">
        <w:t>2011</w:t>
      </w:r>
      <w:r w:rsidR="009A5A7F">
        <w:t>)</w:t>
      </w:r>
      <w:r>
        <w:t>, and the European Union's appeal of such findings. We note that, while contending that the pre</w:t>
      </w:r>
      <w:r>
        <w:noBreakHyphen/>
        <w:t xml:space="preserve">A380 LA/MSF subsidies "ceased to exist" before the implementation period and </w:t>
      </w:r>
      <w:r w:rsidR="00226496">
        <w:t xml:space="preserve">were </w:t>
      </w:r>
      <w:r>
        <w:t>therefore not within the scope of its compliance obligation</w:t>
      </w:r>
      <w:r>
        <w:rPr>
          <w:rStyle w:val="FootnoteReference"/>
        </w:rPr>
        <w:footnoteReference w:id="1654"/>
      </w:r>
      <w:r>
        <w:t xml:space="preserve">, the European Union does not dispute that </w:t>
      </w:r>
      <w:r w:rsidR="009A5A7F">
        <w:t xml:space="preserve">the </w:t>
      </w:r>
      <w:r>
        <w:t>A380 LA/MSF subsidies continued to exist during the post</w:t>
      </w:r>
      <w:r>
        <w:noBreakHyphen/>
        <w:t xml:space="preserve">implementation period. Indeed, as the Panel found, one of the 36 "steps" identified in the European Union's Compliance Communication is the "bringing 'to an end'" of all of the subsidies found to </w:t>
      </w:r>
      <w:r w:rsidR="009A5A7F">
        <w:t xml:space="preserve">have </w:t>
      </w:r>
      <w:r>
        <w:t>cause</w:t>
      </w:r>
      <w:r w:rsidR="009A5A7F">
        <w:t>d</w:t>
      </w:r>
      <w:r>
        <w:t xml:space="preserve"> adverse effects in the original proceedings, "with the exception of the French, German, Spanish and UK A380 LA/MSF" subsidies.</w:t>
      </w:r>
      <w:r>
        <w:rPr>
          <w:rStyle w:val="FootnoteReference"/>
        </w:rPr>
        <w:footnoteReference w:id="1655"/>
      </w:r>
      <w:r>
        <w:t xml:space="preserve"> </w:t>
      </w:r>
    </w:p>
    <w:p w:rsidR="00C752B3" w:rsidRPr="007E3436" w:rsidRDefault="00C752B3" w:rsidP="00526697">
      <w:pPr>
        <w:pStyle w:val="BodyText"/>
        <w:numPr>
          <w:ilvl w:val="6"/>
          <w:numId w:val="2"/>
        </w:numPr>
      </w:pPr>
      <w:r>
        <w:t>The Panel further found that, subsequent to the original reference period (2001</w:t>
      </w:r>
      <w:r>
        <w:noBreakHyphen/>
        <w:t xml:space="preserve">2006), the European Union granted new LA/MSF subsidies </w:t>
      </w:r>
      <w:r w:rsidR="009A5A7F">
        <w:t xml:space="preserve">to Airbus </w:t>
      </w:r>
      <w:r>
        <w:t xml:space="preserve">for developing its A350XWB family of </w:t>
      </w:r>
      <w:r w:rsidR="009A5A7F">
        <w:t>LCA</w:t>
      </w:r>
      <w:r>
        <w:t xml:space="preserve">, and that these subsidies were "closely connected" with the adopted DSB recommendations and rulings </w:t>
      </w:r>
      <w:r w:rsidR="009A5A7F">
        <w:t xml:space="preserve">from the original proceedings </w:t>
      </w:r>
      <w:r>
        <w:t>and the European Union's alleged compliance "actions".</w:t>
      </w:r>
      <w:r>
        <w:rPr>
          <w:rStyle w:val="FootnoteReference"/>
        </w:rPr>
        <w:footnoteReference w:id="1656"/>
      </w:r>
      <w:r>
        <w:t xml:space="preserve"> The Panel found, in particular, that the A350XWB LA/MSF subsidies </w:t>
      </w:r>
      <w:r w:rsidR="009A5A7F">
        <w:t>are</w:t>
      </w:r>
      <w:r w:rsidRPr="007E3436">
        <w:rPr>
          <w:i/>
        </w:rPr>
        <w:t xml:space="preserve"> </w:t>
      </w:r>
      <w:r w:rsidRPr="00A76A83">
        <w:t xml:space="preserve">similar </w:t>
      </w:r>
      <w:r>
        <w:t xml:space="preserve">in </w:t>
      </w:r>
      <w:r w:rsidRPr="00A76A83">
        <w:t>nature</w:t>
      </w:r>
      <w:r>
        <w:t xml:space="preserve"> to the pre</w:t>
      </w:r>
      <w:r>
        <w:noBreakHyphen/>
        <w:t xml:space="preserve">A350XWB LA/MSF subsidies, and that "the </w:t>
      </w:r>
      <w:r w:rsidRPr="007E3436">
        <w:rPr>
          <w:i/>
        </w:rPr>
        <w:t>effects</w:t>
      </w:r>
      <w:r>
        <w:t xml:space="preserve"> of A350XWB LA/MSF </w:t>
      </w:r>
      <w:r w:rsidRPr="007E3436">
        <w:rPr>
          <w:i/>
        </w:rPr>
        <w:t>could</w:t>
      </w:r>
      <w:r>
        <w:t xml:space="preserve"> undermine the European Union's compliance."</w:t>
      </w:r>
      <w:r>
        <w:rPr>
          <w:rStyle w:val="FootnoteReference"/>
        </w:rPr>
        <w:footnoteReference w:id="1657"/>
      </w:r>
      <w:r>
        <w:t xml:space="preserve"> Moreover, in evaluating whether the A350XWB LA/MSF constitutes a subsidy under Article 1.1 of the SCM Agreement, the Panel found that, "{o}</w:t>
      </w:r>
      <w:r w:rsidRPr="007E3436">
        <w:rPr>
          <w:szCs w:val="18"/>
        </w:rPr>
        <w:t>verall, … the LA/MSF contracts for the A350XWB resemble the contracts at issue in the original proceeding, based on the type of terms, including the similarity of disbursement mechanisms, the levy-based repayments of the principal along an anticipated schedule of deliveries and the imposition of royalties, the fact that no security is provided for the debt amount, and the existence of conditional guarantees that are limited only to the performance of obligations."</w:t>
      </w:r>
      <w:r>
        <w:rPr>
          <w:rStyle w:val="FootnoteReference"/>
          <w:szCs w:val="18"/>
        </w:rPr>
        <w:footnoteReference w:id="1658"/>
      </w:r>
      <w:r w:rsidRPr="007E3436">
        <w:rPr>
          <w:szCs w:val="18"/>
        </w:rPr>
        <w:t xml:space="preserve"> Thus, despite "some pertinent differences", the Panel found that "the A350XWB LA/MSF contracts share the same core features as the LA/MSF measures considered in the original proceeding".</w:t>
      </w:r>
      <w:r>
        <w:rPr>
          <w:rStyle w:val="FootnoteReference"/>
          <w:szCs w:val="18"/>
        </w:rPr>
        <w:footnoteReference w:id="1659"/>
      </w:r>
      <w:r w:rsidRPr="007E3436">
        <w:rPr>
          <w:szCs w:val="18"/>
        </w:rPr>
        <w:t xml:space="preserve"> We note that </w:t>
      </w:r>
      <w:r>
        <w:rPr>
          <w:szCs w:val="18"/>
        </w:rPr>
        <w:t>neither participant</w:t>
      </w:r>
      <w:r w:rsidRPr="007E3436">
        <w:rPr>
          <w:szCs w:val="18"/>
        </w:rPr>
        <w:t xml:space="preserve"> has disputed these factual findings by the Panel. </w:t>
      </w:r>
    </w:p>
    <w:p w:rsidR="00C752B3" w:rsidRPr="000721CA" w:rsidRDefault="00C752B3" w:rsidP="00526697">
      <w:pPr>
        <w:pStyle w:val="BodyText"/>
        <w:numPr>
          <w:ilvl w:val="6"/>
          <w:numId w:val="2"/>
        </w:numPr>
      </w:pPr>
      <w:r>
        <w:t>The Panel considered that the same approach used to assess the "product effects" of the LA/MSF subsidies – i.e. through the lenses of their "direct</w:t>
      </w:r>
      <w:r w:rsidR="009A5A7F">
        <w:t xml:space="preserve"> effects</w:t>
      </w:r>
      <w:r>
        <w:t>" and "indirect effects</w:t>
      </w:r>
      <w:r w:rsidR="009A5A7F">
        <w:t>"</w:t>
      </w:r>
      <w:r>
        <w:t xml:space="preserve"> – may be equally applicable for its aggregated analysis of the effects of the LA/MSF subsidies in these compliance proceedings.</w:t>
      </w:r>
      <w:r>
        <w:rPr>
          <w:rStyle w:val="FootnoteReference"/>
        </w:rPr>
        <w:footnoteReference w:id="1660"/>
      </w:r>
      <w:r>
        <w:t xml:space="preserve"> </w:t>
      </w:r>
      <w:r w:rsidRPr="00145239">
        <w:t xml:space="preserve">As noted above in </w:t>
      </w:r>
      <w:r w:rsidR="004F720F" w:rsidRPr="00145239">
        <w:t>paragraph 5.413</w:t>
      </w:r>
      <w:r w:rsidRPr="00145239">
        <w:t>, the Panel's aggregat</w:t>
      </w:r>
      <w:r w:rsidR="009A5A7F" w:rsidRPr="00145239">
        <w:t xml:space="preserve">ed analysis covered all of the </w:t>
      </w:r>
      <w:r w:rsidRPr="00145239">
        <w:t>challenged LA/MSF subsidies, that is, including</w:t>
      </w:r>
      <w:r w:rsidRPr="008D04C9">
        <w:t xml:space="preserve"> the expired subsidies. Pursuant to our interpretation of Article 7.8 of the SCM Agreement, we disagree with the Panel to the extent that it considered the effects of the expired LA/MSF subsidies to be a part of its aggregated assessment. Instead, our review in this section focuses on the Panel's findings relating to a subset of those subsidies, namely, the subsidies existing</w:t>
      </w:r>
      <w:r w:rsidRPr="00CD2B96">
        <w:t xml:space="preserve"> in the post-implementation period.</w:t>
      </w:r>
      <w:r>
        <w:t xml:space="preserve"> We recall in this regard that a panel may group together subsidy measures that are sufficiently similar in their design, structure, and operation in order to ascertain their aggregated effects in an </w:t>
      </w:r>
      <w:r w:rsidR="009A5A7F">
        <w:t>"</w:t>
      </w:r>
      <w:r>
        <w:t>integrated causation analysis"</w:t>
      </w:r>
      <w:r w:rsidR="00226496">
        <w:t>, so as</w:t>
      </w:r>
      <w:r w:rsidRPr="007E3436">
        <w:t xml:space="preserve"> to determine </w:t>
      </w:r>
      <w:r w:rsidR="009A5A7F">
        <w:t>"</w:t>
      </w:r>
      <w:r w:rsidRPr="000E2C3C">
        <w:t>whether</w:t>
      </w:r>
      <w:r w:rsidRPr="007E3436">
        <w:t xml:space="preserve"> there is a genuine and substantial causal relationship between these multiple subsidies, taken together, and the relevant market phenomena identified in Article 6.3 of the </w:t>
      </w:r>
      <w:r w:rsidRPr="009A5A7F">
        <w:t>SCM Agreement</w:t>
      </w:r>
      <w:r w:rsidRPr="007E3436">
        <w:t>."</w:t>
      </w:r>
      <w:r>
        <w:rPr>
          <w:rStyle w:val="FootnoteReference"/>
        </w:rPr>
        <w:footnoteReference w:id="1661"/>
      </w:r>
      <w:r w:rsidRPr="007E3436">
        <w:t xml:space="preserve"> </w:t>
      </w:r>
      <w:r w:rsidRPr="00253010">
        <w:t xml:space="preserve">As we understand it, the </w:t>
      </w:r>
      <w:r>
        <w:t>European Union</w:t>
      </w:r>
      <w:r w:rsidRPr="00253010">
        <w:t xml:space="preserve"> does not </w:t>
      </w:r>
      <w:r>
        <w:t>contest</w:t>
      </w:r>
      <w:r w:rsidRPr="00253010">
        <w:t xml:space="preserve"> that </w:t>
      </w:r>
      <w:r>
        <w:t>the LA/MSF</w:t>
      </w:r>
      <w:r w:rsidRPr="00253010">
        <w:t xml:space="preserve"> subsidies </w:t>
      </w:r>
      <w:r>
        <w:t>for the A380 and the A350XWB</w:t>
      </w:r>
      <w:r w:rsidRPr="00253010">
        <w:t xml:space="preserve"> are similar in their design, structure, and operation</w:t>
      </w:r>
      <w:r>
        <w:t>.</w:t>
      </w:r>
      <w:r>
        <w:rPr>
          <w:rStyle w:val="FootnoteReference"/>
        </w:rPr>
        <w:footnoteReference w:id="1662"/>
      </w:r>
      <w:r w:rsidRPr="00253010">
        <w:t xml:space="preserve"> </w:t>
      </w:r>
      <w:r>
        <w:t>F</w:t>
      </w:r>
      <w:r w:rsidRPr="00253010">
        <w:t xml:space="preserve">or this reason, </w:t>
      </w:r>
      <w:r>
        <w:t xml:space="preserve">we consider </w:t>
      </w:r>
      <w:r w:rsidRPr="00253010">
        <w:t xml:space="preserve">it appropriate to </w:t>
      </w:r>
      <w:r>
        <w:t>assess</w:t>
      </w:r>
      <w:r w:rsidRPr="00253010">
        <w:t xml:space="preserve"> the aggregated effects of </w:t>
      </w:r>
      <w:r>
        <w:t>the A380 and A350XWB LA/MSF subsidies</w:t>
      </w:r>
      <w:r w:rsidR="009A5A7F">
        <w:t xml:space="preserve"> – i.e.</w:t>
      </w:r>
      <w:r>
        <w:t xml:space="preserve"> the</w:t>
      </w:r>
      <w:r w:rsidRPr="00253010">
        <w:t xml:space="preserve"> LA/MSF subsidies that the </w:t>
      </w:r>
      <w:r>
        <w:t>European Union</w:t>
      </w:r>
      <w:r w:rsidRPr="00253010">
        <w:t xml:space="preserve"> continued to </w:t>
      </w:r>
      <w:r>
        <w:t>"grant or maintain" in the post</w:t>
      </w:r>
      <w:r>
        <w:noBreakHyphen/>
      </w:r>
      <w:r w:rsidRPr="00253010">
        <w:t>implementation period</w:t>
      </w:r>
      <w:r w:rsidR="009A5A7F">
        <w:t xml:space="preserve"> – i</w:t>
      </w:r>
      <w:r w:rsidRPr="00253010">
        <w:t>n</w:t>
      </w:r>
      <w:r w:rsidRPr="000E2C3C">
        <w:t xml:space="preserve"> an integrated causation analysis.</w:t>
      </w:r>
      <w:r>
        <w:rPr>
          <w:rStyle w:val="FootnoteReference"/>
        </w:rPr>
        <w:footnoteReference w:id="1663"/>
      </w:r>
      <w:r w:rsidRPr="000E2C3C">
        <w:t xml:space="preserve"> </w:t>
      </w:r>
    </w:p>
    <w:p w:rsidR="00C752B3" w:rsidRDefault="00C752B3" w:rsidP="00526697">
      <w:pPr>
        <w:pStyle w:val="BodyText"/>
        <w:numPr>
          <w:ilvl w:val="6"/>
          <w:numId w:val="2"/>
        </w:numPr>
      </w:pPr>
      <w:r>
        <w:t>As further discussed below, the European Union alleges specific errors regarding the Panel's findings on the "direct" and "indirect" effects of individual LA/MSF subsidies. With respect to the A380, the European Union challenges the Panel's assessment of the "</w:t>
      </w:r>
      <w:r w:rsidR="00226496">
        <w:t>direct</w:t>
      </w:r>
      <w:r>
        <w:t xml:space="preserve"> effects" of the A380 LA/MSF subsidies on Airbus' ability to bring to market the A380. Similarly, the European Union takes issue with the Panel's assessment of the effects of A350XWB LA/MSF subsidies ("direct effects") and A380 LA/MSF subsidies ("indirect effects") on Airbus' ability to launch the A350XWB as and when it did. While we address these s</w:t>
      </w:r>
      <w:r w:rsidR="00251ADE">
        <w:t>pecific aspects of the European </w:t>
      </w:r>
      <w:r>
        <w:t>Union's appeal below, we note that, under the aggregated approach towards the assessment of all LA/MSF followed by the Panel, it was</w:t>
      </w:r>
      <w:r w:rsidRPr="00190773">
        <w:t xml:space="preserve"> neither required to find that each subsidy is, </w:t>
      </w:r>
      <w:r w:rsidRPr="00190773">
        <w:rPr>
          <w:i/>
        </w:rPr>
        <w:t>individually</w:t>
      </w:r>
      <w:r w:rsidRPr="00190773">
        <w:t>, a genuine and substantial cause of the relevant phenomenon, nor to assess the relative contribution of each subsidy</w:t>
      </w:r>
      <w:r>
        <w:t>, considered in isolation,</w:t>
      </w:r>
      <w:r w:rsidRPr="00190773">
        <w:t xml:space="preserve"> within the group to the resulting effects.</w:t>
      </w:r>
      <w:r>
        <w:rPr>
          <w:rStyle w:val="FootnoteReference"/>
        </w:rPr>
        <w:footnoteReference w:id="1664"/>
      </w:r>
      <w:r>
        <w:t xml:space="preserve"> </w:t>
      </w:r>
      <w:r w:rsidRPr="004B1FF7">
        <w:t xml:space="preserve">Against this background, we turn to the European Union's specific allegations of error with a view to ascertaining whether the Panel's analysis regarding the "product effects" of the subsidies existing </w:t>
      </w:r>
      <w:r>
        <w:t xml:space="preserve">in the post-implementation period </w:t>
      </w:r>
      <w:r w:rsidRPr="004B1FF7">
        <w:t xml:space="preserve">support a finding of a genuine and substantial causal relationship between these subsidies, taken together, and the market phenomena identified in the post-implementation period. </w:t>
      </w:r>
    </w:p>
    <w:p w:rsidR="00C752B3" w:rsidRPr="00420CED" w:rsidRDefault="00C752B3" w:rsidP="00526697">
      <w:pPr>
        <w:pStyle w:val="Heading5"/>
        <w:numPr>
          <w:ilvl w:val="4"/>
          <w:numId w:val="26"/>
        </w:numPr>
      </w:pPr>
      <w:bookmarkStart w:id="180" w:name="_Toc514059282"/>
      <w:r>
        <w:t>"Product effects" of A380 LA/MSF subsidies on the A380</w:t>
      </w:r>
      <w:bookmarkEnd w:id="180"/>
    </w:p>
    <w:p w:rsidR="00C752B3" w:rsidRDefault="00C752B3" w:rsidP="00526697">
      <w:pPr>
        <w:pStyle w:val="BodyText"/>
        <w:numPr>
          <w:ilvl w:val="6"/>
          <w:numId w:val="23"/>
        </w:numPr>
      </w:pPr>
      <w:r>
        <w:t>The European Union claims that, "{t}o the extent" that the Panel found that A380 LA/MSF subsidies resulted in "direct effects", the Panel acted inconsistently with Article 11 of the DSU because any such finding lacks a "sufficient evidentiary basis".</w:t>
      </w:r>
      <w:r>
        <w:rPr>
          <w:rStyle w:val="FootnoteReference"/>
        </w:rPr>
        <w:footnoteReference w:id="1665"/>
      </w:r>
      <w:r>
        <w:t xml:space="preserve"> </w:t>
      </w:r>
      <w:r w:rsidRPr="00A25F36">
        <w:t xml:space="preserve">According to the </w:t>
      </w:r>
      <w:r>
        <w:t>European Union</w:t>
      </w:r>
      <w:r w:rsidRPr="00A25F36">
        <w:t>, given the Panel's observation that A380 LA/MSF</w:t>
      </w:r>
      <w:r>
        <w:t xml:space="preserve"> subsidies</w:t>
      </w:r>
      <w:r w:rsidRPr="00A25F36">
        <w:t xml:space="preserve"> w</w:t>
      </w:r>
      <w:r>
        <w:t>ere</w:t>
      </w:r>
      <w:r w:rsidRPr="00A25F36">
        <w:t xml:space="preserve"> "not critical to {the} very existence" of the A380</w:t>
      </w:r>
      <w:r>
        <w:rPr>
          <w:rStyle w:val="FootnoteReference"/>
        </w:rPr>
        <w:footnoteReference w:id="1666"/>
      </w:r>
      <w:r w:rsidRPr="00A25F36">
        <w:t xml:space="preserve">, there is no basis for </w:t>
      </w:r>
      <w:r>
        <w:t>its</w:t>
      </w:r>
      <w:r w:rsidRPr="00A25F36">
        <w:t xml:space="preserve"> finding that A380</w:t>
      </w:r>
      <w:r>
        <w:t> </w:t>
      </w:r>
      <w:r w:rsidRPr="00A25F36">
        <w:t>LA/MSF</w:t>
      </w:r>
      <w:r>
        <w:t xml:space="preserve"> subsidies</w:t>
      </w:r>
      <w:r w:rsidRPr="00A25F36">
        <w:t xml:space="preserve"> w</w:t>
      </w:r>
      <w:r>
        <w:t>ere</w:t>
      </w:r>
      <w:r w:rsidRPr="00A25F36">
        <w:t xml:space="preserve"> a "necessary" cause of the market presence of the aircraft, let alone a "genuine and substantial" cause.</w:t>
      </w:r>
      <w:r>
        <w:rPr>
          <w:rStyle w:val="FootnoteReference"/>
        </w:rPr>
        <w:footnoteReference w:id="1667"/>
      </w:r>
      <w:r w:rsidR="006A3819">
        <w:t xml:space="preserve"> </w:t>
      </w:r>
      <w:r>
        <w:t xml:space="preserve">The European Union also highlights that the "the Panel did </w:t>
      </w:r>
      <w:r>
        <w:rPr>
          <w:i/>
        </w:rPr>
        <w:t>not</w:t>
      </w:r>
      <w:r>
        <w:t xml:space="preserve"> find that, absent A380 LA/MSF, Airbus would have delayed the launch of the A380, or that the A380 would have been any different in technology."</w:t>
      </w:r>
      <w:r>
        <w:rPr>
          <w:rStyle w:val="FootnoteReference"/>
        </w:rPr>
        <w:footnoteReference w:id="1668"/>
      </w:r>
      <w:r>
        <w:t xml:space="preserve"> Alleging that "the Panel's findings are limited to its affirmation that A380 LA/MSF was 'not critical to {the} very existence' of the A380"</w:t>
      </w:r>
      <w:r>
        <w:rPr>
          <w:rStyle w:val="FootnoteReference"/>
        </w:rPr>
        <w:footnoteReference w:id="1669"/>
      </w:r>
      <w:r w:rsidR="008A6943">
        <w:t>, the </w:t>
      </w:r>
      <w:r>
        <w:t>European Union asserts that there "is simply no finding to s</w:t>
      </w:r>
      <w:r w:rsidR="008A6943">
        <w:t>upport the conclusion that A380 </w:t>
      </w:r>
      <w:r>
        <w:t xml:space="preserve">LA/MSF resulted in 'direct effects' on 'Airbus' ability to </w:t>
      </w:r>
      <w:r w:rsidR="008A6943">
        <w:t>launch and bring to market' the </w:t>
      </w:r>
      <w:r>
        <w:t>A380."</w:t>
      </w:r>
      <w:r>
        <w:rPr>
          <w:rStyle w:val="FootnoteReference"/>
        </w:rPr>
        <w:footnoteReference w:id="1670"/>
      </w:r>
      <w:r>
        <w:t xml:space="preserve"> The United States responds that neither the original panel, nor the Panel, made a finding that </w:t>
      </w:r>
      <w:r w:rsidR="00E32A9C">
        <w:t xml:space="preserve">the </w:t>
      </w:r>
      <w:r>
        <w:t>A380 LA/MSF subsidies were not critical to the existence of the A380.</w:t>
      </w:r>
      <w:r>
        <w:rPr>
          <w:rStyle w:val="FootnoteReference"/>
        </w:rPr>
        <w:footnoteReference w:id="1671"/>
      </w:r>
      <w:r>
        <w:t xml:space="preserve"> Instead, according to the United States, the findings from the original proceedings establish that </w:t>
      </w:r>
      <w:r w:rsidR="00226496">
        <w:t xml:space="preserve">the </w:t>
      </w:r>
      <w:r>
        <w:t>A380 LA/MSF subsidies resulted in "direct effects"</w:t>
      </w:r>
      <w:r w:rsidR="00E32A9C">
        <w:rPr>
          <w:rStyle w:val="FootnoteReference"/>
        </w:rPr>
        <w:footnoteReference w:id="1672"/>
      </w:r>
      <w:r>
        <w:t xml:space="preserve"> and these findings cannot be challenged as part of the present compliance proceedings. </w:t>
      </w:r>
    </w:p>
    <w:p w:rsidR="00C752B3" w:rsidRDefault="00C752B3" w:rsidP="00526697">
      <w:pPr>
        <w:pStyle w:val="BodyText"/>
        <w:numPr>
          <w:ilvl w:val="6"/>
          <w:numId w:val="23"/>
        </w:numPr>
      </w:pPr>
      <w:r>
        <w:t xml:space="preserve">As we see it, the crux of the European Union's appeal is its contention that neither the original panel, nor the </w:t>
      </w:r>
      <w:r w:rsidR="00226496">
        <w:t>P</w:t>
      </w:r>
      <w:r>
        <w:t xml:space="preserve">anel, found that </w:t>
      </w:r>
      <w:r w:rsidR="00E32A9C">
        <w:t xml:space="preserve">the </w:t>
      </w:r>
      <w:r>
        <w:t xml:space="preserve">A380 LA/MSF subsidies had </w:t>
      </w:r>
      <w:r w:rsidRPr="00581E13">
        <w:rPr>
          <w:i/>
        </w:rPr>
        <w:t xml:space="preserve">any </w:t>
      </w:r>
      <w:r>
        <w:t>effect on the Airbus' ability to launch and bring to market the A380 as and when it did.</w:t>
      </w:r>
      <w:r>
        <w:rPr>
          <w:rStyle w:val="FootnoteReference"/>
        </w:rPr>
        <w:footnoteReference w:id="1673"/>
      </w:r>
      <w:r>
        <w:t xml:space="preserve"> Before the Panel, the European Union made a similar argument with respect to the original proceedings, claiming that the original panel's causation findings concerning the A380 were based "</w:t>
      </w:r>
      <w:r w:rsidRPr="00581E13">
        <w:rPr>
          <w:i/>
        </w:rPr>
        <w:t>not</w:t>
      </w:r>
      <w:r>
        <w:t xml:space="preserve"> on the impact of A380 MSF on the launch decision, but </w:t>
      </w:r>
      <w:r w:rsidRPr="00581E13">
        <w:rPr>
          <w:u w:val="single"/>
        </w:rPr>
        <w:t>solely</w:t>
      </w:r>
      <w:r>
        <w:t xml:space="preserve"> on the impact of </w:t>
      </w:r>
      <w:r w:rsidRPr="00581E13">
        <w:rPr>
          <w:i/>
        </w:rPr>
        <w:t>all</w:t>
      </w:r>
      <w:r>
        <w:t xml:space="preserve"> previous MSF".</w:t>
      </w:r>
      <w:r>
        <w:rPr>
          <w:rStyle w:val="FootnoteReference"/>
        </w:rPr>
        <w:footnoteReference w:id="1674"/>
      </w:r>
      <w:r>
        <w:t xml:space="preserve"> </w:t>
      </w:r>
      <w:r w:rsidR="00E32A9C">
        <w:t>We therefore understand that, in</w:t>
      </w:r>
      <w:r>
        <w:t xml:space="preserve"> challenging the Panel's alleged finding on the "direct effects" of A380 LA/MSF, the European Union </w:t>
      </w:r>
      <w:r w:rsidR="00E32A9C">
        <w:t>is</w:t>
      </w:r>
      <w:r>
        <w:t xml:space="preserve"> taking issue with the manner in which the Panel understood the causal pathway through which A380 LA/MSF, taken alone, affected Airbus' ability to launch, bring to market, and continue developing the A380 as and when it did. </w:t>
      </w:r>
    </w:p>
    <w:p w:rsidR="00C752B3" w:rsidRPr="00A25F36" w:rsidRDefault="00C752B3" w:rsidP="00526697">
      <w:pPr>
        <w:pStyle w:val="BodyText"/>
        <w:numPr>
          <w:ilvl w:val="6"/>
          <w:numId w:val="23"/>
        </w:numPr>
      </w:pPr>
      <w:r w:rsidRPr="00A25F36">
        <w:t>In paragraph 6.1507 of its Report, the Panel stated that</w:t>
      </w:r>
      <w:r w:rsidR="00E32A9C">
        <w:t>,</w:t>
      </w:r>
      <w:r w:rsidRPr="00A25F36">
        <w:t xml:space="preserve"> "where LA/MSF provided for the specific purpose of launching and bringing an aircraft to market is not critical to its very existence, then the </w:t>
      </w:r>
      <w:r w:rsidRPr="00A25F36">
        <w:rPr>
          <w:i/>
        </w:rPr>
        <w:t>direct effects</w:t>
      </w:r>
      <w:r w:rsidRPr="00A25F36">
        <w:t xml:space="preserve"> of the relevant LA/MSF funding could not normally be said to last for the entire marketing life of the relevant programme."</w:t>
      </w:r>
      <w:r>
        <w:rPr>
          <w:rStyle w:val="FootnoteReference"/>
        </w:rPr>
        <w:footnoteReference w:id="1675"/>
      </w:r>
      <w:r w:rsidRPr="00A25F36">
        <w:t xml:space="preserve"> In a footnote to this statement, the Panel recalled that:</w:t>
      </w:r>
    </w:p>
    <w:p w:rsidR="00C752B3" w:rsidRPr="00A25F36" w:rsidRDefault="00C752B3" w:rsidP="00C752B3">
      <w:pPr>
        <w:pStyle w:val="Quotation"/>
      </w:pPr>
      <w:r w:rsidRPr="00A25F36">
        <w:t>the panel in the original proceeding found that it was likely that "the A330-200 could have been launched even in the absence of the specific LA/MSF granted in respect of that programme" because it was a derivative of the A330 and, therefore, required a comparatively small amount of funding to develop. The original panel also found that the A380 business case suggested, "but by no means</w:t>
      </w:r>
      <w:r w:rsidR="008A6943">
        <w:t xml:space="preserve"> demonstrates", that as a stand</w:t>
      </w:r>
      <w:r w:rsidR="008A6943">
        <w:noBreakHyphen/>
      </w:r>
      <w:r w:rsidRPr="00A25F36">
        <w:t>alone proposition, the A380 might have been economically viable even without the A380 LA/</w:t>
      </w:r>
      <w:r w:rsidRPr="00101913">
        <w:t>MSF</w:t>
      </w:r>
      <w:r w:rsidRPr="00A25F36">
        <w:t xml:space="preserve">. Ultimately, however, in respect of both models of LCA, the panel found that they could not have been launched and brought to market in the absence of the </w:t>
      </w:r>
      <w:r w:rsidRPr="00A25F36">
        <w:rPr>
          <w:i/>
        </w:rPr>
        <w:t>indirect effects</w:t>
      </w:r>
      <w:r w:rsidRPr="00A25F36">
        <w:t xml:space="preserve"> of other LA/MSF subsidies.</w:t>
      </w:r>
      <w:r>
        <w:rPr>
          <w:rStyle w:val="FootnoteReference"/>
        </w:rPr>
        <w:footnoteReference w:id="1676"/>
      </w:r>
      <w:r w:rsidRPr="00A25F36">
        <w:t xml:space="preserve"> </w:t>
      </w:r>
    </w:p>
    <w:p w:rsidR="00C752B3" w:rsidRDefault="00C752B3" w:rsidP="00526697">
      <w:pPr>
        <w:pStyle w:val="BodyText"/>
        <w:numPr>
          <w:ilvl w:val="0"/>
          <w:numId w:val="0"/>
        </w:numPr>
      </w:pPr>
      <w:r w:rsidRPr="00A25F36">
        <w:t xml:space="preserve">The </w:t>
      </w:r>
      <w:r>
        <w:t>European Union</w:t>
      </w:r>
      <w:r w:rsidRPr="00A25F36">
        <w:t xml:space="preserve"> argues that the Panel's statements in paragraph 6.1507 and the footnote thereto </w:t>
      </w:r>
      <w:r w:rsidR="00226496">
        <w:t xml:space="preserve">of its Report </w:t>
      </w:r>
      <w:r w:rsidRPr="00A25F36">
        <w:t>amount to a "</w:t>
      </w:r>
      <w:r w:rsidRPr="00101913">
        <w:t>finding</w:t>
      </w:r>
      <w:r w:rsidRPr="00A25F36">
        <w:t>" that A380 LA/MSF was "not critical to {the} very existence" of the A380</w:t>
      </w:r>
      <w:r>
        <w:t xml:space="preserve"> and that, therefore, the LA/MSF for the </w:t>
      </w:r>
      <w:r w:rsidRPr="00226496">
        <w:t xml:space="preserve">A380 had no </w:t>
      </w:r>
      <w:r w:rsidR="00226496">
        <w:t>"</w:t>
      </w:r>
      <w:r w:rsidRPr="00226496">
        <w:t>direct effects</w:t>
      </w:r>
      <w:r w:rsidR="00226496">
        <w:t>"</w:t>
      </w:r>
      <w:r>
        <w:t>.</w:t>
      </w:r>
      <w:r>
        <w:rPr>
          <w:rStyle w:val="FootnoteReference"/>
        </w:rPr>
        <w:footnoteReference w:id="1677"/>
      </w:r>
      <w:r>
        <w:t xml:space="preserve"> Moreover, the European Union asserts that neith</w:t>
      </w:r>
      <w:r w:rsidR="00226496">
        <w:t xml:space="preserve">er the original panel, nor the </w:t>
      </w:r>
      <w:r>
        <w:t>Panel</w:t>
      </w:r>
      <w:r w:rsidR="00E32A9C">
        <w:t>,</w:t>
      </w:r>
      <w:r>
        <w:t xml:space="preserve"> found that A380 LA/MSF had the effect of advancing the launch of the A380.</w:t>
      </w:r>
      <w:r>
        <w:rPr>
          <w:rStyle w:val="FootnoteReference"/>
        </w:rPr>
        <w:footnoteReference w:id="1678"/>
      </w:r>
      <w:r>
        <w:t xml:space="preserve"> </w:t>
      </w:r>
    </w:p>
    <w:p w:rsidR="00C752B3" w:rsidRDefault="00C752B3" w:rsidP="00526697">
      <w:pPr>
        <w:pStyle w:val="BodyText"/>
        <w:numPr>
          <w:ilvl w:val="6"/>
          <w:numId w:val="23"/>
        </w:numPr>
      </w:pPr>
      <w:r>
        <w:t xml:space="preserve">We have some difficulty in accepting the European Union's </w:t>
      </w:r>
      <w:r w:rsidR="008A6943">
        <w:t>reading of the Panel Report. In </w:t>
      </w:r>
      <w:r>
        <w:t>discussing the dissipation of "direct effects" of an LA/MSF</w:t>
      </w:r>
      <w:r w:rsidR="00226496">
        <w:t xml:space="preserve"> subsidy</w:t>
      </w:r>
      <w:r>
        <w:t>, the Panel made it clear that an LA/MSF subsidy that was not critical to the very existence of an aircraft</w:t>
      </w:r>
      <w:r w:rsidR="00E32A9C">
        <w:t xml:space="preserve"> could nonetheless have "direct</w:t>
      </w:r>
      <w:r>
        <w:t xml:space="preserve"> effects</w:t>
      </w:r>
      <w:r w:rsidR="00E32A9C">
        <w:t>"</w:t>
      </w:r>
      <w:r>
        <w:t xml:space="preserve">, although </w:t>
      </w:r>
      <w:r w:rsidR="00226496">
        <w:t>they</w:t>
      </w:r>
      <w:r>
        <w:t xml:space="preserve"> may not last the entire marketing life of the aircraft.</w:t>
      </w:r>
      <w:r w:rsidR="00226496">
        <w:rPr>
          <w:rStyle w:val="FootnoteReference"/>
        </w:rPr>
        <w:footnoteReference w:id="1679"/>
      </w:r>
      <w:r>
        <w:t xml:space="preserve"> The </w:t>
      </w:r>
      <w:r w:rsidRPr="00A25F36">
        <w:t>Panel</w:t>
      </w:r>
      <w:r>
        <w:t xml:space="preserve"> also</w:t>
      </w:r>
      <w:r w:rsidRPr="00A25F36">
        <w:t xml:space="preserve"> </w:t>
      </w:r>
      <w:r>
        <w:t>recalled</w:t>
      </w:r>
      <w:r w:rsidRPr="00A25F36">
        <w:t xml:space="preserve"> the original panel's finding that </w:t>
      </w:r>
      <w:r w:rsidR="00E32A9C">
        <w:t>"</w:t>
      </w:r>
      <w:r w:rsidRPr="00A25F36">
        <w:t>the A380 business case suggest</w:t>
      </w:r>
      <w:r>
        <w:t>ed</w:t>
      </w:r>
      <w:r w:rsidRPr="00A25F36">
        <w:t>, 'but by no means demonstrates', that as a stand-alone proposition, the A380 might have been economically viable even without the A380 LA/MSF</w:t>
      </w:r>
      <w:r w:rsidR="00E32A9C">
        <w:t>.</w:t>
      </w:r>
      <w:r w:rsidRPr="00A25F36">
        <w:t>"</w:t>
      </w:r>
      <w:r>
        <w:rPr>
          <w:rStyle w:val="FootnoteReference"/>
        </w:rPr>
        <w:footnoteReference w:id="1680"/>
      </w:r>
      <w:r>
        <w:t xml:space="preserve"> This </w:t>
      </w:r>
      <w:r w:rsidR="00E32A9C">
        <w:t>finding</w:t>
      </w:r>
      <w:r>
        <w:t xml:space="preserve"> by the original panel does not, however, suggest that A380 LA/MSF had </w:t>
      </w:r>
      <w:r w:rsidRPr="00420CED">
        <w:rPr>
          <w:i/>
        </w:rPr>
        <w:t>no effects</w:t>
      </w:r>
      <w:r>
        <w:t xml:space="preserve"> on Airbus' ability to </w:t>
      </w:r>
      <w:r w:rsidRPr="00420CED">
        <w:t xml:space="preserve">launch </w:t>
      </w:r>
      <w:r>
        <w:t xml:space="preserve">the A380 </w:t>
      </w:r>
      <w:r w:rsidRPr="00AF2A0B">
        <w:rPr>
          <w:i/>
        </w:rPr>
        <w:t>as and when it did</w:t>
      </w:r>
      <w:r>
        <w:t xml:space="preserve">. </w:t>
      </w:r>
    </w:p>
    <w:p w:rsidR="00C752B3" w:rsidRPr="00A25F36" w:rsidRDefault="00C752B3" w:rsidP="00526697">
      <w:pPr>
        <w:pStyle w:val="BodyText"/>
        <w:numPr>
          <w:ilvl w:val="6"/>
          <w:numId w:val="23"/>
        </w:numPr>
      </w:pPr>
      <w:r>
        <w:t>In this context, we recall that the original panel</w:t>
      </w:r>
      <w:r w:rsidR="00226496">
        <w:t>, having examined the evidence on the record,</w:t>
      </w:r>
      <w:r>
        <w:t xml:space="preserve"> </w:t>
      </w:r>
      <w:r w:rsidRPr="00A25F36">
        <w:t xml:space="preserve">agreed with the </w:t>
      </w:r>
      <w:r>
        <w:t>United States that,</w:t>
      </w:r>
      <w:r w:rsidRPr="00A25F36">
        <w:t xml:space="preserve"> even if Airbus had been confident that the A380 </w:t>
      </w:r>
      <w:r w:rsidR="00E32A9C">
        <w:t>programme</w:t>
      </w:r>
      <w:r w:rsidRPr="00A25F36">
        <w:t xml:space="preserve"> would have been viable without LA/MSF, it would not have been able to fund the </w:t>
      </w:r>
      <w:r w:rsidR="00E32A9C">
        <w:t>programme</w:t>
      </w:r>
      <w:r w:rsidRPr="00A25F36">
        <w:t xml:space="preserve"> relying exclusively on its own resources and </w:t>
      </w:r>
      <w:r>
        <w:t>"</w:t>
      </w:r>
      <w:r w:rsidRPr="00A25F36">
        <w:t>outside financing</w:t>
      </w:r>
      <w:r>
        <w:t>"</w:t>
      </w:r>
      <w:r w:rsidRPr="00A25F36">
        <w:t>.</w:t>
      </w:r>
      <w:r>
        <w:rPr>
          <w:rStyle w:val="FootnoteReference"/>
        </w:rPr>
        <w:footnoteReference w:id="1681"/>
      </w:r>
      <w:r w:rsidRPr="00A25F36">
        <w:t xml:space="preserve"> The original panel rejected the European Communities' argument that the creation of EADS increased Airbus' financial flexibility. For the original panel, it was not clear how or to what degree the corporate restructuring of Airbus Industrie GIE, Aérospatiale, CASA, and Deutsche Airbus affected the ability of Airbus France (or Airbus SAS) to raise the very large amounts of capital needed for the A380 p</w:t>
      </w:r>
      <w:r w:rsidR="00E32A9C">
        <w:t>rogramme</w:t>
      </w:r>
      <w:r w:rsidRPr="00A25F36">
        <w:t>.</w:t>
      </w:r>
      <w:r>
        <w:rPr>
          <w:rStyle w:val="FootnoteReference"/>
        </w:rPr>
        <w:footnoteReference w:id="1682"/>
      </w:r>
      <w:r w:rsidRPr="00A25F36">
        <w:t xml:space="preserve"> </w:t>
      </w:r>
      <w:r>
        <w:t>Finally, t</w:t>
      </w:r>
      <w:r w:rsidRPr="00A25F36">
        <w:t xml:space="preserve">he original panel also observed that the European Communities had "submitted no evidence to support the contention that merely because, reportedly, Boeing was able to finance a significant portion of the </w:t>
      </w:r>
      <w:r>
        <w:t>non</w:t>
      </w:r>
      <w:r>
        <w:noBreakHyphen/>
      </w:r>
      <w:r w:rsidRPr="00A25F36">
        <w:t>recurring costs of development of the 787 through risk-sharing supplier arrangements, Airbus would necessarily have been able to do the same with respect to the A380."</w:t>
      </w:r>
      <w:r>
        <w:rPr>
          <w:rStyle w:val="FootnoteReference"/>
        </w:rPr>
        <w:footnoteReference w:id="1683"/>
      </w:r>
      <w:r w:rsidR="006A3819">
        <w:t xml:space="preserve"> </w:t>
      </w:r>
      <w:r>
        <w:t>T</w:t>
      </w:r>
      <w:r w:rsidRPr="00B218AB">
        <w:t xml:space="preserve">he </w:t>
      </w:r>
      <w:r>
        <w:t>Appellate Body</w:t>
      </w:r>
      <w:r w:rsidRPr="00B218AB">
        <w:t xml:space="preserve"> upheld the</w:t>
      </w:r>
      <w:r>
        <w:t xml:space="preserve"> original</w:t>
      </w:r>
      <w:r w:rsidRPr="00B218AB">
        <w:t xml:space="preserve"> panel's</w:t>
      </w:r>
      <w:r>
        <w:t xml:space="preserve"> overall</w:t>
      </w:r>
      <w:r w:rsidRPr="00B218AB">
        <w:t xml:space="preserve"> conclusion that "either directly or indirectly, LA/MSF was a necessary </w:t>
      </w:r>
      <w:r>
        <w:t>pre</w:t>
      </w:r>
      <w:r w:rsidRPr="00B218AB">
        <w:t>condition for Airb</w:t>
      </w:r>
      <w:r>
        <w:t>us' launch in 2000 of the A380"</w:t>
      </w:r>
      <w:r>
        <w:rPr>
          <w:rStyle w:val="FootnoteReference"/>
        </w:rPr>
        <w:footnoteReference w:id="1684"/>
      </w:r>
      <w:r>
        <w:t>, noting that it</w:t>
      </w:r>
      <w:r w:rsidRPr="00B218AB">
        <w:t xml:space="preserve"> was based on multiple considerations, including the A380 business case, evidence o</w:t>
      </w:r>
      <w:r w:rsidR="00226496">
        <w:t>f</w:t>
      </w:r>
      <w:r w:rsidRPr="00B218AB">
        <w:t xml:space="preserve"> Airbus' ability to fund the A380 in the absence of LA/MSF, and the financial and technological impact of LA/MSF provided in relation to previous models of Airbus LCA.</w:t>
      </w:r>
    </w:p>
    <w:p w:rsidR="00C752B3" w:rsidRPr="00734BAE" w:rsidRDefault="00C752B3" w:rsidP="00526697">
      <w:pPr>
        <w:pStyle w:val="BodyText"/>
        <w:numPr>
          <w:ilvl w:val="6"/>
          <w:numId w:val="23"/>
        </w:numPr>
      </w:pPr>
      <w:r>
        <w:t xml:space="preserve">We agree with the United States that these findings from the original proceedings reveal that, without A380 LA/MSF, Airbus would have been unable to fund the timely launch of the A380 programme relying exclusively on its own financial resources and </w:t>
      </w:r>
      <w:r w:rsidRPr="003522EF">
        <w:t xml:space="preserve">outside </w:t>
      </w:r>
      <w:r>
        <w:t>financing.</w:t>
      </w:r>
      <w:r>
        <w:rPr>
          <w:rStyle w:val="FootnoteReference"/>
        </w:rPr>
        <w:footnoteReference w:id="1685"/>
      </w:r>
      <w:r>
        <w:t xml:space="preserve"> This in turn suggests that A380 LA/MSF had "direct effects" on Airbus' ability to launch the A380</w:t>
      </w:r>
      <w:r w:rsidRPr="00B218AB">
        <w:t xml:space="preserve">. </w:t>
      </w:r>
      <w:r>
        <w:t>We recall that, in these compliance proceedings, the United States bears the burden of establishing that the subsidies granted or maintained by the European Union in the post-implementation period continue to cause adverse effects. Before the Panel, the Unit</w:t>
      </w:r>
      <w:r w:rsidR="008A6943">
        <w:t>ed States argued that "{s}erial </w:t>
      </w:r>
      <w:r>
        <w:t>infusions of LA/MSF have enabled Airbus to cover the full spectrum of LCA demand and to replace uncompetitive models with state-of-the-art aircraft".</w:t>
      </w:r>
      <w:r>
        <w:rPr>
          <w:rStyle w:val="FootnoteReference"/>
        </w:rPr>
        <w:footnoteReference w:id="1686"/>
      </w:r>
      <w:r>
        <w:t xml:space="preserve"> </w:t>
      </w:r>
      <w:r w:rsidRPr="00B218AB">
        <w:t>As further discussed below</w:t>
      </w:r>
      <w:r>
        <w:rPr>
          <w:rStyle w:val="FootnoteReference"/>
        </w:rPr>
        <w:footnoteReference w:id="1687"/>
      </w:r>
      <w:r w:rsidRPr="00B218AB">
        <w:t xml:space="preserve">, the findings </w:t>
      </w:r>
      <w:r w:rsidR="00226496">
        <w:t>by</w:t>
      </w:r>
      <w:r w:rsidRPr="00B218AB">
        <w:t xml:space="preserve"> the original panel and the </w:t>
      </w:r>
      <w:r>
        <w:t>Appellate Body</w:t>
      </w:r>
      <w:r w:rsidRPr="00B218AB">
        <w:t>, together with the Panel's findings regarding the A350XWB, indicate to us that</w:t>
      </w:r>
      <w:r>
        <w:t>, following the original reference period,</w:t>
      </w:r>
      <w:r w:rsidRPr="00B218AB">
        <w:t xml:space="preserve"> </w:t>
      </w:r>
      <w:r w:rsidRPr="00734BAE">
        <w:t xml:space="preserve">the LA/MSF </w:t>
      </w:r>
      <w:r w:rsidR="00E32A9C">
        <w:t xml:space="preserve">subsidies </w:t>
      </w:r>
      <w:r w:rsidRPr="00734BAE">
        <w:t>for the A380 allowed Airbus to build on the platform provided by the technical experience and financial resources derived from the grant of LA/MSF subsidies for previous LCA models.</w:t>
      </w:r>
    </w:p>
    <w:p w:rsidR="00C752B3" w:rsidRDefault="00C752B3" w:rsidP="00526697">
      <w:pPr>
        <w:pStyle w:val="BodyText"/>
        <w:numPr>
          <w:ilvl w:val="6"/>
          <w:numId w:val="23"/>
        </w:numPr>
      </w:pPr>
      <w:r>
        <w:t xml:space="preserve">We note that, pursuant to the Panel's finding regarding the allocation of benefit and expiry of </w:t>
      </w:r>
      <w:r w:rsidR="00E32A9C">
        <w:t xml:space="preserve">the </w:t>
      </w:r>
      <w:r>
        <w:t xml:space="preserve">LA/MSF subsidies, the benefit conferred by the French, German, Spanish, and UK LA/MSF subsidies for the A380 </w:t>
      </w:r>
      <w:r w:rsidRPr="00F04D00">
        <w:t xml:space="preserve">had not expired by the end of the implementation period, </w:t>
      </w:r>
      <w:r>
        <w:t>that is, 1 </w:t>
      </w:r>
      <w:r w:rsidRPr="00F04D00">
        <w:t>December 2011.</w:t>
      </w:r>
      <w:r>
        <w:rPr>
          <w:rStyle w:val="FootnoteReference"/>
        </w:rPr>
        <w:footnoteReference w:id="1688"/>
      </w:r>
      <w:r w:rsidRPr="00F04D00">
        <w:t xml:space="preserve"> </w:t>
      </w:r>
      <w:r>
        <w:t xml:space="preserve">Indeed, the Panel observed that one of the 36 "steps" identified in the European Union's Compliance Communication is the "bringing 'to an end'" of </w:t>
      </w:r>
      <w:r w:rsidRPr="00B41454">
        <w:t>all</w:t>
      </w:r>
      <w:r>
        <w:t xml:space="preserve"> of the subsidies found to cause adverse effects in the original proceeding</w:t>
      </w:r>
      <w:r w:rsidR="00E32A9C">
        <w:t>s</w:t>
      </w:r>
      <w:r>
        <w:t xml:space="preserve"> "</w:t>
      </w:r>
      <w:r w:rsidRPr="00B41454">
        <w:rPr>
          <w:i/>
        </w:rPr>
        <w:t>with the exception of</w:t>
      </w:r>
      <w:r>
        <w:t xml:space="preserve"> the French, German, Spanish and UK A380 LA/MSF measures".</w:t>
      </w:r>
      <w:r>
        <w:rPr>
          <w:rStyle w:val="FootnoteReference"/>
        </w:rPr>
        <w:footnoteReference w:id="1689"/>
      </w:r>
      <w:r>
        <w:t xml:space="preserve"> Thus, the </w:t>
      </w:r>
      <w:r>
        <w:rPr>
          <w:bCs/>
        </w:rPr>
        <w:t>European Union acknowledges</w:t>
      </w:r>
      <w:r w:rsidRPr="00C73926">
        <w:rPr>
          <w:bCs/>
        </w:rPr>
        <w:t xml:space="preserve"> that </w:t>
      </w:r>
      <w:r>
        <w:rPr>
          <w:bCs/>
        </w:rPr>
        <w:t>the A380 LA/MSF</w:t>
      </w:r>
      <w:r w:rsidRPr="00C73926">
        <w:rPr>
          <w:bCs/>
        </w:rPr>
        <w:t xml:space="preserve"> subsidies had not</w:t>
      </w:r>
      <w:r w:rsidRPr="00B41454">
        <w:rPr>
          <w:bCs/>
        </w:rPr>
        <w:t xml:space="preserve"> </w:t>
      </w:r>
      <w:r>
        <w:rPr>
          <w:bCs/>
        </w:rPr>
        <w:t>"</w:t>
      </w:r>
      <w:r w:rsidRPr="00C73926">
        <w:rPr>
          <w:bCs/>
        </w:rPr>
        <w:t>expired</w:t>
      </w:r>
      <w:r>
        <w:rPr>
          <w:bCs/>
        </w:rPr>
        <w:t>"</w:t>
      </w:r>
      <w:r w:rsidRPr="00C73926">
        <w:rPr>
          <w:bCs/>
        </w:rPr>
        <w:t xml:space="preserve"> by the end of the implementation period</w:t>
      </w:r>
      <w:r>
        <w:t>.</w:t>
      </w:r>
    </w:p>
    <w:p w:rsidR="00C752B3" w:rsidRDefault="00C752B3" w:rsidP="00526697">
      <w:pPr>
        <w:pStyle w:val="BodyText"/>
        <w:numPr>
          <w:ilvl w:val="6"/>
          <w:numId w:val="2"/>
        </w:numPr>
      </w:pPr>
      <w:r>
        <w:t>We further recall that findings from</w:t>
      </w:r>
      <w:r w:rsidRPr="009022DF">
        <w:t xml:space="preserve"> the original proceedings</w:t>
      </w:r>
      <w:r>
        <w:t xml:space="preserve"> establish that the A380 was launched in 2000, and the</w:t>
      </w:r>
      <w:r w:rsidRPr="009022DF">
        <w:t xml:space="preserve"> amount of the financial contribution</w:t>
      </w:r>
      <w:r>
        <w:t xml:space="preserve"> under the French, German, Spanish, and UK LA/MSF contracts</w:t>
      </w:r>
      <w:r w:rsidRPr="009022DF">
        <w:t xml:space="preserve"> </w:t>
      </w:r>
      <w:r>
        <w:t>was found to be, in millions,</w:t>
      </w:r>
      <w:r w:rsidRPr="009022DF">
        <w:t xml:space="preserve"> </w:t>
      </w:r>
      <w:r w:rsidRPr="00C73926">
        <w:rPr>
          <w:b/>
        </w:rPr>
        <w:t>[</w:t>
      </w:r>
      <w:r w:rsidR="00E8168B" w:rsidRPr="00C8434D">
        <w:rPr>
          <w:b/>
          <w:szCs w:val="16"/>
        </w:rPr>
        <w:t>BCI</w:t>
      </w:r>
      <w:r w:rsidRPr="00B41454">
        <w:rPr>
          <w:b/>
        </w:rPr>
        <w:t>]</w:t>
      </w:r>
      <w:r>
        <w:t>, respectively</w:t>
      </w:r>
      <w:r w:rsidRPr="00F31EA9">
        <w:t>.</w:t>
      </w:r>
      <w:r>
        <w:rPr>
          <w:rStyle w:val="FootnoteReference"/>
        </w:rPr>
        <w:footnoteReference w:id="1690"/>
      </w:r>
      <w:r w:rsidRPr="00F31EA9">
        <w:t xml:space="preserve"> </w:t>
      </w:r>
      <w:r>
        <w:t xml:space="preserve">Both the original panel and the Appellate Body found </w:t>
      </w:r>
      <w:r w:rsidRPr="009022DF">
        <w:t xml:space="preserve">that </w:t>
      </w:r>
      <w:r w:rsidR="00E32A9C">
        <w:t xml:space="preserve">the </w:t>
      </w:r>
      <w:r>
        <w:t>A380 LA/MSF</w:t>
      </w:r>
      <w:r w:rsidRPr="009022DF">
        <w:t xml:space="preserve"> </w:t>
      </w:r>
      <w:r w:rsidR="00E32A9C">
        <w:t xml:space="preserve">subsidies </w:t>
      </w:r>
      <w:r w:rsidRPr="009022DF">
        <w:t xml:space="preserve">conferred a benefit on Airbus within the meaning of </w:t>
      </w:r>
      <w:r>
        <w:t>Article </w:t>
      </w:r>
      <w:r w:rsidRPr="009022DF">
        <w:t xml:space="preserve">1.1 of the </w:t>
      </w:r>
      <w:r>
        <w:t>SCM Agreement.</w:t>
      </w:r>
      <w:r>
        <w:rPr>
          <w:rStyle w:val="FootnoteReference"/>
        </w:rPr>
        <w:footnoteReference w:id="1691"/>
      </w:r>
      <w:r>
        <w:t xml:space="preserve"> The findings from the original proceedings also </w:t>
      </w:r>
      <w:r w:rsidRPr="00F04D00">
        <w:t xml:space="preserve">establish that, unlike the </w:t>
      </w:r>
      <w:r>
        <w:t>pre</w:t>
      </w:r>
      <w:r>
        <w:noBreakHyphen/>
      </w:r>
      <w:r w:rsidRPr="00F04D00">
        <w:t>A380</w:t>
      </w:r>
      <w:r w:rsidR="00E32A9C">
        <w:t xml:space="preserve"> LA/MSF</w:t>
      </w:r>
      <w:r w:rsidRPr="00F04D00">
        <w:t xml:space="preserve"> subsidies, which were disbursed decades ago, the disbursements of the A380 LA/MSF subsidies continued well beyond the original reference period. </w:t>
      </w:r>
      <w:r>
        <w:t xml:space="preserve">The original panel noted that disbursements under the French A380 LA/MSF contract would be provided to Airbus </w:t>
      </w:r>
      <w:r w:rsidRPr="00C73926">
        <w:rPr>
          <w:b/>
        </w:rPr>
        <w:t>[</w:t>
      </w:r>
      <w:r w:rsidR="00E8168B" w:rsidRPr="00C8434D">
        <w:rPr>
          <w:b/>
          <w:szCs w:val="16"/>
        </w:rPr>
        <w:t>BCI</w:t>
      </w:r>
      <w:r w:rsidRPr="00B41454">
        <w:rPr>
          <w:b/>
        </w:rPr>
        <w:t>]</w:t>
      </w:r>
      <w:r w:rsidRPr="00396D13">
        <w:rPr>
          <w:rStyle w:val="FootnoteReference"/>
        </w:rPr>
        <w:footnoteReference w:id="1692"/>
      </w:r>
      <w:r>
        <w:t xml:space="preserve">, and that the German and Spanish A380 LA/MSF contracts both provided for </w:t>
      </w:r>
      <w:r w:rsidRPr="00C73926">
        <w:rPr>
          <w:b/>
        </w:rPr>
        <w:t>[</w:t>
      </w:r>
      <w:r w:rsidR="00E8168B" w:rsidRPr="00C8434D">
        <w:rPr>
          <w:b/>
          <w:szCs w:val="16"/>
        </w:rPr>
        <w:t>BCI</w:t>
      </w:r>
      <w:r w:rsidRPr="00B41454">
        <w:rPr>
          <w:b/>
        </w:rPr>
        <w:t>]</w:t>
      </w:r>
      <w:r w:rsidRPr="00F31EA9">
        <w:t>.</w:t>
      </w:r>
      <w:r>
        <w:rPr>
          <w:rStyle w:val="FootnoteReference"/>
        </w:rPr>
        <w:footnoteReference w:id="1693"/>
      </w:r>
      <w:r w:rsidRPr="00F31EA9">
        <w:t xml:space="preserve"> </w:t>
      </w:r>
      <w:r>
        <w:t xml:space="preserve">As the original panel found, in all three cases, </w:t>
      </w:r>
      <w:r w:rsidRPr="002B34DE">
        <w:t>the outstanding instalments represent</w:t>
      </w:r>
      <w:r w:rsidR="00E32A9C">
        <w:t>ed</w:t>
      </w:r>
      <w:r w:rsidRPr="002B34DE">
        <w:t xml:space="preserve"> a part of the total (and maximum) amount of funding that </w:t>
      </w:r>
      <w:r w:rsidR="00E32A9C">
        <w:t xml:space="preserve">it </w:t>
      </w:r>
      <w:r w:rsidRPr="002B34DE">
        <w:t>was agreed and planned would be transferred to Airbus for the A380 pro</w:t>
      </w:r>
      <w:r>
        <w:t>gramme</w:t>
      </w:r>
      <w:r w:rsidRPr="002B34DE">
        <w:t xml:space="preserve">. </w:t>
      </w:r>
      <w:r>
        <w:t>Thus, the original panel considered it "clear" that "Airbus maintain</w:t>
      </w:r>
      <w:r w:rsidR="00E32A9C">
        <w:t>{ed}</w:t>
      </w:r>
      <w:r>
        <w:t xml:space="preserve"> a contractual right to receive {the specified funding amounts} at a predetermined moment in the future </w:t>
      </w:r>
      <w:r w:rsidRPr="00C73926">
        <w:rPr>
          <w:i/>
        </w:rPr>
        <w:t>so long as it continue</w:t>
      </w:r>
      <w:r w:rsidR="00E32A9C" w:rsidRPr="00E32A9C">
        <w:t>{</w:t>
      </w:r>
      <w:r w:rsidR="00E32A9C">
        <w:rPr>
          <w:i/>
        </w:rPr>
        <w:t>d</w:t>
      </w:r>
      <w:r w:rsidR="00E32A9C" w:rsidRPr="00E32A9C">
        <w:t>}</w:t>
      </w:r>
      <w:r w:rsidRPr="00C73926">
        <w:rPr>
          <w:i/>
        </w:rPr>
        <w:t xml:space="preserve"> to develop the A380</w:t>
      </w:r>
      <w:r w:rsidR="00E32A9C">
        <w:rPr>
          <w:i/>
        </w:rPr>
        <w:t>.</w:t>
      </w:r>
      <w:r>
        <w:t>"</w:t>
      </w:r>
      <w:r>
        <w:rPr>
          <w:rStyle w:val="FootnoteReference"/>
        </w:rPr>
        <w:footnoteReference w:id="1694"/>
      </w:r>
      <w:r>
        <w:t xml:space="preserve"> </w:t>
      </w:r>
    </w:p>
    <w:p w:rsidR="00C752B3" w:rsidRDefault="00C752B3" w:rsidP="00526697">
      <w:pPr>
        <w:pStyle w:val="BodyText"/>
        <w:numPr>
          <w:ilvl w:val="6"/>
          <w:numId w:val="2"/>
        </w:numPr>
      </w:pPr>
      <w:r>
        <w:t>We also consider important the Panel's finding that the A380 programme suffered "extensive" production delays in 2005 and 2006</w:t>
      </w:r>
      <w:r w:rsidR="00226496">
        <w:t>.</w:t>
      </w:r>
      <w:r>
        <w:rPr>
          <w:rStyle w:val="FootnoteReference"/>
        </w:rPr>
        <w:footnoteReference w:id="1695"/>
      </w:r>
      <w:r>
        <w:t xml:space="preserve"> The Panel found that these delays resulted in increased development costs for the A380.</w:t>
      </w:r>
      <w:r>
        <w:rPr>
          <w:rStyle w:val="FootnoteReference"/>
        </w:rPr>
        <w:footnoteReference w:id="1696"/>
      </w:r>
      <w:r>
        <w:t xml:space="preserve"> They also led to the</w:t>
      </w:r>
      <w:r w:rsidR="005C5926">
        <w:t xml:space="preserve"> cancellation of orders for the </w:t>
      </w:r>
      <w:r>
        <w:t>A380 and gave rise to significant contractual penalty payments to A380 customers.</w:t>
      </w:r>
      <w:r>
        <w:rPr>
          <w:rStyle w:val="FootnoteReference"/>
        </w:rPr>
        <w:footnoteReference w:id="1697"/>
      </w:r>
      <w:r>
        <w:t xml:space="preserve"> Moreover, because LCA customers generally pay a substantial portion of the sale price upon delivery</w:t>
      </w:r>
      <w:r w:rsidR="00226496">
        <w:rPr>
          <w:rStyle w:val="FootnoteReference"/>
        </w:rPr>
        <w:footnoteReference w:id="1698"/>
      </w:r>
      <w:r>
        <w:t>, the Panel considered that the delays meant that Airbus would realize certain revenues from the A380 later than expected for the A380s that were ultimately delivered.</w:t>
      </w:r>
      <w:r>
        <w:rPr>
          <w:rStyle w:val="FootnoteReference"/>
        </w:rPr>
        <w:footnoteReference w:id="1699"/>
      </w:r>
      <w:r>
        <w:t xml:space="preserve"> The Panel noted that EADS documents indicated that earnings before interest and taxes (EBIT) at Airbus </w:t>
      </w:r>
      <w:r w:rsidR="003828EC">
        <w:t>"</w:t>
      </w:r>
      <w:r>
        <w:t>was also negatively affected by €2.5 billion in 2006"</w:t>
      </w:r>
      <w:r>
        <w:rPr>
          <w:rStyle w:val="FootnoteReference"/>
        </w:rPr>
        <w:footnoteReference w:id="1700"/>
      </w:r>
      <w:r>
        <w:t>, in part due to the A380 difficulties, and a 2007 UK Government report indicated that "{p}artly as a result of cost overruns and late delivery payments to its customers, Airbus reported a loss of £389 million for 2006."</w:t>
      </w:r>
      <w:r>
        <w:rPr>
          <w:rStyle w:val="FootnoteReference"/>
        </w:rPr>
        <w:footnoteReference w:id="1701"/>
      </w:r>
      <w:r>
        <w:t xml:space="preserve"> Characterizing these A380 problems as "severe", the Panel observed that they "precipitated a management crisis</w:t>
      </w:r>
      <w:r w:rsidR="00C920D3">
        <w:t>"</w:t>
      </w:r>
      <w:r>
        <w:t xml:space="preserve"> that saw the de</w:t>
      </w:r>
      <w:r w:rsidR="00C920D3">
        <w:t>parture</w:t>
      </w:r>
      <w:r>
        <w:t xml:space="preserve"> of two CEOs in less than four months.</w:t>
      </w:r>
      <w:r>
        <w:rPr>
          <w:rStyle w:val="FootnoteReference"/>
        </w:rPr>
        <w:footnoteReference w:id="1702"/>
      </w:r>
      <w:r>
        <w:t xml:space="preserve"> In our view, these findings by the Panel reflect the gravity and severity of the financial implications for Airbus of the extensive production delays suffered by the A380 in 2005 and 2006. During that time</w:t>
      </w:r>
      <w:r w:rsidR="003828EC">
        <w:t>,</w:t>
      </w:r>
      <w:r>
        <w:t xml:space="preserve"> Airbus c</w:t>
      </w:r>
      <w:r w:rsidR="00C920D3">
        <w:t xml:space="preserve">ontinued to receive </w:t>
      </w:r>
      <w:r>
        <w:t>disbursements as part of the French, Spanish, and German A380 LA/MSF contracts.</w:t>
      </w:r>
      <w:r>
        <w:rPr>
          <w:rStyle w:val="FootnoteReference"/>
        </w:rPr>
        <w:footnoteReference w:id="1703"/>
      </w:r>
      <w:r>
        <w:t xml:space="preserve"> </w:t>
      </w:r>
    </w:p>
    <w:p w:rsidR="00C752B3" w:rsidRDefault="00C752B3" w:rsidP="00526697">
      <w:pPr>
        <w:pStyle w:val="BodyText"/>
        <w:numPr>
          <w:ilvl w:val="6"/>
          <w:numId w:val="23"/>
        </w:numPr>
      </w:pPr>
      <w:r>
        <w:t xml:space="preserve">In sum, the original panel's findings indicate that, although the A380 may have been "economically viable" in the absence of A380 LA/MSF, it does not follow from this that A380 LA/MSF had no "direct effects". Instead, the findings from the original proceedings indicate that Airbus could not have launched the A380 as and when it did by relying exclusively on its own financial resources and </w:t>
      </w:r>
      <w:r w:rsidRPr="00396D13">
        <w:t xml:space="preserve">outside </w:t>
      </w:r>
      <w:r>
        <w:t>financing. In this sense, A380 LA/MSF had a genuine</w:t>
      </w:r>
      <w:r w:rsidDel="004A4B70">
        <w:t xml:space="preserve"> </w:t>
      </w:r>
      <w:r>
        <w:t xml:space="preserve">impact on Airbus' ability to fund the timely launch of the A380. The original panel's findings, together with the Panel's analysis, indicate that these "direct effects" of A380 LA/MSF continued after the original reference period, given that the A380 LA/MSF subsidies had not expired, as well as the fact that Airbus continued to receive significant sums of money as disbursements under the French, German, and Spanish A380 LA/MSF contracts at a time when it was experiencing severe financial difficulties resulting from the extensive production delays in the A380 programme. We therefore disagree with the European Union's claim under Article 11 of the DSU that the Panel's understanding of the "direct effects" of A380 LA/MSF on Airbus' ability to launch, bring to market, and continue developing the A380 </w:t>
      </w:r>
      <w:r w:rsidRPr="00AF2A0B">
        <w:rPr>
          <w:i/>
        </w:rPr>
        <w:t>as and when it</w:t>
      </w:r>
      <w:r>
        <w:t xml:space="preserve"> </w:t>
      </w:r>
      <w:r w:rsidRPr="00AF2A0B">
        <w:rPr>
          <w:i/>
        </w:rPr>
        <w:t>did</w:t>
      </w:r>
      <w:r>
        <w:t xml:space="preserve"> lacks </w:t>
      </w:r>
      <w:r w:rsidR="00C920D3">
        <w:t xml:space="preserve">a </w:t>
      </w:r>
      <w:r>
        <w:t>sufficient evidentiary basis.</w:t>
      </w:r>
    </w:p>
    <w:p w:rsidR="00C752B3" w:rsidRDefault="00C752B3" w:rsidP="00526697">
      <w:pPr>
        <w:pStyle w:val="Heading5"/>
      </w:pPr>
      <w:bookmarkStart w:id="181" w:name="_Toc514059283"/>
      <w:r>
        <w:t xml:space="preserve">"Product effects" of LA/MSF </w:t>
      </w:r>
      <w:r w:rsidR="003828EC">
        <w:t xml:space="preserve">subsidies </w:t>
      </w:r>
      <w:r>
        <w:t>on the A350XWB</w:t>
      </w:r>
      <w:bookmarkEnd w:id="181"/>
    </w:p>
    <w:p w:rsidR="00C752B3" w:rsidRDefault="00C752B3" w:rsidP="00526697">
      <w:pPr>
        <w:pStyle w:val="BodyText"/>
        <w:numPr>
          <w:ilvl w:val="6"/>
          <w:numId w:val="23"/>
        </w:numPr>
      </w:pPr>
      <w:r w:rsidRPr="00B53931">
        <w:t>Having found that "the A350XWB could not have been launched and brought to market in the absence of LA/MSF"</w:t>
      </w:r>
      <w:r>
        <w:rPr>
          <w:rStyle w:val="FootnoteReference"/>
        </w:rPr>
        <w:footnoteReference w:id="1704"/>
      </w:r>
      <w:r>
        <w:t>,</w:t>
      </w:r>
      <w:r w:rsidRPr="00B53931">
        <w:t xml:space="preserve"> the Panel reached the conclusion that "the </w:t>
      </w:r>
      <w:r w:rsidRPr="00B53931">
        <w:rPr>
          <w:i/>
        </w:rPr>
        <w:t>direct</w:t>
      </w:r>
      <w:r w:rsidRPr="00B53931">
        <w:t xml:space="preserve"> and </w:t>
      </w:r>
      <w:r w:rsidRPr="00B53931">
        <w:rPr>
          <w:i/>
        </w:rPr>
        <w:t>indirect</w:t>
      </w:r>
      <w:r w:rsidRPr="00972723">
        <w:t xml:space="preserve"> effects of the aggregated LA/MSF subsidies, with the exception of the LA/MSF subsidies provided for the A300 and A310, are a 'genuine and substantial' cause of the current market presence of the A350XWB family of Airbus LCA".</w:t>
      </w:r>
      <w:r>
        <w:rPr>
          <w:rStyle w:val="FootnoteReference"/>
        </w:rPr>
        <w:footnoteReference w:id="1705"/>
      </w:r>
      <w:r w:rsidRPr="00B53931">
        <w:t xml:space="preserve"> The </w:t>
      </w:r>
      <w:r>
        <w:t>European Union</w:t>
      </w:r>
      <w:r w:rsidRPr="00B53931">
        <w:t xml:space="preserve"> challenges the Panel's findings and analys</w:t>
      </w:r>
      <w:r>
        <w:t>is of the "product</w:t>
      </w:r>
      <w:r w:rsidRPr="00B53931">
        <w:t xml:space="preserve"> effects</w:t>
      </w:r>
      <w:r>
        <w:t>"</w:t>
      </w:r>
      <w:r w:rsidRPr="00B53931">
        <w:t xml:space="preserve"> of LA/MSF </w:t>
      </w:r>
      <w:r w:rsidR="00D65D60">
        <w:t xml:space="preserve">subsidies </w:t>
      </w:r>
      <w:r w:rsidRPr="00B53931">
        <w:t>on the A350XWB</w:t>
      </w:r>
      <w:r w:rsidR="008A6943">
        <w:t xml:space="preserve"> on two grounds. First, the </w:t>
      </w:r>
      <w:r>
        <w:t>European Union</w:t>
      </w:r>
      <w:r w:rsidRPr="00972723">
        <w:t xml:space="preserve"> alleges that the Panel failed to make an objective assessment of the matter, as required by </w:t>
      </w:r>
      <w:r>
        <w:t>Article </w:t>
      </w:r>
      <w:r w:rsidRPr="00972723">
        <w:t>11 of the DSU, to the extent</w:t>
      </w:r>
      <w:r w:rsidR="003828EC">
        <w:t xml:space="preserve"> that</w:t>
      </w:r>
      <w:r w:rsidRPr="00972723">
        <w:t xml:space="preserve"> it found that the </w:t>
      </w:r>
      <w:r w:rsidR="003828EC">
        <w:t xml:space="preserve">A350XWB </w:t>
      </w:r>
      <w:r w:rsidRPr="00972723">
        <w:t xml:space="preserve">LA/MSF </w:t>
      </w:r>
      <w:r w:rsidR="003828EC">
        <w:t xml:space="preserve">subsidies </w:t>
      </w:r>
      <w:r w:rsidRPr="00972723">
        <w:t>resulted in "direct effects" on the launch</w:t>
      </w:r>
      <w:r w:rsidRPr="00261A6D">
        <w:t xml:space="preserve"> </w:t>
      </w:r>
      <w:r>
        <w:t>of th</w:t>
      </w:r>
      <w:r w:rsidR="003828EC">
        <w:t>e A350XWB</w:t>
      </w:r>
      <w:r>
        <w:t>.</w:t>
      </w:r>
      <w:r>
        <w:rPr>
          <w:rStyle w:val="FootnoteReference"/>
        </w:rPr>
        <w:footnoteReference w:id="1706"/>
      </w:r>
      <w:r>
        <w:t xml:space="preserve"> Second, the European Union claims that the Panel erred in its application of Articles 5(c) and 7.8 of the SCM Agreement in finding that </w:t>
      </w:r>
      <w:r w:rsidR="003828EC">
        <w:t xml:space="preserve">the </w:t>
      </w:r>
      <w:r>
        <w:t xml:space="preserve">A380 LA/MSF </w:t>
      </w:r>
      <w:r w:rsidR="003828EC">
        <w:t xml:space="preserve">subsidies </w:t>
      </w:r>
      <w:r>
        <w:t xml:space="preserve">had "indirect effects" on </w:t>
      </w:r>
      <w:r>
        <w:rPr>
          <w:szCs w:val="18"/>
        </w:rPr>
        <w:t xml:space="preserve">Airbus' ability to launch </w:t>
      </w:r>
      <w:r>
        <w:t>the A350XWB.</w:t>
      </w:r>
      <w:r w:rsidR="003828EC">
        <w:rPr>
          <w:rStyle w:val="FootnoteReference"/>
        </w:rPr>
        <w:footnoteReference w:id="1707"/>
      </w:r>
      <w:r>
        <w:t xml:space="preserve"> </w:t>
      </w:r>
    </w:p>
    <w:p w:rsidR="00C752B3" w:rsidRDefault="00C752B3" w:rsidP="00526697">
      <w:pPr>
        <w:pStyle w:val="BodyText"/>
        <w:numPr>
          <w:ilvl w:val="6"/>
          <w:numId w:val="23"/>
        </w:numPr>
      </w:pPr>
      <w:r>
        <w:t>With respect to the finding of "</w:t>
      </w:r>
      <w:r w:rsidRPr="00423E0C">
        <w:t>direct effects</w:t>
      </w:r>
      <w:r>
        <w:t>" of A350XWB LA/MSF allegedly made by the Panel, the European Union</w:t>
      </w:r>
      <w:r w:rsidRPr="00423E0C">
        <w:t xml:space="preserve"> </w:t>
      </w:r>
      <w:r>
        <w:t xml:space="preserve">recalls the Panel's statement that, "in the absence of A350XWB </w:t>
      </w:r>
      <w:r w:rsidR="00C95391">
        <w:br/>
      </w:r>
      <w:r>
        <w:t xml:space="preserve">LA/MSF …, the Airbus company that </w:t>
      </w:r>
      <w:r>
        <w:rPr>
          <w:i/>
        </w:rPr>
        <w:t xml:space="preserve">actually existed </w:t>
      </w:r>
      <w:r>
        <w:t>in the 2006 to 2010 period would have been able to launch and bring to market the A350XWB or an A350XWB-type aircraft</w:t>
      </w:r>
      <w:r w:rsidR="003828EC">
        <w:t>.</w:t>
      </w:r>
      <w:r>
        <w:t>"</w:t>
      </w:r>
      <w:r>
        <w:rPr>
          <w:rStyle w:val="FootnoteReference"/>
        </w:rPr>
        <w:footnoteReference w:id="1708"/>
      </w:r>
      <w:r>
        <w:t xml:space="preserve"> The European Union asserts that this statement "by definition preclud{es} a finding that A350XWB LA/MSF resulted in 'direct effects'".</w:t>
      </w:r>
      <w:r>
        <w:rPr>
          <w:rStyle w:val="FootnoteReference"/>
        </w:rPr>
        <w:footnoteReference w:id="1709"/>
      </w:r>
      <w:r>
        <w:t xml:space="preserve"> To the extent that the Panel nonetheless made a finding of "direct effects" of A350XWB LA/MSF, the European Union argues that the "only basis"</w:t>
      </w:r>
      <w:r>
        <w:rPr>
          <w:rStyle w:val="FootnoteReference"/>
        </w:rPr>
        <w:footnoteReference w:id="1710"/>
      </w:r>
      <w:r>
        <w:t xml:space="preserve"> for it is the Panel's conclusion that there was a "high likelihood" that, without A350XWB LA/MSF, the Airbus company that actually existed in 2006-2010 would, "to some degree, have had to make certain compromises with respect to the pace of the programme and/or the features of the aircraft".</w:t>
      </w:r>
      <w:r>
        <w:rPr>
          <w:rStyle w:val="FootnoteReference"/>
        </w:rPr>
        <w:footnoteReference w:id="1711"/>
      </w:r>
      <w:r>
        <w:t xml:space="preserve"> The European Union claims that, in reaching this conclusion, the Panel failed to make an objective assessment of the matter as required by Article 11 of the DSU.</w:t>
      </w:r>
      <w:r>
        <w:rPr>
          <w:rStyle w:val="FootnoteReference"/>
        </w:rPr>
        <w:footnoteReference w:id="1712"/>
      </w:r>
      <w:r>
        <w:t xml:space="preserve"> </w:t>
      </w:r>
      <w:r w:rsidRPr="00423E0C">
        <w:t xml:space="preserve">As for </w:t>
      </w:r>
      <w:r>
        <w:t>the finding of "indirect effects" allegedly made by the Panel</w:t>
      </w:r>
      <w:r w:rsidRPr="00423E0C">
        <w:t xml:space="preserve">, the </w:t>
      </w:r>
      <w:r>
        <w:t>European Union</w:t>
      </w:r>
      <w:r w:rsidRPr="00423E0C">
        <w:t xml:space="preserve"> </w:t>
      </w:r>
      <w:r>
        <w:t>asserts that, having found that A380 LA/MSF was "not critical" to the very existence of the A380, and</w:t>
      </w:r>
      <w:r w:rsidR="008A6943">
        <w:t xml:space="preserve"> therefore did not have "direct </w:t>
      </w:r>
      <w:r>
        <w:t xml:space="preserve">effects" on the A380, the Panel erred in its application of Articles 5(c) and 7.8 of the SCM Agreement to the extent </w:t>
      </w:r>
      <w:r w:rsidR="003828EC">
        <w:t xml:space="preserve">that </w:t>
      </w:r>
      <w:r>
        <w:t xml:space="preserve">it found that A380 LA/MSF resulted in "indirect effects" </w:t>
      </w:r>
      <w:r w:rsidR="003828EC">
        <w:t>on</w:t>
      </w:r>
      <w:r w:rsidR="008A6943">
        <w:t xml:space="preserve"> the </w:t>
      </w:r>
      <w:r>
        <w:t>A350XWB.</w:t>
      </w:r>
      <w:r>
        <w:rPr>
          <w:rStyle w:val="FootnoteReference"/>
        </w:rPr>
        <w:footnoteReference w:id="1713"/>
      </w:r>
      <w:r>
        <w:t xml:space="preserve"> </w:t>
      </w:r>
    </w:p>
    <w:p w:rsidR="00C752B3" w:rsidRDefault="00C752B3" w:rsidP="00526697">
      <w:pPr>
        <w:pStyle w:val="BodyText"/>
        <w:numPr>
          <w:ilvl w:val="6"/>
          <w:numId w:val="23"/>
        </w:numPr>
      </w:pPr>
      <w:r>
        <w:t>As with its appeal of the Panel's analysis of the "direct effects" of A380 LA/MSF, we note that the European Union takes issue with the Panel's assessment of the effects</w:t>
      </w:r>
      <w:r w:rsidR="003828EC">
        <w:t xml:space="preserve"> of individual LA/MSF subsidies – </w:t>
      </w:r>
      <w:r>
        <w:t>namely, the A350XWB LA/MSF ("direct effects") and the A380 LA/MSF ("indirect effects")</w:t>
      </w:r>
      <w:r w:rsidR="003828EC">
        <w:t xml:space="preserve"> – </w:t>
      </w:r>
      <w:r>
        <w:t>on Airbus' ability to launch the A350XWB as and when it did. Given the Panel's aggregated assessment of the effects of all LA/MSF, the Panel did not make separate findings that A350XWB LA/MSF and A380 LA/MSF were, individually, a genuine and substantial cause of the launch of the A350XWB. Nor was the Panel required to make such findings.</w:t>
      </w:r>
      <w:r>
        <w:rPr>
          <w:rStyle w:val="FootnoteReference"/>
        </w:rPr>
        <w:footnoteReference w:id="1714"/>
      </w:r>
      <w:r>
        <w:t xml:space="preserve"> Instead, the Panel first examined the causal mechanism through which individual subsidies, including the A350XWB LA/MSF and </w:t>
      </w:r>
      <w:r w:rsidR="003828EC">
        <w:t>A</w:t>
      </w:r>
      <w:r>
        <w:t>380 LA/MSF</w:t>
      </w:r>
      <w:r w:rsidR="003828EC">
        <w:t xml:space="preserve"> subsidies</w:t>
      </w:r>
      <w:r>
        <w:t xml:space="preserve">, affected Airbus' ability to launch the A350XWB </w:t>
      </w:r>
      <w:r w:rsidRPr="00681E5A">
        <w:t>as and when it did, before analysing the relationship between the collective effects of all LA/MSF</w:t>
      </w:r>
      <w:r>
        <w:t xml:space="preserve"> subsidies </w:t>
      </w:r>
      <w:r w:rsidRPr="00681E5A">
        <w:t xml:space="preserve">and the launch of </w:t>
      </w:r>
      <w:r>
        <w:t xml:space="preserve">the </w:t>
      </w:r>
      <w:r w:rsidRPr="00681E5A">
        <w:t>A350XWB in December 2006.</w:t>
      </w:r>
      <w:r>
        <w:rPr>
          <w:rStyle w:val="FootnoteReference"/>
        </w:rPr>
        <w:footnoteReference w:id="1715"/>
      </w:r>
      <w:r w:rsidRPr="00681E5A">
        <w:t xml:space="preserve"> Given that the Panel was not required to find that each of the LA/MSF subsidies was, individually, a genuine and substantial cause of the launch of the A350XWB, we understand the </w:t>
      </w:r>
      <w:r>
        <w:t>European Union</w:t>
      </w:r>
      <w:r w:rsidRPr="00681E5A">
        <w:t>, in challenging the Panel's findings of "direct</w:t>
      </w:r>
      <w:r w:rsidR="003828EC">
        <w:t xml:space="preserve"> effects</w:t>
      </w:r>
      <w:r w:rsidRPr="00681E5A">
        <w:t>"</w:t>
      </w:r>
      <w:r>
        <w:t xml:space="preserve"> and "</w:t>
      </w:r>
      <w:r w:rsidRPr="00423E0C">
        <w:t>indire</w:t>
      </w:r>
      <w:r>
        <w:t>ct</w:t>
      </w:r>
      <w:r w:rsidRPr="00423E0C">
        <w:t xml:space="preserve"> effects</w:t>
      </w:r>
      <w:r w:rsidR="003828EC">
        <w:t>"</w:t>
      </w:r>
      <w:r>
        <w:t xml:space="preserve"> of the A350XWB LA/MSF and A380 LA/MSF</w:t>
      </w:r>
      <w:r w:rsidRPr="00423E0C">
        <w:t>,</w:t>
      </w:r>
      <w:r>
        <w:t xml:space="preserve"> respectively, </w:t>
      </w:r>
      <w:r w:rsidRPr="00423E0C">
        <w:t xml:space="preserve">to be taking issue with the </w:t>
      </w:r>
      <w:r w:rsidRPr="00F51BC7">
        <w:rPr>
          <w:i/>
        </w:rPr>
        <w:t xml:space="preserve">manner </w:t>
      </w:r>
      <w:r w:rsidRPr="00423E0C">
        <w:t>in which the Panel understood the causal mechanism through which the</w:t>
      </w:r>
      <w:r>
        <w:t>se existing</w:t>
      </w:r>
      <w:r w:rsidRPr="00423E0C">
        <w:t xml:space="preserve"> individual</w:t>
      </w:r>
      <w:r>
        <w:t xml:space="preserve"> subsidies</w:t>
      </w:r>
      <w:r w:rsidRPr="00423E0C">
        <w:t xml:space="preserve"> </w:t>
      </w:r>
      <w:r>
        <w:t>affected Airbus'</w:t>
      </w:r>
      <w:r w:rsidRPr="00423E0C">
        <w:t xml:space="preserve"> ability to launch the A350XWB</w:t>
      </w:r>
      <w:r>
        <w:t xml:space="preserve"> as and when it did</w:t>
      </w:r>
      <w:r w:rsidRPr="00423E0C">
        <w:t>.</w:t>
      </w:r>
    </w:p>
    <w:p w:rsidR="00C752B3" w:rsidRDefault="00C752B3" w:rsidP="00526697">
      <w:pPr>
        <w:pStyle w:val="BodyText"/>
        <w:numPr>
          <w:ilvl w:val="6"/>
          <w:numId w:val="23"/>
        </w:numPr>
      </w:pPr>
      <w:r>
        <w:t xml:space="preserve">In light of these considerations, and having already recalled the main aspects of the Panel's analysis and findings on the "product effects" of LA/MSF </w:t>
      </w:r>
      <w:r w:rsidR="003828EC">
        <w:t xml:space="preserve">subsidies </w:t>
      </w:r>
      <w:r>
        <w:t>on the A350XWB</w:t>
      </w:r>
      <w:r>
        <w:rPr>
          <w:rStyle w:val="FootnoteReference"/>
        </w:rPr>
        <w:footnoteReference w:id="1716"/>
      </w:r>
      <w:r w:rsidR="008A6943">
        <w:t>, we </w:t>
      </w:r>
      <w:r>
        <w:t>turn to consider w</w:t>
      </w:r>
      <w:r w:rsidRPr="005A5F3E">
        <w:t xml:space="preserve">hether the Panel acted inconsistently with </w:t>
      </w:r>
      <w:r>
        <w:t>Article </w:t>
      </w:r>
      <w:r w:rsidRPr="005A5F3E">
        <w:t xml:space="preserve">11 of the DSU to the extent </w:t>
      </w:r>
      <w:r w:rsidR="003828EC">
        <w:t xml:space="preserve">that </w:t>
      </w:r>
      <w:r w:rsidRPr="005A5F3E">
        <w:t>it found that</w:t>
      </w:r>
      <w:r w:rsidR="003828EC">
        <w:t xml:space="preserve"> the</w:t>
      </w:r>
      <w:r w:rsidRPr="005A5F3E">
        <w:t xml:space="preserve"> A350XWB</w:t>
      </w:r>
      <w:r>
        <w:t xml:space="preserve"> LA/MSF</w:t>
      </w:r>
      <w:r w:rsidRPr="005A5F3E">
        <w:t xml:space="preserve"> </w:t>
      </w:r>
      <w:r w:rsidR="003828EC">
        <w:t xml:space="preserve">subsidies </w:t>
      </w:r>
      <w:r w:rsidRPr="005A5F3E">
        <w:t xml:space="preserve">resulted in "direct effects" on the launch </w:t>
      </w:r>
      <w:r>
        <w:t xml:space="preserve">of the </w:t>
      </w:r>
      <w:r w:rsidRPr="005A5F3E">
        <w:t>A350XWB</w:t>
      </w:r>
      <w:r>
        <w:t xml:space="preserve">. We then examine whether </w:t>
      </w:r>
      <w:r w:rsidRPr="005A5F3E">
        <w:t xml:space="preserve">the Panel erred in </w:t>
      </w:r>
      <w:r>
        <w:t>its</w:t>
      </w:r>
      <w:r w:rsidRPr="005A5F3E">
        <w:t xml:space="preserve"> application of </w:t>
      </w:r>
      <w:r>
        <w:t>Articles </w:t>
      </w:r>
      <w:r w:rsidRPr="005A5F3E">
        <w:t xml:space="preserve">5(c) and 7.8 </w:t>
      </w:r>
      <w:r>
        <w:t xml:space="preserve">of the SCM Agreement </w:t>
      </w:r>
      <w:r w:rsidRPr="005A5F3E">
        <w:t xml:space="preserve">in finding that </w:t>
      </w:r>
      <w:r w:rsidR="003828EC">
        <w:t xml:space="preserve">the </w:t>
      </w:r>
      <w:r w:rsidRPr="005A5F3E">
        <w:t xml:space="preserve">A380 LA/MSF </w:t>
      </w:r>
      <w:r w:rsidR="003828EC">
        <w:t xml:space="preserve">subsidies </w:t>
      </w:r>
      <w:r w:rsidR="008A6943">
        <w:t>had "indirect effects" on the </w:t>
      </w:r>
      <w:r w:rsidRPr="005A5F3E">
        <w:t>A350XWB</w:t>
      </w:r>
      <w:r>
        <w:t>.</w:t>
      </w:r>
      <w:r>
        <w:rPr>
          <w:rStyle w:val="FootnoteReference"/>
        </w:rPr>
        <w:footnoteReference w:id="1717"/>
      </w:r>
    </w:p>
    <w:p w:rsidR="00C752B3" w:rsidRDefault="00C752B3" w:rsidP="00526697">
      <w:pPr>
        <w:pStyle w:val="Heading6"/>
        <w:numPr>
          <w:ilvl w:val="5"/>
          <w:numId w:val="27"/>
        </w:numPr>
      </w:pPr>
      <w:bookmarkStart w:id="182" w:name="_Toc514059284"/>
      <w:r>
        <w:t xml:space="preserve">The Panel's assessment of the "direct effects" of </w:t>
      </w:r>
      <w:r w:rsidR="003828EC">
        <w:t xml:space="preserve">the </w:t>
      </w:r>
      <w:r>
        <w:t>A350XWB LA/MSF</w:t>
      </w:r>
      <w:r w:rsidR="003828EC">
        <w:t xml:space="preserve"> subsidies</w:t>
      </w:r>
      <w:bookmarkEnd w:id="182"/>
    </w:p>
    <w:p w:rsidR="00C752B3" w:rsidRDefault="00C752B3" w:rsidP="00526697">
      <w:pPr>
        <w:pStyle w:val="BodyText"/>
        <w:numPr>
          <w:ilvl w:val="6"/>
          <w:numId w:val="2"/>
        </w:numPr>
      </w:pPr>
      <w:r>
        <w:t xml:space="preserve">As noted above, the Panel's analysis in relation to the "direct effects" of the A350XWB LA/MSF was based, to a large extent, on an examination of the ability of the </w:t>
      </w:r>
      <w:r w:rsidRPr="00420CED">
        <w:rPr>
          <w:i/>
        </w:rPr>
        <w:t>subsidized</w:t>
      </w:r>
      <w:r>
        <w:t xml:space="preserve"> Airbus company that </w:t>
      </w:r>
      <w:r w:rsidRPr="00420CED">
        <w:rPr>
          <w:i/>
        </w:rPr>
        <w:t>actually existed</w:t>
      </w:r>
      <w:r>
        <w:t xml:space="preserve"> during the 2006-2010 period to launch the A350XWB as and when it did.</w:t>
      </w:r>
      <w:r>
        <w:rPr>
          <w:rStyle w:val="FootnoteReference"/>
        </w:rPr>
        <w:footnoteReference w:id="1718"/>
      </w:r>
      <w:r>
        <w:t xml:space="preserve"> The European Union claims that the Panel acted inconsistently with Article 11 of the DSU in concluding that, without A350XWB LA/MSF, there was a "high likelihood" that the Airbus company that actually existed in 2006-2010 would, "to some degree, have had to make certain compromises with respect to the pace of the programme and/or the features of the aircraft".</w:t>
      </w:r>
      <w:r>
        <w:rPr>
          <w:rStyle w:val="FootnoteReference"/>
        </w:rPr>
        <w:footnoteReference w:id="1719"/>
      </w:r>
      <w:r>
        <w:t xml:space="preserve"> The European Union advances three related lines of arguments in support of its Article 11 claim</w:t>
      </w:r>
      <w:r w:rsidRPr="00423E0C">
        <w:t>.</w:t>
      </w:r>
      <w:r>
        <w:t xml:space="preserve"> First, the European Union argues that the Panel did not cite any evidence, or offer any reasoning, to support </w:t>
      </w:r>
      <w:r w:rsidR="003828EC">
        <w:t>its</w:t>
      </w:r>
      <w:r>
        <w:t xml:space="preserve"> "probabilistic" conclusion.</w:t>
      </w:r>
      <w:r>
        <w:rPr>
          <w:rStyle w:val="FootnoteReference"/>
        </w:rPr>
        <w:footnoteReference w:id="1720"/>
      </w:r>
      <w:r>
        <w:t xml:space="preserve"> For the European Union, the Panel's conclusion therefore </w:t>
      </w:r>
      <w:r w:rsidR="00C920D3">
        <w:t>"</w:t>
      </w:r>
      <w:r>
        <w:t>lacks a sufficient evidentiary basis".</w:t>
      </w:r>
      <w:r>
        <w:rPr>
          <w:rStyle w:val="FootnoteReference"/>
        </w:rPr>
        <w:footnoteReference w:id="1721"/>
      </w:r>
      <w:r>
        <w:t xml:space="preserve"> Second, the European Union points out that a number of the Panel's intermediate findings, and several pieces of evidence, "strongly indicate that Airbus would not have found a compromise on timing or features of the A350XWB to be commercially viable", thereby contradicting the Panel's "speculation" that, absent LA/MSF, compromises would have been made on the timing or technology of the A350XWB.</w:t>
      </w:r>
      <w:r>
        <w:rPr>
          <w:rStyle w:val="FootnoteReference"/>
        </w:rPr>
        <w:footnoteReference w:id="1722"/>
      </w:r>
      <w:r w:rsidRPr="00423E0C">
        <w:t xml:space="preserve"> </w:t>
      </w:r>
      <w:r w:rsidR="008A6943">
        <w:t>Finally, the </w:t>
      </w:r>
      <w:r>
        <w:t xml:space="preserve">European Union avers that the Panel did </w:t>
      </w:r>
      <w:r w:rsidRPr="00794432">
        <w:t xml:space="preserve">not examine whether an alternative aircraft with anything less than the features of the A350XWB, offered </w:t>
      </w:r>
      <w:r w:rsidR="003828EC">
        <w:t>on</w:t>
      </w:r>
      <w:r w:rsidRPr="00794432">
        <w:t xml:space="preserve"> the market later</w:t>
      </w:r>
      <w:r w:rsidR="003828EC">
        <w:t xml:space="preserve"> </w:t>
      </w:r>
      <w:r w:rsidRPr="00794432">
        <w:t>in</w:t>
      </w:r>
      <w:r w:rsidR="003828EC">
        <w:t xml:space="preserve"> </w:t>
      </w:r>
      <w:r w:rsidRPr="00794432">
        <w:t>time than the A350XWB, would have been viable or commercially attractive for Ai</w:t>
      </w:r>
      <w:r w:rsidR="008A6943">
        <w:t>rbus, thereby "vitiat{ing}" the </w:t>
      </w:r>
      <w:r w:rsidRPr="00794432">
        <w:t xml:space="preserve">Panel's </w:t>
      </w:r>
      <w:r w:rsidR="00653AA1">
        <w:t>"</w:t>
      </w:r>
      <w:r w:rsidRPr="00794432">
        <w:t>probabilistic</w:t>
      </w:r>
      <w:r w:rsidR="00653AA1">
        <w:t>"</w:t>
      </w:r>
      <w:r w:rsidRPr="00794432">
        <w:t xml:space="preserve"> conclusion.</w:t>
      </w:r>
      <w:r>
        <w:rPr>
          <w:rStyle w:val="FootnoteReference"/>
        </w:rPr>
        <w:footnoteReference w:id="1723"/>
      </w:r>
      <w:r w:rsidRPr="00794432">
        <w:t xml:space="preserve"> </w:t>
      </w:r>
    </w:p>
    <w:p w:rsidR="00C752B3" w:rsidRDefault="00C752B3" w:rsidP="00526697">
      <w:pPr>
        <w:pStyle w:val="BodyText"/>
        <w:numPr>
          <w:ilvl w:val="6"/>
          <w:numId w:val="2"/>
        </w:numPr>
      </w:pPr>
      <w:r w:rsidRPr="009A0854">
        <w:t xml:space="preserve">The </w:t>
      </w:r>
      <w:r>
        <w:t>United States</w:t>
      </w:r>
      <w:r w:rsidRPr="009A0854">
        <w:t xml:space="preserve"> responds that the Panel made numerous findings and cited extensive evidence in support of the conclusion challenged by the </w:t>
      </w:r>
      <w:r>
        <w:t>European Union</w:t>
      </w:r>
      <w:r w:rsidRPr="009A0854">
        <w:t>.</w:t>
      </w:r>
      <w:r>
        <w:rPr>
          <w:rStyle w:val="FootnoteReference"/>
        </w:rPr>
        <w:footnoteReference w:id="1724"/>
      </w:r>
      <w:r w:rsidRPr="009A0854">
        <w:t xml:space="preserve"> For the </w:t>
      </w:r>
      <w:r>
        <w:t>United States</w:t>
      </w:r>
      <w:r w:rsidRPr="009A0854">
        <w:t xml:space="preserve">, the </w:t>
      </w:r>
      <w:r>
        <w:t>European Union</w:t>
      </w:r>
      <w:r w:rsidRPr="009A0854">
        <w:t xml:space="preserve">'s insistence that the Panel paid too little attention to the evidence </w:t>
      </w:r>
      <w:r w:rsidR="001E506A">
        <w:t xml:space="preserve">showing </w:t>
      </w:r>
      <w:r w:rsidRPr="009A0854">
        <w:t>that</w:t>
      </w:r>
      <w:r w:rsidR="001E506A">
        <w:t xml:space="preserve"> timing or feature</w:t>
      </w:r>
      <w:r w:rsidRPr="009A0854">
        <w:t xml:space="preserve"> compromises would have made the A350XW</w:t>
      </w:r>
      <w:r w:rsidR="008A6943">
        <w:t>B unattractive and unviable, if </w:t>
      </w:r>
      <w:r w:rsidRPr="009A0854">
        <w:t xml:space="preserve">correct, only proves that Airbus as it </w:t>
      </w:r>
      <w:r w:rsidRPr="00CF32A7">
        <w:rPr>
          <w:i/>
        </w:rPr>
        <w:t xml:space="preserve">actually existed </w:t>
      </w:r>
      <w:r w:rsidRPr="009A0854">
        <w:t>would not have launched the A350XWB at all in the absence of A350XWB LA/MSF.</w:t>
      </w:r>
      <w:r>
        <w:rPr>
          <w:rStyle w:val="FootnoteReference"/>
        </w:rPr>
        <w:footnoteReference w:id="1725"/>
      </w:r>
    </w:p>
    <w:p w:rsidR="00C752B3" w:rsidRDefault="00C752B3" w:rsidP="00526697">
      <w:pPr>
        <w:pStyle w:val="BodyText"/>
        <w:numPr>
          <w:ilvl w:val="6"/>
          <w:numId w:val="23"/>
        </w:numPr>
      </w:pPr>
      <w:r>
        <w:t>We begin with the European Union's assertion that the Panel did not cite any evidence, or offer any reasoning, in support of its conclusion that, without A3</w:t>
      </w:r>
      <w:r w:rsidR="008A6943">
        <w:t>50XWB LA/MSF, there was a "high </w:t>
      </w:r>
      <w:r>
        <w:t xml:space="preserve">likelihood" that the </w:t>
      </w:r>
      <w:r w:rsidRPr="00612B7A">
        <w:t>Airbus company that actually existed in 2006-2010</w:t>
      </w:r>
      <w:r w:rsidR="008A6943">
        <w:t xml:space="preserve"> would, "to some </w:t>
      </w:r>
      <w:r>
        <w:t>degree, have had to make certain compromises with respect to the pace of the programme and/or the features of the aircraft".</w:t>
      </w:r>
      <w:r>
        <w:rPr>
          <w:rStyle w:val="FootnoteReference"/>
        </w:rPr>
        <w:footnoteReference w:id="1726"/>
      </w:r>
      <w:r>
        <w:t xml:space="preserve"> The United States asserts that the Panel's analysis of the "direct effects" of A350XWB LA/MSF includes a numbe</w:t>
      </w:r>
      <w:r w:rsidR="008A6943">
        <w:t>r of intermediate findings, not </w:t>
      </w:r>
      <w:r>
        <w:t xml:space="preserve">challenged on appeal, </w:t>
      </w:r>
      <w:r w:rsidR="00A7405E">
        <w:t>that</w:t>
      </w:r>
      <w:r>
        <w:t xml:space="preserve"> support and "inexorably" lead to the Panel's ultimate conclusion challenged by the European Union.</w:t>
      </w:r>
      <w:r>
        <w:rPr>
          <w:rStyle w:val="FootnoteReference"/>
        </w:rPr>
        <w:footnoteReference w:id="1727"/>
      </w:r>
      <w:r>
        <w:t xml:space="preserve"> We note that, before reaching </w:t>
      </w:r>
      <w:r w:rsidR="00A7405E">
        <w:t>this</w:t>
      </w:r>
      <w:r>
        <w:t xml:space="preserve"> conclusion, the Panel analysed, in considerable detail, Airbus' ability to </w:t>
      </w:r>
      <w:r w:rsidR="00A7405E">
        <w:t xml:space="preserve">fund </w:t>
      </w:r>
      <w:r>
        <w:t xml:space="preserve">effectively the </w:t>
      </w:r>
      <w:r w:rsidR="00A7405E">
        <w:t xml:space="preserve">A350XWB </w:t>
      </w:r>
      <w:r>
        <w:t>programme with financing on market terms.</w:t>
      </w:r>
      <w:r>
        <w:rPr>
          <w:rStyle w:val="FootnoteReference"/>
        </w:rPr>
        <w:footnoteReference w:id="1728"/>
      </w:r>
      <w:r w:rsidDel="00087E27">
        <w:t xml:space="preserve"> </w:t>
      </w:r>
      <w:r>
        <w:t xml:space="preserve">The Panel recalled that the European Union did not argue that, </w:t>
      </w:r>
      <w:r w:rsidR="00A7405E">
        <w:t>in the absence of</w:t>
      </w:r>
      <w:r>
        <w:t xml:space="preserve"> A350XWB LA/MSF, Airbus could have "effectively funded" the A350XWB programme </w:t>
      </w:r>
      <w:r>
        <w:rPr>
          <w:i/>
        </w:rPr>
        <w:t>on its own</w:t>
      </w:r>
      <w:r w:rsidR="00A7405E">
        <w:t>, but</w:t>
      </w:r>
      <w:r>
        <w:t xml:space="preserve"> only that </w:t>
      </w:r>
      <w:r w:rsidR="00A7405E">
        <w:t>it</w:t>
      </w:r>
      <w:r>
        <w:t xml:space="preserve"> could have </w:t>
      </w:r>
      <w:r w:rsidR="00A7405E">
        <w:t>done so</w:t>
      </w:r>
      <w:r>
        <w:t xml:space="preserve"> with the help of its parent company, EADS.</w:t>
      </w:r>
      <w:r>
        <w:rPr>
          <w:rStyle w:val="FootnoteReference"/>
        </w:rPr>
        <w:footnoteReference w:id="1729"/>
      </w:r>
      <w:r>
        <w:t xml:space="preserve"> Having found that EADS would have, in principle, been willing to involve itself in the financing of the A350XWB</w:t>
      </w:r>
      <w:r>
        <w:rPr>
          <w:rStyle w:val="FootnoteReference"/>
        </w:rPr>
        <w:footnoteReference w:id="1730"/>
      </w:r>
      <w:r>
        <w:t xml:space="preserve">, the Panel turned to examine the </w:t>
      </w:r>
      <w:r w:rsidRPr="00916D75">
        <w:rPr>
          <w:i/>
        </w:rPr>
        <w:t>extent</w:t>
      </w:r>
      <w:r>
        <w:t xml:space="preserve"> of the financial resources available to Airbus and EADS</w:t>
      </w:r>
      <w:r w:rsidR="00A7405E">
        <w:t>,</w:t>
      </w:r>
      <w:r>
        <w:t xml:space="preserve"> and considered evidence pertaining to the following specific sources of funding: (i) increased use of </w:t>
      </w:r>
      <w:r w:rsidR="00A7405E">
        <w:t>RSPs</w:t>
      </w:r>
      <w:r>
        <w:t>; (ii) disposal of non</w:t>
      </w:r>
      <w:r>
        <w:noBreakHyphen/>
        <w:t>core assets; (iii) increased profitability and cash generation; (iv) a reduction in shareholder distributions; (v) equity-related financing; (vi) cash reserves; and (vii) increased debt.</w:t>
      </w:r>
      <w:r>
        <w:rPr>
          <w:rStyle w:val="FootnoteReference"/>
        </w:rPr>
        <w:footnoteReference w:id="1731"/>
      </w:r>
      <w:r>
        <w:t xml:space="preserve"> </w:t>
      </w:r>
    </w:p>
    <w:p w:rsidR="00C752B3" w:rsidRDefault="00C752B3" w:rsidP="00526697">
      <w:pPr>
        <w:pStyle w:val="BodyText"/>
        <w:numPr>
          <w:ilvl w:val="6"/>
          <w:numId w:val="23"/>
        </w:numPr>
      </w:pPr>
      <w:r>
        <w:t xml:space="preserve">Regarding the extent to which Airbus could have involved a greater number of RSPs in the A350XWB programme in the absence of LA/MSF, although the Panel acknowledged that this was theoretically possible, it was not persuaded that Airbus could have, </w:t>
      </w:r>
      <w:r w:rsidRPr="00423E0C">
        <w:rPr>
          <w:i/>
        </w:rPr>
        <w:t>in practice</w:t>
      </w:r>
      <w:r>
        <w:t>, relied on RSPs to a level that would have come anywhere close to doubling their involvement compared to the actual situation, as claimed by the European Union.</w:t>
      </w:r>
      <w:r>
        <w:rPr>
          <w:rStyle w:val="FootnoteReference"/>
        </w:rPr>
        <w:footnoteReference w:id="1732"/>
      </w:r>
      <w:r>
        <w:t xml:space="preserve"> In reaching its conclusion, the Panel identified certain risks associated with the enhanced use of RSPs.</w:t>
      </w:r>
      <w:r>
        <w:rPr>
          <w:rStyle w:val="FootnoteReference"/>
        </w:rPr>
        <w:footnoteReference w:id="1733"/>
      </w:r>
      <w:r>
        <w:t xml:space="preserve"> As to the disposal of non</w:t>
      </w:r>
      <w:r>
        <w:noBreakHyphen/>
        <w:t>core assets by EADS, while the Panel accepted that this may have been an option for EADS, it concluded that the extent to which this was a credible source of funding for the A350XWB programme in the absence of A350XWB LA/MSF at any relevant time was "speculative".</w:t>
      </w:r>
      <w:r>
        <w:rPr>
          <w:rStyle w:val="FootnoteReference"/>
        </w:rPr>
        <w:footnoteReference w:id="1734"/>
      </w:r>
      <w:r>
        <w:t xml:space="preserve"> Turning to increased profitability and cash generation, the Panel considered it far from clear that EADS was in a position to further cut significant costs from its budget at any relevant time, at least without inviting disruptions and other potential problems to its operations.</w:t>
      </w:r>
      <w:r>
        <w:rPr>
          <w:rStyle w:val="FootnoteReference"/>
        </w:rPr>
        <w:footnoteReference w:id="1735"/>
      </w:r>
      <w:r>
        <w:t xml:space="preserve"> With respect to the potential reduction in shareholder distributions by EADS, the Panel accepted</w:t>
      </w:r>
      <w:r w:rsidR="000352B8">
        <w:t xml:space="preserve"> that</w:t>
      </w:r>
      <w:r>
        <w:t xml:space="preserve"> this may have been an option for EADS, but concluded that the extent to which this was a credible source of funding remained "speculative".</w:t>
      </w:r>
      <w:r>
        <w:rPr>
          <w:rStyle w:val="FootnoteReference"/>
        </w:rPr>
        <w:footnoteReference w:id="1736"/>
      </w:r>
      <w:r>
        <w:t xml:space="preserve"> The Panel reached a similar conclusion as to the possibility of raising additional funds via equity-related financing.</w:t>
      </w:r>
      <w:r>
        <w:rPr>
          <w:rStyle w:val="FootnoteReference"/>
        </w:rPr>
        <w:footnoteReference w:id="1737"/>
      </w:r>
    </w:p>
    <w:p w:rsidR="00C752B3" w:rsidRDefault="00C752B3" w:rsidP="00526697">
      <w:pPr>
        <w:pStyle w:val="BodyText"/>
        <w:numPr>
          <w:ilvl w:val="6"/>
          <w:numId w:val="23"/>
        </w:numPr>
      </w:pPr>
      <w:r>
        <w:t xml:space="preserve">Regarding EADS' cash reserves, the Panel looked at the actual and projected net cash positions and concluded that, moving forward from either the time of launch or the First Contract Date, EADS had "significant cash" that it could have diverted </w:t>
      </w:r>
      <w:r w:rsidR="008A6943">
        <w:t>to the A350XWB programme. Given </w:t>
      </w:r>
      <w:r>
        <w:t xml:space="preserve">the uncertainties surrounding </w:t>
      </w:r>
      <w:r w:rsidR="00A7405E">
        <w:t>EADS'</w:t>
      </w:r>
      <w:r>
        <w:t xml:space="preserve"> future cash positions at each of these dates, however, and given the competing pressures on </w:t>
      </w:r>
      <w:r w:rsidR="00A7405E">
        <w:t>EADS'</w:t>
      </w:r>
      <w:r>
        <w:t xml:space="preserve"> cash reserves, the Panel considered that doing so would have entailed "significant risks" for EADS – risks that unsecured, back-loaded</w:t>
      </w:r>
      <w:r w:rsidR="00A7405E">
        <w:t>,</w:t>
      </w:r>
      <w:r>
        <w:t xml:space="preserve"> and success</w:t>
      </w:r>
      <w:r>
        <w:noBreakHyphen/>
        <w:t>dependent instruments like LA/MSF tend to shift away from EADS.</w:t>
      </w:r>
      <w:r>
        <w:rPr>
          <w:rStyle w:val="FootnoteReference"/>
        </w:rPr>
        <w:footnoteReference w:id="1738"/>
      </w:r>
      <w:r>
        <w:t xml:space="preserve"> In reaching this conclusion, the Panel made a number of intermediate findings. Discussing the relevance of the net cash position, it appeared "likely" to the Panel that, at least for the years such figures cover, EADS either had or was expected to have sufficient net cash levels that</w:t>
      </w:r>
      <w:r w:rsidR="00A7405E">
        <w:t>,</w:t>
      </w:r>
      <w:r>
        <w:t xml:space="preserve"> "on their face"</w:t>
      </w:r>
      <w:r w:rsidR="00A7405E">
        <w:t>,</w:t>
      </w:r>
      <w:r>
        <w:t xml:space="preserve"> were capable of covering the A350XWB-related expenses Airbus had accrued up until such times that A350XWB LA/MSF had instead covered.</w:t>
      </w:r>
      <w:r>
        <w:rPr>
          <w:rStyle w:val="FootnoteReference"/>
        </w:rPr>
        <w:footnoteReference w:id="1739"/>
      </w:r>
      <w:r>
        <w:t xml:space="preserve"> However, the Panel cautioned that the face value of these net cash positions did not actually represent the amount of cash that EADS could or would have directed to the A350XWB programme. In this regard, the Panel considered the record to reflect that EADS was "hesitant to substantially deplete its cash reserves during the relevant times".</w:t>
      </w:r>
      <w:r>
        <w:rPr>
          <w:rStyle w:val="FootnoteReference"/>
        </w:rPr>
        <w:footnoteReference w:id="1740"/>
      </w:r>
      <w:r>
        <w:t xml:space="preserve"> Based on the evidence before it, the Panel saw "compelling reasons" as to why EADS would be hesitant to deplete its cash reserves to a significant degree.</w:t>
      </w:r>
      <w:r>
        <w:rPr>
          <w:rStyle w:val="FootnoteReference"/>
        </w:rPr>
        <w:footnoteReference w:id="1741"/>
      </w:r>
      <w:r>
        <w:t xml:space="preserve"> Therefore, the Panel considered that not only were the net cash projections themselves subject to uncertainties, but it was also uncertain as to what specific cash needs EADS would have in the future. The Panel also</w:t>
      </w:r>
      <w:r w:rsidRPr="00F44D45">
        <w:rPr>
          <w:lang w:val="en-US"/>
        </w:rPr>
        <w:t xml:space="preserve"> considered it "reasonably clear" that at least a portion of EADS' net cash positions would h</w:t>
      </w:r>
      <w:r w:rsidRPr="002817B2">
        <w:rPr>
          <w:lang w:val="en-US"/>
        </w:rPr>
        <w:t>ave to be held in reserve to maintain a proper balance between its ability to raise debt and its maintenance of an acceptable credit rating.</w:t>
      </w:r>
      <w:r>
        <w:rPr>
          <w:rStyle w:val="FootnoteReference"/>
          <w:lang w:val="en-US"/>
        </w:rPr>
        <w:footnoteReference w:id="1742"/>
      </w:r>
      <w:r>
        <w:rPr>
          <w:lang w:val="en-US"/>
        </w:rPr>
        <w:t xml:space="preserve"> </w:t>
      </w:r>
      <w:r w:rsidRPr="007A5CB8">
        <w:rPr>
          <w:lang w:val="en-US"/>
        </w:rPr>
        <w:t xml:space="preserve">Finally, </w:t>
      </w:r>
      <w:r>
        <w:t>turning to EADS</w:t>
      </w:r>
      <w:r w:rsidR="00A7405E">
        <w:t>'</w:t>
      </w:r>
      <w:r>
        <w:t xml:space="preserve"> debt capacity as a potential source of funding, the Panel detected "little evidence" that EADS would have had </w:t>
      </w:r>
      <w:r w:rsidRPr="007A5CB8">
        <w:rPr>
          <w:i/>
        </w:rPr>
        <w:t>no</w:t>
      </w:r>
      <w:r>
        <w:t xml:space="preserve"> </w:t>
      </w:r>
      <w:r w:rsidRPr="007A5CB8">
        <w:rPr>
          <w:lang w:val="en-US"/>
        </w:rPr>
        <w:t xml:space="preserve">appreciable </w:t>
      </w:r>
      <w:r>
        <w:t>debt-raising capacity in the relevant time periods in the absence of A350XWB LA/MSF</w:t>
      </w:r>
      <w:r w:rsidR="00A7405E">
        <w:t>,</w:t>
      </w:r>
      <w:r>
        <w:t xml:space="preserve"> and thus accepted that this was likely an option that could have been pursued to at least some </w:t>
      </w:r>
      <w:r w:rsidRPr="007A5CB8">
        <w:rPr>
          <w:lang w:val="en-US"/>
        </w:rPr>
        <w:t xml:space="preserve">material </w:t>
      </w:r>
      <w:r>
        <w:t>degree.</w:t>
      </w:r>
      <w:r>
        <w:rPr>
          <w:rStyle w:val="FootnoteReference"/>
        </w:rPr>
        <w:footnoteReference w:id="1743"/>
      </w:r>
      <w:r>
        <w:t xml:space="preserve"> </w:t>
      </w:r>
    </w:p>
    <w:p w:rsidR="00C752B3" w:rsidRDefault="00C752B3" w:rsidP="00526697">
      <w:pPr>
        <w:pStyle w:val="BodyText"/>
        <w:numPr>
          <w:ilvl w:val="6"/>
          <w:numId w:val="23"/>
        </w:numPr>
      </w:pPr>
      <w:r>
        <w:t xml:space="preserve">Our review of the Panel's assessment of each of the individual sources of funding reveals that, in determining the availability and extent of each individual funding source, the Panel identified the specific limitations and risks associated with each source. We note that, on appeal, the European Union does not take issue with the above aspects of the Panel's analysis. The Panel considered that </w:t>
      </w:r>
      <w:r w:rsidRPr="007A5CB8">
        <w:rPr>
          <w:i/>
        </w:rPr>
        <w:t>any single one</w:t>
      </w:r>
      <w:r>
        <w:t xml:space="preserve"> of the potentially available funding options would have been insufficient, on its own, to replace either the absolute monetary value or the relative financial security provided through the generally back-loaded, unsecured</w:t>
      </w:r>
      <w:r w:rsidR="00A7405E">
        <w:t>,</w:t>
      </w:r>
      <w:r>
        <w:t xml:space="preserve"> and success</w:t>
      </w:r>
      <w:r>
        <w:noBreakHyphen/>
        <w:t>dependent repayment terms of A350XWB LA/MSF</w:t>
      </w:r>
      <w:r w:rsidRPr="007A5CB8">
        <w:rPr>
          <w:lang w:val="en-US"/>
        </w:rPr>
        <w:t>.</w:t>
      </w:r>
      <w:r>
        <w:rPr>
          <w:rStyle w:val="FootnoteReference"/>
          <w:lang w:val="en-US"/>
        </w:rPr>
        <w:footnoteReference w:id="1744"/>
      </w:r>
      <w:r w:rsidRPr="007A5CB8">
        <w:rPr>
          <w:lang w:val="en-US"/>
        </w:rPr>
        <w:t xml:space="preserve"> </w:t>
      </w:r>
      <w:r>
        <w:t>Having addressed each of the individual source</w:t>
      </w:r>
      <w:r w:rsidR="00A7405E">
        <w:t>s</w:t>
      </w:r>
      <w:r>
        <w:t xml:space="preserve"> of funding, the Panel found that, "on balance", the assortment of financial resources that Airbus, via EADS, had at its disposal would have been, "collectively", sufficient to </w:t>
      </w:r>
      <w:r w:rsidR="00A7405E">
        <w:t xml:space="preserve">replace </w:t>
      </w:r>
      <w:r>
        <w:t xml:space="preserve">effectively the monies </w:t>
      </w:r>
      <w:r w:rsidR="00A7405E">
        <w:t xml:space="preserve">that </w:t>
      </w:r>
      <w:r>
        <w:t>Airbus is entitled to under the actual A350XWB LA/MSF contracts.</w:t>
      </w:r>
      <w:r>
        <w:rPr>
          <w:rStyle w:val="FootnoteReference"/>
        </w:rPr>
        <w:footnoteReference w:id="1745"/>
      </w:r>
      <w:r>
        <w:t xml:space="preserve"> However, the Panel did not share the European Union's "optimism" regarding how easily EADS could have</w:t>
      </w:r>
      <w:r w:rsidRPr="007A5CB8">
        <w:rPr>
          <w:lang w:val="en-US"/>
        </w:rPr>
        <w:t xml:space="preserve"> </w:t>
      </w:r>
      <w:r>
        <w:t>martialled th</w:t>
      </w:r>
      <w:r w:rsidR="00A7405E">
        <w:t>e</w:t>
      </w:r>
      <w:r>
        <w:t>se resources for the purpose of the A350XWB programme.</w:t>
      </w:r>
      <w:r>
        <w:rPr>
          <w:rStyle w:val="FootnoteReference"/>
        </w:rPr>
        <w:footnoteReference w:id="1746"/>
      </w:r>
      <w:r>
        <w:t xml:space="preserve"> In this regard, the Panel stated that</w:t>
      </w:r>
      <w:r w:rsidRPr="007A5CB8">
        <w:rPr>
          <w:lang w:val="en-US"/>
        </w:rPr>
        <w:t xml:space="preserve"> each of the </w:t>
      </w:r>
      <w:r>
        <w:t>potentially available – and "to some degree speculative" – funding option</w:t>
      </w:r>
      <w:r w:rsidR="00A7405E">
        <w:t>s</w:t>
      </w:r>
      <w:r>
        <w:t xml:space="preserve"> would have "carried its own risks, costs and/or difficulties".</w:t>
      </w:r>
      <w:r>
        <w:rPr>
          <w:rStyle w:val="FootnoteReference"/>
        </w:rPr>
        <w:footnoteReference w:id="1747"/>
      </w:r>
      <w:r>
        <w:t xml:space="preserve"> Besides referring to the specific risks associated with each funding option</w:t>
      </w:r>
      <w:r w:rsidR="000352B8">
        <w:t xml:space="preserve"> discussed above</w:t>
      </w:r>
      <w:r>
        <w:rPr>
          <w:rStyle w:val="FootnoteReference"/>
        </w:rPr>
        <w:footnoteReference w:id="1748"/>
      </w:r>
      <w:r>
        <w:t>, the Panel also recalled its analysis of</w:t>
      </w:r>
      <w:r w:rsidR="00A7405E">
        <w:t>:</w:t>
      </w:r>
      <w:r>
        <w:t xml:space="preserve"> (i) the LA/MSF negotiations; (ii) the UK </w:t>
      </w:r>
      <w:r w:rsidR="00A7405E">
        <w:t>A</w:t>
      </w:r>
      <w:r>
        <w:t>ppraisal; and (iii) the European Commission State Aid Decisions.</w:t>
      </w:r>
      <w:r>
        <w:rPr>
          <w:rStyle w:val="FootnoteReference"/>
        </w:rPr>
        <w:footnoteReference w:id="1749"/>
      </w:r>
      <w:r>
        <w:t xml:space="preserve"> With respect to the LA/MSF negotiations, the Panel recalled that its analysis of the record evidence suggested that EADS' desire for LA/MSF measures for the A350XWB stemmed from the "lack of other options".</w:t>
      </w:r>
      <w:r>
        <w:rPr>
          <w:rStyle w:val="FootnoteReference"/>
        </w:rPr>
        <w:footnoteReference w:id="1750"/>
      </w:r>
      <w:r>
        <w:t xml:space="preserve"> Turning to the UK Appraisal</w:t>
      </w:r>
      <w:r w:rsidR="00C30503">
        <w:rPr>
          <w:rStyle w:val="FootnoteReference"/>
        </w:rPr>
        <w:footnoteReference w:id="1751"/>
      </w:r>
      <w:r>
        <w:t>, terming it as the "most credible source" of analysis in the record regarding EADS' ability to proceed with the A350XWB in the absence of A350XWB LA/MSF</w:t>
      </w:r>
      <w:r>
        <w:rPr>
          <w:rStyle w:val="FootnoteReference"/>
        </w:rPr>
        <w:footnoteReference w:id="1752"/>
      </w:r>
      <w:r>
        <w:t>, the Panel fou</w:t>
      </w:r>
      <w:r w:rsidR="008A6943">
        <w:t>nd that the Appraisal "strongly </w:t>
      </w:r>
      <w:r>
        <w:t>supports the proposition that it would have been very difficult for Airbus and EADS to effectively fund the A350XWB programme … in the absence of A350XWB LA/MSF".</w:t>
      </w:r>
      <w:r>
        <w:rPr>
          <w:rStyle w:val="FootnoteReference"/>
        </w:rPr>
        <w:footnoteReference w:id="1753"/>
      </w:r>
      <w:r w:rsidR="008A6943">
        <w:t xml:space="preserve"> Finally, </w:t>
      </w:r>
      <w:r>
        <w:t>recalling its analysis of the State Aid Decisions discussing the challenges for aerospace companies in accessing market financing for projects</w:t>
      </w:r>
      <w:r>
        <w:rPr>
          <w:rStyle w:val="FootnoteReference"/>
        </w:rPr>
        <w:footnoteReference w:id="1754"/>
      </w:r>
      <w:r>
        <w:t>, the Panel found that the Decisions "indicate that the A350XWB programme and certain of its constituent projects entailed significant risks, and that securing market financing to fund certain such constituent projects was infeasible due, at least in part, to systemic problems faced by companies in the LCA and aerospace industries, in which Airbus and EADS are participants".</w:t>
      </w:r>
      <w:r>
        <w:rPr>
          <w:rStyle w:val="FootnoteReference"/>
        </w:rPr>
        <w:footnoteReference w:id="1755"/>
      </w:r>
    </w:p>
    <w:p w:rsidR="00C752B3" w:rsidRPr="008E6E8D" w:rsidRDefault="00C752B3" w:rsidP="00526697">
      <w:pPr>
        <w:pStyle w:val="BodyText"/>
        <w:numPr>
          <w:ilvl w:val="6"/>
          <w:numId w:val="23"/>
        </w:numPr>
      </w:pPr>
      <w:r w:rsidRPr="00916D75">
        <w:rPr>
          <w:lang w:val="en-US"/>
        </w:rPr>
        <w:t xml:space="preserve">Furthermore, the Panel stated that it </w:t>
      </w:r>
      <w:r>
        <w:t>could not assess the availability of each funding option in a "vacuum" and considered that the implementation of o</w:t>
      </w:r>
      <w:r w:rsidR="008A6943">
        <w:t>ne option would have "generally </w:t>
      </w:r>
      <w:r>
        <w:t>limited the availability of others".</w:t>
      </w:r>
      <w:r>
        <w:rPr>
          <w:rStyle w:val="FootnoteReference"/>
        </w:rPr>
        <w:footnoteReference w:id="1756"/>
      </w:r>
      <w:r>
        <w:t xml:space="preserve"> In this regard, the Panel recalled several findings from its examination of Airbus' ability to fund the programme: (i) reducing EADS' cash reserves could have put EADS' credit rating at further risk</w:t>
      </w:r>
      <w:r>
        <w:rPr>
          <w:rStyle w:val="FootnoteReference"/>
        </w:rPr>
        <w:footnoteReference w:id="1757"/>
      </w:r>
      <w:r>
        <w:t xml:space="preserve">; (ii) enhancing RSP involvement could </w:t>
      </w:r>
      <w:r w:rsidR="001B458F">
        <w:t xml:space="preserve">have </w:t>
      </w:r>
      <w:r>
        <w:t>invite</w:t>
      </w:r>
      <w:r w:rsidR="001B458F">
        <w:t>d</w:t>
      </w:r>
      <w:r>
        <w:t xml:space="preserve"> production disruptions or at least required additional or a diversion of management resources, which could, in turn, have adversely impacted Airbus' other aircraft programmes and/or possibly even EADS' expected cash flows</w:t>
      </w:r>
      <w:r>
        <w:rPr>
          <w:rStyle w:val="FootnoteReference"/>
        </w:rPr>
        <w:footnoteReference w:id="1758"/>
      </w:r>
      <w:r>
        <w:t xml:space="preserve">; and (iii) cutting dividends may have shaken investor confidence in the company, making </w:t>
      </w:r>
      <w:r w:rsidR="008215DF">
        <w:t>it more difficult to raise</w:t>
      </w:r>
      <w:r>
        <w:t xml:space="preserve"> debt or equity.</w:t>
      </w:r>
      <w:r>
        <w:rPr>
          <w:rStyle w:val="FootnoteReference"/>
        </w:rPr>
        <w:footnoteReference w:id="1759"/>
      </w:r>
      <w:r>
        <w:t xml:space="preserve"> </w:t>
      </w:r>
      <w:r w:rsidRPr="00916D75">
        <w:rPr>
          <w:lang w:val="en-US"/>
        </w:rPr>
        <w:t>Moreover, the Panel noted that EADS' financial situation, at the time of launch</w:t>
      </w:r>
      <w:r>
        <w:rPr>
          <w:lang w:val="en-US"/>
        </w:rPr>
        <w:t xml:space="preserve"> and through the</w:t>
      </w:r>
      <w:r w:rsidRPr="00916D75">
        <w:rPr>
          <w:lang w:val="en-US"/>
        </w:rPr>
        <w:t xml:space="preserve"> </w:t>
      </w:r>
      <w:r>
        <w:t>period during which the A350XWB LA/MSF contracts were entered into</w:t>
      </w:r>
      <w:r w:rsidRPr="00916D75">
        <w:rPr>
          <w:lang w:val="en-US"/>
        </w:rPr>
        <w:t xml:space="preserve">, displayed </w:t>
      </w:r>
      <w:r>
        <w:rPr>
          <w:lang w:val="en-US"/>
        </w:rPr>
        <w:t>"</w:t>
      </w:r>
      <w:r w:rsidRPr="00916D75">
        <w:rPr>
          <w:lang w:val="en-US"/>
        </w:rPr>
        <w:t>considerable problems</w:t>
      </w:r>
      <w:r>
        <w:rPr>
          <w:lang w:val="en-US"/>
        </w:rPr>
        <w:t>"</w:t>
      </w:r>
      <w:r w:rsidRPr="00916D75">
        <w:rPr>
          <w:lang w:val="en-US"/>
        </w:rPr>
        <w:t>.</w:t>
      </w:r>
      <w:r>
        <w:rPr>
          <w:rStyle w:val="FootnoteReference"/>
          <w:lang w:val="en-US"/>
        </w:rPr>
        <w:footnoteReference w:id="1760"/>
      </w:r>
      <w:r w:rsidRPr="00916D75">
        <w:rPr>
          <w:lang w:val="en-US"/>
        </w:rPr>
        <w:t xml:space="preserve"> </w:t>
      </w:r>
      <w:r>
        <w:rPr>
          <w:lang w:val="en-US"/>
        </w:rPr>
        <w:t>T</w:t>
      </w:r>
      <w:r w:rsidRPr="00916D75">
        <w:rPr>
          <w:lang w:val="en-US"/>
        </w:rPr>
        <w:t>he Panel</w:t>
      </w:r>
      <w:r>
        <w:rPr>
          <w:lang w:val="en-US"/>
        </w:rPr>
        <w:t xml:space="preserve"> thus</w:t>
      </w:r>
      <w:r w:rsidRPr="00916D75">
        <w:rPr>
          <w:lang w:val="en-US"/>
        </w:rPr>
        <w:t xml:space="preserve"> concluded that "EADS would have faced significant challenges when assembling and implementing a combination of the funding options that were potentially available to it for a programme with the risk profile of the A350XWB programme".</w:t>
      </w:r>
      <w:r>
        <w:rPr>
          <w:rStyle w:val="FootnoteReference"/>
          <w:lang w:val="en-US"/>
        </w:rPr>
        <w:footnoteReference w:id="1761"/>
      </w:r>
      <w:r w:rsidRPr="00916D75">
        <w:rPr>
          <w:lang w:val="en-US"/>
        </w:rPr>
        <w:t xml:space="preserve"> </w:t>
      </w:r>
    </w:p>
    <w:p w:rsidR="00C752B3" w:rsidRPr="00916D75" w:rsidRDefault="00C752B3" w:rsidP="00526697">
      <w:pPr>
        <w:pStyle w:val="BodyText"/>
        <w:numPr>
          <w:ilvl w:val="6"/>
          <w:numId w:val="23"/>
        </w:numPr>
      </w:pPr>
      <w:r>
        <w:rPr>
          <w:lang w:val="en-US"/>
        </w:rPr>
        <w:t xml:space="preserve">Thus, in addition to determining whether each of the individual funding options available to Airbus was, on its own, sufficient to fund the launch of the A350XWB, the Panel also undertook a collective assessment of whether an assortment of funding sources would be sufficient to replace the monies that Airbus was entitled to under the A350XWB LA/MSF contracts. In finding that </w:t>
      </w:r>
      <w:r w:rsidRPr="00916D75">
        <w:rPr>
          <w:lang w:val="en-US"/>
        </w:rPr>
        <w:t>"EADS would have faced significant challenges when assembling and implementing a combination of the funding options that were potentially available to it for a programme with the risk pr</w:t>
      </w:r>
      <w:r>
        <w:rPr>
          <w:lang w:val="en-US"/>
        </w:rPr>
        <w:t>ofile of the A350XWB programme"</w:t>
      </w:r>
      <w:r>
        <w:rPr>
          <w:rStyle w:val="FootnoteReference"/>
          <w:lang w:val="en-US"/>
        </w:rPr>
        <w:footnoteReference w:id="1762"/>
      </w:r>
      <w:r>
        <w:rPr>
          <w:lang w:val="en-US"/>
        </w:rPr>
        <w:t>,</w:t>
      </w:r>
      <w:r w:rsidRPr="00916D75">
        <w:rPr>
          <w:lang w:val="en-US"/>
        </w:rPr>
        <w:t xml:space="preserve"> </w:t>
      </w:r>
      <w:r w:rsidRPr="005E0D28">
        <w:rPr>
          <w:lang w:val="en-US"/>
        </w:rPr>
        <w:t xml:space="preserve">the Panel acknowledged the interrelationship between the different funding sources and considered </w:t>
      </w:r>
      <w:r>
        <w:t>that the implementation of o</w:t>
      </w:r>
      <w:r w:rsidR="008A6943">
        <w:t>ne option would have "generally </w:t>
      </w:r>
      <w:r>
        <w:t>limited the availability of others".</w:t>
      </w:r>
      <w:r>
        <w:rPr>
          <w:rStyle w:val="FootnoteReference"/>
        </w:rPr>
        <w:footnoteReference w:id="1763"/>
      </w:r>
      <w:r>
        <w:t xml:space="preserve"> Moreover, in carrying out its collective assessment, the Panel recalled the risks identified by it with respect to each funding option, as well as the overall risks and complications associated with the A350XWB programme.</w:t>
      </w:r>
    </w:p>
    <w:p w:rsidR="00C752B3" w:rsidRDefault="00C752B3" w:rsidP="00526697">
      <w:pPr>
        <w:pStyle w:val="BodyText"/>
        <w:numPr>
          <w:ilvl w:val="6"/>
          <w:numId w:val="23"/>
        </w:numPr>
      </w:pPr>
      <w:r>
        <w:t xml:space="preserve">In the Panel's view, all these reasons suggested that, </w:t>
      </w:r>
      <w:r w:rsidRPr="00916D75">
        <w:rPr>
          <w:lang w:val="en-US"/>
        </w:rPr>
        <w:t>had EADS pursued the A350XWB programme at any relevant time in the absence of either (i) assurances from the member States regarding their willingness to help finance the programme</w:t>
      </w:r>
      <w:r>
        <w:rPr>
          <w:lang w:val="en-US"/>
        </w:rPr>
        <w:t>,</w:t>
      </w:r>
      <w:r w:rsidRPr="00916D75">
        <w:rPr>
          <w:lang w:val="en-US"/>
        </w:rPr>
        <w:t xml:space="preserve"> or (ii) the </w:t>
      </w:r>
      <w:r>
        <w:rPr>
          <w:lang w:val="en-US"/>
        </w:rPr>
        <w:t xml:space="preserve">A350XWB </w:t>
      </w:r>
      <w:r w:rsidRPr="00916D75">
        <w:rPr>
          <w:lang w:val="en-US"/>
        </w:rPr>
        <w:t xml:space="preserve">LA/MSF measures themselves, "EADS would </w:t>
      </w:r>
      <w:r>
        <w:t>have had to accept that it may have been putting the overall health of the company at greater and … considerable, risk".</w:t>
      </w:r>
      <w:r>
        <w:rPr>
          <w:rStyle w:val="FootnoteReference"/>
        </w:rPr>
        <w:footnoteReference w:id="1764"/>
      </w:r>
      <w:r>
        <w:t xml:space="preserve"> This, in turn, led the Panel to believe that </w:t>
      </w:r>
      <w:r w:rsidR="001B458F">
        <w:t>"</w:t>
      </w:r>
      <w:r>
        <w:t>it</w:t>
      </w:r>
      <w:r w:rsidR="001B458F">
        <w:t> </w:t>
      </w:r>
      <w:r w:rsidR="008215DF">
        <w:t>{was}</w:t>
      </w:r>
      <w:r>
        <w:t xml:space="preserve"> highly likely that, in the absence of A350XWB LA/MSF, Airbus would, to some degree, have had to make certain compromises with respect to the pace of the programme and/or the features of the aircraft".</w:t>
      </w:r>
      <w:r>
        <w:rPr>
          <w:rStyle w:val="FootnoteReference"/>
        </w:rPr>
        <w:footnoteReference w:id="1765"/>
      </w:r>
      <w:r>
        <w:t xml:space="preserve"> In a footnote to this statement, the</w:t>
      </w:r>
      <w:r w:rsidR="008A6943">
        <w:t xml:space="preserve"> Panel explained that "{m}aking </w:t>
      </w:r>
      <w:r>
        <w:t>such compromises would … be a way to reduce costs and/or risk associated with the programme".</w:t>
      </w:r>
      <w:r>
        <w:rPr>
          <w:rStyle w:val="FootnoteReference"/>
        </w:rPr>
        <w:footnoteReference w:id="1766"/>
      </w:r>
      <w:r>
        <w:t xml:space="preserve"> In the same footnote, the Panel "note{d} several pieces of evidence in the record indicating how financial troubles may delay an LCA programme".</w:t>
      </w:r>
      <w:r>
        <w:rPr>
          <w:rStyle w:val="FootnoteReference"/>
        </w:rPr>
        <w:footnoteReference w:id="1767"/>
      </w:r>
      <w:r>
        <w:t xml:space="preserve"> The Panel thus considered that pursuing the programme in the absence of A350XWB LA/MSF would have been "a more complicated, more costly and riskier endeavour".</w:t>
      </w:r>
      <w:r>
        <w:rPr>
          <w:rStyle w:val="FootnoteReference"/>
        </w:rPr>
        <w:footnoteReference w:id="1768"/>
      </w:r>
      <w:r>
        <w:t xml:space="preserve"> It was "{o}n this basis" that the Panel found that</w:t>
      </w:r>
      <w:r w:rsidR="001B458F">
        <w:t>,</w:t>
      </w:r>
      <w:r>
        <w:t xml:space="preserve"> although the Airbus company that </w:t>
      </w:r>
      <w:r w:rsidRPr="00B7053D">
        <w:rPr>
          <w:i/>
        </w:rPr>
        <w:t>actually existed</w:t>
      </w:r>
      <w:r>
        <w:t xml:space="preserve"> in the 2006 to 2010 period would, in the absence of A350XWB LA/MSF, "have been able to launch and bring to market the A350XWB or an A350XWB-type aircraft", it could have done so only by a "</w:t>
      </w:r>
      <w:r w:rsidR="008A6943">
        <w:t>narrow margin" and with a "high </w:t>
      </w:r>
      <w:r>
        <w:t>likelihood that it would, to some degree, have had to make certain compromises with respect to the pace of the programme and/or the features of the aircraft".</w:t>
      </w:r>
      <w:r>
        <w:rPr>
          <w:rStyle w:val="FootnoteReference"/>
        </w:rPr>
        <w:footnoteReference w:id="1769"/>
      </w:r>
      <w:r>
        <w:t xml:space="preserve"> </w:t>
      </w:r>
    </w:p>
    <w:p w:rsidR="00C752B3" w:rsidRDefault="00C752B3" w:rsidP="00526697">
      <w:pPr>
        <w:pStyle w:val="BodyText"/>
        <w:numPr>
          <w:ilvl w:val="6"/>
          <w:numId w:val="23"/>
        </w:numPr>
      </w:pPr>
      <w:r>
        <w:t xml:space="preserve">Our review above renders it clear that, as part of its analysis of the LA/MSF negotiations, the UK Appraisal, </w:t>
      </w:r>
      <w:r w:rsidR="001B458F">
        <w:t xml:space="preserve">and </w:t>
      </w:r>
      <w:r>
        <w:t>the European Commission State Aid Decisions, as well as the ability of Airbus to fund the programme, the Panel identified and explained several risks, costs, and complications for the A350XWB programme that would arise in the absence of A350XWB LA/MSF.</w:t>
      </w:r>
      <w:r>
        <w:rPr>
          <w:rStyle w:val="FootnoteReference"/>
        </w:rPr>
        <w:footnoteReference w:id="1770"/>
      </w:r>
      <w:r>
        <w:t xml:space="preserve"> It was the Panel's understanding of these "considerable" risks, costs, and complications for the launch and development of the A350XWB in the absence of A350XWB LA/MSF that led it to conclude that there was a high likelihood that Airbus would, to some degree, have had to make certain compromises with respect to the timing and/or features of the aircraft. The Panel explained that making such compromises would, in its view, be "a way" to reduce the costs and/or risk associated with the programme.</w:t>
      </w:r>
      <w:r>
        <w:rPr>
          <w:rStyle w:val="FootnoteReference"/>
        </w:rPr>
        <w:footnoteReference w:id="1771"/>
      </w:r>
      <w:r>
        <w:t xml:space="preserve"> In support, the Panel expressly cited several pieces of evidence </w:t>
      </w:r>
      <w:r w:rsidR="001B458F">
        <w:t>that</w:t>
      </w:r>
      <w:r>
        <w:t>, in its view, "indicat{ed} how fina</w:t>
      </w:r>
      <w:r w:rsidR="00C94315">
        <w:t xml:space="preserve">ncial troubles may delay an </w:t>
      </w:r>
      <w:r w:rsidR="00C94315" w:rsidRPr="00C94315">
        <w:t>LCA</w:t>
      </w:r>
      <w:r w:rsidR="00C94315">
        <w:t> </w:t>
      </w:r>
      <w:r w:rsidRPr="00C94315">
        <w:t>programme</w:t>
      </w:r>
      <w:r>
        <w:t>".</w:t>
      </w:r>
      <w:r>
        <w:rPr>
          <w:rStyle w:val="FootnoteReference"/>
        </w:rPr>
        <w:footnoteReference w:id="1772"/>
      </w:r>
      <w:r>
        <w:t xml:space="preserve"> </w:t>
      </w:r>
    </w:p>
    <w:p w:rsidR="00C752B3" w:rsidRDefault="00C752B3" w:rsidP="00526697">
      <w:pPr>
        <w:pStyle w:val="BodyText"/>
        <w:numPr>
          <w:ilvl w:val="6"/>
          <w:numId w:val="23"/>
        </w:numPr>
      </w:pPr>
      <w:r>
        <w:t>While the European Union summarily challenges the Panel's conclusion as lacking a sufficient evidentiary basis, it does not identify or allege any specific errors in the Panel's extensive assessment of the risks, costs, and complications that would arise for the A350XWB programme in the absence of A350XWB LA/MSF.</w:t>
      </w:r>
      <w:r>
        <w:rPr>
          <w:rStyle w:val="FootnoteReference"/>
        </w:rPr>
        <w:footnoteReference w:id="1773"/>
      </w:r>
      <w:r>
        <w:t xml:space="preserve"> In its appellant's submission, the European Union also does not provide an explanation of why the evidence cited by the Panel, indicating how financial troubles may delay an LCA programme, does not support its view that making compromises </w:t>
      </w:r>
      <w:r w:rsidR="001B458F">
        <w:t>on</w:t>
      </w:r>
      <w:r>
        <w:t xml:space="preserve"> the timing and/or features of the A350XWB would be "a way" to manage or mitigate the costs and/or risks associated with the programme. In response to questioning at</w:t>
      </w:r>
      <w:r w:rsidR="008A6943">
        <w:t xml:space="preserve"> the oral hearing, the </w:t>
      </w:r>
      <w:r w:rsidR="008215DF">
        <w:t>European </w:t>
      </w:r>
      <w:r>
        <w:t xml:space="preserve">Union clarified that the evidence cited by the Panel concerned the LCA </w:t>
      </w:r>
      <w:r w:rsidR="008A6943">
        <w:t>industry, in </w:t>
      </w:r>
      <w:r>
        <w:t xml:space="preserve">general, and did not specifically address the likelihood of </w:t>
      </w:r>
      <w:r w:rsidR="00C94315">
        <w:t>compromises with respect to the </w:t>
      </w:r>
      <w:r>
        <w:t>A350XWB.</w:t>
      </w:r>
      <w:r>
        <w:rPr>
          <w:rStyle w:val="FootnoteReference"/>
        </w:rPr>
        <w:footnoteReference w:id="1774"/>
      </w:r>
      <w:r>
        <w:t xml:space="preserve"> </w:t>
      </w:r>
    </w:p>
    <w:p w:rsidR="00C752B3" w:rsidRPr="00A352DC" w:rsidRDefault="00C752B3" w:rsidP="00526697">
      <w:pPr>
        <w:pStyle w:val="BodyText"/>
        <w:numPr>
          <w:ilvl w:val="6"/>
          <w:numId w:val="23"/>
        </w:numPr>
      </w:pPr>
      <w:r>
        <w:t>We note that, in addition to citing several pieces of evidence relating to how financial troubles may generally delay an LCA programme, the Panel referred to the UK Appraisal as well as a UK </w:t>
      </w:r>
      <w:r w:rsidR="001B458F">
        <w:t>G</w:t>
      </w:r>
      <w:r>
        <w:t>overnment report from March 2</w:t>
      </w:r>
      <w:r w:rsidRPr="00C8154C">
        <w:t xml:space="preserve">010, </w:t>
      </w:r>
      <w:r w:rsidR="001B458F">
        <w:t>en</w:t>
      </w:r>
      <w:r w:rsidRPr="00C8154C">
        <w:t>titled "F</w:t>
      </w:r>
      <w:r>
        <w:t>ull Speed ahead: maintaining UK </w:t>
      </w:r>
      <w:r w:rsidRPr="00C8154C">
        <w:t>excellence in motorsport and aerospace"</w:t>
      </w:r>
      <w:r>
        <w:t>.</w:t>
      </w:r>
      <w:r>
        <w:rPr>
          <w:rStyle w:val="FootnoteReference"/>
        </w:rPr>
        <w:footnoteReference w:id="1775"/>
      </w:r>
      <w:r>
        <w:t xml:space="preserve"> Given the apparent rigour of its underlying analysis, timeliness, and objective context, the Panel considered the UK Appraisal to be the "most credible source" of analysis </w:t>
      </w:r>
      <w:r w:rsidR="008215DF">
        <w:t>on</w:t>
      </w:r>
      <w:r>
        <w:t xml:space="preserve"> the record regarding EADS' ability to proceed with the A350XWB in the absence of A350XWB LA/MSF.</w:t>
      </w:r>
      <w:r>
        <w:rPr>
          <w:rStyle w:val="FootnoteReference"/>
        </w:rPr>
        <w:footnoteReference w:id="1776"/>
      </w:r>
      <w:r>
        <w:t xml:space="preserve"> As to the UK </w:t>
      </w:r>
      <w:r w:rsidR="001B458F">
        <w:t>G</w:t>
      </w:r>
      <w:r>
        <w:t>overnment report, the Panel considered it to "stron</w:t>
      </w:r>
      <w:r w:rsidR="00C94315">
        <w:t>gly </w:t>
      </w:r>
      <w:r>
        <w:t>suggest{} that the data on which the UK Appraisal relied in making its recommendation to provide A350XWB LA/MSF to Airbus should have demonstrated that A350XWB LA/MSF was '</w:t>
      </w:r>
      <w:r w:rsidRPr="009A7CAE">
        <w:rPr>
          <w:i/>
        </w:rPr>
        <w:t>essential</w:t>
      </w:r>
      <w:r>
        <w:t xml:space="preserve">' for the A350XWB programme </w:t>
      </w:r>
      <w:r w:rsidRPr="00E76831">
        <w:t>'</w:t>
      </w:r>
      <w:r w:rsidRPr="009A7CAE">
        <w:rPr>
          <w:i/>
        </w:rPr>
        <w:t>to proceed on the scale and in the timeframe specified</w:t>
      </w:r>
      <w:r>
        <w:t>'".</w:t>
      </w:r>
      <w:r>
        <w:rPr>
          <w:rStyle w:val="FootnoteReference"/>
        </w:rPr>
        <w:footnoteReference w:id="1777"/>
      </w:r>
      <w:r>
        <w:t xml:space="preserve"> Conversely, the Panel's understanding of the documents in this manner suggests that, without A350XWB LA/MSF, the A350XWB programme would not be able to proceed on the </w:t>
      </w:r>
      <w:r w:rsidRPr="009A7CAE">
        <w:rPr>
          <w:i/>
        </w:rPr>
        <w:t>scale</w:t>
      </w:r>
      <w:r>
        <w:t xml:space="preserve"> and in the </w:t>
      </w:r>
      <w:r w:rsidRPr="009A7CAE">
        <w:rPr>
          <w:i/>
        </w:rPr>
        <w:t xml:space="preserve">timeframe </w:t>
      </w:r>
      <w:r>
        <w:t xml:space="preserve">specified, thus supporting a finding of a high likelihood of compromises with respect to the features and </w:t>
      </w:r>
      <w:r w:rsidRPr="00A352DC">
        <w:t xml:space="preserve">timing of the </w:t>
      </w:r>
      <w:r>
        <w:t xml:space="preserve">A350XWB </w:t>
      </w:r>
      <w:r w:rsidR="001B458F">
        <w:t xml:space="preserve">without </w:t>
      </w:r>
      <w:r>
        <w:t>LA/MSF. On appeal,</w:t>
      </w:r>
      <w:r w:rsidR="008A6943">
        <w:t xml:space="preserve"> the </w:t>
      </w:r>
      <w:r>
        <w:t>European Union</w:t>
      </w:r>
      <w:r w:rsidRPr="00A352DC">
        <w:t xml:space="preserve"> does not explain why the Panel's understanding of these documents</w:t>
      </w:r>
      <w:r w:rsidR="008A6943">
        <w:t>, which </w:t>
      </w:r>
      <w:r>
        <w:t>focus specifically on Airbus and the A350XWB programme,</w:t>
      </w:r>
      <w:r w:rsidRPr="00A352DC">
        <w:t xml:space="preserve"> and the weight it attached to them amounts to an error under </w:t>
      </w:r>
      <w:r>
        <w:t>Article </w:t>
      </w:r>
      <w:r w:rsidRPr="00A352DC">
        <w:t xml:space="preserve">11 of the DSU. We therefore disagree with the </w:t>
      </w:r>
      <w:r>
        <w:t>European Union</w:t>
      </w:r>
      <w:r w:rsidRPr="00A352DC">
        <w:t xml:space="preserve">'s view that the Panel did not cite any evidence, or offer any reasoning, to support </w:t>
      </w:r>
      <w:r w:rsidR="001B458F">
        <w:t>its</w:t>
      </w:r>
      <w:r w:rsidRPr="00A352DC">
        <w:t xml:space="preserve"> "probabili</w:t>
      </w:r>
      <w:r>
        <w:t>stic"</w:t>
      </w:r>
      <w:r w:rsidR="001B458F">
        <w:t xml:space="preserve"> conclusion</w:t>
      </w:r>
      <w:r>
        <w:t>.</w:t>
      </w:r>
      <w:r>
        <w:rPr>
          <w:rStyle w:val="FootnoteReference"/>
        </w:rPr>
        <w:footnoteReference w:id="1778"/>
      </w:r>
    </w:p>
    <w:p w:rsidR="00C752B3" w:rsidRDefault="00C752B3" w:rsidP="00526697">
      <w:pPr>
        <w:pStyle w:val="BodyText"/>
        <w:numPr>
          <w:ilvl w:val="6"/>
          <w:numId w:val="23"/>
        </w:numPr>
      </w:pPr>
      <w:r>
        <w:t>We now turn to consider the European Union's second argument that a number of the Panel's factual findings, and several pieces of evidence, "strongly indicate that Airbus would not have found a compromise on timing or features of the A350XWB to be commercially viable", thereby contradicting the Panel's "subsequent speculation" that</w:t>
      </w:r>
      <w:r w:rsidR="008215DF">
        <w:t>, absent LA/MSF,</w:t>
      </w:r>
      <w:r>
        <w:t xml:space="preserve"> compromises would have been made on the timing or features of the A350XWB.</w:t>
      </w:r>
      <w:r>
        <w:rPr>
          <w:rStyle w:val="FootnoteReference"/>
        </w:rPr>
        <w:footnoteReference w:id="1779"/>
      </w:r>
      <w:r>
        <w:t xml:space="preserve"> Referring to the Panel's statement that "the A350XWB was not born in a vacuum"</w:t>
      </w:r>
      <w:r>
        <w:rPr>
          <w:rStyle w:val="FootnoteReference"/>
        </w:rPr>
        <w:footnoteReference w:id="1780"/>
      </w:r>
      <w:r>
        <w:t>, the European Union points out that the A350XWB was born in a competitive environment in which Boeing had gained a competitive edge that required an "urgent competitive response" from Airbus and any launch delay would have undermined the effectiveness of such a response.</w:t>
      </w:r>
      <w:r>
        <w:rPr>
          <w:rStyle w:val="FootnoteReference"/>
        </w:rPr>
        <w:footnoteReference w:id="1781"/>
      </w:r>
      <w:r>
        <w:t xml:space="preserve"> For the European Union, these statements confirm that the "commercial viability of the A350XWB was inherently tied to the timing of the aircraft's launch, and that compromises by Airbus with respect to timing would have undermined the viability of the A350XWB as a competitive response to the 787".</w:t>
      </w:r>
      <w:r>
        <w:rPr>
          <w:rStyle w:val="FootnoteReference"/>
        </w:rPr>
        <w:footnoteReference w:id="1782"/>
      </w:r>
      <w:r>
        <w:t xml:space="preserve"> Turning to the features of the aircraft, the European Union notes the Panel's observation that the large number of improvements </w:t>
      </w:r>
      <w:r w:rsidR="001B458F">
        <w:t xml:space="preserve">that </w:t>
      </w:r>
      <w:r>
        <w:t>Airbus offered on the A350XWB, compared to the Original A350</w:t>
      </w:r>
      <w:r w:rsidR="001B458F">
        <w:rPr>
          <w:rStyle w:val="FootnoteReference"/>
        </w:rPr>
        <w:footnoteReference w:id="1783"/>
      </w:r>
      <w:r w:rsidR="008215DF">
        <w:t xml:space="preserve">, were </w:t>
      </w:r>
      <w:r>
        <w:t>key to the aircraft's ability to compete with the 787 and the 777.</w:t>
      </w:r>
      <w:r>
        <w:rPr>
          <w:rStyle w:val="FootnoteReference"/>
        </w:rPr>
        <w:footnoteReference w:id="1784"/>
      </w:r>
      <w:r>
        <w:t xml:space="preserve"> "Conversely", the European Union argues, any compromise on the features of the aircraft would have "prejudiced the new aircraft's competitive position" and undermined its commercial viability.</w:t>
      </w:r>
      <w:r>
        <w:rPr>
          <w:rStyle w:val="FootnoteReference"/>
        </w:rPr>
        <w:footnoteReference w:id="1785"/>
      </w:r>
    </w:p>
    <w:p w:rsidR="00C752B3" w:rsidRDefault="00C752B3" w:rsidP="00526697">
      <w:pPr>
        <w:pStyle w:val="BodyText"/>
        <w:numPr>
          <w:ilvl w:val="6"/>
          <w:numId w:val="23"/>
        </w:numPr>
      </w:pPr>
      <w:r>
        <w:t xml:space="preserve">We agree with the European Union that several of the Panel's findings and observations underscore the importance of the features and timing of the A350XWB for its competitiveness in the twin-aisle LCA market. Discussing the origins of the A350XWB programme, the Panel observed that the Original A350 was rejected by customers </w:t>
      </w:r>
      <w:r w:rsidR="008215DF">
        <w:t>"</w:t>
      </w:r>
      <w:r>
        <w:t>as not being able to match the weight savings and fuel efficiency</w:t>
      </w:r>
      <w:r w:rsidR="008215DF">
        <w:t>"</w:t>
      </w:r>
      <w:r>
        <w:t xml:space="preserve"> of the Boeing 787.</w:t>
      </w:r>
      <w:r>
        <w:rPr>
          <w:rStyle w:val="FootnoteReference"/>
        </w:rPr>
        <w:footnoteReference w:id="1786"/>
      </w:r>
      <w:r>
        <w:t xml:space="preserve"> Compared to the Original A350, the Panel noted that the A350XWB was expected to have a wider and composite fuselage, larger composite wings, higher cruise speed, and more powerful engines, in order to </w:t>
      </w:r>
      <w:r w:rsidR="001B458F">
        <w:t xml:space="preserve">compete </w:t>
      </w:r>
      <w:r>
        <w:t>effectively with the Boeing 777 and 787.</w:t>
      </w:r>
      <w:r>
        <w:rPr>
          <w:rStyle w:val="FootnoteReference"/>
        </w:rPr>
        <w:footnoteReference w:id="1787"/>
      </w:r>
      <w:r>
        <w:t xml:space="preserve"> The Panel also considered it apparent that "time was of the essence", given that sales of the A330 and A340 were suffering "significant setbacks" due to competition from Boeing and the launch of the 787, which would have a "developmental head start" of around two years on any Airbus LCA that could replace the Original A350.</w:t>
      </w:r>
      <w:r>
        <w:rPr>
          <w:rStyle w:val="FootnoteReference"/>
        </w:rPr>
        <w:footnoteReference w:id="1788"/>
      </w:r>
      <w:r>
        <w:t xml:space="preserve"> The importance of the timing of the A350XWB is also evident from the Panel's observation that Airbus public</w:t>
      </w:r>
      <w:r w:rsidR="00204CC6">
        <w:t>ly unveiled the A350XWB in July </w:t>
      </w:r>
      <w:r>
        <w:t>2006 without having yet achieved sufficient certainty that it had the technical expertise to build the A350XWB as envisioned – particularly as regards to the extensive use of composite materials in the new aircraft.</w:t>
      </w:r>
      <w:r>
        <w:rPr>
          <w:rStyle w:val="FootnoteReference"/>
        </w:rPr>
        <w:footnoteReference w:id="1789"/>
      </w:r>
      <w:r>
        <w:t xml:space="preserve"> To make a formal launch decision, Airbus thus developed a new and accelerated "front-loaded design and production process" for the A350XWB that would ensure that the </w:t>
      </w:r>
      <w:r w:rsidR="001B458F">
        <w:t>aircraft</w:t>
      </w:r>
      <w:r>
        <w:t xml:space="preserve"> was technically feasible and attained "a given level of maturity of the aircraft design much earlier than Airbus had achieved in previous aircraft developments".</w:t>
      </w:r>
      <w:r>
        <w:rPr>
          <w:rStyle w:val="FootnoteReference"/>
        </w:rPr>
        <w:footnoteReference w:id="1790"/>
      </w:r>
    </w:p>
    <w:p w:rsidR="00C752B3" w:rsidRDefault="00C752B3" w:rsidP="00526697">
      <w:pPr>
        <w:pStyle w:val="BodyText"/>
        <w:numPr>
          <w:ilvl w:val="6"/>
          <w:numId w:val="23"/>
        </w:numPr>
      </w:pPr>
      <w:r>
        <w:t>In fact, in our view, the Panel's analysis establishes the importance of the timing and the features of the A350XWB not only for the competitiveness of that aircraft against the Boeing 777 and 787 in the twin-aisle LCA market, but also for ensuring "Airbus' continued relevance as a healthy competitor to Boeing in all market segments at least through the foreseeable future".</w:t>
      </w:r>
      <w:r>
        <w:rPr>
          <w:rStyle w:val="FootnoteReference"/>
        </w:rPr>
        <w:footnoteReference w:id="1791"/>
      </w:r>
      <w:r>
        <w:t xml:space="preserve"> We recall in this regard the Panel's discussion of the problems with the production of the A380, which it termed as being "particularly serious".</w:t>
      </w:r>
      <w:r>
        <w:rPr>
          <w:rStyle w:val="FootnoteReference"/>
        </w:rPr>
        <w:footnoteReference w:id="1792"/>
      </w:r>
      <w:r>
        <w:t xml:space="preserve"> Th</w:t>
      </w:r>
      <w:r w:rsidR="000C099B">
        <w:t>e A380 programme suffered three </w:t>
      </w:r>
      <w:r>
        <w:t>"extensive" production delays around the time when Airbus public</w:t>
      </w:r>
      <w:r w:rsidR="00204CC6">
        <w:t>ly unveiled the A350XWB in July </w:t>
      </w:r>
      <w:r>
        <w:t>2006.</w:t>
      </w:r>
      <w:r>
        <w:rPr>
          <w:rStyle w:val="FootnoteReference"/>
        </w:rPr>
        <w:footnoteReference w:id="1793"/>
      </w:r>
      <w:r>
        <w:t xml:space="preserve"> As discussed in greater detail above</w:t>
      </w:r>
      <w:r>
        <w:rPr>
          <w:rStyle w:val="FootnoteReference"/>
        </w:rPr>
        <w:footnoteReference w:id="1794"/>
      </w:r>
      <w:r>
        <w:t xml:space="preserve">, the Panel found that these delays resulted in increased development costs for the A380, cancellation of orders for the A380, significant contractual penalties for the delays, as well as the deferred realization of revenues </w:t>
      </w:r>
      <w:r w:rsidRPr="00511F3B">
        <w:t>for the A380s that were ultimately delivered.</w:t>
      </w:r>
      <w:r>
        <w:rPr>
          <w:rStyle w:val="FootnoteReference"/>
        </w:rPr>
        <w:footnoteReference w:id="1795"/>
      </w:r>
      <w:r w:rsidRPr="00511F3B">
        <w:t xml:space="preserve"> Given the significance that the Panel attached to these problems, a successful and timely launch of the A350XWB appears to have been important to ease the pressure on Airbus' ability to</w:t>
      </w:r>
      <w:r>
        <w:t xml:space="preserve"> bring to market and</w:t>
      </w:r>
      <w:r w:rsidRPr="00511F3B">
        <w:t xml:space="preserve"> sell the A380. </w:t>
      </w:r>
    </w:p>
    <w:p w:rsidR="00C752B3" w:rsidRDefault="008215DF" w:rsidP="00526697">
      <w:pPr>
        <w:pStyle w:val="BodyText"/>
        <w:numPr>
          <w:ilvl w:val="6"/>
          <w:numId w:val="23"/>
        </w:numPr>
      </w:pPr>
      <w:r>
        <w:t>W</w:t>
      </w:r>
      <w:r w:rsidR="00C752B3">
        <w:t>hile we agree that the Panel considered that the features and timing of the A350XWB were crucial for its competitiveness and commercial success, we fail to see how this aspect of the Panel's analysis "contradict{s} the speculation underlying any finding of 'direct effects'", as alleged by the European Union.</w:t>
      </w:r>
      <w:r w:rsidR="00C752B3">
        <w:rPr>
          <w:rStyle w:val="FootnoteReference"/>
        </w:rPr>
        <w:footnoteReference w:id="1796"/>
      </w:r>
      <w:r w:rsidR="00C752B3">
        <w:t xml:space="preserve"> The extent to which the features and timing of the A350XWB had an impact on its competitiveness is distinct from the </w:t>
      </w:r>
      <w:r>
        <w:t>issue of whether the</w:t>
      </w:r>
      <w:r w:rsidR="00C752B3">
        <w:t xml:space="preserve"> A350XWB LA/MSF </w:t>
      </w:r>
      <w:r>
        <w:t xml:space="preserve">subsidies </w:t>
      </w:r>
      <w:r w:rsidR="00C752B3">
        <w:t>had an impact on Airbus' ability to launch the A350XWB as and when it did. As we see it, the fact that</w:t>
      </w:r>
      <w:r w:rsidR="00C752B3" w:rsidRPr="00C564C7">
        <w:t xml:space="preserve"> </w:t>
      </w:r>
      <w:r w:rsidR="00C752B3">
        <w:t>a compromise on the timing or features of the A350XWB would have undermined its competitiveness and commercial viability</w:t>
      </w:r>
      <w:r w:rsidR="00C752B3">
        <w:rPr>
          <w:rStyle w:val="FootnoteReference"/>
        </w:rPr>
        <w:footnoteReference w:id="1797"/>
      </w:r>
      <w:r w:rsidR="00C752B3">
        <w:t xml:space="preserve"> simply illustrates </w:t>
      </w:r>
      <w:r w:rsidR="00C752B3" w:rsidRPr="00DE7197">
        <w:rPr>
          <w:i/>
        </w:rPr>
        <w:t>why</w:t>
      </w:r>
      <w:r w:rsidR="00C752B3">
        <w:t xml:space="preserve"> Airbus would have sought to avoid such compromises. Indeed, the Panel identified several considerations that would have provided Airbus "with a strong </w:t>
      </w:r>
      <w:r w:rsidR="00C752B3" w:rsidRPr="001B5CBC">
        <w:rPr>
          <w:i/>
        </w:rPr>
        <w:t>commercial incentive</w:t>
      </w:r>
      <w:r w:rsidR="00C752B3">
        <w:t xml:space="preserve"> to go ahead with the A350XWB programme, </w:t>
      </w:r>
      <w:r w:rsidR="00C752B3" w:rsidRPr="001B5CBC">
        <w:rPr>
          <w:i/>
        </w:rPr>
        <w:t>assuming that it could find appropriate financing</w:t>
      </w:r>
      <w:r w:rsidR="00C752B3">
        <w:t>".</w:t>
      </w:r>
      <w:r w:rsidR="00C752B3">
        <w:rPr>
          <w:rStyle w:val="FootnoteReference"/>
        </w:rPr>
        <w:footnoteReference w:id="1798"/>
      </w:r>
      <w:r w:rsidR="00C752B3">
        <w:t xml:space="preserve"> That Airbus would, therefore, ideally wish to avoid any such compromises does not answer the question of whether, absent A350XWB LA/MSF, Airbus would, </w:t>
      </w:r>
      <w:r w:rsidR="00C752B3" w:rsidRPr="007B2710">
        <w:rPr>
          <w:i/>
        </w:rPr>
        <w:t>in fact</w:t>
      </w:r>
      <w:r w:rsidR="00C752B3">
        <w:t>, have been able to launch the A350XWB as and when it did. This was the question the Panel set out to address in its analysis of the "direct effects" of A350XWB LA/MSF.</w:t>
      </w:r>
      <w:r w:rsidR="00C752B3">
        <w:rPr>
          <w:rStyle w:val="FootnoteReference"/>
        </w:rPr>
        <w:footnoteReference w:id="1799"/>
      </w:r>
      <w:r w:rsidR="00C752B3">
        <w:t xml:space="preserve"> As discussed above, based on its review of alternative sources of f</w:t>
      </w:r>
      <w:r w:rsidR="00204CC6">
        <w:t>unding available to Airbus, the </w:t>
      </w:r>
      <w:r w:rsidR="00C752B3">
        <w:t>Panel concluded that, without A350XWB LA/MSF, the Airbus company that actually existed could have pursued the A350XWB programme only by a "narrow margin, with a high likelihood that it would, to some degree, have had to make certain compromises with respect to the pace of the programme and/or the features of the aircraft".</w:t>
      </w:r>
      <w:r w:rsidR="00C752B3">
        <w:rPr>
          <w:rStyle w:val="FootnoteReference"/>
        </w:rPr>
        <w:footnoteReference w:id="1800"/>
      </w:r>
      <w:r w:rsidR="00C752B3">
        <w:t xml:space="preserve"> </w:t>
      </w:r>
    </w:p>
    <w:p w:rsidR="00C752B3" w:rsidRDefault="00C752B3" w:rsidP="00526697">
      <w:pPr>
        <w:pStyle w:val="BodyText"/>
        <w:numPr>
          <w:ilvl w:val="6"/>
          <w:numId w:val="23"/>
        </w:numPr>
      </w:pPr>
      <w:r>
        <w:t>We thus agree with the United States that</w:t>
      </w:r>
      <w:r>
        <w:rPr>
          <w:rStyle w:val="FootnoteReference"/>
        </w:rPr>
        <w:footnoteReference w:id="1801"/>
      </w:r>
      <w:r>
        <w:t>, rather than suggesting a contradiction in the Panel's reasoning, the Panel's view that the competitiveness of the A350XWB was tied closely to its features and timing supports its ultimate understanding of the "direct effects" of A350XWB LA/MSF. Indeed, the Panel's analysis suggests that even a slight delay in the launch of the A350XWB could have had significant implications for Airbus' competitiveness, particularly in light of the developmental head start that the Boeing 787 had over the A350XWB</w:t>
      </w:r>
      <w:r w:rsidR="002050EA">
        <w:t>,</w:t>
      </w:r>
      <w:r>
        <w:t xml:space="preserve"> as well as the serious financial difficulties for Airbus and EADS in the pre</w:t>
      </w:r>
      <w:r>
        <w:noBreakHyphen/>
        <w:t>launch period. Moreover, the Panel considered the A350XWB to be a "very expensive" programme</w:t>
      </w:r>
      <w:r>
        <w:rPr>
          <w:rStyle w:val="FootnoteReference"/>
        </w:rPr>
        <w:footnoteReference w:id="1802"/>
      </w:r>
      <w:r>
        <w:t>, with "high risks and uncertainties".</w:t>
      </w:r>
      <w:r>
        <w:rPr>
          <w:rStyle w:val="FootnoteReference"/>
        </w:rPr>
        <w:footnoteReference w:id="1803"/>
      </w:r>
      <w:r w:rsidR="00204CC6">
        <w:t xml:space="preserve"> In </w:t>
      </w:r>
      <w:r>
        <w:t xml:space="preserve">such an environment, the Panel's findings indicate that A350XWB LA/MSF provided Airbus with increased confidence and certainty to </w:t>
      </w:r>
      <w:r w:rsidR="002050EA">
        <w:t xml:space="preserve">embark </w:t>
      </w:r>
      <w:r>
        <w:t xml:space="preserve">successfully on a programme with the risk profile, costs, and ambition of the A350XWB, thereby enabling its timely launch. </w:t>
      </w:r>
    </w:p>
    <w:p w:rsidR="00C752B3" w:rsidRDefault="00C752B3" w:rsidP="00526697">
      <w:pPr>
        <w:pStyle w:val="BodyText"/>
        <w:numPr>
          <w:ilvl w:val="6"/>
          <w:numId w:val="23"/>
        </w:numPr>
      </w:pPr>
      <w:r>
        <w:t xml:space="preserve">Finally, we also have difficulty accepting the European Union's third and related argument that the Panel, in reaching its conclusion, did not examine whether an </w:t>
      </w:r>
      <w:r w:rsidRPr="00B65167">
        <w:rPr>
          <w:i/>
        </w:rPr>
        <w:t>alternative</w:t>
      </w:r>
      <w:r>
        <w:t xml:space="preserve"> aircraft with anything less than the features of the A350XWB, offered </w:t>
      </w:r>
      <w:r w:rsidR="002050EA">
        <w:t xml:space="preserve">on the market later </w:t>
      </w:r>
      <w:r>
        <w:t>in</w:t>
      </w:r>
      <w:r w:rsidR="002050EA">
        <w:t xml:space="preserve"> </w:t>
      </w:r>
      <w:r>
        <w:t>time than the A350XWB, would have been commercially viable or attractive for Airbus to have launched.</w:t>
      </w:r>
      <w:r>
        <w:rPr>
          <w:rStyle w:val="FootnoteReference"/>
        </w:rPr>
        <w:footnoteReference w:id="1804"/>
      </w:r>
      <w:r w:rsidR="00D442FC">
        <w:t xml:space="preserve"> As </w:t>
      </w:r>
      <w:r>
        <w:t xml:space="preserve">discussed above, the question before the Panel, based on the United States' claim, was whether, in the absence of A350XWB LA/MSF, Airbus had the ability to launch the A350XWB </w:t>
      </w:r>
      <w:r w:rsidR="00D442FC">
        <w:rPr>
          <w:i/>
        </w:rPr>
        <w:t>as </w:t>
      </w:r>
      <w:r w:rsidRPr="007B2710">
        <w:rPr>
          <w:i/>
        </w:rPr>
        <w:t>and when it did</w:t>
      </w:r>
      <w:r>
        <w:t>.</w:t>
      </w:r>
      <w:r>
        <w:rPr>
          <w:rStyle w:val="FootnoteReference"/>
        </w:rPr>
        <w:footnoteReference w:id="1805"/>
      </w:r>
      <w:r>
        <w:t xml:space="preserve"> In answering this limited question, the Panel sufficiently engaged with the arguments and evidence submitted by the parties, and conducted a detailed analysis as outlined above. Moreover, the European Union refers to several statements by the Panel, discussed above</w:t>
      </w:r>
      <w:r>
        <w:rPr>
          <w:rStyle w:val="FootnoteReference"/>
        </w:rPr>
        <w:footnoteReference w:id="1806"/>
      </w:r>
      <w:r>
        <w:t xml:space="preserve">, that highlight the strategic importance for Airbus to have launched the A350XWB with the features and at the time it had planned. As we see it, these </w:t>
      </w:r>
      <w:r w:rsidR="008215DF">
        <w:t>statements</w:t>
      </w:r>
      <w:r>
        <w:t xml:space="preserve"> by the Panel support the view that the Panel considered that an </w:t>
      </w:r>
      <w:r w:rsidRPr="007B2710">
        <w:t>alternative aircraft</w:t>
      </w:r>
      <w:r>
        <w:rPr>
          <w:i/>
        </w:rPr>
        <w:t xml:space="preserve"> </w:t>
      </w:r>
      <w:r>
        <w:t>with fewer features and/or offered later in time would not have been as competitive as a timely launched A350XWB.</w:t>
      </w:r>
      <w:r>
        <w:rPr>
          <w:rStyle w:val="FootnoteReference"/>
        </w:rPr>
        <w:footnoteReference w:id="1807"/>
      </w:r>
      <w:r>
        <w:t xml:space="preserve"> </w:t>
      </w:r>
    </w:p>
    <w:p w:rsidR="00C752B3" w:rsidRDefault="008215DF" w:rsidP="00526697">
      <w:pPr>
        <w:pStyle w:val="BodyText"/>
        <w:numPr>
          <w:ilvl w:val="6"/>
          <w:numId w:val="23"/>
        </w:numPr>
      </w:pPr>
      <w:r>
        <w:t>T</w:t>
      </w:r>
      <w:r w:rsidR="00C752B3">
        <w:t>he Appellate Body has underscored that a claim under Article 11 of the DSU must not be "vague or ambiguous".</w:t>
      </w:r>
      <w:r w:rsidR="00C752B3">
        <w:rPr>
          <w:rStyle w:val="FootnoteReference"/>
        </w:rPr>
        <w:footnoteReference w:id="1808"/>
      </w:r>
      <w:r w:rsidR="00C752B3">
        <w:t xml:space="preserve"> Instead, a challenge under Article 11 of the DSU "must be clearly articulated and substantiated with specific arguments".</w:t>
      </w:r>
      <w:r w:rsidR="00C752B3">
        <w:rPr>
          <w:rStyle w:val="FootnoteReference"/>
        </w:rPr>
        <w:footnoteReference w:id="1809"/>
      </w:r>
      <w:r w:rsidR="00C752B3">
        <w:t xml:space="preserve"> In these compliance proceedings, the European Union summarily alleges that the Panel's conclusion lacks a sufficient evidentiary basis. The European Union has not engaged with the Panel's detailed reasoning leading up to that conclusion, or the evidence cited by the Panel, so as to explain the basis of its allegation. </w:t>
      </w:r>
      <w:r>
        <w:t>W</w:t>
      </w:r>
      <w:r w:rsidR="00C752B3">
        <w:t xml:space="preserve">hile we agree that the Panel considered that the features and timing of the A350XWB were crucial for its competitiveness and commercial success, we fail to see how this aspect of the Panel's analysis contradicts its ultimate conclusion, as alleged by the European Union. We therefore do not consider that the European Union </w:t>
      </w:r>
      <w:r w:rsidR="00C752B3" w:rsidRPr="00396D13">
        <w:t>has substantiated its claim under Article 11 of DSU with the specificity and precision that is required under th</w:t>
      </w:r>
      <w:r w:rsidR="002050EA">
        <w:t>is</w:t>
      </w:r>
      <w:r w:rsidR="00C752B3" w:rsidRPr="00396D13">
        <w:t xml:space="preserve"> provision. In light of the foregoing, we find that the European Union has failed to establish that the Panel</w:t>
      </w:r>
      <w:r w:rsidR="00C752B3">
        <w:t xml:space="preserve"> acted inconsistently with Article 11 of the DSU in </w:t>
      </w:r>
      <w:r>
        <w:t>concluding</w:t>
      </w:r>
      <w:r w:rsidR="00C752B3">
        <w:t xml:space="preserve"> that, "</w:t>
      </w:r>
      <w:r w:rsidR="00C752B3" w:rsidRPr="00552653">
        <w:rPr>
          <w:i/>
        </w:rPr>
        <w:t>without</w:t>
      </w:r>
      <w:r w:rsidR="00C752B3" w:rsidRPr="007B2710">
        <w:t xml:space="preserve"> A350XWB LA/MSF, the Airbus company that </w:t>
      </w:r>
      <w:r w:rsidR="00C752B3" w:rsidRPr="00552653">
        <w:rPr>
          <w:i/>
        </w:rPr>
        <w:t>actually existed</w:t>
      </w:r>
      <w:r w:rsidR="00C752B3">
        <w:rPr>
          <w:i/>
        </w:rPr>
        <w:t xml:space="preserve"> </w:t>
      </w:r>
      <w:r w:rsidR="00D442FC">
        <w:t>{in </w:t>
      </w:r>
      <w:r w:rsidR="00C752B3">
        <w:t>2006-2010}</w:t>
      </w:r>
      <w:r w:rsidR="00C752B3" w:rsidRPr="007B2710">
        <w:t xml:space="preserve"> could have pursued such a programme only by a narrow margin, with a high </w:t>
      </w:r>
      <w:r w:rsidR="00C752B3" w:rsidRPr="000E2C3C">
        <w:t>likelihood that it would, to some degree, have had to make certain compromises with respect to the pace of the programme and/or the features of the aircraft."</w:t>
      </w:r>
      <w:r w:rsidR="00C752B3">
        <w:rPr>
          <w:rStyle w:val="FootnoteReference"/>
        </w:rPr>
        <w:footnoteReference w:id="1810"/>
      </w:r>
    </w:p>
    <w:p w:rsidR="00C752B3" w:rsidRDefault="00C752B3" w:rsidP="00526697">
      <w:pPr>
        <w:pStyle w:val="Heading6"/>
      </w:pPr>
      <w:bookmarkStart w:id="183" w:name="_Toc514059285"/>
      <w:r>
        <w:t xml:space="preserve">The Panel's assessment of the "indirect effects" of </w:t>
      </w:r>
      <w:r w:rsidR="002050EA">
        <w:t xml:space="preserve">the </w:t>
      </w:r>
      <w:r>
        <w:t>A380 LA/MSF</w:t>
      </w:r>
      <w:r w:rsidR="002050EA">
        <w:t xml:space="preserve"> subsidies</w:t>
      </w:r>
      <w:bookmarkEnd w:id="183"/>
    </w:p>
    <w:p w:rsidR="00C752B3" w:rsidRDefault="00C752B3" w:rsidP="00526697">
      <w:pPr>
        <w:pStyle w:val="BodyText"/>
        <w:numPr>
          <w:ilvl w:val="6"/>
          <w:numId w:val="23"/>
        </w:numPr>
      </w:pPr>
      <w:r w:rsidRPr="000E2C3C">
        <w:t xml:space="preserve">We now turn to the </w:t>
      </w:r>
      <w:r>
        <w:t>European Union</w:t>
      </w:r>
      <w:r w:rsidRPr="000E2C3C">
        <w:t xml:space="preserve">'s claim that the Panel erred in its application of </w:t>
      </w:r>
      <w:r>
        <w:t>Articles </w:t>
      </w:r>
      <w:r w:rsidRPr="000E2C3C">
        <w:t xml:space="preserve">5(c) and 7.8 of the </w:t>
      </w:r>
      <w:r>
        <w:t>SCM Agreement</w:t>
      </w:r>
      <w:r w:rsidRPr="000E2C3C">
        <w:t xml:space="preserve"> in finding that </w:t>
      </w:r>
      <w:r w:rsidR="002050EA">
        <w:t xml:space="preserve">the </w:t>
      </w:r>
      <w:r w:rsidRPr="000E2C3C">
        <w:t>A380 LA/MSF</w:t>
      </w:r>
      <w:r>
        <w:t xml:space="preserve"> subsidies</w:t>
      </w:r>
      <w:r w:rsidRPr="000E2C3C">
        <w:t xml:space="preserve"> had "indirect effects</w:t>
      </w:r>
      <w:r>
        <w:t>"</w:t>
      </w:r>
      <w:r w:rsidRPr="000E2C3C">
        <w:t xml:space="preserve"> on </w:t>
      </w:r>
      <w:r w:rsidRPr="000E2C3C">
        <w:rPr>
          <w:szCs w:val="18"/>
        </w:rPr>
        <w:t xml:space="preserve">Airbus' ability to launch </w:t>
      </w:r>
      <w:r w:rsidRPr="000E2C3C">
        <w:t>the A350XWB</w:t>
      </w:r>
      <w:r w:rsidR="008215DF">
        <w:t xml:space="preserve"> as and when it did</w:t>
      </w:r>
      <w:r w:rsidRPr="000E2C3C">
        <w:t xml:space="preserve">. Recalling its argument that the Panel did not find that </w:t>
      </w:r>
      <w:r w:rsidR="002050EA">
        <w:t xml:space="preserve">the </w:t>
      </w:r>
      <w:r w:rsidRPr="000E2C3C">
        <w:t>A380 LA/MSF</w:t>
      </w:r>
      <w:r>
        <w:t xml:space="preserve"> subsidies</w:t>
      </w:r>
      <w:r w:rsidRPr="000E2C3C">
        <w:t xml:space="preserve"> had </w:t>
      </w:r>
      <w:r>
        <w:t>"direct effects" on the</w:t>
      </w:r>
      <w:r w:rsidRPr="000E2C3C">
        <w:t xml:space="preserve"> A380</w:t>
      </w:r>
      <w:r>
        <w:rPr>
          <w:rStyle w:val="FootnoteReference"/>
        </w:rPr>
        <w:footnoteReference w:id="1811"/>
      </w:r>
      <w:r w:rsidRPr="000E2C3C">
        <w:t xml:space="preserve">, the </w:t>
      </w:r>
      <w:r>
        <w:t>European Union</w:t>
      </w:r>
      <w:r w:rsidRPr="000E2C3C">
        <w:t xml:space="preserve"> submits that "where LA/MSF </w:t>
      </w:r>
      <w:r>
        <w:t>{subsidies}</w:t>
      </w:r>
      <w:r w:rsidRPr="000E2C3C">
        <w:t xml:space="preserve"> for an aircraft do not result in 'direct effects' with respect to that aircraft, those </w:t>
      </w:r>
      <w:r>
        <w:t>{subsidies}</w:t>
      </w:r>
      <w:r w:rsidRPr="000E2C3C">
        <w:t xml:space="preserve"> are incapable of resulting in </w:t>
      </w:r>
      <w:r>
        <w:t>'</w:t>
      </w:r>
      <w:r w:rsidRPr="000E2C3C">
        <w:t>indi</w:t>
      </w:r>
      <w:r>
        <w:t>rect effects' on a subsequently</w:t>
      </w:r>
      <w:r>
        <w:noBreakHyphen/>
      </w:r>
      <w:r w:rsidRPr="000E2C3C">
        <w:t>launched aircraft</w:t>
      </w:r>
      <w:r w:rsidR="002050EA">
        <w:t>.</w:t>
      </w:r>
      <w:r w:rsidRPr="000E2C3C">
        <w:t>"</w:t>
      </w:r>
      <w:r>
        <w:rPr>
          <w:rStyle w:val="FootnoteReference"/>
        </w:rPr>
        <w:footnoteReference w:id="1812"/>
      </w:r>
      <w:r w:rsidRPr="000E2C3C">
        <w:t xml:space="preserve"> According to the </w:t>
      </w:r>
      <w:r>
        <w:t>European Union</w:t>
      </w:r>
      <w:r w:rsidRPr="000E2C3C">
        <w:t xml:space="preserve">, where LA/MSF </w:t>
      </w:r>
      <w:r>
        <w:t xml:space="preserve">subsidies </w:t>
      </w:r>
      <w:r w:rsidRPr="000E2C3C">
        <w:t xml:space="preserve">are found not to have "direct effects", the aircraft funded by </w:t>
      </w:r>
      <w:r>
        <w:t>those subsidies</w:t>
      </w:r>
      <w:r w:rsidRPr="000E2C3C">
        <w:t xml:space="preserve"> </w:t>
      </w:r>
      <w:r w:rsidR="002050EA">
        <w:t>"</w:t>
      </w:r>
      <w:r w:rsidRPr="000E2C3C">
        <w:t xml:space="preserve">would, </w:t>
      </w:r>
      <w:r>
        <w:t>by definition, have existed (in </w:t>
      </w:r>
      <w:r w:rsidRPr="000E2C3C">
        <w:t xml:space="preserve">its present form and at the time it was launched) absent the </w:t>
      </w:r>
      <w:r>
        <w:t>{subsidies}</w:t>
      </w:r>
      <w:r w:rsidRPr="000E2C3C">
        <w:t>".</w:t>
      </w:r>
      <w:r>
        <w:rPr>
          <w:rStyle w:val="FootnoteReference"/>
        </w:rPr>
        <w:footnoteReference w:id="1813"/>
      </w:r>
      <w:r w:rsidRPr="000E2C3C">
        <w:t xml:space="preserve"> In these circumstances, the </w:t>
      </w:r>
      <w:r>
        <w:t>European Union</w:t>
      </w:r>
      <w:r w:rsidRPr="000E2C3C">
        <w:t xml:space="preserve"> submits that any "learning", "scope and scale", or "financial effects</w:t>
      </w:r>
      <w:r>
        <w:t>"</w:t>
      </w:r>
      <w:r w:rsidRPr="000E2C3C">
        <w:t xml:space="preserve"> flowing from the A380 programme would have existed absent </w:t>
      </w:r>
      <w:r w:rsidR="002050EA">
        <w:t xml:space="preserve">the </w:t>
      </w:r>
      <w:r w:rsidRPr="000E2C3C">
        <w:t>A380 LA/MSF</w:t>
      </w:r>
      <w:r>
        <w:t xml:space="preserve"> subsidies</w:t>
      </w:r>
      <w:r w:rsidRPr="000E2C3C">
        <w:t xml:space="preserve">, and therefore cannot be attributed to </w:t>
      </w:r>
      <w:r>
        <w:t>them</w:t>
      </w:r>
      <w:r w:rsidRPr="000E2C3C">
        <w:t>.</w:t>
      </w:r>
      <w:r>
        <w:rPr>
          <w:rStyle w:val="FootnoteReference"/>
        </w:rPr>
        <w:footnoteReference w:id="1814"/>
      </w:r>
      <w:r w:rsidRPr="000E2C3C">
        <w:t xml:space="preserve"> The </w:t>
      </w:r>
      <w:r>
        <w:t>United States</w:t>
      </w:r>
      <w:r w:rsidRPr="000E2C3C">
        <w:t xml:space="preserve"> responds that the original panel's findings conclusively resolved that</w:t>
      </w:r>
      <w:r>
        <w:t xml:space="preserve"> the</w:t>
      </w:r>
      <w:r w:rsidRPr="000E2C3C">
        <w:t xml:space="preserve"> A380 LA/MSF </w:t>
      </w:r>
      <w:r>
        <w:t xml:space="preserve">subsidies </w:t>
      </w:r>
      <w:r w:rsidRPr="000E2C3C">
        <w:t>had "direct effects" on the A380.</w:t>
      </w:r>
      <w:r>
        <w:rPr>
          <w:rStyle w:val="FootnoteReference"/>
        </w:rPr>
        <w:footnoteReference w:id="1815"/>
      </w:r>
      <w:r w:rsidRPr="000E2C3C">
        <w:t xml:space="preserve"> Moreover, the </w:t>
      </w:r>
      <w:r>
        <w:t>United States</w:t>
      </w:r>
      <w:r w:rsidRPr="000E2C3C">
        <w:t xml:space="preserve"> considers the </w:t>
      </w:r>
      <w:r>
        <w:t>European Union</w:t>
      </w:r>
      <w:r w:rsidRPr="000E2C3C">
        <w:t xml:space="preserve">'s assertion that a finding of no "direct effects" of </w:t>
      </w:r>
      <w:r w:rsidR="002050EA">
        <w:t xml:space="preserve">the </w:t>
      </w:r>
      <w:r>
        <w:t xml:space="preserve">A380 </w:t>
      </w:r>
      <w:r w:rsidRPr="000E2C3C">
        <w:t xml:space="preserve">LA/MSF </w:t>
      </w:r>
      <w:r>
        <w:t>subsidies</w:t>
      </w:r>
      <w:r w:rsidRPr="000E2C3C">
        <w:t xml:space="preserve"> means, by definition, that the aircraft funded by th</w:t>
      </w:r>
      <w:r>
        <w:t>ose subsidies</w:t>
      </w:r>
      <w:r w:rsidRPr="000E2C3C">
        <w:t xml:space="preserve"> would have existed as and when it did without the LA/MSF to be a "fallacy" because it ignores the indirect effects of previous LA/MSF</w:t>
      </w:r>
      <w:r>
        <w:t xml:space="preserve"> subsidies</w:t>
      </w:r>
      <w:r w:rsidRPr="000E2C3C">
        <w:t>.</w:t>
      </w:r>
      <w:r>
        <w:rPr>
          <w:rStyle w:val="FootnoteReference"/>
        </w:rPr>
        <w:footnoteReference w:id="1816"/>
      </w:r>
    </w:p>
    <w:p w:rsidR="00C752B3" w:rsidRDefault="00C752B3" w:rsidP="00526697">
      <w:pPr>
        <w:pStyle w:val="BodyText"/>
        <w:numPr>
          <w:ilvl w:val="6"/>
          <w:numId w:val="23"/>
        </w:numPr>
      </w:pPr>
      <w:r>
        <w:t>We note that the European Union's appeal does not take issue with the substantive aspects of the Panel's "indirect effects" analysis. Instead, the European Union's claim of error is premised entirely on its argument that the Panel found that the A380 LA/MSF had no "direct effects" on the A380.</w:t>
      </w:r>
      <w:r>
        <w:rPr>
          <w:rStyle w:val="FootnoteReference"/>
        </w:rPr>
        <w:footnoteReference w:id="1817"/>
      </w:r>
      <w:r>
        <w:t xml:space="preserve"> According to the European Union, having found that the A380 LA/MSF subsidies were not critical to the very existence of the A380, the Panel erred in finding that those subsidies resulted in "indirect effects" on the A350XWB.</w:t>
      </w:r>
      <w:r>
        <w:rPr>
          <w:rStyle w:val="FootnoteReference"/>
        </w:rPr>
        <w:footnoteReference w:id="1818"/>
      </w:r>
      <w:r>
        <w:t xml:space="preserve"> </w:t>
      </w:r>
    </w:p>
    <w:p w:rsidR="00C752B3" w:rsidRPr="00F22190" w:rsidRDefault="00C752B3" w:rsidP="00526697">
      <w:pPr>
        <w:pStyle w:val="BodyText"/>
        <w:numPr>
          <w:ilvl w:val="6"/>
          <w:numId w:val="23"/>
        </w:numPr>
      </w:pPr>
      <w:r>
        <w:t>As discussed in greater detail above</w:t>
      </w:r>
      <w:r>
        <w:rPr>
          <w:rStyle w:val="FootnoteReference"/>
        </w:rPr>
        <w:footnoteReference w:id="1819"/>
      </w:r>
      <w:r>
        <w:t xml:space="preserve">, the original panel analysed the manner in which the A380 LA/MSF subsidies contributed to Airbus' ability to launch </w:t>
      </w:r>
      <w:r w:rsidR="00D442FC">
        <w:t>the A380 as and when it did. In </w:t>
      </w:r>
      <w:r>
        <w:t>our view, th</w:t>
      </w:r>
      <w:r w:rsidR="002050EA">
        <w:t>e</w:t>
      </w:r>
      <w:r>
        <w:t xml:space="preserve"> reasoning and analysis by the original panel establishes that </w:t>
      </w:r>
      <w:r w:rsidR="002050EA">
        <w:t xml:space="preserve">the </w:t>
      </w:r>
      <w:r>
        <w:t>A380 LA/MSF subsidies had "direct effects" on the A380, in the sense that those subsidies contributed in a genuine way to Airbus' ability to launch the A380 as and when it did. Given the original panel's findings identifying the "direct effects" of the A380 LA/MSF subsidies on Airbus' ability to launch the A380 as and when it did</w:t>
      </w:r>
      <w:r>
        <w:rPr>
          <w:rStyle w:val="FootnoteReference"/>
        </w:rPr>
        <w:footnoteReference w:id="1820"/>
      </w:r>
      <w:r w:rsidR="002050EA">
        <w:t>,</w:t>
      </w:r>
      <w:r>
        <w:t xml:space="preserve"> we see no reason why the Panel was precluded from examining the "indirect effects" of the A380 LA/MSF subsidies on the A350XWB. This view is further supported by our earlier conclusion that the Panel's findings establish that the A380 LA/MSF subsidies continued to have effects on Airbus' ability to bring to market and to continue developing the A380 </w:t>
      </w:r>
      <w:r w:rsidRPr="007915FC">
        <w:rPr>
          <w:i/>
        </w:rPr>
        <w:t>after</w:t>
      </w:r>
      <w:r>
        <w:t xml:space="preserve"> the original reference period. We therefore reject the European Union's argument that the Panel erred in finding that </w:t>
      </w:r>
      <w:r w:rsidR="002050EA">
        <w:t xml:space="preserve">the </w:t>
      </w:r>
      <w:r>
        <w:t xml:space="preserve">A380 LA/MSF subsidies resulted in "indirect effects" </w:t>
      </w:r>
      <w:r w:rsidR="002050EA">
        <w:t>on</w:t>
      </w:r>
      <w:r w:rsidR="00D442FC">
        <w:t xml:space="preserve"> the </w:t>
      </w:r>
      <w:r>
        <w:t>A350XWB.</w:t>
      </w:r>
      <w:r>
        <w:rPr>
          <w:rStyle w:val="FootnoteReference"/>
        </w:rPr>
        <w:footnoteReference w:id="1821"/>
      </w:r>
    </w:p>
    <w:p w:rsidR="00C752B3" w:rsidRDefault="00C752B3" w:rsidP="00526697">
      <w:pPr>
        <w:pStyle w:val="BodyText"/>
        <w:numPr>
          <w:ilvl w:val="6"/>
          <w:numId w:val="23"/>
        </w:numPr>
      </w:pPr>
      <w:r>
        <w:t>Having rejected the European Union's argument, and given that our focus is on the effect</w:t>
      </w:r>
      <w:r w:rsidR="008215DF">
        <w:t>s</w:t>
      </w:r>
      <w:r>
        <w:t xml:space="preserve"> of the subsidies existing in the post-implementation period, </w:t>
      </w:r>
      <w:r w:rsidRPr="000E2C3C">
        <w:t xml:space="preserve">we </w:t>
      </w:r>
      <w:r>
        <w:t>consider it useful to recall briefly the Panel's "indirect effects" analysis, particularly as it relates to the "indirect effects" of the existing A380 LA/MSF subsidies on the A350XWB. T</w:t>
      </w:r>
      <w:r w:rsidRPr="000E2C3C">
        <w:t xml:space="preserve">he Panel found that the "indirect effects" of </w:t>
      </w:r>
      <w:r w:rsidR="002050EA">
        <w:t xml:space="preserve">the </w:t>
      </w:r>
      <w:r>
        <w:t>pre</w:t>
      </w:r>
      <w:r>
        <w:noBreakHyphen/>
      </w:r>
      <w:r w:rsidRPr="000E2C3C">
        <w:t xml:space="preserve">A350XWB LA/MSF </w:t>
      </w:r>
      <w:r w:rsidR="002050EA">
        <w:t xml:space="preserve">subsidies </w:t>
      </w:r>
      <w:r w:rsidRPr="000E2C3C">
        <w:t>were "fundamental" to Airbus' ability to launch the A350XWB as and when it did.</w:t>
      </w:r>
      <w:r>
        <w:rPr>
          <w:rStyle w:val="FootnoteReference"/>
        </w:rPr>
        <w:footnoteReference w:id="1822"/>
      </w:r>
      <w:r w:rsidRPr="000E2C3C">
        <w:t xml:space="preserve"> In reaching this finding, the Panel examined the evidence and arguments presented by the parties in the context of t</w:t>
      </w:r>
      <w:r>
        <w:t>wo</w:t>
      </w:r>
      <w:r w:rsidRPr="000E2C3C">
        <w:t xml:space="preserve"> broad categories of "indirect effects", namely, "learning effects"</w:t>
      </w:r>
      <w:r>
        <w:t xml:space="preserve"> and</w:t>
      </w:r>
      <w:r w:rsidRPr="000E2C3C">
        <w:t xml:space="preserve"> "financial effects</w:t>
      </w:r>
      <w:r>
        <w:t>"</w:t>
      </w:r>
      <w:r w:rsidR="002050EA">
        <w:t>.</w:t>
      </w:r>
      <w:r>
        <w:rPr>
          <w:rStyle w:val="FootnoteReference"/>
        </w:rPr>
        <w:footnoteReference w:id="1823"/>
      </w:r>
    </w:p>
    <w:p w:rsidR="00C752B3" w:rsidRPr="000E2C3C" w:rsidRDefault="00C752B3" w:rsidP="00526697">
      <w:pPr>
        <w:pStyle w:val="BodyText"/>
        <w:numPr>
          <w:ilvl w:val="6"/>
          <w:numId w:val="23"/>
        </w:numPr>
      </w:pPr>
      <w:r w:rsidRPr="000E2C3C">
        <w:t xml:space="preserve">Assessing the extent of the </w:t>
      </w:r>
      <w:r>
        <w:t>"</w:t>
      </w:r>
      <w:r w:rsidRPr="000E2C3C">
        <w:t>learning effects</w:t>
      </w:r>
      <w:r>
        <w:t>"</w:t>
      </w:r>
      <w:r w:rsidR="002050EA">
        <w:t xml:space="preserve"> from Airbus' previous</w:t>
      </w:r>
      <w:r w:rsidRPr="000E2C3C">
        <w:t xml:space="preserve"> subsidized LCA programmes on Airbus' ability to launch the A350XWB, the Panel considered the evidence to demonstrate that the "A350XWB programme significantly benefitted from Learning Effects arising from previous, subsidized Airbus LCA programmes, especially (but not only) the A380 programme".</w:t>
      </w:r>
      <w:r>
        <w:rPr>
          <w:rStyle w:val="FootnoteReference"/>
        </w:rPr>
        <w:footnoteReference w:id="1824"/>
      </w:r>
      <w:r w:rsidRPr="000E2C3C">
        <w:t xml:space="preserve"> In reaching its conclusion, the Panel identified several specific types of </w:t>
      </w:r>
      <w:r>
        <w:t>"</w:t>
      </w:r>
      <w:r w:rsidR="008A6943">
        <w:t>learning </w:t>
      </w:r>
      <w:r w:rsidRPr="000E2C3C">
        <w:t>effects</w:t>
      </w:r>
      <w:r>
        <w:t>"</w:t>
      </w:r>
      <w:r w:rsidRPr="000E2C3C">
        <w:t xml:space="preserve"> that it considered as "materially benefit{ing}" the A350XWB.</w:t>
      </w:r>
      <w:r>
        <w:rPr>
          <w:rStyle w:val="FootnoteReference"/>
        </w:rPr>
        <w:footnoteReference w:id="1825"/>
      </w:r>
      <w:r w:rsidRPr="000E2C3C">
        <w:t xml:space="preserve"> First, the Panel found that Airbus gained managerial know-how from its </w:t>
      </w:r>
      <w:r w:rsidR="002050EA">
        <w:t>previous</w:t>
      </w:r>
      <w:r w:rsidR="008A6943">
        <w:t xml:space="preserve"> subsidized LCA programmes. In </w:t>
      </w:r>
      <w:r w:rsidRPr="000E2C3C">
        <w:t xml:space="preserve">this regard, the Panel referred to, </w:t>
      </w:r>
      <w:r w:rsidRPr="00712448">
        <w:rPr>
          <w:i/>
        </w:rPr>
        <w:t>inter alia</w:t>
      </w:r>
      <w:r w:rsidRPr="000E2C3C">
        <w:t>, evidence that "Airbus would change its design and testing processes to avoid problems it had encountered on the A380</w:t>
      </w:r>
      <w:r w:rsidR="002050EA">
        <w:t>.</w:t>
      </w:r>
      <w:r w:rsidRPr="000E2C3C">
        <w:t>"</w:t>
      </w:r>
      <w:r>
        <w:rPr>
          <w:rStyle w:val="FootnoteReference"/>
        </w:rPr>
        <w:footnoteReference w:id="1826"/>
      </w:r>
      <w:r w:rsidRPr="000E2C3C">
        <w:t xml:space="preserve"> Second, the Panel found that the A350XWB "benefitted somewhat" from Airbus' </w:t>
      </w:r>
      <w:r>
        <w:t>pre</w:t>
      </w:r>
      <w:r>
        <w:noBreakHyphen/>
      </w:r>
      <w:r w:rsidRPr="000E2C3C">
        <w:t xml:space="preserve">existing infrastructure and engineering resources used for </w:t>
      </w:r>
      <w:r w:rsidR="002050EA">
        <w:t>previous</w:t>
      </w:r>
      <w:r w:rsidRPr="000E2C3C">
        <w:t xml:space="preserve"> subsidized LCA programmes.</w:t>
      </w:r>
      <w:r>
        <w:rPr>
          <w:rStyle w:val="FootnoteReference"/>
        </w:rPr>
        <w:footnoteReference w:id="1827"/>
      </w:r>
      <w:r w:rsidRPr="000E2C3C">
        <w:t xml:space="preserve"> Third, the Panel considered that the A350XWB benefitted from Airbus' evolutionary experience with composite materials and structures.</w:t>
      </w:r>
      <w:r>
        <w:rPr>
          <w:rStyle w:val="FootnoteReference"/>
        </w:rPr>
        <w:footnoteReference w:id="1828"/>
      </w:r>
      <w:r w:rsidRPr="000E2C3C">
        <w:t xml:space="preserve"> Fourth, the Panel identified several specific structural features of the A350XWB that benefitted from Airbus' prior LCA experience.</w:t>
      </w:r>
      <w:r>
        <w:rPr>
          <w:rStyle w:val="FootnoteReference"/>
        </w:rPr>
        <w:footnoteReference w:id="1829"/>
      </w:r>
      <w:r w:rsidRPr="000E2C3C">
        <w:t xml:space="preserve"> In this context, the Panel noted that the A350XWB Chief Engineering Statement concedes that the A350XWB wings' </w:t>
      </w:r>
      <w:r>
        <w:t>"</w:t>
      </w:r>
      <w:r w:rsidRPr="000E2C3C">
        <w:t>high-lift system bears similarities to the A380's</w:t>
      </w:r>
      <w:r>
        <w:t>"</w:t>
      </w:r>
      <w:r w:rsidRPr="000E2C3C">
        <w:t>.</w:t>
      </w:r>
      <w:r>
        <w:rPr>
          <w:rStyle w:val="FootnoteReference"/>
        </w:rPr>
        <w:footnoteReference w:id="1830"/>
      </w:r>
      <w:r w:rsidRPr="000E2C3C">
        <w:t xml:space="preserve"> Similarly, the Panel considered t</w:t>
      </w:r>
      <w:r w:rsidR="008215DF">
        <w:t>hat certain of the A350XWB's on</w:t>
      </w:r>
      <w:r w:rsidR="008215DF">
        <w:noBreakHyphen/>
      </w:r>
      <w:r w:rsidRPr="000E2C3C">
        <w:t>board systems benefitted from Airbus' prior</w:t>
      </w:r>
      <w:r w:rsidR="002050EA">
        <w:t xml:space="preserve"> </w:t>
      </w:r>
      <w:r w:rsidRPr="000E2C3C">
        <w:t>LCA experience.</w:t>
      </w:r>
      <w:r>
        <w:rPr>
          <w:rStyle w:val="FootnoteReference"/>
        </w:rPr>
        <w:footnoteReference w:id="1831"/>
      </w:r>
      <w:r w:rsidRPr="000E2C3C">
        <w:t xml:space="preserve"> Specifically, the Panel found that Airbus</w:t>
      </w:r>
      <w:r>
        <w:t>'</w:t>
      </w:r>
      <w:r w:rsidRPr="000E2C3C">
        <w:t xml:space="preserve"> experience from the A380 benefitted the A350XWB's hydraulic pressure levels and flight control architecture, amongst others.</w:t>
      </w:r>
      <w:r>
        <w:rPr>
          <w:rStyle w:val="FootnoteReference"/>
        </w:rPr>
        <w:footnoteReference w:id="1832"/>
      </w:r>
      <w:r w:rsidRPr="000E2C3C">
        <w:t xml:space="preserve"> Indeed, the Panel explained that the specific A350XWB components and systems that it considered to have benefitted from learning effects "generally appear to be derivations of similar components and systems used on more recent Airbus LCA programmes such as the A380".</w:t>
      </w:r>
      <w:r>
        <w:rPr>
          <w:rStyle w:val="FootnoteReference"/>
        </w:rPr>
        <w:footnoteReference w:id="1833"/>
      </w:r>
      <w:r w:rsidRPr="000E2C3C">
        <w:t xml:space="preserve"> Finally, the Panel had "little doubt" that Airbus benefitted from its prior LCA experience in the form of being able to </w:t>
      </w:r>
      <w:r w:rsidR="002050EA">
        <w:t xml:space="preserve">market </w:t>
      </w:r>
      <w:r w:rsidRPr="000E2C3C">
        <w:t>effectively its LCA</w:t>
      </w:r>
      <w:r w:rsidR="006D144D">
        <w:t xml:space="preserve"> including the A380</w:t>
      </w:r>
      <w:r w:rsidRPr="000E2C3C">
        <w:t>.</w:t>
      </w:r>
      <w:r>
        <w:rPr>
          <w:rStyle w:val="FootnoteReference"/>
        </w:rPr>
        <w:footnoteReference w:id="1834"/>
      </w:r>
      <w:r>
        <w:t xml:space="preserve"> </w:t>
      </w:r>
      <w:r w:rsidRPr="008D04C9">
        <w:t>The above review indicates that, even though the Panel considered the extent to which Airbus benefitted from the technological platform provided by all of its previous subsidized LCA programmes, it was of the view that the A350XWB significantly benefitted from the "learning effects" of the A380</w:t>
      </w:r>
      <w:r w:rsidR="002050EA">
        <w:t xml:space="preserve"> in </w:t>
      </w:r>
      <w:r w:rsidRPr="008D04C9">
        <w:t>particular.</w:t>
      </w:r>
    </w:p>
    <w:p w:rsidR="00C752B3" w:rsidRDefault="00C752B3" w:rsidP="00526697">
      <w:pPr>
        <w:pStyle w:val="BodyText"/>
        <w:numPr>
          <w:ilvl w:val="6"/>
          <w:numId w:val="23"/>
        </w:numPr>
      </w:pPr>
      <w:r>
        <w:t>Turning to the "financial effects", the Panel found the evidence before it to demonstrate that the A350XWB programme "</w:t>
      </w:r>
      <w:r w:rsidRPr="00401A1F">
        <w:t>significantly benefitted from two of the five Financial Effects of the pre</w:t>
      </w:r>
      <w:r w:rsidRPr="00401A1F">
        <w:noBreakHyphen/>
        <w:t>A350XWB LA/MSF subsidies, which enabled Airbus to launch and b</w:t>
      </w:r>
      <w:r w:rsidRPr="009A2E7D">
        <w:t>ring to market all of its existing Airbus LCA programmes – namely, the enhanced revenue and debt reduction effects".</w:t>
      </w:r>
      <w:r>
        <w:rPr>
          <w:rStyle w:val="FootnoteReference"/>
        </w:rPr>
        <w:footnoteReference w:id="1835"/>
      </w:r>
      <w:r w:rsidRPr="00401A1F">
        <w:t xml:space="preserve"> </w:t>
      </w:r>
      <w:r>
        <w:t>The Panel also recalled</w:t>
      </w:r>
      <w:r w:rsidRPr="00401A1F">
        <w:t xml:space="preserve"> the original panel's finding that the A380 LA/MSF measures </w:t>
      </w:r>
      <w:r w:rsidRPr="009A2E7D">
        <w:t>were subsidies and that replacing them with market financing would therefore have been more expensive for Airbus</w:t>
      </w:r>
      <w:r>
        <w:t>.</w:t>
      </w:r>
      <w:r w:rsidRPr="009A2E7D">
        <w:t xml:space="preserve"> </w:t>
      </w:r>
      <w:r>
        <w:t>T</w:t>
      </w:r>
      <w:r w:rsidRPr="009A2E7D">
        <w:t>he Panel concluded that, if Airbus had financed all its pre</w:t>
      </w:r>
      <w:r w:rsidRPr="009A2E7D">
        <w:noBreakHyphen/>
        <w:t xml:space="preserve">A350XWB </w:t>
      </w:r>
      <w:r>
        <w:t>LCA</w:t>
      </w:r>
      <w:r w:rsidRPr="009A2E7D">
        <w:t xml:space="preserve"> with market financing, its resulting debt burden would have made it extremely difficult, and most likely impossible, to launch</w:t>
      </w:r>
      <w:r>
        <w:t xml:space="preserve"> the A350XWB as and when it did.</w:t>
      </w:r>
      <w:r>
        <w:rPr>
          <w:rStyle w:val="FootnoteReference"/>
        </w:rPr>
        <w:footnoteReference w:id="1836"/>
      </w:r>
      <w:r>
        <w:t xml:space="preserve"> In our view, these findings by the Panel indicate that A380 LA/MSF had "financial effects" on Airbus' ability to launch the A350XWB as and when it did.</w:t>
      </w:r>
      <w:r w:rsidRPr="00022580">
        <w:t xml:space="preserve"> </w:t>
      </w:r>
    </w:p>
    <w:p w:rsidR="00C752B3" w:rsidRDefault="00C752B3" w:rsidP="00526697">
      <w:pPr>
        <w:pStyle w:val="Heading6"/>
      </w:pPr>
      <w:bookmarkStart w:id="184" w:name="_Toc514059286"/>
      <w:r>
        <w:t xml:space="preserve">Conclusion </w:t>
      </w:r>
      <w:r w:rsidR="002050EA">
        <w:t>on</w:t>
      </w:r>
      <w:r>
        <w:t xml:space="preserve"> the "product effects" of existing LA/MSF subsid</w:t>
      </w:r>
      <w:r w:rsidR="00CB69E6">
        <w:t>ies on the </w:t>
      </w:r>
      <w:r>
        <w:t>A350XWB</w:t>
      </w:r>
      <w:bookmarkEnd w:id="184"/>
    </w:p>
    <w:p w:rsidR="00C752B3" w:rsidRPr="00F22190" w:rsidRDefault="00C752B3" w:rsidP="00526697">
      <w:pPr>
        <w:pStyle w:val="BodyText"/>
      </w:pPr>
      <w:r w:rsidRPr="00DA41C6">
        <w:t>In addressing the European Union's appeal of the Panel's analysis of the "direct effects" of the A350XWB LA/MSF subsidies</w:t>
      </w:r>
      <w:r w:rsidR="002050EA">
        <w:t xml:space="preserve"> on the A350XWB</w:t>
      </w:r>
      <w:r w:rsidRPr="00DA41C6">
        <w:t xml:space="preserve">, we have found above that the European Union has failed to establish that the Panel acted inconsistently with Article 11 of the </w:t>
      </w:r>
      <w:r w:rsidR="006D144D">
        <w:t>concluding</w:t>
      </w:r>
      <w:r w:rsidRPr="00DA41C6">
        <w:t xml:space="preserve"> that, "</w:t>
      </w:r>
      <w:r w:rsidRPr="00DA41C6">
        <w:rPr>
          <w:i/>
          <w:iCs/>
        </w:rPr>
        <w:t>without</w:t>
      </w:r>
      <w:r w:rsidRPr="00DA41C6">
        <w:t xml:space="preserve"> A350XWB LA/MSF, the Airbus company that </w:t>
      </w:r>
      <w:r w:rsidRPr="00DA41C6">
        <w:rPr>
          <w:i/>
          <w:iCs/>
        </w:rPr>
        <w:t xml:space="preserve">actually </w:t>
      </w:r>
      <w:r w:rsidRPr="004B1FF7">
        <w:rPr>
          <w:i/>
          <w:iCs/>
        </w:rPr>
        <w:t>existed</w:t>
      </w:r>
      <w:r w:rsidRPr="004B1FF7">
        <w:t xml:space="preserve"> {in 2006-2010} could</w:t>
      </w:r>
      <w:r w:rsidRPr="00DA41C6">
        <w:t xml:space="preserve"> have pursued such a programme only by a narrow margin, with a high likelihood that it would, to some degree, have had to make certain compromises with respect to the pace of the programme and/or the features of the aircraft."</w:t>
      </w:r>
      <w:r>
        <w:rPr>
          <w:rStyle w:val="FootnoteReference"/>
        </w:rPr>
        <w:footnoteReference w:id="1837"/>
      </w:r>
      <w:r w:rsidRPr="00DA41C6">
        <w:t xml:space="preserve"> We have also rejected the European Union's claim that the Panel erred in finding that </w:t>
      </w:r>
      <w:r w:rsidR="004F1C53">
        <w:t xml:space="preserve">the </w:t>
      </w:r>
      <w:r w:rsidRPr="00DA41C6">
        <w:t>A380 LA/MSF subsidies had "indirect effects" on the A350XWB. In doing so, we recalled several findings by the Panel indicating that, in launching the A350XWB, Airbus significantly benefitted from the "learning</w:t>
      </w:r>
      <w:r w:rsidR="002050EA">
        <w:t xml:space="preserve"> effects</w:t>
      </w:r>
      <w:r w:rsidRPr="00DA41C6">
        <w:t xml:space="preserve">" and "financial effects" flowing from the subsidized A380 programme. The Panel's findings regarding the </w:t>
      </w:r>
      <w:r>
        <w:t>"</w:t>
      </w:r>
      <w:r w:rsidRPr="00DA41C6">
        <w:t>direct effects</w:t>
      </w:r>
      <w:r>
        <w:t>"</w:t>
      </w:r>
      <w:r w:rsidRPr="00DA41C6">
        <w:t xml:space="preserve"> of the A350</w:t>
      </w:r>
      <w:r w:rsidR="002050EA">
        <w:t>XWB</w:t>
      </w:r>
      <w:r w:rsidRPr="00DA41C6">
        <w:t xml:space="preserve"> LA/MSF</w:t>
      </w:r>
      <w:r w:rsidR="006D144D">
        <w:t xml:space="preserve"> </w:t>
      </w:r>
      <w:r w:rsidR="002050EA">
        <w:t>subsidies</w:t>
      </w:r>
      <w:r w:rsidRPr="00DA41C6">
        <w:t xml:space="preserve">, read together with its findings concerning the </w:t>
      </w:r>
      <w:r>
        <w:t>"</w:t>
      </w:r>
      <w:r w:rsidRPr="00DA41C6">
        <w:t>indirect effects</w:t>
      </w:r>
      <w:r>
        <w:t>"</w:t>
      </w:r>
      <w:r w:rsidR="008A6943">
        <w:t xml:space="preserve"> of the A380 </w:t>
      </w:r>
      <w:r w:rsidRPr="00DA41C6">
        <w:t>LA/MSF</w:t>
      </w:r>
      <w:r w:rsidR="002050EA">
        <w:t xml:space="preserve"> subsidies</w:t>
      </w:r>
      <w:r w:rsidRPr="00DA41C6">
        <w:t xml:space="preserve">, indicate to us that, without the </w:t>
      </w:r>
      <w:r>
        <w:t>aggregated</w:t>
      </w:r>
      <w:r w:rsidRPr="00DA41C6">
        <w:t xml:space="preserve"> </w:t>
      </w:r>
      <w:r>
        <w:t>"</w:t>
      </w:r>
      <w:r w:rsidRPr="00DA41C6">
        <w:t>product effects</w:t>
      </w:r>
      <w:r>
        <w:t>"</w:t>
      </w:r>
      <w:r w:rsidRPr="00DA41C6">
        <w:t xml:space="preserve"> of the existing LA/MSF subsidies for the A380 and A350XWB programmes, Airbus would not have been able to launch the A350XWB as and when it did. </w:t>
      </w:r>
    </w:p>
    <w:p w:rsidR="00C752B3" w:rsidRDefault="00C752B3" w:rsidP="00526697">
      <w:pPr>
        <w:pStyle w:val="Heading4"/>
      </w:pPr>
      <w:bookmarkStart w:id="185" w:name="_Toc514059287"/>
      <w:r>
        <w:t>Overall conclusion</w:t>
      </w:r>
      <w:bookmarkEnd w:id="185"/>
    </w:p>
    <w:p w:rsidR="00C752B3" w:rsidRDefault="004F1C53" w:rsidP="00526697">
      <w:pPr>
        <w:pStyle w:val="BodyText"/>
        <w:numPr>
          <w:ilvl w:val="6"/>
          <w:numId w:val="2"/>
        </w:numPr>
      </w:pPr>
      <w:r>
        <w:t>Upon examining the "product effects" of LA/MSF subsidies</w:t>
      </w:r>
      <w:r w:rsidR="00C752B3">
        <w:t xml:space="preserve">, </w:t>
      </w:r>
      <w:r w:rsidR="00C752B3" w:rsidRPr="00B41454">
        <w:t xml:space="preserve">the Panel found that "the </w:t>
      </w:r>
      <w:r w:rsidR="00C752B3" w:rsidRPr="00B41454">
        <w:rPr>
          <w:i/>
        </w:rPr>
        <w:t>direct</w:t>
      </w:r>
      <w:r w:rsidR="00C752B3" w:rsidRPr="00B41454">
        <w:t xml:space="preserve"> and </w:t>
      </w:r>
      <w:r w:rsidR="00C752B3" w:rsidRPr="00B41454">
        <w:rPr>
          <w:i/>
        </w:rPr>
        <w:t>indirect</w:t>
      </w:r>
      <w:r w:rsidR="00C752B3" w:rsidRPr="00B41454">
        <w:t xml:space="preserve"> effects of the aggregated pre</w:t>
      </w:r>
      <w:r w:rsidR="00C752B3" w:rsidRPr="00B41454">
        <w:noBreakHyphen/>
        <w:t xml:space="preserve">A350XWB LA/MSF subsidies continue to be a 'genuine and substantial' cause of the </w:t>
      </w:r>
      <w:r w:rsidR="00C752B3">
        <w:t>current market presence of the A320, A330 and A380".</w:t>
      </w:r>
      <w:r w:rsidR="00C752B3">
        <w:rPr>
          <w:rStyle w:val="FootnoteReference"/>
        </w:rPr>
        <w:footnoteReference w:id="1838"/>
      </w:r>
      <w:r w:rsidR="00C752B3" w:rsidRPr="00B41454">
        <w:t xml:space="preserve"> </w:t>
      </w:r>
      <w:r>
        <w:t>T</w:t>
      </w:r>
      <w:r w:rsidR="00C752B3">
        <w:t xml:space="preserve">he Panel </w:t>
      </w:r>
      <w:r>
        <w:t xml:space="preserve">further </w:t>
      </w:r>
      <w:r w:rsidR="00C752B3">
        <w:t xml:space="preserve">found that </w:t>
      </w:r>
      <w:r w:rsidR="00C752B3" w:rsidRPr="00B41454">
        <w:t xml:space="preserve">"the </w:t>
      </w:r>
      <w:r w:rsidR="00C752B3" w:rsidRPr="00B41454">
        <w:rPr>
          <w:i/>
        </w:rPr>
        <w:t>direct</w:t>
      </w:r>
      <w:r w:rsidR="00C752B3" w:rsidRPr="00B41454">
        <w:t xml:space="preserve"> and </w:t>
      </w:r>
      <w:r w:rsidR="00C752B3" w:rsidRPr="00B41454">
        <w:rPr>
          <w:i/>
        </w:rPr>
        <w:t>indirect</w:t>
      </w:r>
      <w:r w:rsidR="00C752B3" w:rsidRPr="00B41454">
        <w:t xml:space="preserve"> effects of the aggregated LA/MSF subsidies, with the exception of the LA/MSF subsidies provided for the A300 and A310</w:t>
      </w:r>
      <w:r w:rsidR="00C752B3">
        <w:t>, are a 'genuine and substantial' cause of the current market presence of the A350XWB</w:t>
      </w:r>
      <w:r w:rsidR="00C752B3" w:rsidRPr="00B41454">
        <w:t>"</w:t>
      </w:r>
      <w:r w:rsidR="00C752B3">
        <w:t>.</w:t>
      </w:r>
      <w:r w:rsidR="00C752B3">
        <w:rPr>
          <w:rStyle w:val="FootnoteReference"/>
        </w:rPr>
        <w:footnoteReference w:id="1839"/>
      </w:r>
      <w:r w:rsidR="00C752B3" w:rsidRPr="00B41454">
        <w:t xml:space="preserve"> </w:t>
      </w:r>
    </w:p>
    <w:p w:rsidR="00C752B3" w:rsidRDefault="00C752B3" w:rsidP="00526697">
      <w:pPr>
        <w:pStyle w:val="BodyText"/>
        <w:numPr>
          <w:ilvl w:val="6"/>
          <w:numId w:val="2"/>
        </w:numPr>
      </w:pPr>
      <w:r>
        <w:rPr>
          <w:color w:val="000000"/>
        </w:rPr>
        <w:t>T</w:t>
      </w:r>
      <w:r w:rsidRPr="000830CB">
        <w:rPr>
          <w:color w:val="000000"/>
        </w:rPr>
        <w:t>he errors alleged by the European Union regarding the P</w:t>
      </w:r>
      <w:r w:rsidR="008A6943">
        <w:rPr>
          <w:color w:val="000000"/>
        </w:rPr>
        <w:t>anel's findings on the "product </w:t>
      </w:r>
      <w:r w:rsidRPr="000830CB">
        <w:rPr>
          <w:color w:val="000000"/>
        </w:rPr>
        <w:t xml:space="preserve">effects" of the pre-A350XWB LA/MSF subsidies on the market presence of the A320 and A330 families of </w:t>
      </w:r>
      <w:r w:rsidR="004F1C53">
        <w:rPr>
          <w:color w:val="000000"/>
        </w:rPr>
        <w:t xml:space="preserve">Airbus </w:t>
      </w:r>
      <w:r w:rsidRPr="000830CB">
        <w:rPr>
          <w:color w:val="000000"/>
        </w:rPr>
        <w:t xml:space="preserve">LCA concern primarily the LA/MSF subsidies that </w:t>
      </w:r>
      <w:r>
        <w:rPr>
          <w:color w:val="000000"/>
        </w:rPr>
        <w:t xml:space="preserve">were found by the Panel to have </w:t>
      </w:r>
      <w:r w:rsidRPr="000830CB">
        <w:rPr>
          <w:color w:val="000000"/>
        </w:rPr>
        <w:t xml:space="preserve">expired </w:t>
      </w:r>
      <w:r w:rsidRPr="00CB050D">
        <w:rPr>
          <w:color w:val="000000"/>
        </w:rPr>
        <w:t>before the end of the implementation period</w:t>
      </w:r>
      <w:r w:rsidR="004F1C53">
        <w:rPr>
          <w:color w:val="000000"/>
        </w:rPr>
        <w:t xml:space="preserve"> – </w:t>
      </w:r>
      <w:r w:rsidRPr="000830CB">
        <w:rPr>
          <w:color w:val="000000"/>
        </w:rPr>
        <w:t xml:space="preserve">namely, the subsidies for the A300, A310, A320, </w:t>
      </w:r>
      <w:r w:rsidRPr="00534A53">
        <w:rPr>
          <w:color w:val="000000"/>
        </w:rPr>
        <w:t>A330,</w:t>
      </w:r>
      <w:r w:rsidRPr="000830CB">
        <w:rPr>
          <w:color w:val="000000"/>
        </w:rPr>
        <w:t xml:space="preserve"> and A340. </w:t>
      </w:r>
      <w:r>
        <w:t xml:space="preserve">We recall that, under our interpretation of Article 7.8 of the SCM Agreement, </w:t>
      </w:r>
      <w:r w:rsidRPr="00420CED">
        <w:rPr>
          <w:bCs/>
        </w:rPr>
        <w:t xml:space="preserve">the European Union does not bear a compliance obligation with respect to the subsidies that </w:t>
      </w:r>
      <w:r>
        <w:rPr>
          <w:bCs/>
        </w:rPr>
        <w:t xml:space="preserve">were found by the Panel to have </w:t>
      </w:r>
      <w:r w:rsidRPr="00420CED">
        <w:rPr>
          <w:bCs/>
        </w:rPr>
        <w:t xml:space="preserve">expired </w:t>
      </w:r>
      <w:r>
        <w:rPr>
          <w:bCs/>
        </w:rPr>
        <w:t>by the end of the implementation period</w:t>
      </w:r>
      <w:r w:rsidRPr="00420CED">
        <w:rPr>
          <w:bCs/>
        </w:rPr>
        <w:t>.</w:t>
      </w:r>
      <w:r w:rsidRPr="001E5851">
        <w:t xml:space="preserve"> </w:t>
      </w:r>
      <w:r>
        <w:rPr>
          <w:bCs/>
        </w:rPr>
        <w:t>Thus, t</w:t>
      </w:r>
      <w:r>
        <w:rPr>
          <w:color w:val="000000"/>
        </w:rPr>
        <w:t xml:space="preserve">o the extent that some subsidies have expired, a further examination of the removal of the effects of those subsidies would not be necessary. In other words, </w:t>
      </w:r>
      <w:r>
        <w:rPr>
          <w:bCs/>
        </w:rPr>
        <w:t xml:space="preserve">it is not pertinent to examine whether the Panel's findings on the "product effects" of the </w:t>
      </w:r>
      <w:r w:rsidRPr="00420CED">
        <w:rPr>
          <w:bCs/>
          <w:i/>
        </w:rPr>
        <w:t>expired</w:t>
      </w:r>
      <w:r>
        <w:rPr>
          <w:bCs/>
        </w:rPr>
        <w:t xml:space="preserve"> subsidies can support its ultimate conclusion of non</w:t>
      </w:r>
      <w:r>
        <w:rPr>
          <w:bCs/>
        </w:rPr>
        <w:noBreakHyphen/>
        <w:t>compliance under Article 7.8 of the SCM Agreement.</w:t>
      </w:r>
      <w:r w:rsidRPr="00815056">
        <w:rPr>
          <w:bCs/>
        </w:rPr>
        <w:t xml:space="preserve"> </w:t>
      </w:r>
      <w:r w:rsidRPr="00177E3C">
        <w:rPr>
          <w:bCs/>
        </w:rPr>
        <w:t xml:space="preserve">In line with this view, </w:t>
      </w:r>
      <w:r>
        <w:rPr>
          <w:color w:val="000000"/>
        </w:rPr>
        <w:t xml:space="preserve">we </w:t>
      </w:r>
      <w:r w:rsidRPr="00177E3C">
        <w:rPr>
          <w:color w:val="000000"/>
        </w:rPr>
        <w:t xml:space="preserve">do not consider it necessary to </w:t>
      </w:r>
      <w:r>
        <w:rPr>
          <w:color w:val="000000"/>
        </w:rPr>
        <w:t>make separate findings on</w:t>
      </w:r>
      <w:r w:rsidRPr="00177E3C">
        <w:rPr>
          <w:color w:val="000000"/>
        </w:rPr>
        <w:t xml:space="preserve"> the </w:t>
      </w:r>
      <w:r>
        <w:rPr>
          <w:color w:val="000000"/>
        </w:rPr>
        <w:t>European Union's claims on appeal</w:t>
      </w:r>
      <w:r w:rsidRPr="00177E3C">
        <w:rPr>
          <w:color w:val="000000"/>
        </w:rPr>
        <w:t xml:space="preserve"> insofar as </w:t>
      </w:r>
      <w:r>
        <w:rPr>
          <w:color w:val="000000"/>
        </w:rPr>
        <w:t>they</w:t>
      </w:r>
      <w:r w:rsidRPr="00177E3C">
        <w:rPr>
          <w:color w:val="000000"/>
        </w:rPr>
        <w:t xml:space="preserve"> concern the Panel's</w:t>
      </w:r>
      <w:r>
        <w:rPr>
          <w:color w:val="000000"/>
        </w:rPr>
        <w:t xml:space="preserve"> alleged failure to assess properly the passage of time and the events during that time in reaching its</w:t>
      </w:r>
      <w:r w:rsidRPr="00177E3C">
        <w:rPr>
          <w:color w:val="000000"/>
        </w:rPr>
        <w:t xml:space="preserve"> findings on the </w:t>
      </w:r>
      <w:r>
        <w:rPr>
          <w:color w:val="000000"/>
        </w:rPr>
        <w:t>"product effects" of</w:t>
      </w:r>
      <w:r w:rsidRPr="00177E3C">
        <w:rPr>
          <w:color w:val="000000"/>
        </w:rPr>
        <w:t xml:space="preserve"> the expired subsidies.</w:t>
      </w:r>
      <w:r>
        <w:rPr>
          <w:color w:val="000000"/>
        </w:rPr>
        <w:t xml:space="preserve"> In addition, </w:t>
      </w:r>
      <w:r>
        <w:rPr>
          <w:bCs/>
        </w:rPr>
        <w:t>w</w:t>
      </w:r>
      <w:r w:rsidRPr="00420CED">
        <w:rPr>
          <w:bCs/>
        </w:rPr>
        <w:t xml:space="preserve">e disagree with the Panel insofar as its reference to the aggregated LA/MSF subsidies in the above findings </w:t>
      </w:r>
      <w:r>
        <w:rPr>
          <w:bCs/>
        </w:rPr>
        <w:t>includes</w:t>
      </w:r>
      <w:r w:rsidRPr="00420CED">
        <w:rPr>
          <w:bCs/>
        </w:rPr>
        <w:t xml:space="preserve"> the expired subsidies.</w:t>
      </w:r>
      <w:r>
        <w:rPr>
          <w:rStyle w:val="FootnoteReference"/>
          <w:bCs/>
        </w:rPr>
        <w:footnoteReference w:id="1840"/>
      </w:r>
      <w:r w:rsidRPr="00420CED">
        <w:rPr>
          <w:bCs/>
        </w:rPr>
        <w:t xml:space="preserve"> </w:t>
      </w:r>
    </w:p>
    <w:p w:rsidR="00C752B3" w:rsidRDefault="00C752B3" w:rsidP="00526697">
      <w:pPr>
        <w:pStyle w:val="BodyText"/>
        <w:numPr>
          <w:ilvl w:val="6"/>
          <w:numId w:val="2"/>
        </w:numPr>
      </w:pPr>
      <w:r>
        <w:rPr>
          <w:bCs/>
        </w:rPr>
        <w:t>Rather, as we have explained above, t</w:t>
      </w:r>
      <w:r w:rsidRPr="00217356">
        <w:rPr>
          <w:bCs/>
        </w:rPr>
        <w:t>he pertinent question for purposes of these compliance proceedings is whether the subsidies exist</w:t>
      </w:r>
      <w:r w:rsidR="004F1C53">
        <w:rPr>
          <w:bCs/>
        </w:rPr>
        <w:t>ing</w:t>
      </w:r>
      <w:r w:rsidRPr="00217356">
        <w:rPr>
          <w:bCs/>
        </w:rPr>
        <w:t xml:space="preserve"> in the </w:t>
      </w:r>
      <w:r>
        <w:rPr>
          <w:bCs/>
        </w:rPr>
        <w:t>post</w:t>
      </w:r>
      <w:r>
        <w:rPr>
          <w:bCs/>
        </w:rPr>
        <w:noBreakHyphen/>
      </w:r>
      <w:r w:rsidRPr="00217356">
        <w:rPr>
          <w:bCs/>
        </w:rPr>
        <w:t xml:space="preserve">implementation period </w:t>
      </w:r>
      <w:r w:rsidR="004F1C53">
        <w:rPr>
          <w:bCs/>
        </w:rPr>
        <w:t>(</w:t>
      </w:r>
      <w:r w:rsidR="006D144D">
        <w:rPr>
          <w:bCs/>
        </w:rPr>
        <w:t>i.e. </w:t>
      </w:r>
      <w:r w:rsidR="004F1C53">
        <w:rPr>
          <w:bCs/>
        </w:rPr>
        <w:t xml:space="preserve">after 1 December 2011) </w:t>
      </w:r>
      <w:r w:rsidRPr="00217356">
        <w:rPr>
          <w:bCs/>
        </w:rPr>
        <w:t>cause adverse effects.</w:t>
      </w:r>
      <w:r>
        <w:rPr>
          <w:bCs/>
        </w:rPr>
        <w:t xml:space="preserve"> The Panel found, and the European Union does not disagree, that </w:t>
      </w:r>
      <w:r>
        <w:t>the French, German, Spanish</w:t>
      </w:r>
      <w:r w:rsidR="004F1C53">
        <w:t>,</w:t>
      </w:r>
      <w:r>
        <w:t xml:space="preserve"> and UK A380 LA/MSF subsidies had not expired by the end of the implementation period.</w:t>
      </w:r>
      <w:r>
        <w:rPr>
          <w:rStyle w:val="FootnoteReference"/>
        </w:rPr>
        <w:footnoteReference w:id="1841"/>
      </w:r>
      <w:r>
        <w:t xml:space="preserve"> Furthermore, the Panel found that, subsequent to the original reference period (2001</w:t>
      </w:r>
      <w:r>
        <w:noBreakHyphen/>
        <w:t xml:space="preserve">2006), the European Union granted new LA/MSF subsidies </w:t>
      </w:r>
      <w:r w:rsidR="004F1C53">
        <w:t xml:space="preserve">to Airbus </w:t>
      </w:r>
      <w:r>
        <w:t xml:space="preserve">for developing its A350XWB family of </w:t>
      </w:r>
      <w:r w:rsidR="004F1C53">
        <w:t>LCA</w:t>
      </w:r>
      <w:r>
        <w:t xml:space="preserve">, and that these subsidies were "closely connected" with the adopted recommendations and rulings </w:t>
      </w:r>
      <w:r w:rsidR="006D144D">
        <w:t xml:space="preserve">of the DSB </w:t>
      </w:r>
      <w:r>
        <w:t>and the European Union's alleged compliance "actions".</w:t>
      </w:r>
      <w:r>
        <w:rPr>
          <w:rStyle w:val="FootnoteReference"/>
        </w:rPr>
        <w:footnoteReference w:id="1842"/>
      </w:r>
      <w:r>
        <w:t xml:space="preserve"> Given the scope of these compliance proceedings, we have therefore focused our review on the Panel's analysis and findings regarding the effects of subsidies </w:t>
      </w:r>
      <w:r w:rsidRPr="00AD728F">
        <w:t>existing in the post-implementation period</w:t>
      </w:r>
      <w:r w:rsidR="004F1C53">
        <w:t xml:space="preserve"> – </w:t>
      </w:r>
      <w:r>
        <w:t>namely, the A380 LA/MSF and the A350XWB LA/MSF subsidies</w:t>
      </w:r>
      <w:r w:rsidR="004F1C53">
        <w:t xml:space="preserve"> – </w:t>
      </w:r>
      <w:r>
        <w:t>and the European Union's appeal thereof,</w:t>
      </w:r>
      <w:r w:rsidRPr="00B516F5">
        <w:t xml:space="preserve"> </w:t>
      </w:r>
      <w:r w:rsidRPr="005A05B8">
        <w:t>to determine whether those findings support the Panel's ultimate conclusion regarding serious prejudice</w:t>
      </w:r>
      <w:r>
        <w:t xml:space="preserve">. </w:t>
      </w:r>
    </w:p>
    <w:p w:rsidR="00C752B3" w:rsidRDefault="00C752B3" w:rsidP="00526697">
      <w:pPr>
        <w:pStyle w:val="BodyText"/>
        <w:numPr>
          <w:ilvl w:val="6"/>
          <w:numId w:val="2"/>
        </w:numPr>
      </w:pPr>
      <w:r>
        <w:t xml:space="preserve">As part of our analysis above, we have </w:t>
      </w:r>
      <w:r w:rsidRPr="005A05B8">
        <w:t>disagree</w:t>
      </w:r>
      <w:r>
        <w:t>d</w:t>
      </w:r>
      <w:r w:rsidRPr="005A05B8">
        <w:t xml:space="preserve"> with the European Union's </w:t>
      </w:r>
      <w:r>
        <w:t>claim under Article 11 of the DSU</w:t>
      </w:r>
      <w:r w:rsidRPr="005A05B8">
        <w:t xml:space="preserve"> that the Panel's understanding of the "direct effects" of A380 LA/MSF on Airbus' ability to launch, bring to market, and continue developing the A380 </w:t>
      </w:r>
      <w:r w:rsidRPr="005A05B8">
        <w:rPr>
          <w:i/>
        </w:rPr>
        <w:t>as and when it</w:t>
      </w:r>
      <w:r w:rsidRPr="005A05B8">
        <w:t xml:space="preserve"> </w:t>
      </w:r>
      <w:r w:rsidRPr="005A05B8">
        <w:rPr>
          <w:i/>
        </w:rPr>
        <w:t>did</w:t>
      </w:r>
      <w:r w:rsidRPr="005A05B8">
        <w:t xml:space="preserve"> lacks sufficient evidentiary basis.</w:t>
      </w:r>
      <w:r>
        <w:t xml:space="preserve"> Furthermore, we have found </w:t>
      </w:r>
      <w:r w:rsidRPr="00DA41C6">
        <w:t>that the European Union has failed to establish that the Panel acted inconsistently with Article 11 of the DSU in reaching its conclusion that, "</w:t>
      </w:r>
      <w:r w:rsidRPr="00B332BB">
        <w:rPr>
          <w:i/>
          <w:iCs/>
        </w:rPr>
        <w:t>without</w:t>
      </w:r>
      <w:r w:rsidRPr="00DA41C6">
        <w:t xml:space="preserve"> A350XWB LA/MSF, the Airbus company that </w:t>
      </w:r>
      <w:r w:rsidRPr="00B332BB">
        <w:rPr>
          <w:i/>
          <w:iCs/>
        </w:rPr>
        <w:t>actually existed</w:t>
      </w:r>
      <w:r w:rsidRPr="004B1FF7">
        <w:t xml:space="preserve"> {in 2006-2010} could</w:t>
      </w:r>
      <w:r w:rsidRPr="00DA41C6">
        <w:t xml:space="preserve"> have pursued such a programme only by a narrow margin, with a high likelihood that it would, to some degree, have had to make certain compromises with respect to the pace of the programme and/or the features of the aircraft."</w:t>
      </w:r>
      <w:r>
        <w:rPr>
          <w:rStyle w:val="FootnoteReference"/>
        </w:rPr>
        <w:footnoteReference w:id="1843"/>
      </w:r>
      <w:r w:rsidRPr="00DA41C6">
        <w:t xml:space="preserve"> We have also rejected the European Union's claim that the Panel erred in finding that </w:t>
      </w:r>
      <w:r w:rsidR="004F1C53">
        <w:t xml:space="preserve">the </w:t>
      </w:r>
      <w:r w:rsidRPr="00DA41C6">
        <w:t>A380 LA/MSF subsidies had "indirect effects" on the A350XWB</w:t>
      </w:r>
      <w:r>
        <w:t xml:space="preserve">. </w:t>
      </w:r>
    </w:p>
    <w:p w:rsidR="00C752B3" w:rsidRDefault="00C752B3" w:rsidP="00526697">
      <w:pPr>
        <w:pStyle w:val="BodyText"/>
        <w:numPr>
          <w:ilvl w:val="6"/>
          <w:numId w:val="23"/>
        </w:numPr>
      </w:pPr>
      <w:r>
        <w:t>In these compliance proceedings, the Panel's findings with respect to the A380 and A350XWB programmes indicate that Airbus' competitivene</w:t>
      </w:r>
      <w:r w:rsidRPr="004B1FF7">
        <w:t xml:space="preserve">ss gained through </w:t>
      </w:r>
      <w:r w:rsidRPr="00CA3DA7">
        <w:t>earlier</w:t>
      </w:r>
      <w:r w:rsidRPr="004B1FF7">
        <w:t xml:space="preserve"> LA/MSF subsidies was renewed and sus</w:t>
      </w:r>
      <w:r>
        <w:t>tained beyond the original reference period and into</w:t>
      </w:r>
      <w:r w:rsidR="004F1C53">
        <w:t xml:space="preserve"> the post</w:t>
      </w:r>
      <w:r w:rsidR="004F1C53">
        <w:noBreakHyphen/>
        <w:t>implementation period</w:t>
      </w:r>
      <w:r>
        <w:t xml:space="preserve"> due in significant part to the subsidies that it continued to receive after the original reference period and that still existed in the </w:t>
      </w:r>
      <w:r w:rsidR="008A6943">
        <w:t>post-implementation period. The </w:t>
      </w:r>
      <w:r>
        <w:t xml:space="preserve">Panel's findings reveal that the years following the original reference period were a period of considerable uncertainty for Airbus. As the Panel noted, </w:t>
      </w:r>
      <w:r w:rsidRPr="009A0854">
        <w:t>Airbus witnessed "particularly serious" problems with the A380 programme</w:t>
      </w:r>
      <w:r>
        <w:t xml:space="preserve"> subsequent to the original reference period, including</w:t>
      </w:r>
      <w:r w:rsidRPr="009A0854">
        <w:t xml:space="preserve"> three "extensive" delays during 2005 and 2006.</w:t>
      </w:r>
      <w:r>
        <w:rPr>
          <w:rStyle w:val="FootnoteReference"/>
        </w:rPr>
        <w:footnoteReference w:id="1844"/>
      </w:r>
      <w:r w:rsidRPr="009A0854">
        <w:t xml:space="preserve"> These delays resulted in cancellation of orders for the A380, Airbus having to pay contractual penalties, </w:t>
      </w:r>
      <w:r w:rsidR="004F1C53">
        <w:t>and</w:t>
      </w:r>
      <w:r w:rsidRPr="009A0854">
        <w:t xml:space="preserve"> a delayed realization of revenues from A380 deliveries.</w:t>
      </w:r>
      <w:r>
        <w:rPr>
          <w:rStyle w:val="FootnoteReference"/>
        </w:rPr>
        <w:footnoteReference w:id="1845"/>
      </w:r>
      <w:r w:rsidRPr="009A0854">
        <w:t xml:space="preserve"> </w:t>
      </w:r>
      <w:r>
        <w:t>For the Panel, these problems had "severe" implications for Airbus.</w:t>
      </w:r>
      <w:r>
        <w:rPr>
          <w:rStyle w:val="FootnoteReference"/>
        </w:rPr>
        <w:footnoteReference w:id="1846"/>
      </w:r>
      <w:r w:rsidRPr="009A0854">
        <w:t xml:space="preserve"> </w:t>
      </w:r>
      <w:r w:rsidR="006D144D">
        <w:t xml:space="preserve">As noted above, </w:t>
      </w:r>
      <w:r w:rsidRPr="009A0854">
        <w:t>Airbus ultimately delivered its first A380 in October 200</w:t>
      </w:r>
      <w:r>
        <w:t>7</w:t>
      </w:r>
      <w:r w:rsidRPr="009A0854">
        <w:t>.</w:t>
      </w:r>
      <w:r>
        <w:rPr>
          <w:rStyle w:val="FootnoteReference"/>
        </w:rPr>
        <w:footnoteReference w:id="1847"/>
      </w:r>
    </w:p>
    <w:p w:rsidR="00C752B3" w:rsidRPr="009A0854" w:rsidRDefault="004F1C53" w:rsidP="00526697">
      <w:pPr>
        <w:pStyle w:val="BodyText"/>
        <w:numPr>
          <w:ilvl w:val="6"/>
          <w:numId w:val="23"/>
        </w:numPr>
      </w:pPr>
      <w:r>
        <w:t>The Panel's findings establish that, a</w:t>
      </w:r>
      <w:r w:rsidR="00C752B3">
        <w:t>round the same time as Airbus grappled with delays in the A380 programme, the Original A350, launched in December 2004</w:t>
      </w:r>
      <w:r>
        <w:t>,</w:t>
      </w:r>
      <w:r w:rsidR="00C752B3">
        <w:t xml:space="preserve"> "had fallen into the market's disfavour".</w:t>
      </w:r>
      <w:r w:rsidR="00C752B3">
        <w:rPr>
          <w:rStyle w:val="FootnoteReference"/>
        </w:rPr>
        <w:footnoteReference w:id="1848"/>
      </w:r>
      <w:r w:rsidR="00C752B3">
        <w:t xml:space="preserve"> The Boeing 787 was outcompeting Airbus aircraft in the twin-aisle LCA market and had a "</w:t>
      </w:r>
      <w:r w:rsidR="00C752B3" w:rsidRPr="009A0854">
        <w:t>developmental head start</w:t>
      </w:r>
      <w:r w:rsidR="00C752B3">
        <w:t>"</w:t>
      </w:r>
      <w:r w:rsidR="00C752B3" w:rsidRPr="009A0854">
        <w:t xml:space="preserve"> of roughly two years on any Airbus LCA programme that might replace the Original A350.</w:t>
      </w:r>
      <w:r w:rsidR="00C752B3">
        <w:rPr>
          <w:rStyle w:val="FootnoteReference"/>
        </w:rPr>
        <w:footnoteReference w:id="1849"/>
      </w:r>
      <w:r w:rsidR="00C752B3" w:rsidRPr="009A0854">
        <w:t xml:space="preserve"> The Panel </w:t>
      </w:r>
      <w:r w:rsidR="00C752B3">
        <w:t xml:space="preserve">further </w:t>
      </w:r>
      <w:r w:rsidR="00C752B3" w:rsidRPr="009A0854">
        <w:t xml:space="preserve">found that Airbus' decision to terminate the Original A350 </w:t>
      </w:r>
      <w:r>
        <w:t xml:space="preserve">programme </w:t>
      </w:r>
      <w:r w:rsidR="00C752B3" w:rsidRPr="009A0854">
        <w:t>in favour of th</w:t>
      </w:r>
      <w:r>
        <w:t>e A350XWB –</w:t>
      </w:r>
      <w:r w:rsidR="00C752B3" w:rsidRPr="009A0854">
        <w:t xml:space="preserve"> which could effectively co</w:t>
      </w:r>
      <w:r>
        <w:t xml:space="preserve">mpete with Boeing's 787 and 777 – </w:t>
      </w:r>
      <w:r w:rsidR="00C752B3" w:rsidRPr="009A0854">
        <w:t>was "too expensive to be taken lightly".</w:t>
      </w:r>
      <w:r w:rsidR="00C752B3">
        <w:rPr>
          <w:rStyle w:val="FootnoteReference"/>
        </w:rPr>
        <w:footnoteReference w:id="1850"/>
      </w:r>
      <w:r w:rsidR="00C752B3" w:rsidRPr="009A0854">
        <w:t xml:space="preserve"> The Panel's findings also establish that Airbus publicly unveiled the A350XWB concept in July 2006 without having yet achieved "sufficient certainty" that it had the technical expertise to build the A350XWB</w:t>
      </w:r>
      <w:r w:rsidR="006D144D">
        <w:rPr>
          <w:rStyle w:val="FootnoteReference"/>
        </w:rPr>
        <w:footnoteReference w:id="1851"/>
      </w:r>
      <w:r w:rsidR="008A6943">
        <w:t>, given </w:t>
      </w:r>
      <w:r w:rsidR="00C752B3" w:rsidRPr="009A0854">
        <w:t>that it was a "major" and "dramatic" redesign of the Original A350, and envisioned extensive use of composite materials.</w:t>
      </w:r>
      <w:r w:rsidR="00C752B3">
        <w:rPr>
          <w:rStyle w:val="FootnoteReference"/>
        </w:rPr>
        <w:footnoteReference w:id="1852"/>
      </w:r>
      <w:r w:rsidR="00C752B3" w:rsidRPr="009A0854">
        <w:t xml:space="preserve"> Thus, Airbus was face</w:t>
      </w:r>
      <w:r w:rsidR="00C752B3">
        <w:t>d</w:t>
      </w:r>
      <w:r w:rsidR="00C752B3" w:rsidRPr="009A0854">
        <w:t xml:space="preserve"> not only with the financial strain of replacing the Original A350</w:t>
      </w:r>
      <w:r w:rsidR="00C752B3">
        <w:t xml:space="preserve"> with an expensive new aircraft as soon as possible</w:t>
      </w:r>
      <w:r w:rsidR="00C752B3" w:rsidRPr="009A0854">
        <w:t>, but also</w:t>
      </w:r>
      <w:r w:rsidR="00C752B3">
        <w:t xml:space="preserve"> with the</w:t>
      </w:r>
      <w:r w:rsidR="00C752B3" w:rsidRPr="009A0854">
        <w:t xml:space="preserve"> technological challenges in launching an aircraft as innovative as the A350XWB. Ultimately, Airbus launched the A350XWB on 1 December 2006.</w:t>
      </w:r>
      <w:r w:rsidR="00C752B3">
        <w:rPr>
          <w:rStyle w:val="FootnoteReference"/>
        </w:rPr>
        <w:footnoteReference w:id="1853"/>
      </w:r>
      <w:r w:rsidR="00C752B3">
        <w:t xml:space="preserve"> </w:t>
      </w:r>
    </w:p>
    <w:p w:rsidR="00C752B3" w:rsidRPr="00160E24" w:rsidRDefault="00C752B3" w:rsidP="00526697">
      <w:pPr>
        <w:pStyle w:val="BodyText"/>
        <w:numPr>
          <w:ilvl w:val="6"/>
          <w:numId w:val="23"/>
        </w:numPr>
      </w:pPr>
      <w:r>
        <w:t>T</w:t>
      </w:r>
      <w:r w:rsidRPr="009A0854">
        <w:t>he</w:t>
      </w:r>
      <w:r>
        <w:t xml:space="preserve"> above findings by the</w:t>
      </w:r>
      <w:r w:rsidRPr="009A0854">
        <w:t xml:space="preserve"> Panel on the issues surrounding the Original A350 and the launch of the A350XWB, together with its findings on the severe implications of the extensive delays with the A380 programme, establish that Airbus was faced with considerable overall uncertainty</w:t>
      </w:r>
      <w:r>
        <w:t xml:space="preserve"> in the years following the original reference period</w:t>
      </w:r>
      <w:r w:rsidRPr="009A0854">
        <w:t>.</w:t>
      </w:r>
      <w:r>
        <w:t xml:space="preserve"> As discussed above, the original panel's findings, together with the Panel's analysis, indicate that A380 LA/MSF had </w:t>
      </w:r>
      <w:r w:rsidR="003B220E">
        <w:t>"</w:t>
      </w:r>
      <w:r>
        <w:t>direct effects</w:t>
      </w:r>
      <w:r w:rsidR="003B220E">
        <w:t>"</w:t>
      </w:r>
      <w:r>
        <w:t xml:space="preserve"> on Airbus' ability to launch, bring to market, and continue developing the A380 </w:t>
      </w:r>
      <w:r w:rsidRPr="006E0D1F">
        <w:rPr>
          <w:i/>
        </w:rPr>
        <w:t>as and when it</w:t>
      </w:r>
      <w:r>
        <w:t xml:space="preserve"> </w:t>
      </w:r>
      <w:r w:rsidRPr="006E0D1F">
        <w:rPr>
          <w:i/>
        </w:rPr>
        <w:t>did</w:t>
      </w:r>
      <w:r>
        <w:t xml:space="preserve">, given that </w:t>
      </w:r>
      <w:r w:rsidR="004F1C53">
        <w:t xml:space="preserve">the </w:t>
      </w:r>
      <w:r>
        <w:t xml:space="preserve">A380 LA/MSF subsidies had not expired, as well as the fact that Airbus continued to receive disbursements under the French, German, and Spanish LA/MSF contracts at a time when it was experiencing severe financial difficulties resulting from the extensive production delays in the A380 programme. </w:t>
      </w:r>
      <w:r w:rsidRPr="00160E24">
        <w:t xml:space="preserve">The Panel's findings regarding the </w:t>
      </w:r>
      <w:r>
        <w:t>"</w:t>
      </w:r>
      <w:r w:rsidRPr="00160E24">
        <w:t>direct effects</w:t>
      </w:r>
      <w:r>
        <w:t>"</w:t>
      </w:r>
      <w:r w:rsidRPr="00160E24">
        <w:t xml:space="preserve"> of the A350</w:t>
      </w:r>
      <w:r>
        <w:t>XWB</w:t>
      </w:r>
      <w:r w:rsidRPr="00160E24">
        <w:t xml:space="preserve"> LA/MSF, read together with its findings concerning the </w:t>
      </w:r>
      <w:r>
        <w:t>"</w:t>
      </w:r>
      <w:r w:rsidRPr="00160E24">
        <w:t>indirect effects</w:t>
      </w:r>
      <w:r>
        <w:t>"</w:t>
      </w:r>
      <w:r w:rsidRPr="00160E24">
        <w:t xml:space="preserve"> of the A380 LA/MSF,</w:t>
      </w:r>
      <w:r>
        <w:t xml:space="preserve"> also indicate</w:t>
      </w:r>
      <w:r w:rsidRPr="00160E24">
        <w:t xml:space="preserve"> that, without the </w:t>
      </w:r>
      <w:r>
        <w:t>aggregated</w:t>
      </w:r>
      <w:r w:rsidRPr="00160E24">
        <w:t xml:space="preserve"> </w:t>
      </w:r>
      <w:r>
        <w:t>"</w:t>
      </w:r>
      <w:r w:rsidRPr="00160E24">
        <w:t>product effects</w:t>
      </w:r>
      <w:r>
        <w:t>"</w:t>
      </w:r>
      <w:r w:rsidRPr="00160E24">
        <w:t xml:space="preserve"> of the existing LA/MSF subsidies for the A380 and A350XWB programmes, Airbus would not have been able to launch the A350XWB </w:t>
      </w:r>
      <w:r w:rsidRPr="007915FC">
        <w:rPr>
          <w:i/>
        </w:rPr>
        <w:t>as and when it did</w:t>
      </w:r>
      <w:r w:rsidRPr="00160E24">
        <w:t xml:space="preserve">. </w:t>
      </w:r>
      <w:r>
        <w:t xml:space="preserve">In other words, the existing LA/MSF subsidies that Airbus continued to receive made it possible to proceed with the timely launch of the A350XWB – a high-risk and expensive programme of considerable strategic importance to Airbus – </w:t>
      </w:r>
      <w:r w:rsidR="004F1C53">
        <w:t>and to bring to</w:t>
      </w:r>
      <w:r>
        <w:t xml:space="preserve"> market the A380, which had suffered extensive delays.</w:t>
      </w:r>
    </w:p>
    <w:p w:rsidR="00C752B3" w:rsidRPr="00511F3B" w:rsidRDefault="00C752B3" w:rsidP="00526697">
      <w:pPr>
        <w:pStyle w:val="BodyText"/>
        <w:numPr>
          <w:ilvl w:val="6"/>
          <w:numId w:val="23"/>
        </w:numPr>
      </w:pPr>
      <w:r>
        <w:t xml:space="preserve">In sum, our discussion of the Panel's findings reveals that the LA/MSF subsidies existing in the post-implementation period – i.e. the A380 and A350XWB LA/MSF subsidies – enabled Airbus to proceed with the timely launch and development of the A350XWB, </w:t>
      </w:r>
      <w:r w:rsidR="004F1C53">
        <w:t>and</w:t>
      </w:r>
      <w:r>
        <w:t xml:space="preserve"> to bring to market and to continue developing the A380. Both these events, as the above analysis shows, were crucial to renew and sustain Airbus' competitiveness in the post</w:t>
      </w:r>
      <w:r>
        <w:noBreakHyphen/>
        <w:t xml:space="preserve">implementation period. </w:t>
      </w:r>
      <w:bookmarkEnd w:id="179"/>
    </w:p>
    <w:p w:rsidR="00C752B3" w:rsidRDefault="00C752B3" w:rsidP="00526697">
      <w:pPr>
        <w:pStyle w:val="Heading3"/>
      </w:pPr>
      <w:bookmarkStart w:id="186" w:name="_Toc514059288"/>
      <w:r>
        <w:t>Lost sales</w:t>
      </w:r>
      <w:r w:rsidR="006D144D">
        <w:t>,</w:t>
      </w:r>
      <w:r w:rsidR="00B0558B">
        <w:t xml:space="preserve"> </w:t>
      </w:r>
      <w:r>
        <w:t>displacement</w:t>
      </w:r>
      <w:r w:rsidR="006D144D">
        <w:t>,</w:t>
      </w:r>
      <w:r>
        <w:t xml:space="preserve"> and impedance</w:t>
      </w:r>
      <w:bookmarkEnd w:id="186"/>
    </w:p>
    <w:p w:rsidR="00C752B3" w:rsidRPr="00D2490F" w:rsidRDefault="00C752B3" w:rsidP="00526697">
      <w:pPr>
        <w:pStyle w:val="Heading4"/>
      </w:pPr>
      <w:bookmarkStart w:id="187" w:name="_Toc514059289"/>
      <w:r>
        <w:t>Introduction</w:t>
      </w:r>
      <w:bookmarkEnd w:id="187"/>
    </w:p>
    <w:p w:rsidR="00C752B3" w:rsidRDefault="00C752B3" w:rsidP="00526697">
      <w:pPr>
        <w:pStyle w:val="BodyText"/>
        <w:numPr>
          <w:ilvl w:val="6"/>
          <w:numId w:val="2"/>
        </w:numPr>
      </w:pPr>
      <w:r>
        <w:t>Having examined the "product effects" of the LA/MSF subsidies, the Panel turned to consider "the extent to which the LA/MSF subsidies, through their continued 'product' effects, are a 'genuine and substantial' cause of the lost sales, and market impedance</w:t>
      </w:r>
      <w:r w:rsidRPr="00DC1A58">
        <w:t xml:space="preserve"> </w:t>
      </w:r>
      <w:r w:rsidR="00B0558B">
        <w:t xml:space="preserve">and displacement" </w:t>
      </w:r>
      <w:r w:rsidR="006D144D">
        <w:t xml:space="preserve">alleged by </w:t>
      </w:r>
      <w:r w:rsidR="00B0558B">
        <w:t>the </w:t>
      </w:r>
      <w:r>
        <w:t>United States.</w:t>
      </w:r>
      <w:r>
        <w:rPr>
          <w:rStyle w:val="FootnoteReference"/>
        </w:rPr>
        <w:footnoteReference w:id="1854"/>
      </w:r>
      <w:r w:rsidRPr="00EA4D07">
        <w:t xml:space="preserve"> </w:t>
      </w:r>
      <w:r w:rsidR="00B0558B">
        <w:t>I</w:t>
      </w:r>
      <w:r>
        <w:t>n respect of lost sales</w:t>
      </w:r>
      <w:r w:rsidR="00B0558B">
        <w:t>, the Panel concluded that</w:t>
      </w:r>
      <w:r>
        <w:t>:</w:t>
      </w:r>
    </w:p>
    <w:p w:rsidR="00C752B3" w:rsidRDefault="00C752B3" w:rsidP="00C752B3">
      <w:pPr>
        <w:pStyle w:val="Quotation"/>
      </w:pPr>
      <w:r>
        <w:t>all of the orders identified in Table 19 {of the Panel Report} represent "significant" "lost sales" to the United States LCA industry and, therefore, that the challenged LA/MSF subsidies continue to be a "genuine and substantial" cause of serious prejudice to the United States within the meaning of Article 6.3(c) of the SCM Agreement.</w:t>
      </w:r>
      <w:r>
        <w:rPr>
          <w:rStyle w:val="FootnoteReference"/>
        </w:rPr>
        <w:footnoteReference w:id="1855"/>
      </w:r>
    </w:p>
    <w:p w:rsidR="00C752B3" w:rsidRDefault="00C752B3" w:rsidP="00526697">
      <w:pPr>
        <w:pStyle w:val="BodyText"/>
        <w:keepNext/>
        <w:numPr>
          <w:ilvl w:val="6"/>
          <w:numId w:val="2"/>
        </w:numPr>
      </w:pPr>
      <w:r>
        <w:t>With respect to displacement and impedance in the relevant markets, the Panel concluded</w:t>
      </w:r>
      <w:r w:rsidR="00B0558B">
        <w:t xml:space="preserve"> that</w:t>
      </w:r>
      <w:r>
        <w:t>:</w:t>
      </w:r>
    </w:p>
    <w:p w:rsidR="00C752B3" w:rsidRPr="005F4E6E" w:rsidRDefault="00C752B3" w:rsidP="00526697">
      <w:pPr>
        <w:pStyle w:val="Quotation"/>
        <w:keepNext/>
      </w:pPr>
      <w:r>
        <w:t>the United States has established that the "product" effects of the challenged LA/MSF subsidies are a "genuine and substantial" cause of displacement and/or impedance of United States LCA in the markets for single-aisle LCA in the European Union, Australia, China and India; twin</w:t>
      </w:r>
      <w:r>
        <w:noBreakHyphen/>
        <w:t xml:space="preserve">aisle LCA in the European Union, China, </w:t>
      </w:r>
      <w:r w:rsidRPr="005F4E6E">
        <w:t xml:space="preserve">Korea and Singapore; and very large LCA in the </w:t>
      </w:r>
      <w:r>
        <w:t>European Union</w:t>
      </w:r>
      <w:r w:rsidRPr="005F4E6E">
        <w:t>, Australia, China, Korea, Singapore and the United Arab Emirates.</w:t>
      </w:r>
      <w:r>
        <w:rPr>
          <w:rStyle w:val="FootnoteReference"/>
        </w:rPr>
        <w:footnoteReference w:id="1856"/>
      </w:r>
    </w:p>
    <w:p w:rsidR="00C752B3" w:rsidRDefault="00C752B3" w:rsidP="00526697">
      <w:pPr>
        <w:pStyle w:val="BodyText"/>
        <w:numPr>
          <w:ilvl w:val="6"/>
          <w:numId w:val="2"/>
        </w:numPr>
      </w:pPr>
      <w:r>
        <w:t>T</w:t>
      </w:r>
      <w:r w:rsidRPr="005F4E6E">
        <w:t xml:space="preserve">he </w:t>
      </w:r>
      <w:r>
        <w:t>European Union</w:t>
      </w:r>
      <w:r w:rsidRPr="005F4E6E">
        <w:t xml:space="preserve"> </w:t>
      </w:r>
      <w:r>
        <w:t xml:space="preserve">contends that </w:t>
      </w:r>
      <w:r w:rsidRPr="005F4E6E">
        <w:t>the Panel erred in its</w:t>
      </w:r>
      <w:r>
        <w:t xml:space="preserve"> interpretation and</w:t>
      </w:r>
      <w:r w:rsidRPr="005F4E6E">
        <w:t xml:space="preserve"> application of </w:t>
      </w:r>
      <w:r>
        <w:t>Articles </w:t>
      </w:r>
      <w:r w:rsidRPr="005F4E6E">
        <w:t>5(c), 6.3</w:t>
      </w:r>
      <w:r>
        <w:t>,</w:t>
      </w:r>
      <w:r w:rsidRPr="005F4E6E">
        <w:t xml:space="preserve"> and 7.8</w:t>
      </w:r>
      <w:r>
        <w:t xml:space="preserve"> of the SCM Agreement</w:t>
      </w:r>
      <w:r w:rsidRPr="005F4E6E">
        <w:t xml:space="preserve"> in finding causation for lost sales and </w:t>
      </w:r>
      <w:r w:rsidR="00B0558B">
        <w:t>"</w:t>
      </w:r>
      <w:r w:rsidRPr="005F4E6E">
        <w:t>displacement and/or impedance</w:t>
      </w:r>
      <w:r w:rsidR="00B0558B">
        <w:t>" in the relevant markets</w:t>
      </w:r>
      <w:r>
        <w:t>, and</w:t>
      </w:r>
      <w:r w:rsidRPr="005F4E6E">
        <w:t xml:space="preserve"> raises two main grounds of appeal in respect of the Panel's above conclusions. The first concerns the c</w:t>
      </w:r>
      <w:r w:rsidR="00CB69E6">
        <w:t>ausal link between the "product </w:t>
      </w:r>
      <w:r w:rsidRPr="005F4E6E">
        <w:t>effects</w:t>
      </w:r>
      <w:r>
        <w:t>"</w:t>
      </w:r>
      <w:r w:rsidRPr="005F4E6E">
        <w:t xml:space="preserve"> of </w:t>
      </w:r>
      <w:r w:rsidR="00B0558B">
        <w:t>L</w:t>
      </w:r>
      <w:r w:rsidRPr="005F4E6E">
        <w:t>A/MSF subsidies and these market phenomena</w:t>
      </w:r>
      <w:r>
        <w:t xml:space="preserve">. </w:t>
      </w:r>
      <w:r w:rsidR="006D144D">
        <w:t>S</w:t>
      </w:r>
      <w:r>
        <w:t>pecifically, the European Union contends that</w:t>
      </w:r>
      <w:r w:rsidRPr="00EA4D07">
        <w:t xml:space="preserve"> </w:t>
      </w:r>
      <w:r w:rsidRPr="005F4E6E">
        <w:t>the Panel</w:t>
      </w:r>
      <w:r w:rsidRPr="00EA4D07">
        <w:t xml:space="preserve"> </w:t>
      </w:r>
      <w:r w:rsidRPr="005F4E6E">
        <w:t>failed to</w:t>
      </w:r>
      <w:r>
        <w:t xml:space="preserve"> account for:</w:t>
      </w:r>
      <w:r w:rsidRPr="005F4E6E">
        <w:t xml:space="preserve"> (i)</w:t>
      </w:r>
      <w:r>
        <w:t> </w:t>
      </w:r>
      <w:r w:rsidRPr="005F4E6E">
        <w:t xml:space="preserve">the differences in the degree of competition between </w:t>
      </w:r>
      <w:r w:rsidR="00B0558B">
        <w:t xml:space="preserve">the </w:t>
      </w:r>
      <w:r w:rsidRPr="005F4E6E">
        <w:t>relevant LCA at issue in the par</w:t>
      </w:r>
      <w:r>
        <w:t xml:space="preserve">ticular instances of lost sales, </w:t>
      </w:r>
      <w:r w:rsidRPr="005F4E6E">
        <w:t>displacement</w:t>
      </w:r>
      <w:r>
        <w:t>,</w:t>
      </w:r>
      <w:r w:rsidRPr="005F4E6E">
        <w:t xml:space="preserve"> and impedance </w:t>
      </w:r>
      <w:r w:rsidR="006D144D">
        <w:t>alleged</w:t>
      </w:r>
      <w:r w:rsidRPr="005F4E6E">
        <w:t xml:space="preserve"> by the </w:t>
      </w:r>
      <w:r>
        <w:t>United States</w:t>
      </w:r>
      <w:r w:rsidRPr="005F4E6E">
        <w:t>; and (ii)</w:t>
      </w:r>
      <w:r>
        <w:t> </w:t>
      </w:r>
      <w:r w:rsidR="00E01DBF">
        <w:t>the market-specific and sale</w:t>
      </w:r>
      <w:r w:rsidR="00E01DBF">
        <w:noBreakHyphen/>
      </w:r>
      <w:r w:rsidRPr="005F4E6E">
        <w:t xml:space="preserve">specific </w:t>
      </w:r>
      <w:r>
        <w:t>non</w:t>
      </w:r>
      <w:r>
        <w:noBreakHyphen/>
      </w:r>
      <w:r w:rsidRPr="005F4E6E">
        <w:t xml:space="preserve">attribution factors </w:t>
      </w:r>
      <w:r>
        <w:t>referred to by</w:t>
      </w:r>
      <w:r w:rsidRPr="005F4E6E">
        <w:t xml:space="preserve"> the </w:t>
      </w:r>
      <w:r>
        <w:t>European Union</w:t>
      </w:r>
      <w:r w:rsidRPr="005F4E6E">
        <w:t>.</w:t>
      </w:r>
      <w:r>
        <w:rPr>
          <w:rStyle w:val="FootnoteReference"/>
        </w:rPr>
        <w:footnoteReference w:id="1857"/>
      </w:r>
      <w:r w:rsidRPr="005F4E6E">
        <w:t xml:space="preserve"> </w:t>
      </w:r>
      <w:r>
        <w:t>T</w:t>
      </w:r>
      <w:r w:rsidRPr="005F4E6E">
        <w:t>he second</w:t>
      </w:r>
      <w:r>
        <w:t xml:space="preserve"> ground of appeal</w:t>
      </w:r>
      <w:r w:rsidR="006D144D">
        <w:t xml:space="preserve"> </w:t>
      </w:r>
      <w:r w:rsidR="00D111A4">
        <w:t>relates to</w:t>
      </w:r>
      <w:r w:rsidRPr="005F4E6E">
        <w:t xml:space="preserve"> </w:t>
      </w:r>
      <w:r>
        <w:t xml:space="preserve">alleged </w:t>
      </w:r>
      <w:r w:rsidR="00B0558B">
        <w:t>errors</w:t>
      </w:r>
      <w:r>
        <w:t xml:space="preserve"> arising from</w:t>
      </w:r>
      <w:r w:rsidRPr="005F4E6E">
        <w:t xml:space="preserve"> </w:t>
      </w:r>
      <w:r>
        <w:t>the Panel's treatment of</w:t>
      </w:r>
      <w:r w:rsidRPr="005F4E6E">
        <w:rPr>
          <w:lang w:val="en-US"/>
        </w:rPr>
        <w:t xml:space="preserve"> displacement and impedance as "interchangeable and indistinguishable" concepts</w:t>
      </w:r>
      <w:r>
        <w:rPr>
          <w:rStyle w:val="FootnoteReference"/>
          <w:lang w:val="en-US"/>
        </w:rPr>
        <w:footnoteReference w:id="1858"/>
      </w:r>
      <w:r>
        <w:rPr>
          <w:lang w:val="en-US"/>
        </w:rPr>
        <w:t>,</w:t>
      </w:r>
      <w:r w:rsidRPr="005F4E6E">
        <w:rPr>
          <w:lang w:val="en-US"/>
        </w:rPr>
        <w:t xml:space="preserve"> and </w:t>
      </w:r>
      <w:r>
        <w:rPr>
          <w:lang w:val="en-US"/>
        </w:rPr>
        <w:t>from the Panel's failure</w:t>
      </w:r>
      <w:r w:rsidRPr="005F4E6E">
        <w:rPr>
          <w:lang w:val="en-US"/>
        </w:rPr>
        <w:t xml:space="preserve"> to </w:t>
      </w:r>
      <w:r w:rsidRPr="00F860C1">
        <w:rPr>
          <w:lang w:val="en-US"/>
        </w:rPr>
        <w:t>examine a sufficiently large dat</w:t>
      </w:r>
      <w:r w:rsidR="00B0558B">
        <w:rPr>
          <w:lang w:val="en-US"/>
        </w:rPr>
        <w:t>a</w:t>
      </w:r>
      <w:r w:rsidRPr="00F860C1">
        <w:rPr>
          <w:lang w:val="en-US"/>
        </w:rPr>
        <w:t xml:space="preserve"> set </w:t>
      </w:r>
      <w:r>
        <w:rPr>
          <w:lang w:val="en-US"/>
        </w:rPr>
        <w:t xml:space="preserve">and </w:t>
      </w:r>
      <w:r w:rsidRPr="00F860C1">
        <w:rPr>
          <w:lang w:val="en-US"/>
        </w:rPr>
        <w:t>to engage</w:t>
      </w:r>
      <w:r w:rsidRPr="00F860C1">
        <w:t xml:space="preserve"> with the sales volume and market share data that </w:t>
      </w:r>
      <w:r w:rsidR="00B0558B">
        <w:t>were</w:t>
      </w:r>
      <w:r w:rsidRPr="00F860C1">
        <w:t xml:space="preserve"> before it for purposes of analysing the United States' claims of displacement</w:t>
      </w:r>
      <w:r w:rsidRPr="005F4E6E">
        <w:t xml:space="preserve"> and</w:t>
      </w:r>
      <w:r>
        <w:t>/or</w:t>
      </w:r>
      <w:r w:rsidRPr="005F4E6E">
        <w:t xml:space="preserve"> impedance.</w:t>
      </w:r>
      <w:r>
        <w:rPr>
          <w:rStyle w:val="FootnoteReference"/>
        </w:rPr>
        <w:footnoteReference w:id="1859"/>
      </w:r>
      <w:r w:rsidRPr="005F4E6E">
        <w:rPr>
          <w:lang w:val="en-US"/>
        </w:rPr>
        <w:t xml:space="preserve"> </w:t>
      </w:r>
    </w:p>
    <w:p w:rsidR="00C752B3" w:rsidRDefault="00C752B3" w:rsidP="00526697">
      <w:pPr>
        <w:pStyle w:val="BodyText"/>
        <w:numPr>
          <w:ilvl w:val="6"/>
          <w:numId w:val="2"/>
        </w:numPr>
      </w:pPr>
      <w:r>
        <w:t>As noted</w:t>
      </w:r>
      <w:r w:rsidR="006D144D">
        <w:t xml:space="preserve"> in Section </w:t>
      </w:r>
      <w:r w:rsidR="00BC12D5">
        <w:t>5.6.3.3</w:t>
      </w:r>
      <w:r w:rsidR="006D144D">
        <w:t xml:space="preserve"> above</w:t>
      </w:r>
      <w:r>
        <w:t>, the Appellate Body has indicated that generally the "more appropriate</w:t>
      </w:r>
      <w:r w:rsidRPr="00B03079">
        <w:t xml:space="preserve"> approach</w:t>
      </w:r>
      <w:r>
        <w:t>"</w:t>
      </w:r>
      <w:r w:rsidRPr="00B03079">
        <w:t xml:space="preserve"> to assess the effect of a subsidy under </w:t>
      </w:r>
      <w:r>
        <w:t>Article </w:t>
      </w:r>
      <w:r w:rsidRPr="00B03079">
        <w:t xml:space="preserve">6.3 </w:t>
      </w:r>
      <w:r w:rsidR="00CB69E6">
        <w:t>of the SCM </w:t>
      </w:r>
      <w:r w:rsidR="00B0558B">
        <w:t xml:space="preserve">Agreement </w:t>
      </w:r>
      <w:r w:rsidRPr="00B03079">
        <w:t>is through a unitary counterfactual analysis</w:t>
      </w:r>
      <w:r>
        <w:t xml:space="preserve">, whereby a </w:t>
      </w:r>
      <w:r w:rsidRPr="00B77B2C">
        <w:t xml:space="preserve">panel conducts a single, integrated analysis of both the </w:t>
      </w:r>
      <w:r w:rsidRPr="00ED2FD9">
        <w:rPr>
          <w:i/>
        </w:rPr>
        <w:t>existence</w:t>
      </w:r>
      <w:r w:rsidRPr="00B77B2C">
        <w:t xml:space="preserve"> of the </w:t>
      </w:r>
      <w:r>
        <w:t xml:space="preserve">relevant </w:t>
      </w:r>
      <w:r w:rsidRPr="00B77B2C">
        <w:t xml:space="preserve">market phenomena </w:t>
      </w:r>
      <w:r>
        <w:t>and whether these phenomena</w:t>
      </w:r>
      <w:r w:rsidRPr="00B77B2C">
        <w:t xml:space="preserve"> have been </w:t>
      </w:r>
      <w:r w:rsidRPr="00ED2FD9">
        <w:rPr>
          <w:i/>
        </w:rPr>
        <w:t>caused</w:t>
      </w:r>
      <w:r w:rsidRPr="00B77B2C">
        <w:t xml:space="preserve"> by the subsidies at issue.</w:t>
      </w:r>
      <w:r>
        <w:rPr>
          <w:rStyle w:val="FootnoteReference"/>
        </w:rPr>
        <w:footnoteReference w:id="1860"/>
      </w:r>
      <w:r>
        <w:t xml:space="preserve"> Indeed, as the Appellate Body noted in the original proceedings, </w:t>
      </w:r>
      <w:r w:rsidRPr="008D0332">
        <w:t>"it is difficult to understand the market phenomena described in the various</w:t>
      </w:r>
      <w:r w:rsidRPr="00B77B2C">
        <w:t xml:space="preserve"> subparagraphs of </w:t>
      </w:r>
      <w:r>
        <w:t>Article </w:t>
      </w:r>
      <w:r w:rsidRPr="00B77B2C">
        <w:t>6.3 in isolation from the challenged subsidies."</w:t>
      </w:r>
      <w:r>
        <w:rPr>
          <w:rStyle w:val="FootnoteReference"/>
        </w:rPr>
        <w:footnoteReference w:id="1861"/>
      </w:r>
      <w:r>
        <w:t xml:space="preserve"> Although the Panel explained that it would adopt a "unitary" approach to causation</w:t>
      </w:r>
      <w:r>
        <w:rPr>
          <w:rStyle w:val="FootnoteReference"/>
        </w:rPr>
        <w:footnoteReference w:id="1862"/>
      </w:r>
      <w:r>
        <w:t>, we note that its analysis progressed in two stages: (i) first, t</w:t>
      </w:r>
      <w:r w:rsidRPr="00F55416">
        <w:t>he Panel concluded that the "product effects</w:t>
      </w:r>
      <w:r w:rsidR="00B0558B">
        <w:t>"</w:t>
      </w:r>
      <w:r w:rsidRPr="00F55416">
        <w:t xml:space="preserve"> of LA/MSF subsidies were such that the market presence of </w:t>
      </w:r>
      <w:r>
        <w:t>the A320, A330, A380, and A350XWB</w:t>
      </w:r>
      <w:r w:rsidRPr="00F55416">
        <w:t xml:space="preserve"> would not have been possible without </w:t>
      </w:r>
      <w:r>
        <w:t>the challenged LA/MSF subsidies</w:t>
      </w:r>
      <w:r>
        <w:rPr>
          <w:rStyle w:val="FootnoteReference"/>
        </w:rPr>
        <w:footnoteReference w:id="1863"/>
      </w:r>
      <w:r>
        <w:t>; and (ii) t</w:t>
      </w:r>
      <w:r w:rsidRPr="00F55416">
        <w:t xml:space="preserve">he Panel then </w:t>
      </w:r>
      <w:r>
        <w:t>found that such "product effects" led to the serious prejudice</w:t>
      </w:r>
      <w:r w:rsidRPr="00F55416">
        <w:t xml:space="preserve"> allegedly suffered by</w:t>
      </w:r>
      <w:r>
        <w:t xml:space="preserve"> the </w:t>
      </w:r>
      <w:r w:rsidR="00B0558B">
        <w:t>US</w:t>
      </w:r>
      <w:r>
        <w:t xml:space="preserve"> LCA industry in the form of lost sales and "displacement and/or impedance"</w:t>
      </w:r>
      <w:r w:rsidRPr="00F55416">
        <w:t>.</w:t>
      </w:r>
      <w:r>
        <w:rPr>
          <w:rStyle w:val="FootnoteReference"/>
        </w:rPr>
        <w:footnoteReference w:id="1864"/>
      </w:r>
      <w:r>
        <w:t xml:space="preserve"> </w:t>
      </w:r>
    </w:p>
    <w:p w:rsidR="00C752B3" w:rsidRDefault="00C752B3" w:rsidP="00526697">
      <w:pPr>
        <w:pStyle w:val="BodyText"/>
        <w:numPr>
          <w:ilvl w:val="6"/>
          <w:numId w:val="2"/>
        </w:numPr>
      </w:pPr>
      <w:r>
        <w:t>In the preceding section, we have reviewed the European Union's appeal of the Panel's conclusion on "product effects" insofar as they relate to the LA/MSF subsidies existing in the post</w:t>
      </w:r>
      <w:r>
        <w:noBreakHyphen/>
        <w:t>implementation period. We have found that the Panel's findings with respect to the A380 and A350XWB programmes indicate that Airbus' competitiveness</w:t>
      </w:r>
      <w:r w:rsidR="00533E55">
        <w:t>,</w:t>
      </w:r>
      <w:r>
        <w:t xml:space="preserve"> gained through the pre</w:t>
      </w:r>
      <w:r>
        <w:noBreakHyphen/>
        <w:t>A380 LA/MSF subsidies</w:t>
      </w:r>
      <w:r w:rsidR="00533E55">
        <w:t>,</w:t>
      </w:r>
      <w:r>
        <w:t xml:space="preserve"> was renewed and sustained beyond </w:t>
      </w:r>
      <w:r w:rsidRPr="00130487">
        <w:t xml:space="preserve">the original reference period and into the </w:t>
      </w:r>
      <w:r>
        <w:t>post</w:t>
      </w:r>
      <w:r>
        <w:noBreakHyphen/>
      </w:r>
      <w:r w:rsidR="00533E55">
        <w:t>implementation period</w:t>
      </w:r>
      <w:r w:rsidRPr="00130487">
        <w:t xml:space="preserve"> due to the subsidies </w:t>
      </w:r>
      <w:r>
        <w:t xml:space="preserve">that </w:t>
      </w:r>
      <w:r w:rsidRPr="00130487">
        <w:t>it continued to receive after the original reference period</w:t>
      </w:r>
      <w:r>
        <w:t xml:space="preserve"> and that still existed during the post-implementation period</w:t>
      </w:r>
      <w:r w:rsidRPr="00130487">
        <w:t xml:space="preserve">. </w:t>
      </w:r>
      <w:r w:rsidRPr="00075091">
        <w:t xml:space="preserve">In that context, we have emphasized that the </w:t>
      </w:r>
      <w:r>
        <w:t>European Union</w:t>
      </w:r>
      <w:r w:rsidRPr="00075091">
        <w:t xml:space="preserve"> does not have a compliance obligation with regard to th</w:t>
      </w:r>
      <w:r w:rsidR="00533E55">
        <w:t>o</w:t>
      </w:r>
      <w:r w:rsidRPr="00075091">
        <w:t>se subsidies that expired before 1 June 2011</w:t>
      </w:r>
      <w:r>
        <w:t>. At the same time,</w:t>
      </w:r>
      <w:r w:rsidRPr="00D2490F">
        <w:rPr>
          <w:bCs/>
        </w:rPr>
        <w:t xml:space="preserve"> </w:t>
      </w:r>
      <w:r w:rsidRPr="00130487">
        <w:t>findings</w:t>
      </w:r>
      <w:r>
        <w:t xml:space="preserve"> from the original proceedings</w:t>
      </w:r>
      <w:r w:rsidRPr="00130487">
        <w:t xml:space="preserve"> regarding the design, structure</w:t>
      </w:r>
      <w:r w:rsidR="00533E55">
        <w:t>,</w:t>
      </w:r>
      <w:r w:rsidRPr="00130487">
        <w:t xml:space="preserve"> and operation of the expired subsidies, as well as how th</w:t>
      </w:r>
      <w:r w:rsidR="00533E55">
        <w:t>o</w:t>
      </w:r>
      <w:r w:rsidRPr="00130487">
        <w:t>se subsidies affect</w:t>
      </w:r>
      <w:r w:rsidRPr="009F2B27">
        <w:t>ed Airbus' operations until the end of 2006,</w:t>
      </w:r>
      <w:r>
        <w:t xml:space="preserve"> together with the Panel's findings in relation to the subsidies provided since then and into the post-implementation period,</w:t>
      </w:r>
      <w:r w:rsidRPr="009F2B27">
        <w:t xml:space="preserve"> inform our understanding of </w:t>
      </w:r>
      <w:r>
        <w:t>whether</w:t>
      </w:r>
      <w:r w:rsidRPr="002A7249">
        <w:t xml:space="preserve"> the existing subsidies may cause adverse</w:t>
      </w:r>
      <w:r>
        <w:t xml:space="preserve"> effects in the post</w:t>
      </w:r>
      <w:r>
        <w:noBreakHyphen/>
        <w:t>implementation period. In keeping with the "unitary" approach to causation, and in light of the fact that t</w:t>
      </w:r>
      <w:r w:rsidR="00533E55">
        <w:t>he Panel's findings on "product</w:t>
      </w:r>
      <w:r>
        <w:t xml:space="preserve"> effects</w:t>
      </w:r>
      <w:r w:rsidR="00533E55">
        <w:t>"</w:t>
      </w:r>
      <w:r>
        <w:t xml:space="preserve"> formed the basis for its subsequent findings on serious prejudice, our an</w:t>
      </w:r>
      <w:r w:rsidR="00533E55">
        <w:t>alysis in the preceding section</w:t>
      </w:r>
      <w:r>
        <w:t xml:space="preserve"> remains</w:t>
      </w:r>
      <w:r w:rsidR="00E01DBF">
        <w:t xml:space="preserve"> pertinent to our review of the </w:t>
      </w:r>
      <w:r>
        <w:t>European</w:t>
      </w:r>
      <w:r w:rsidR="00E01DBF">
        <w:t xml:space="preserve"> </w:t>
      </w:r>
      <w:r>
        <w:t>Union's appeal of the</w:t>
      </w:r>
      <w:r w:rsidR="00533E55">
        <w:t xml:space="preserve"> Panel's findings on lost sales</w:t>
      </w:r>
      <w:r w:rsidR="00E01DBF">
        <w:t xml:space="preserve"> and "displacement and/or </w:t>
      </w:r>
      <w:r>
        <w:t xml:space="preserve">impedance". </w:t>
      </w:r>
    </w:p>
    <w:p w:rsidR="00C752B3" w:rsidRDefault="00C752B3" w:rsidP="00526697">
      <w:pPr>
        <w:pStyle w:val="BodyText"/>
        <w:numPr>
          <w:ilvl w:val="6"/>
          <w:numId w:val="2"/>
        </w:numPr>
      </w:pPr>
      <w:r>
        <w:t xml:space="preserve">We </w:t>
      </w:r>
      <w:r w:rsidR="00533E55">
        <w:t>begin with</w:t>
      </w:r>
      <w:r>
        <w:t xml:space="preserve"> a brief overview of the Panel's findings on lost sales and "displacement and/or impedance", as well as the claims and arguments raised on appeal</w:t>
      </w:r>
      <w:r w:rsidRPr="00B7340B">
        <w:t xml:space="preserve">. We then consider the </w:t>
      </w:r>
      <w:r>
        <w:t>European Union</w:t>
      </w:r>
      <w:r w:rsidRPr="00B7340B">
        <w:t xml:space="preserve">'s appeal of the Panel's interpretation of the concepts of "displacement" and "impedance" under </w:t>
      </w:r>
      <w:r>
        <w:t>Articles </w:t>
      </w:r>
      <w:r w:rsidRPr="00B7340B">
        <w:t xml:space="preserve">6.3(a) and 6.3(b) of the </w:t>
      </w:r>
      <w:r>
        <w:t>SCM Agreement</w:t>
      </w:r>
      <w:r w:rsidRPr="00B7340B">
        <w:t>.</w:t>
      </w:r>
      <w:r>
        <w:t xml:space="preserve"> </w:t>
      </w:r>
      <w:r w:rsidR="006D144D">
        <w:t>S</w:t>
      </w:r>
      <w:r>
        <w:t>ubsequently</w:t>
      </w:r>
      <w:r w:rsidR="006D144D">
        <w:t>, we</w:t>
      </w:r>
      <w:r>
        <w:t xml:space="preserve"> address the European Union's </w:t>
      </w:r>
      <w:r w:rsidRPr="00B7340B">
        <w:t xml:space="preserve">claim that the Panel failed to take into account the "closeness of competition" </w:t>
      </w:r>
      <w:r>
        <w:t>among</w:t>
      </w:r>
      <w:r w:rsidRPr="00B7340B">
        <w:t xml:space="preserve"> relevant LCA in reaching its serious prejudice findings</w:t>
      </w:r>
      <w:r>
        <w:rPr>
          <w:rStyle w:val="FootnoteReference"/>
        </w:rPr>
        <w:footnoteReference w:id="1865"/>
      </w:r>
      <w:r>
        <w:t>, and its allegation that the Panel failed to examine a sufficiently large data set in reaching its findings of displacement and impedance. Thereafter, we examine the Panel's findings of lost sales and "displacement and/or impedance"</w:t>
      </w:r>
      <w:r w:rsidRPr="00462C55">
        <w:t xml:space="preserve"> </w:t>
      </w:r>
      <w:r>
        <w:t>in each of the three market segments identified by th</w:t>
      </w:r>
      <w:r w:rsidR="00533E55">
        <w:t>e Panel – single-aisle LCA; twin</w:t>
      </w:r>
      <w:r w:rsidR="00533E55">
        <w:noBreakHyphen/>
      </w:r>
      <w:r>
        <w:t>aisle LCA</w:t>
      </w:r>
      <w:r w:rsidR="00533E55">
        <w:t>;</w:t>
      </w:r>
      <w:r>
        <w:t xml:space="preserve"> and VLA markets</w:t>
      </w:r>
      <w:r w:rsidR="00533E55">
        <w:t xml:space="preserve"> – </w:t>
      </w:r>
      <w:r>
        <w:t xml:space="preserve">in light of specific errors alleged by the European Union, namely, its argument that the Panel failed to </w:t>
      </w:r>
      <w:r w:rsidR="00533E55">
        <w:t xml:space="preserve">analyse </w:t>
      </w:r>
      <w:r>
        <w:t>properly market-specific and sale-specific non</w:t>
      </w:r>
      <w:r>
        <w:noBreakHyphen/>
        <w:t xml:space="preserve">attribution factors referred to by the European Union as well as its argument that the Panel failed to </w:t>
      </w:r>
      <w:r w:rsidRPr="005F4E6E">
        <w:rPr>
          <w:lang w:val="en-US"/>
        </w:rPr>
        <w:t>engage</w:t>
      </w:r>
      <w:r w:rsidRPr="005F4E6E">
        <w:t xml:space="preserve"> with the sales volume and market share data</w:t>
      </w:r>
      <w:r>
        <w:t xml:space="preserve"> </w:t>
      </w:r>
      <w:r w:rsidR="00533E55">
        <w:t xml:space="preserve">that were </w:t>
      </w:r>
      <w:r>
        <w:t>before it in reaching its findings of "displacement and/or impedance". Finally, we consider the United States'</w:t>
      </w:r>
      <w:r w:rsidRPr="00B7340B">
        <w:t xml:space="preserve"> request </w:t>
      </w:r>
      <w:r w:rsidR="006D144D">
        <w:t>to</w:t>
      </w:r>
      <w:r>
        <w:t xml:space="preserve"> complete the </w:t>
      </w:r>
      <w:r w:rsidR="00533E55">
        <w:t xml:space="preserve">legal </w:t>
      </w:r>
      <w:r>
        <w:t>analysis of "displacement and/or impedance"</w:t>
      </w:r>
      <w:r w:rsidRPr="00B7340B">
        <w:t xml:space="preserve">, </w:t>
      </w:r>
      <w:r>
        <w:t>to the extent that we reverse the relevant findings by the Panel.</w:t>
      </w:r>
      <w:r>
        <w:rPr>
          <w:rStyle w:val="FootnoteReference"/>
        </w:rPr>
        <w:footnoteReference w:id="1866"/>
      </w:r>
    </w:p>
    <w:p w:rsidR="00C752B3" w:rsidRPr="005F4E6E" w:rsidRDefault="00C752B3" w:rsidP="00526697">
      <w:pPr>
        <w:pStyle w:val="Heading4"/>
      </w:pPr>
      <w:bookmarkStart w:id="188" w:name="_Toc514059290"/>
      <w:r>
        <w:t>Summary of Panel findings</w:t>
      </w:r>
      <w:bookmarkEnd w:id="188"/>
    </w:p>
    <w:p w:rsidR="00C752B3" w:rsidRDefault="00C752B3" w:rsidP="00526697">
      <w:pPr>
        <w:pStyle w:val="BodyText"/>
        <w:numPr>
          <w:ilvl w:val="6"/>
          <w:numId w:val="2"/>
        </w:numPr>
      </w:pPr>
      <w:r w:rsidRPr="00F313AB">
        <w:t xml:space="preserve">The Panel </w:t>
      </w:r>
      <w:r>
        <w:t>recalled</w:t>
      </w:r>
      <w:r w:rsidRPr="00F313AB">
        <w:t xml:space="preserve"> its finding that the</w:t>
      </w:r>
      <w:r>
        <w:t xml:space="preserve"> "product</w:t>
      </w:r>
      <w:r w:rsidRPr="00F313AB">
        <w:t xml:space="preserve"> effects</w:t>
      </w:r>
      <w:r>
        <w:t>"</w:t>
      </w:r>
      <w:r w:rsidRPr="00F313AB">
        <w:t xml:space="preserve"> of the challenged LA/MSF subsidies continued to be a genuine and substantial cause of the current market presence of the A320, A330, A380, and A350XWB families of </w:t>
      </w:r>
      <w:r w:rsidR="00533E55">
        <w:t xml:space="preserve">Airbus </w:t>
      </w:r>
      <w:r w:rsidRPr="00F313AB">
        <w:t>LCA. The Panel also recalled its conclusion that "</w:t>
      </w:r>
      <w:r w:rsidR="00CB69E6">
        <w:t>in </w:t>
      </w:r>
      <w:r w:rsidRPr="00FB52DD">
        <w:t xml:space="preserve">the absence of the challenged LA/MSF subsidies", Airbus "would not be selling and/or delivering any of its </w:t>
      </w:r>
      <w:r w:rsidRPr="00F313AB">
        <w:rPr>
          <w:i/>
        </w:rPr>
        <w:t>existing</w:t>
      </w:r>
      <w:r w:rsidRPr="00FB52DD">
        <w:t xml:space="preserve"> m</w:t>
      </w:r>
      <w:r>
        <w:t>odels of aircraft today"</w:t>
      </w:r>
      <w:r w:rsidRPr="00FB52DD">
        <w:t>.</w:t>
      </w:r>
      <w:r>
        <w:rPr>
          <w:rStyle w:val="FootnoteReference"/>
        </w:rPr>
        <w:footnoteReference w:id="1867"/>
      </w:r>
      <w:r w:rsidRPr="00FB52DD">
        <w:t xml:space="preserve"> The Panel con</w:t>
      </w:r>
      <w:r>
        <w:t>sidered</w:t>
      </w:r>
      <w:r w:rsidR="006D144D">
        <w:t xml:space="preserve"> that </w:t>
      </w:r>
      <w:r>
        <w:t xml:space="preserve">its task was therefore </w:t>
      </w:r>
      <w:r w:rsidRPr="00FB52DD">
        <w:t xml:space="preserve">to determine </w:t>
      </w:r>
      <w:r>
        <w:t>whether</w:t>
      </w:r>
      <w:r w:rsidRPr="00FB52DD">
        <w:t xml:space="preserve"> the LA/MSF subsidies, through their continued </w:t>
      </w:r>
      <w:r>
        <w:t>"</w:t>
      </w:r>
      <w:r w:rsidRPr="00FB52DD">
        <w:t>product effects</w:t>
      </w:r>
      <w:r>
        <w:t>"</w:t>
      </w:r>
      <w:r w:rsidRPr="00FB52DD">
        <w:t xml:space="preserve">, were a genuine and substantial cause of the lost sales, </w:t>
      </w:r>
      <w:r>
        <w:t xml:space="preserve">and </w:t>
      </w:r>
      <w:r w:rsidRPr="00FB52DD">
        <w:t xml:space="preserve">market impedance and displacement </w:t>
      </w:r>
      <w:r w:rsidR="006D144D">
        <w:t xml:space="preserve">alleged by </w:t>
      </w:r>
      <w:r w:rsidRPr="00FB52DD">
        <w:t xml:space="preserve">the </w:t>
      </w:r>
      <w:r>
        <w:t>United States. T</w:t>
      </w:r>
      <w:r w:rsidRPr="00FB52DD">
        <w:t xml:space="preserve">he Panel </w:t>
      </w:r>
      <w:r>
        <w:t>added that it would</w:t>
      </w:r>
      <w:r w:rsidRPr="00FB52DD">
        <w:t xml:space="preserve"> limit its assessment to evaluating the merits of the </w:t>
      </w:r>
      <w:r>
        <w:t>United States</w:t>
      </w:r>
      <w:r w:rsidR="00533E55">
        <w:t>' claims in</w:t>
      </w:r>
      <w:r w:rsidRPr="00FB52DD">
        <w:t xml:space="preserve"> light of the findings it had made with respect to the </w:t>
      </w:r>
      <w:r>
        <w:t>"</w:t>
      </w:r>
      <w:r w:rsidRPr="00FB52DD">
        <w:t>product effects</w:t>
      </w:r>
      <w:r>
        <w:t>"</w:t>
      </w:r>
      <w:r w:rsidRPr="00FB52DD">
        <w:t xml:space="preserve"> of LA/MSF </w:t>
      </w:r>
      <w:r w:rsidR="006D144D">
        <w:t>under</w:t>
      </w:r>
      <w:r w:rsidRPr="00FB52DD">
        <w:t xml:space="preserve"> the </w:t>
      </w:r>
      <w:r>
        <w:t>"</w:t>
      </w:r>
      <w:r w:rsidRPr="00FB52DD">
        <w:t>plausible</w:t>
      </w:r>
      <w:r>
        <w:t>"</w:t>
      </w:r>
      <w:r w:rsidRPr="00FB52DD">
        <w:t xml:space="preserve"> counterfactual scenarios</w:t>
      </w:r>
      <w:r>
        <w:t xml:space="preserve"> because, according to the Panel, findings </w:t>
      </w:r>
      <w:r w:rsidR="006D144D">
        <w:t>under</w:t>
      </w:r>
      <w:r>
        <w:t xml:space="preserve"> such scenarios provided a sufficient basis </w:t>
      </w:r>
      <w:r w:rsidR="006D144D">
        <w:t>for</w:t>
      </w:r>
      <w:r>
        <w:t xml:space="preserve"> conduct</w:t>
      </w:r>
      <w:r w:rsidR="006D144D">
        <w:t>ing</w:t>
      </w:r>
      <w:r>
        <w:t xml:space="preserve"> an "objective assessment of the matter"</w:t>
      </w:r>
      <w:r w:rsidR="00533E55">
        <w:t xml:space="preserve"> as required under Article 11 of the DSU</w:t>
      </w:r>
      <w:r w:rsidRPr="00FB52DD">
        <w:t>.</w:t>
      </w:r>
      <w:r>
        <w:rPr>
          <w:rStyle w:val="FootnoteReference"/>
        </w:rPr>
        <w:footnoteReference w:id="1868"/>
      </w:r>
    </w:p>
    <w:p w:rsidR="00C752B3" w:rsidRPr="00FE00A7" w:rsidRDefault="00533E55" w:rsidP="00526697">
      <w:pPr>
        <w:pStyle w:val="Heading5"/>
        <w:numPr>
          <w:ilvl w:val="4"/>
          <w:numId w:val="28"/>
        </w:numPr>
      </w:pPr>
      <w:bookmarkStart w:id="189" w:name="_Toc514059291"/>
      <w:r>
        <w:t>F</w:t>
      </w:r>
      <w:r w:rsidR="00C752B3">
        <w:t>indings on significant lost sales</w:t>
      </w:r>
      <w:bookmarkEnd w:id="189"/>
    </w:p>
    <w:p w:rsidR="00C752B3" w:rsidRPr="00F313AB" w:rsidRDefault="00C752B3" w:rsidP="00526697">
      <w:pPr>
        <w:pStyle w:val="BodyText"/>
        <w:numPr>
          <w:ilvl w:val="6"/>
          <w:numId w:val="2"/>
        </w:numPr>
      </w:pPr>
      <w:r>
        <w:t>Before the Panel, the United States argued that in light of the continued "product effects" of the challenged LA/MSF subsidies and the conditions of competition in the LCA industry, orders made by eight airlines for Airbus LCA "</w:t>
      </w:r>
      <w:r w:rsidRPr="00F313AB">
        <w:rPr>
          <w:i/>
        </w:rPr>
        <w:t>after</w:t>
      </w:r>
      <w:r>
        <w:t xml:space="preserve"> 1 December 2011 constitute 'lost sales' within the meaning of Article 6.3(c) of the SCM Agreement".</w:t>
      </w:r>
      <w:r>
        <w:rPr>
          <w:rStyle w:val="FootnoteReference"/>
        </w:rPr>
        <w:footnoteReference w:id="1869"/>
      </w:r>
      <w:r>
        <w:t xml:space="preserve"> Furthermore, the United States argued that "because of the allegedly strategic importance of many of these sales to both Boeing and Airbus and their monetary value of billions of USD", the "lost sales" were also "'significant'".</w:t>
      </w:r>
      <w:r>
        <w:rPr>
          <w:rStyle w:val="FootnoteReference"/>
        </w:rPr>
        <w:footnoteReference w:id="1870"/>
      </w:r>
      <w:r>
        <w:t xml:space="preserve"> The Panel identified the United States' lost sales claims occurring in the post</w:t>
      </w:r>
      <w:r>
        <w:noBreakHyphen/>
        <w:t>implementation period in Table 19 of its Report, which recorded orders of Airbus LCA by eight airlines in 2012 and 2013, including the sales of 271 single-aisle LCA, 50 twin-aisle LCA, and 54 VLA.</w:t>
      </w:r>
      <w:r>
        <w:rPr>
          <w:rStyle w:val="FootnoteReference"/>
        </w:rPr>
        <w:footnoteReference w:id="1871"/>
      </w:r>
      <w:r>
        <w:t xml:space="preserve"> </w:t>
      </w:r>
    </w:p>
    <w:p w:rsidR="00C752B3" w:rsidRPr="001E727F" w:rsidRDefault="00C752B3" w:rsidP="00526697">
      <w:pPr>
        <w:pStyle w:val="BodyText"/>
        <w:numPr>
          <w:ilvl w:val="6"/>
          <w:numId w:val="2"/>
        </w:numPr>
        <w:spacing w:before="240"/>
      </w:pPr>
      <w:r w:rsidRPr="00CD2B96">
        <w:t>At the outset of its analysis, the Panel briefly recalled the meaning of the terms "significant" "lost sales" in Article 6.3(c) of the SCM Agreement, noting that they refer to "important, notable or consequential" sales that suppliers of the complaining Member "failed to obtain" and that instead were won by supp</w:t>
      </w:r>
      <w:r>
        <w:t>liers of the respondent Member.</w:t>
      </w:r>
      <w:r>
        <w:rPr>
          <w:rStyle w:val="FootnoteReference"/>
        </w:rPr>
        <w:footnoteReference w:id="1872"/>
      </w:r>
      <w:r>
        <w:t xml:space="preserve"> The Panel </w:t>
      </w:r>
      <w:r w:rsidRPr="00CC2413">
        <w:t xml:space="preserve">agreed with the </w:t>
      </w:r>
      <w:r>
        <w:t>European Union</w:t>
      </w:r>
      <w:r w:rsidRPr="00CC2413">
        <w:t xml:space="preserve"> </w:t>
      </w:r>
      <w:r>
        <w:t xml:space="preserve">that, to demonstrate that the "product effects" of </w:t>
      </w:r>
      <w:r w:rsidR="005927FF">
        <w:t xml:space="preserve">the </w:t>
      </w:r>
      <w:r>
        <w:t>LA/MSF</w:t>
      </w:r>
      <w:r w:rsidR="005927FF">
        <w:t xml:space="preserve"> subsidies</w:t>
      </w:r>
      <w:r>
        <w:t xml:space="preserve"> are a "genuine and substantial" cause of the "lost sales" occurring in the post</w:t>
      </w:r>
      <w:r>
        <w:noBreakHyphen/>
        <w:t xml:space="preserve">implementation period, "it must not only be established that </w:t>
      </w:r>
      <w:r w:rsidRPr="006A7EE3">
        <w:rPr>
          <w:i/>
        </w:rPr>
        <w:t>Airbus</w:t>
      </w:r>
      <w:r>
        <w:t xml:space="preserve"> would not have won those sales in the absence of the subsidies, but also that </w:t>
      </w:r>
      <w:r w:rsidRPr="006A7EE3">
        <w:rPr>
          <w:i/>
        </w:rPr>
        <w:t xml:space="preserve">Boeing or another </w:t>
      </w:r>
      <w:r>
        <w:rPr>
          <w:i/>
        </w:rPr>
        <w:t>United States</w:t>
      </w:r>
      <w:r w:rsidRPr="006A7EE3">
        <w:rPr>
          <w:i/>
        </w:rPr>
        <w:t xml:space="preserve"> LCA manufacture</w:t>
      </w:r>
      <w:r w:rsidRPr="00A47EAE">
        <w:rPr>
          <w:i/>
        </w:rPr>
        <w:t>r</w:t>
      </w:r>
      <w:r>
        <w:t xml:space="preserve"> (as opposed to a non</w:t>
      </w:r>
      <w:r>
        <w:noBreakHyphen/>
        <w:t>United States LCA producer) would have won those sales".</w:t>
      </w:r>
      <w:r>
        <w:rPr>
          <w:rStyle w:val="FootnoteReference"/>
        </w:rPr>
        <w:footnoteReference w:id="1873"/>
      </w:r>
      <w:r>
        <w:t xml:space="preserve"> Having considered the facts surrounding the nature of competition from potential new entrants in the current duopoly involving Airbus and Boeing, the Panel found that, in the "plausible" counterfactual scenarios</w:t>
      </w:r>
      <w:r>
        <w:rPr>
          <w:rStyle w:val="FootnoteReference"/>
        </w:rPr>
        <w:footnoteReference w:id="1874"/>
      </w:r>
      <w:r>
        <w:t>, "</w:t>
      </w:r>
      <w:r w:rsidRPr="00D15BB1">
        <w:t xml:space="preserve">it would have been highly unlikely for a </w:t>
      </w:r>
      <w:r>
        <w:t>non</w:t>
      </w:r>
      <w:r>
        <w:noBreakHyphen/>
        <w:t>United States</w:t>
      </w:r>
      <w:r w:rsidRPr="00D15BB1">
        <w:t xml:space="preserve"> producer to have</w:t>
      </w:r>
      <w:r>
        <w:t xml:space="preserve"> entered the LCA market"</w:t>
      </w:r>
      <w:r>
        <w:rPr>
          <w:rStyle w:val="FootnoteReference"/>
        </w:rPr>
        <w:footnoteReference w:id="1875"/>
      </w:r>
      <w:r>
        <w:t>, and that, even if there were such a new entrant, such an entity "would have only been able to enter the single-aisle segment with aircraft that … could only impose weak competitive constraints on Boeing".</w:t>
      </w:r>
      <w:r>
        <w:rPr>
          <w:rStyle w:val="FootnoteReference"/>
        </w:rPr>
        <w:footnoteReference w:id="1876"/>
      </w:r>
    </w:p>
    <w:p w:rsidR="00C752B3" w:rsidRPr="00146159" w:rsidRDefault="00C752B3" w:rsidP="00526697">
      <w:pPr>
        <w:pStyle w:val="BodyText"/>
        <w:numPr>
          <w:ilvl w:val="6"/>
          <w:numId w:val="2"/>
        </w:numPr>
      </w:pPr>
      <w:r>
        <w:t>Given the above considerations, the Panel considered that it "necessarily follow{ed} that the sales won by Airbus in the twin-aisle and {VLA} markets were 'lost sales' to the United States' industry in both 'plausible' counterfactual scenarios" in the post</w:t>
      </w:r>
      <w:r>
        <w:noBreakHyphen/>
        <w:t>implementation period.</w:t>
      </w:r>
      <w:r>
        <w:rPr>
          <w:rStyle w:val="FootnoteReference"/>
        </w:rPr>
        <w:footnoteReference w:id="1877"/>
      </w:r>
      <w:r>
        <w:t xml:space="preserve"> As for the "numerous, allegedly 'non</w:t>
      </w:r>
      <w:r>
        <w:noBreakHyphen/>
        <w:t>subsidy'"</w:t>
      </w:r>
      <w:r>
        <w:rPr>
          <w:rStyle w:val="FootnoteReference"/>
        </w:rPr>
        <w:footnoteReference w:id="1878"/>
      </w:r>
      <w:r>
        <w:t xml:space="preserve"> reasons that the European Union advanced for explaining why Airbus won sales in the twin-aisle LCA and VLA markets</w:t>
      </w:r>
      <w:r>
        <w:rPr>
          <w:rStyle w:val="FootnoteReference"/>
        </w:rPr>
        <w:footnoteReference w:id="1879"/>
      </w:r>
      <w:r>
        <w:t>, the Panel found that Airbus would not have had any of those advantages in the campaigns for twin-aisle LCA and VLA in the "plausible" counterfactual scenarios, "because it simply would not have existed".</w:t>
      </w:r>
      <w:r>
        <w:rPr>
          <w:rStyle w:val="FootnoteReference"/>
        </w:rPr>
        <w:footnoteReference w:id="1880"/>
      </w:r>
      <w:r>
        <w:t xml:space="preserve"> The Panel also dismissed the non</w:t>
      </w:r>
      <w:r>
        <w:noBreakHyphen/>
        <w:t>attribution factor relating to Singapore Airlines' wish to split its order for twin</w:t>
      </w:r>
      <w:r>
        <w:noBreakHyphen/>
        <w:t xml:space="preserve">aisle LCA between Airbus and Boeing, finding instead that the airline would have had to choose </w:t>
      </w:r>
      <w:r w:rsidR="00F63C5E">
        <w:t>from LCA producers in</w:t>
      </w:r>
      <w:r>
        <w:t xml:space="preserve"> the </w:t>
      </w:r>
      <w:r w:rsidR="00F63C5E">
        <w:t>US</w:t>
      </w:r>
      <w:r>
        <w:t xml:space="preserve"> LCA industry as Airbus would not have existed in the "plausible" counterfactual scenarios.</w:t>
      </w:r>
      <w:r>
        <w:rPr>
          <w:rStyle w:val="FootnoteReference"/>
        </w:rPr>
        <w:footnoteReference w:id="1881"/>
      </w:r>
    </w:p>
    <w:p w:rsidR="00C752B3" w:rsidRPr="00146159" w:rsidRDefault="005927FF" w:rsidP="00526697">
      <w:pPr>
        <w:pStyle w:val="BodyText"/>
        <w:numPr>
          <w:ilvl w:val="6"/>
          <w:numId w:val="2"/>
        </w:numPr>
      </w:pPr>
      <w:r>
        <w:t xml:space="preserve">The Panel next turned to </w:t>
      </w:r>
      <w:r w:rsidR="00C752B3">
        <w:t xml:space="preserve">the </w:t>
      </w:r>
      <w:r>
        <w:t>alleged</w:t>
      </w:r>
      <w:r w:rsidR="00C752B3">
        <w:t xml:space="preserve"> </w:t>
      </w:r>
      <w:r>
        <w:t>"</w:t>
      </w:r>
      <w:r w:rsidR="00C752B3">
        <w:t>lost sales</w:t>
      </w:r>
      <w:r>
        <w:t>"</w:t>
      </w:r>
      <w:r w:rsidR="00C752B3">
        <w:t xml:space="preserve"> in the single-aisle LCA </w:t>
      </w:r>
      <w:r w:rsidR="001763C0">
        <w:t>market</w:t>
      </w:r>
      <w:r w:rsidR="00C752B3">
        <w:t xml:space="preserve">. The Panel noted that </w:t>
      </w:r>
      <w:r w:rsidR="00C752B3" w:rsidRPr="00815770">
        <w:t>the Airbus aircraft actually purchased</w:t>
      </w:r>
      <w:r w:rsidR="00F63C5E">
        <w:t xml:space="preserve"> – </w:t>
      </w:r>
      <w:r w:rsidR="00C752B3">
        <w:t xml:space="preserve">namely, </w:t>
      </w:r>
      <w:r w:rsidR="00C752B3" w:rsidRPr="00815770">
        <w:t>the A320 and A321</w:t>
      </w:r>
      <w:r w:rsidR="00F63C5E">
        <w:t xml:space="preserve"> – </w:t>
      </w:r>
      <w:r w:rsidR="00C752B3" w:rsidRPr="00815770">
        <w:t>offer</w:t>
      </w:r>
      <w:r w:rsidR="00C752B3">
        <w:t>ed</w:t>
      </w:r>
      <w:r w:rsidR="00C752B3" w:rsidRPr="00815770">
        <w:t xml:space="preserve"> a seating capacity that </w:t>
      </w:r>
      <w:r w:rsidR="00C752B3">
        <w:t>was</w:t>
      </w:r>
      <w:r w:rsidR="00C752B3" w:rsidRPr="00815770">
        <w:t xml:space="preserve"> </w:t>
      </w:r>
      <w:r w:rsidR="00C752B3">
        <w:t>"</w:t>
      </w:r>
      <w:r w:rsidR="00C752B3" w:rsidRPr="00815770">
        <w:t>in excess of what a new entrant could have reasonably offered</w:t>
      </w:r>
      <w:r w:rsidR="00C752B3">
        <w:t>" and further that "200 of the 271 individual aircraft ordered were new generation aircraft – A320neos".</w:t>
      </w:r>
      <w:r w:rsidR="00C752B3">
        <w:rPr>
          <w:rStyle w:val="FootnoteReference"/>
        </w:rPr>
        <w:footnoteReference w:id="1882"/>
      </w:r>
      <w:r w:rsidR="00E01DBF">
        <w:t xml:space="preserve"> In the </w:t>
      </w:r>
      <w:r w:rsidR="00C752B3">
        <w:t>Panel's view, it stood to reason that</w:t>
      </w:r>
      <w:r w:rsidR="00F63C5E">
        <w:t>,</w:t>
      </w:r>
      <w:r w:rsidR="00C752B3">
        <w:t xml:space="preserve"> in the two "plausible" counterfactual scenarios, </w:t>
      </w:r>
      <w:r w:rsidR="00F63C5E">
        <w:t>US</w:t>
      </w:r>
      <w:r w:rsidR="00C752B3">
        <w:t xml:space="preserve"> LCA producers would have had a very strong competitive advantage over any new entrant in all three sales campaigns, as </w:t>
      </w:r>
      <w:r w:rsidR="00F63C5E">
        <w:t>they</w:t>
      </w:r>
      <w:r w:rsidR="00C752B3">
        <w:t xml:space="preserve"> could have offered single-aisle LCA with characteristics that closely matched those demanded and ultimately chosen by the relevant customers. </w:t>
      </w:r>
    </w:p>
    <w:p w:rsidR="00C752B3" w:rsidRPr="00D96BEB" w:rsidRDefault="00C752B3" w:rsidP="00526697">
      <w:pPr>
        <w:pStyle w:val="BodyText"/>
        <w:numPr>
          <w:ilvl w:val="6"/>
          <w:numId w:val="2"/>
        </w:numPr>
      </w:pPr>
      <w:r>
        <w:t>As for the "allegedly 'non</w:t>
      </w:r>
      <w:r>
        <w:noBreakHyphen/>
        <w:t>subsidy' reasons"</w:t>
      </w:r>
      <w:r>
        <w:rPr>
          <w:rStyle w:val="FootnoteReference"/>
        </w:rPr>
        <w:footnoteReference w:id="1883"/>
      </w:r>
      <w:r>
        <w:t>, the Pa</w:t>
      </w:r>
      <w:r w:rsidR="00E01DBF">
        <w:t>nel found that, because "Airbus </w:t>
      </w:r>
      <w:r>
        <w:t>would not have existed in the post</w:t>
      </w:r>
      <w:r>
        <w:noBreakHyphen/>
        <w:t xml:space="preserve">implementation period in the absence of the effects of the LA/MSF subsidies", the European Union's arguments relating to Airbus' product offering or actual experiences in the sales campaigns were </w:t>
      </w:r>
      <w:r w:rsidR="00F63C5E">
        <w:t>"</w:t>
      </w:r>
      <w:r>
        <w:t>of no relevance</w:t>
      </w:r>
      <w:r w:rsidR="00F63C5E">
        <w:t>"</w:t>
      </w:r>
      <w:r>
        <w:t>.</w:t>
      </w:r>
      <w:r>
        <w:rPr>
          <w:rStyle w:val="FootnoteReference"/>
        </w:rPr>
        <w:footnoteReference w:id="1884"/>
      </w:r>
      <w:r>
        <w:t xml:space="preserve"> The Panel also dismissed the non</w:t>
      </w:r>
      <w:r>
        <w:noBreakHyphen/>
        <w:t>attribution factor regarding Norwegian Air Shuttle's wish to split its order between Airbus and Boeing single-aisle offerings.</w:t>
      </w:r>
      <w:r>
        <w:rPr>
          <w:rStyle w:val="FootnoteReference"/>
        </w:rPr>
        <w:footnoteReference w:id="1885"/>
      </w:r>
      <w:r>
        <w:t xml:space="preserve"> The Panel considered that t</w:t>
      </w:r>
      <w:r w:rsidRPr="00D96BEB">
        <w:t xml:space="preserve">he </w:t>
      </w:r>
      <w:r>
        <w:t>non</w:t>
      </w:r>
      <w:r>
        <w:noBreakHyphen/>
      </w:r>
      <w:r w:rsidR="00F63C5E">
        <w:t>US</w:t>
      </w:r>
      <w:r>
        <w:t xml:space="preserve"> LCA producer that might have entered the market would not have been able to compete effectively with </w:t>
      </w:r>
      <w:r w:rsidR="00F63C5E">
        <w:t>US</w:t>
      </w:r>
      <w:r>
        <w:t xml:space="preserve"> LCA producers</w:t>
      </w:r>
      <w:r w:rsidRPr="00FA59AF">
        <w:t xml:space="preserve"> </w:t>
      </w:r>
      <w:r>
        <w:t>in the post</w:t>
      </w:r>
      <w:r>
        <w:noBreakHyphen/>
        <w:t xml:space="preserve">implementation period and, therefore, </w:t>
      </w:r>
      <w:r w:rsidRPr="00DF3438">
        <w:t xml:space="preserve">could not have prevented </w:t>
      </w:r>
      <w:r w:rsidR="00F63C5E">
        <w:t>US</w:t>
      </w:r>
      <w:r w:rsidRPr="00DF3438">
        <w:t xml:space="preserve"> LCA producers from winning the relevant sales in the absence of Airbus.</w:t>
      </w:r>
      <w:r>
        <w:rPr>
          <w:rStyle w:val="FootnoteReference"/>
        </w:rPr>
        <w:footnoteReference w:id="1886"/>
      </w:r>
    </w:p>
    <w:p w:rsidR="00C752B3" w:rsidRPr="005443B3" w:rsidRDefault="00C752B3" w:rsidP="00526697">
      <w:pPr>
        <w:pStyle w:val="BodyText"/>
        <w:numPr>
          <w:ilvl w:val="6"/>
          <w:numId w:val="2"/>
        </w:numPr>
      </w:pPr>
      <w:r>
        <w:t xml:space="preserve">The Panel further considered that the </w:t>
      </w:r>
      <w:r w:rsidR="005927FF">
        <w:t xml:space="preserve">original </w:t>
      </w:r>
      <w:r w:rsidR="001763C0">
        <w:t>p</w:t>
      </w:r>
      <w:r w:rsidR="005927FF">
        <w:t xml:space="preserve">anel's </w:t>
      </w:r>
      <w:r>
        <w:t xml:space="preserve">description </w:t>
      </w:r>
      <w:r w:rsidR="005927FF">
        <w:t xml:space="preserve">of </w:t>
      </w:r>
      <w:r>
        <w:t>the significance of losing LC</w:t>
      </w:r>
      <w:r w:rsidR="00F63C5E">
        <w:t xml:space="preserve">A sales to a rival LCA producer – </w:t>
      </w:r>
      <w:r>
        <w:t>which was not specifically appealed or otherwise disturbed by the Appellate Body</w:t>
      </w:r>
      <w:r w:rsidR="005927FF">
        <w:t xml:space="preserve"> </w:t>
      </w:r>
      <w:r w:rsidR="00F63C5E">
        <w:t xml:space="preserve">– </w:t>
      </w:r>
      <w:r>
        <w:t xml:space="preserve">remained, on the whole, an accurate depiction of the significance of losing LCA sales to a rival LCA producer in the post-implementation period, and thus incorporated it </w:t>
      </w:r>
      <w:r>
        <w:rPr>
          <w:i/>
        </w:rPr>
        <w:t>mutatis mutandis</w:t>
      </w:r>
      <w:r w:rsidRPr="005443B3">
        <w:t>.</w:t>
      </w:r>
      <w:r>
        <w:rPr>
          <w:rStyle w:val="FootnoteReference"/>
        </w:rPr>
        <w:footnoteReference w:id="1887"/>
      </w:r>
      <w:r>
        <w:t xml:space="preserve"> The Panel saw no reason </w:t>
      </w:r>
      <w:r w:rsidR="00F63C5E">
        <w:t>not</w:t>
      </w:r>
      <w:r>
        <w:t xml:space="preserve"> to characterize the lost sales in the post</w:t>
      </w:r>
      <w:r>
        <w:noBreakHyphen/>
        <w:t>implementation period as "significant". Accordingly, the Panel concluded by stating:</w:t>
      </w:r>
    </w:p>
    <w:p w:rsidR="00C752B3" w:rsidRDefault="00C752B3" w:rsidP="00C752B3">
      <w:pPr>
        <w:pStyle w:val="Quotation"/>
      </w:pPr>
      <w:r>
        <w:t>we find that all of the orders identified in Table 19 represent "significant" "lost sales" to the United States LCA industry and, therefore, that the challenged LA/MSF subsidies continue to be a "genuine and substantial" cause of serious prejudice to the United States within the meaning of Article 6.3(c) of the SCM Agreement.</w:t>
      </w:r>
      <w:r>
        <w:rPr>
          <w:rStyle w:val="FootnoteReference"/>
        </w:rPr>
        <w:footnoteReference w:id="1888"/>
      </w:r>
    </w:p>
    <w:p w:rsidR="00C752B3" w:rsidRDefault="00F63C5E" w:rsidP="00526697">
      <w:pPr>
        <w:pStyle w:val="Heading5"/>
      </w:pPr>
      <w:bookmarkStart w:id="190" w:name="_Toc514059292"/>
      <w:r>
        <w:t>F</w:t>
      </w:r>
      <w:r w:rsidR="00C752B3">
        <w:t>indings on displacement and impedance</w:t>
      </w:r>
      <w:bookmarkEnd w:id="190"/>
    </w:p>
    <w:p w:rsidR="00C752B3" w:rsidRDefault="00C752B3" w:rsidP="00526697">
      <w:pPr>
        <w:pStyle w:val="BodyText"/>
        <w:numPr>
          <w:ilvl w:val="6"/>
          <w:numId w:val="2"/>
        </w:numPr>
      </w:pPr>
      <w:r w:rsidRPr="00B03079">
        <w:t xml:space="preserve">Before the Panel, the </w:t>
      </w:r>
      <w:r>
        <w:t>United States</w:t>
      </w:r>
      <w:r w:rsidRPr="00B03079">
        <w:t xml:space="preserve"> argued that, in light of the "product effects</w:t>
      </w:r>
      <w:r>
        <w:t>"</w:t>
      </w:r>
      <w:r w:rsidRPr="00B03079">
        <w:t xml:space="preserve"> of the challenged LA/MSF subsidies and the conditions of competition in the LCA industry, the </w:t>
      </w:r>
      <w:r w:rsidR="00F63C5E">
        <w:t>US</w:t>
      </w:r>
      <w:r>
        <w:t xml:space="preserve"> LCA industry</w:t>
      </w:r>
      <w:r w:rsidRPr="00B03079">
        <w:t xml:space="preserve"> suffer</w:t>
      </w:r>
      <w:r>
        <w:t>ed</w:t>
      </w:r>
      <w:r w:rsidRPr="00B03079">
        <w:t xml:space="preserve"> "serious prejudice in the form of displacement and/or impedance of its LCA products in all three relevant product markets in the </w:t>
      </w:r>
      <w:r>
        <w:t>European Union</w:t>
      </w:r>
      <w:r w:rsidRPr="00B03079">
        <w:t xml:space="preserve">, and in 11 third country product markets, within the meaning of </w:t>
      </w:r>
      <w:r>
        <w:t>Articles </w:t>
      </w:r>
      <w:r w:rsidRPr="00B03079">
        <w:t xml:space="preserve">6.3(a) and 6.3(b) of the </w:t>
      </w:r>
      <w:r>
        <w:t>SCM Agreement</w:t>
      </w:r>
      <w:r w:rsidRPr="00B03079">
        <w:t>".</w:t>
      </w:r>
      <w:r>
        <w:rPr>
          <w:rStyle w:val="FootnoteReference"/>
        </w:rPr>
        <w:footnoteReference w:id="1889"/>
      </w:r>
      <w:r w:rsidR="00CB69E6">
        <w:t xml:space="preserve"> </w:t>
      </w:r>
      <w:r w:rsidR="00CB69E6" w:rsidRPr="00CB69E6">
        <w:t>In</w:t>
      </w:r>
      <w:r w:rsidR="00004C56">
        <w:t xml:space="preserve"> </w:t>
      </w:r>
      <w:r w:rsidRPr="00CB69E6">
        <w:t>support</w:t>
      </w:r>
      <w:r w:rsidRPr="00B03079">
        <w:t xml:space="preserve">, the </w:t>
      </w:r>
      <w:r>
        <w:t>United States</w:t>
      </w:r>
      <w:r w:rsidRPr="00B03079">
        <w:t xml:space="preserve"> adduced evidence of Airbus' and Boeing</w:t>
      </w:r>
      <w:r>
        <w:t>'s</w:t>
      </w:r>
      <w:r w:rsidRPr="00B03079">
        <w:t xml:space="preserve"> delivery volumes and market shares in all relevant markets for each year from 2001 to 2013.</w:t>
      </w:r>
      <w:r>
        <w:rPr>
          <w:rStyle w:val="FootnoteReference"/>
        </w:rPr>
        <w:footnoteReference w:id="1890"/>
      </w:r>
      <w:r w:rsidRPr="00B03079">
        <w:t xml:space="preserve"> The </w:t>
      </w:r>
      <w:r>
        <w:t>United States</w:t>
      </w:r>
      <w:r w:rsidRPr="00B03079">
        <w:t xml:space="preserve"> argued that</w:t>
      </w:r>
      <w:r w:rsidR="00BC27BE">
        <w:t>,</w:t>
      </w:r>
      <w:r w:rsidRPr="00B03079">
        <w:t xml:space="preserve"> "in the absence of the 'product' effects of LA/MSF, the </w:t>
      </w:r>
      <w:r>
        <w:t>United States</w:t>
      </w:r>
      <w:r w:rsidRPr="00B03079">
        <w:t xml:space="preserve"> LCA industry's delivery volumes and market shares would have been higher than they actually were in each of the relevant markets."</w:t>
      </w:r>
      <w:r>
        <w:rPr>
          <w:rStyle w:val="FootnoteReference"/>
        </w:rPr>
        <w:footnoteReference w:id="1891"/>
      </w:r>
    </w:p>
    <w:p w:rsidR="00C752B3" w:rsidRDefault="005927FF" w:rsidP="00526697">
      <w:pPr>
        <w:pStyle w:val="BodyText"/>
        <w:numPr>
          <w:ilvl w:val="6"/>
          <w:numId w:val="2"/>
        </w:numPr>
      </w:pPr>
      <w:r>
        <w:t>T</w:t>
      </w:r>
      <w:r w:rsidR="00C752B3" w:rsidRPr="00FB52DD">
        <w:t xml:space="preserve">he </w:t>
      </w:r>
      <w:r w:rsidR="00C752B3">
        <w:t>European Union</w:t>
      </w:r>
      <w:r w:rsidR="00C752B3" w:rsidRPr="00FB52DD">
        <w:t xml:space="preserve"> </w:t>
      </w:r>
      <w:r>
        <w:t>responded</w:t>
      </w:r>
      <w:r w:rsidR="00C752B3" w:rsidRPr="00FB52DD">
        <w:t xml:space="preserve"> that the </w:t>
      </w:r>
      <w:r w:rsidR="00C752B3">
        <w:t>United States</w:t>
      </w:r>
      <w:r w:rsidR="00C752B3" w:rsidRPr="00FB52DD">
        <w:t xml:space="preserve"> had failed to demonstrate "</w:t>
      </w:r>
      <w:r w:rsidR="00CB69E6">
        <w:t>any </w:t>
      </w:r>
      <w:r w:rsidR="00C752B3" w:rsidRPr="00740728">
        <w:t xml:space="preserve">clearly discernible </w:t>
      </w:r>
      <w:r w:rsidR="00C752B3" w:rsidRPr="00740728">
        <w:rPr>
          <w:i/>
        </w:rPr>
        <w:t>trends</w:t>
      </w:r>
      <w:r w:rsidR="00C752B3" w:rsidRPr="00740728">
        <w:t xml:space="preserve"> (in the form of clearly </w:t>
      </w:r>
      <w:r w:rsidR="00C752B3" w:rsidRPr="00740728">
        <w:rPr>
          <w:i/>
        </w:rPr>
        <w:t>declining</w:t>
      </w:r>
      <w:r w:rsidR="00C752B3" w:rsidRPr="00740728">
        <w:t xml:space="preserve"> delivery volumes and market shares) to show that sales of </w:t>
      </w:r>
      <w:r w:rsidR="00C752B3">
        <w:t>United States</w:t>
      </w:r>
      <w:r w:rsidR="00C752B3" w:rsidRPr="00740728">
        <w:t xml:space="preserve"> LCA have been either substituted in the relevant markets or obstructed from entering those markets</w:t>
      </w:r>
      <w:r w:rsidR="00BC27BE">
        <w:t>.</w:t>
      </w:r>
      <w:r w:rsidR="00C752B3" w:rsidRPr="00FB52DD">
        <w:t>"</w:t>
      </w:r>
      <w:r w:rsidR="00C752B3">
        <w:rPr>
          <w:rStyle w:val="FootnoteReference"/>
        </w:rPr>
        <w:footnoteReference w:id="1892"/>
      </w:r>
    </w:p>
    <w:p w:rsidR="00C752B3" w:rsidRDefault="00C752B3" w:rsidP="00526697">
      <w:pPr>
        <w:pStyle w:val="BodyText"/>
        <w:numPr>
          <w:ilvl w:val="6"/>
          <w:numId w:val="2"/>
        </w:numPr>
      </w:pPr>
      <w:r w:rsidRPr="00FB52DD">
        <w:t xml:space="preserve">The Panel </w:t>
      </w:r>
      <w:r>
        <w:t>began</w:t>
      </w:r>
      <w:r w:rsidRPr="00FB52DD">
        <w:t xml:space="preserve"> by reviewing the guidance the </w:t>
      </w:r>
      <w:r>
        <w:t>Appellate Body</w:t>
      </w:r>
      <w:r w:rsidRPr="00FB52DD">
        <w:t xml:space="preserve"> </w:t>
      </w:r>
      <w:r w:rsidR="00BC27BE">
        <w:t>has</w:t>
      </w:r>
      <w:r w:rsidRPr="00FB52DD">
        <w:t xml:space="preserve"> provided on how to determine whether the effect of a subsidy is to impede </w:t>
      </w:r>
      <w:r w:rsidRPr="00F45B13">
        <w:rPr>
          <w:i/>
        </w:rPr>
        <w:t>or</w:t>
      </w:r>
      <w:r w:rsidRPr="00FB52DD">
        <w:t xml:space="preserve"> displace the imports or exports of a like product into a relevant market within the meaning of </w:t>
      </w:r>
      <w:r>
        <w:t>Articles </w:t>
      </w:r>
      <w:r w:rsidRPr="00FB52DD">
        <w:t>6.3(a) and 6.3(b)</w:t>
      </w:r>
      <w:r w:rsidR="00BC27BE">
        <w:t xml:space="preserve"> of the SCM Agreement</w:t>
      </w:r>
      <w:r w:rsidRPr="00FB52DD">
        <w:t>.</w:t>
      </w:r>
      <w:r>
        <w:rPr>
          <w:rStyle w:val="FootnoteReference"/>
        </w:rPr>
        <w:footnoteReference w:id="1893"/>
      </w:r>
      <w:r w:rsidRPr="00FB52DD">
        <w:t xml:space="preserve"> Specifically, the Panel recalled the </w:t>
      </w:r>
      <w:r>
        <w:t>Appellate Body</w:t>
      </w:r>
      <w:r w:rsidRPr="00FB52DD">
        <w:t>'s finding that:</w:t>
      </w:r>
    </w:p>
    <w:p w:rsidR="00C752B3" w:rsidRDefault="00C752B3" w:rsidP="00C752B3">
      <w:pPr>
        <w:pStyle w:val="Quotation"/>
      </w:pPr>
      <w:r>
        <w:t>t</w:t>
      </w:r>
      <w:r w:rsidRPr="00B03079">
        <w:t xml:space="preserve">he most appropriate approach to assess the effect of a subsidy under </w:t>
      </w:r>
      <w:r>
        <w:t>Article </w:t>
      </w:r>
      <w:r w:rsidRPr="00B03079">
        <w:t>6.3 of the</w:t>
      </w:r>
      <w:r w:rsidRPr="00B03079">
        <w:rPr>
          <w:i/>
        </w:rPr>
        <w:t xml:space="preserve"> </w:t>
      </w:r>
      <w:r>
        <w:t>SCM Agreement</w:t>
      </w:r>
      <w:r w:rsidRPr="00B03079">
        <w:t xml:space="preserve"> is through a unitary counterfactual analysis. In the case of displacement and impedance, the counterfactual analysis would involve estimating what the sales of the complaining Member would have been in the absence of the challenged subsidy. The counterfactual sales of the complaining Member would then be compared to its actual sales. Displacement or impedance would arise where the counterfactual analysis shows that the sales of the complaining Member would have declined less or would have been higher in the absence of the challenged subsidy.</w:t>
      </w:r>
      <w:r>
        <w:rPr>
          <w:rStyle w:val="FootnoteReference"/>
        </w:rPr>
        <w:footnoteReference w:id="1894"/>
      </w:r>
    </w:p>
    <w:p w:rsidR="00C752B3" w:rsidRDefault="00C752B3" w:rsidP="00526697">
      <w:pPr>
        <w:pStyle w:val="BodyText"/>
        <w:numPr>
          <w:ilvl w:val="6"/>
          <w:numId w:val="2"/>
        </w:numPr>
      </w:pPr>
      <w:r>
        <w:t xml:space="preserve">The Panel considered that </w:t>
      </w:r>
      <w:r w:rsidRPr="00FB52DD">
        <w:t xml:space="preserve">an analysis of "the </w:t>
      </w:r>
      <w:r w:rsidRPr="00FB52DD">
        <w:rPr>
          <w:i/>
        </w:rPr>
        <w:t>trends</w:t>
      </w:r>
      <w:r w:rsidRPr="00FB52DD">
        <w:t xml:space="preserve"> in the evolution of a complainant's competitive position in a relevant market over time may reveal", </w:t>
      </w:r>
      <w:r>
        <w:rPr>
          <w:i/>
        </w:rPr>
        <w:t>inter </w:t>
      </w:r>
      <w:r w:rsidRPr="00FB52DD">
        <w:rPr>
          <w:i/>
        </w:rPr>
        <w:t>alia,</w:t>
      </w:r>
      <w:r w:rsidRPr="00FB52DD">
        <w:t xml:space="preserve"> that its volume of sales and market share have generally: (</w:t>
      </w:r>
      <w:r w:rsidR="005927FF">
        <w:t>i</w:t>
      </w:r>
      <w:r w:rsidRPr="00FB52DD">
        <w:t>) remained stagnant; (</w:t>
      </w:r>
      <w:r w:rsidR="005927FF">
        <w:t>ii</w:t>
      </w:r>
      <w:r>
        <w:t>) decreased; (</w:t>
      </w:r>
      <w:r w:rsidR="005927FF">
        <w:t>iii</w:t>
      </w:r>
      <w:r>
        <w:t>) increased; or </w:t>
      </w:r>
      <w:r w:rsidRPr="00FB52DD">
        <w:t>(</w:t>
      </w:r>
      <w:r w:rsidR="005927FF">
        <w:t>iv) </w:t>
      </w:r>
      <w:r w:rsidRPr="00FB52DD">
        <w:t>fluctuated.</w:t>
      </w:r>
      <w:r>
        <w:rPr>
          <w:rStyle w:val="FootnoteReference"/>
        </w:rPr>
        <w:footnoteReference w:id="1895"/>
      </w:r>
      <w:r w:rsidRPr="00FB52DD">
        <w:t xml:space="preserve"> </w:t>
      </w:r>
      <w:r>
        <w:t>T</w:t>
      </w:r>
      <w:r w:rsidRPr="00FB52DD">
        <w:t xml:space="preserve">he Panel was not persuaded by the </w:t>
      </w:r>
      <w:r>
        <w:t>European Union</w:t>
      </w:r>
      <w:r w:rsidRPr="00FB52DD">
        <w:t>'s contention that "</w:t>
      </w:r>
      <w:r w:rsidR="00CB69E6">
        <w:t>the </w:t>
      </w:r>
      <w:r>
        <w:t>United States</w:t>
      </w:r>
      <w:r w:rsidRPr="00740728">
        <w:t xml:space="preserve">' displacement and impedance claims may succeed </w:t>
      </w:r>
      <w:r w:rsidRPr="00740728">
        <w:rPr>
          <w:i/>
        </w:rPr>
        <w:t>only</w:t>
      </w:r>
      <w:r w:rsidRPr="00740728">
        <w:t xml:space="preserve"> if the relevant data clearly demonstrated the second of these four possibilities</w:t>
      </w:r>
      <w:r w:rsidRPr="00FB52DD">
        <w:t>"</w:t>
      </w:r>
      <w:r>
        <w:t>.</w:t>
      </w:r>
      <w:r>
        <w:rPr>
          <w:rStyle w:val="FootnoteReference"/>
        </w:rPr>
        <w:footnoteReference w:id="1896"/>
      </w:r>
      <w:r w:rsidRPr="00FB52DD">
        <w:t xml:space="preserve"> The Panel reasoned that to accept the </w:t>
      </w:r>
      <w:r>
        <w:t>European Union</w:t>
      </w:r>
      <w:r w:rsidRPr="00FB52DD">
        <w:t xml:space="preserve">'s contention would imply that there could be no displacement or impedance in a relevant market in a situation where </w:t>
      </w:r>
      <w:r w:rsidRPr="0058422B">
        <w:t>the effect of a subsidy is to prevent the like product from achieving a higher volume of sales and market share than would otherwise be the case in the absence of the subsidy</w:t>
      </w:r>
      <w:r w:rsidRPr="00FB52DD">
        <w:t>.</w:t>
      </w:r>
      <w:r>
        <w:rPr>
          <w:rStyle w:val="FootnoteReference"/>
        </w:rPr>
        <w:footnoteReference w:id="1897"/>
      </w:r>
    </w:p>
    <w:p w:rsidR="00C752B3" w:rsidRDefault="00C752B3" w:rsidP="00526697">
      <w:pPr>
        <w:pStyle w:val="BodyText"/>
        <w:numPr>
          <w:ilvl w:val="6"/>
          <w:numId w:val="2"/>
        </w:numPr>
      </w:pPr>
      <w:r>
        <w:t>The Panel recalled the Appellate Body's observation that the original panel had "entertained the United States' claim of displacement on the basis of an assessment of whether there was an observable decline in the sales of Boeing".</w:t>
      </w:r>
      <w:r>
        <w:rPr>
          <w:rStyle w:val="FootnoteReference"/>
        </w:rPr>
        <w:footnoteReference w:id="1898"/>
      </w:r>
      <w:r>
        <w:t xml:space="preserve"> </w:t>
      </w:r>
      <w:r w:rsidRPr="00FB52DD">
        <w:t xml:space="preserve">While recognizing that the </w:t>
      </w:r>
      <w:r>
        <w:t>Appellate Body</w:t>
      </w:r>
      <w:r w:rsidRPr="00FB52DD">
        <w:t xml:space="preserve"> had faulted parts of the original panel's </w:t>
      </w:r>
      <w:r w:rsidRPr="009E423D">
        <w:t>displacement</w:t>
      </w:r>
      <w:r w:rsidRPr="00FB52DD">
        <w:t xml:space="preserve"> analysis for its "failure to identify </w:t>
      </w:r>
      <w:r w:rsidRPr="00FB52DD">
        <w:rPr>
          <w:i/>
        </w:rPr>
        <w:t>trends</w:t>
      </w:r>
      <w:r w:rsidRPr="00FB52DD">
        <w:t xml:space="preserve"> showing </w:t>
      </w:r>
      <w:r w:rsidRPr="00FB52DD">
        <w:rPr>
          <w:i/>
        </w:rPr>
        <w:t>declining</w:t>
      </w:r>
      <w:r w:rsidRPr="00FB52DD">
        <w:t xml:space="preserve"> market shares"</w:t>
      </w:r>
      <w:r>
        <w:rPr>
          <w:rStyle w:val="FootnoteReference"/>
        </w:rPr>
        <w:footnoteReference w:id="1899"/>
      </w:r>
      <w:r w:rsidRPr="00FB52DD">
        <w:t xml:space="preserve">, the Panel </w:t>
      </w:r>
      <w:r>
        <w:t>noted</w:t>
      </w:r>
      <w:r w:rsidRPr="00FB52DD">
        <w:t xml:space="preserve"> that the </w:t>
      </w:r>
      <w:r>
        <w:t>Appellate Body</w:t>
      </w:r>
      <w:r w:rsidRPr="00FB52DD">
        <w:t xml:space="preserve"> made these findings only after having: </w:t>
      </w:r>
      <w:r>
        <w:t xml:space="preserve">(i) </w:t>
      </w:r>
      <w:r w:rsidRPr="00FB52DD">
        <w:t xml:space="preserve">"explained that the identification of </w:t>
      </w:r>
      <w:r w:rsidRPr="00FB52DD">
        <w:rPr>
          <w:i/>
        </w:rPr>
        <w:t>declining trends</w:t>
      </w:r>
      <w:r w:rsidRPr="00FB52DD">
        <w:t xml:space="preserve"> was a necessary element of the </w:t>
      </w:r>
      <w:r w:rsidRPr="00FB52DD">
        <w:rPr>
          <w:i/>
        </w:rPr>
        <w:t>first part</w:t>
      </w:r>
      <w:r w:rsidRPr="00FB52DD">
        <w:t xml:space="preserve"> of the panel's </w:t>
      </w:r>
      <w:r w:rsidRPr="00FB52DD">
        <w:rPr>
          <w:i/>
        </w:rPr>
        <w:t>two-step</w:t>
      </w:r>
      <w:r w:rsidRPr="00FB52DD">
        <w:t xml:space="preserve"> approach to causation"</w:t>
      </w:r>
      <w:r>
        <w:rPr>
          <w:rStyle w:val="FootnoteReference"/>
        </w:rPr>
        <w:footnoteReference w:id="1900"/>
      </w:r>
      <w:r>
        <w:t>; and (ii) </w:t>
      </w:r>
      <w:r w:rsidRPr="00FB52DD">
        <w:t xml:space="preserve">"decided to limit its assessment of the panel's </w:t>
      </w:r>
      <w:r w:rsidRPr="00FB52DD">
        <w:rPr>
          <w:i/>
        </w:rPr>
        <w:t>displacement</w:t>
      </w:r>
      <w:r w:rsidRPr="00FB52DD">
        <w:t xml:space="preserve"> analysis for this purpose to the same question entertained by the panel – namely, 'whether there was an observable decline in the sales of Boeing'".</w:t>
      </w:r>
      <w:r>
        <w:rPr>
          <w:rStyle w:val="FootnoteReference"/>
        </w:rPr>
        <w:footnoteReference w:id="1901"/>
      </w:r>
      <w:r w:rsidRPr="00FB52DD">
        <w:t xml:space="preserve"> The Panel, however, explained that</w:t>
      </w:r>
      <w:r w:rsidR="00BC27BE">
        <w:t>,</w:t>
      </w:r>
      <w:r w:rsidRPr="00FB52DD">
        <w:t xml:space="preserve"> as it was "undertaking a '</w:t>
      </w:r>
      <w:r w:rsidR="00E01DBF">
        <w:rPr>
          <w:i/>
        </w:rPr>
        <w:t>unitary </w:t>
      </w:r>
      <w:r w:rsidRPr="00FB52DD">
        <w:rPr>
          <w:i/>
        </w:rPr>
        <w:t>analysis</w:t>
      </w:r>
      <w:r w:rsidRPr="00FB52DD">
        <w:t xml:space="preserve">' of the effects of the challenged subsidies for the purpose of claims of </w:t>
      </w:r>
      <w:r w:rsidRPr="00FB52DD">
        <w:rPr>
          <w:i/>
        </w:rPr>
        <w:t>both</w:t>
      </w:r>
      <w:r w:rsidRPr="00FB52DD">
        <w:t xml:space="preserve"> displacement</w:t>
      </w:r>
      <w:r w:rsidRPr="00FB52DD">
        <w:rPr>
          <w:i/>
        </w:rPr>
        <w:t xml:space="preserve"> and </w:t>
      </w:r>
      <w:r w:rsidRPr="00FB52DD">
        <w:t xml:space="preserve">impedance", the </w:t>
      </w:r>
      <w:r>
        <w:t>Appellate Body</w:t>
      </w:r>
      <w:r w:rsidRPr="00FB52DD">
        <w:t>'s statements from the original proceeding</w:t>
      </w:r>
      <w:r w:rsidR="00BC27BE">
        <w:t>s</w:t>
      </w:r>
      <w:r w:rsidRPr="00FB52DD">
        <w:t xml:space="preserve"> "{did} not appear to be entirely relevant to the situation at hand".</w:t>
      </w:r>
      <w:r>
        <w:rPr>
          <w:rStyle w:val="FootnoteReference"/>
        </w:rPr>
        <w:footnoteReference w:id="1902"/>
      </w:r>
    </w:p>
    <w:p w:rsidR="00C752B3" w:rsidRDefault="00C752B3" w:rsidP="00526697">
      <w:pPr>
        <w:pStyle w:val="BodyText"/>
        <w:numPr>
          <w:ilvl w:val="6"/>
          <w:numId w:val="2"/>
        </w:numPr>
      </w:pPr>
      <w:r w:rsidRPr="00B03079">
        <w:t xml:space="preserve">Turning to the "appropriate{} representative period", the Panel noted that the </w:t>
      </w:r>
      <w:r>
        <w:t>United States</w:t>
      </w:r>
      <w:r w:rsidRPr="00B03079">
        <w:t xml:space="preserve"> had submitted data for the period from 2001 to 2013.</w:t>
      </w:r>
      <w:r>
        <w:rPr>
          <w:rStyle w:val="FootnoteReference"/>
        </w:rPr>
        <w:footnoteReference w:id="1903"/>
      </w:r>
      <w:r w:rsidRPr="00B03079">
        <w:t xml:space="preserve"> </w:t>
      </w:r>
      <w:r>
        <w:t xml:space="preserve">The Panel </w:t>
      </w:r>
      <w:r w:rsidR="005927FF">
        <w:t>considered</w:t>
      </w:r>
      <w:r>
        <w:t xml:space="preserve"> that the </w:t>
      </w:r>
      <w:r w:rsidRPr="00B03079">
        <w:t xml:space="preserve">extent to which the </w:t>
      </w:r>
      <w:r>
        <w:t>United States</w:t>
      </w:r>
      <w:r w:rsidRPr="00B03079">
        <w:t xml:space="preserve"> ha</w:t>
      </w:r>
      <w:r w:rsidR="00BC27BE">
        <w:t>d</w:t>
      </w:r>
      <w:r w:rsidRPr="00B03079">
        <w:t xml:space="preserve"> established its claims of serious prejudice</w:t>
      </w:r>
      <w:r>
        <w:t xml:space="preserve"> </w:t>
      </w:r>
      <w:r w:rsidR="00BC27BE">
        <w:t>would</w:t>
      </w:r>
      <w:r w:rsidRPr="00B03079">
        <w:t xml:space="preserve"> be </w:t>
      </w:r>
      <w:r>
        <w:t>"</w:t>
      </w:r>
      <w:r w:rsidRPr="00B03079">
        <w:t xml:space="preserve">focused on the most recent market data presented by the parties in this dispute from the </w:t>
      </w:r>
      <w:r>
        <w:rPr>
          <w:i/>
        </w:rPr>
        <w:t>post</w:t>
      </w:r>
      <w:r>
        <w:rPr>
          <w:i/>
        </w:rPr>
        <w:noBreakHyphen/>
      </w:r>
      <w:r w:rsidRPr="00B03079">
        <w:rPr>
          <w:i/>
        </w:rPr>
        <w:t>implementation period</w:t>
      </w:r>
      <w:r w:rsidRPr="00BF6326">
        <w:t>"</w:t>
      </w:r>
      <w:r w:rsidRPr="00B03079">
        <w:t xml:space="preserve">, as it </w:t>
      </w:r>
      <w:r w:rsidR="00BC27BE">
        <w:t>wa</w:t>
      </w:r>
      <w:r w:rsidRPr="00B03079">
        <w:t xml:space="preserve">s only with respect to </w:t>
      </w:r>
      <w:r>
        <w:t>"</w:t>
      </w:r>
      <w:r w:rsidRPr="00B03079">
        <w:t xml:space="preserve">the effects found to exist in the period </w:t>
      </w:r>
      <w:r w:rsidRPr="00B03079">
        <w:rPr>
          <w:i/>
        </w:rPr>
        <w:t>after</w:t>
      </w:r>
      <w:r>
        <w:t xml:space="preserve"> 1 </w:t>
      </w:r>
      <w:r w:rsidRPr="00B03079">
        <w:t>Decembe</w:t>
      </w:r>
      <w:r>
        <w:t>r </w:t>
      </w:r>
      <w:r w:rsidRPr="00B03079">
        <w:t>2011</w:t>
      </w:r>
      <w:r>
        <w:t>"</w:t>
      </w:r>
      <w:r w:rsidRPr="00B03079">
        <w:t xml:space="preserve"> that the </w:t>
      </w:r>
      <w:r>
        <w:t>European Union</w:t>
      </w:r>
      <w:r w:rsidRPr="00B03079">
        <w:t xml:space="preserve"> and </w:t>
      </w:r>
      <w:r>
        <w:t>the four</w:t>
      </w:r>
      <w:r w:rsidRPr="00B03079">
        <w:t xml:space="preserve"> member States </w:t>
      </w:r>
      <w:r w:rsidR="00BC27BE">
        <w:t>could</w:t>
      </w:r>
      <w:r w:rsidRPr="00B03079">
        <w:t xml:space="preserve"> </w:t>
      </w:r>
      <w:r w:rsidR="00BC27BE">
        <w:t>"</w:t>
      </w:r>
      <w:r w:rsidRPr="00B03079">
        <w:t>be found to have failed to</w:t>
      </w:r>
      <w:r>
        <w:t xml:space="preserve"> comply with </w:t>
      </w:r>
      <w:r w:rsidR="00BC27BE">
        <w:t>{the}</w:t>
      </w:r>
      <w:r>
        <w:t xml:space="preserve"> obligation to '</w:t>
      </w:r>
      <w:r w:rsidRPr="00B03079">
        <w:t>take appropriate step</w:t>
      </w:r>
      <w:r>
        <w:t>s to remove the adverse effects'</w:t>
      </w:r>
      <w:r w:rsidRPr="00B03079">
        <w:t xml:space="preserve"> by the end</w:t>
      </w:r>
      <w:r>
        <w:t xml:space="preserve"> of</w:t>
      </w:r>
      <w:r w:rsidRPr="00B03079">
        <w:t xml:space="preserve"> the implementation period</w:t>
      </w:r>
      <w:r>
        <w:t>"</w:t>
      </w:r>
      <w:r w:rsidRPr="00B03079">
        <w:t>.</w:t>
      </w:r>
      <w:r>
        <w:rPr>
          <w:rStyle w:val="FootnoteReference"/>
        </w:rPr>
        <w:footnoteReference w:id="1904"/>
      </w:r>
    </w:p>
    <w:p w:rsidR="00C752B3" w:rsidRDefault="00C752B3" w:rsidP="00526697">
      <w:pPr>
        <w:pStyle w:val="BodyText"/>
        <w:numPr>
          <w:ilvl w:val="6"/>
          <w:numId w:val="2"/>
        </w:numPr>
      </w:pPr>
      <w:r w:rsidRPr="00FB52DD">
        <w:t>T</w:t>
      </w:r>
      <w:r>
        <w:t>he</w:t>
      </w:r>
      <w:r w:rsidRPr="00FB52DD">
        <w:t xml:space="preserve"> Panel </w:t>
      </w:r>
      <w:r w:rsidR="005927FF">
        <w:t>next</w:t>
      </w:r>
      <w:r>
        <w:t xml:space="preserve"> </w:t>
      </w:r>
      <w:r w:rsidRPr="00FB52DD">
        <w:t xml:space="preserve">tabulated "the volume of deliveries and market share" </w:t>
      </w:r>
      <w:r w:rsidR="00BC27BE">
        <w:t>data</w:t>
      </w:r>
      <w:r w:rsidRPr="00FB52DD">
        <w:t xml:space="preserve"> for each of the different </w:t>
      </w:r>
      <w:r>
        <w:t xml:space="preserve">country and </w:t>
      </w:r>
      <w:r w:rsidRPr="00FB52DD">
        <w:t>product markets</w:t>
      </w:r>
      <w:r>
        <w:t xml:space="preserve"> at issue</w:t>
      </w:r>
      <w:r w:rsidRPr="00FB52DD">
        <w:t>.</w:t>
      </w:r>
      <w:r>
        <w:rPr>
          <w:rStyle w:val="FootnoteReference"/>
        </w:rPr>
        <w:footnoteReference w:id="1905"/>
      </w:r>
      <w:r w:rsidRPr="00FB52DD">
        <w:t xml:space="preserve"> The Panel </w:t>
      </w:r>
      <w:r>
        <w:t>found that</w:t>
      </w:r>
      <w:r w:rsidR="00BC27BE">
        <w:t>,</w:t>
      </w:r>
      <w:r w:rsidR="005927FF">
        <w:t xml:space="preserve"> in light of the </w:t>
      </w:r>
      <w:r>
        <w:t>two </w:t>
      </w:r>
      <w:r w:rsidR="005927FF">
        <w:t>"</w:t>
      </w:r>
      <w:r w:rsidRPr="00FB52DD">
        <w:t>plausible</w:t>
      </w:r>
      <w:r w:rsidR="005927FF">
        <w:t>"</w:t>
      </w:r>
      <w:r w:rsidRPr="00FB52DD">
        <w:t xml:space="preserve"> counterfactual scenarios, it was apparent that</w:t>
      </w:r>
      <w:r w:rsidR="00BC27BE">
        <w:t>,</w:t>
      </w:r>
      <w:r w:rsidRPr="00FB52DD">
        <w:t xml:space="preserve"> in the absence of the effects of the challenged LA/MSF subsidies, the volume of deliveries and market shares that would have been achieved by the </w:t>
      </w:r>
      <w:r w:rsidR="00BC27BE">
        <w:t>US</w:t>
      </w:r>
      <w:r w:rsidRPr="00FB52DD">
        <w:t xml:space="preserve"> LCA industry would have been higher than its actual level.</w:t>
      </w:r>
      <w:r>
        <w:rPr>
          <w:rStyle w:val="FootnoteReference"/>
        </w:rPr>
        <w:footnoteReference w:id="1906"/>
      </w:r>
      <w:r w:rsidRPr="00FB52DD">
        <w:t xml:space="preserve"> The Panel considered that: (i) "in both 'plausible' counterfactual scenarios, any new </w:t>
      </w:r>
      <w:r>
        <w:t>non</w:t>
      </w:r>
      <w:r w:rsidR="00BC27BE">
        <w:t xml:space="preserve">-US </w:t>
      </w:r>
      <w:r w:rsidRPr="00FB52DD">
        <w:t xml:space="preserve">LCA competitor would have only entered the market with a </w:t>
      </w:r>
      <w:r w:rsidRPr="00FB52DD">
        <w:rPr>
          <w:i/>
        </w:rPr>
        <w:t>single-aisle</w:t>
      </w:r>
      <w:r w:rsidRPr="00FB52DD">
        <w:t xml:space="preserve"> LCA", implyi</w:t>
      </w:r>
      <w:r w:rsidR="00BC27BE">
        <w:t>ng that "the twin-aisle and VLA </w:t>
      </w:r>
      <w:r w:rsidRPr="00FB52DD">
        <w:t xml:space="preserve">markets would have been supplied by the </w:t>
      </w:r>
      <w:r>
        <w:t>United States</w:t>
      </w:r>
      <w:r w:rsidRPr="00FB52DD">
        <w:t xml:space="preserve">' industry alone"; and (ii) while it was possible that </w:t>
      </w:r>
      <w:r>
        <w:t>"</w:t>
      </w:r>
      <w:r w:rsidRPr="00FB52DD">
        <w:t xml:space="preserve">any new </w:t>
      </w:r>
      <w:r>
        <w:t>non</w:t>
      </w:r>
      <w:r w:rsidR="00BC27BE">
        <w:t>-US</w:t>
      </w:r>
      <w:r w:rsidRPr="00FB52DD">
        <w:t xml:space="preserve"> LCA producer entering the market after the end of 2006</w:t>
      </w:r>
      <w:r>
        <w:t>"</w:t>
      </w:r>
      <w:r w:rsidRPr="00FB52DD">
        <w:t xml:space="preserve"> might well have been able to </w:t>
      </w:r>
      <w:r>
        <w:t>"</w:t>
      </w:r>
      <w:r w:rsidRPr="00FB52DD">
        <w:t>win a relatively small number of single-</w:t>
      </w:r>
      <w:r w:rsidR="00BC27BE">
        <w:t>aisle aircraft orders between 1 </w:t>
      </w:r>
      <w:r w:rsidRPr="00FB52DD">
        <w:t>December 2011 and the end of 2013</w:t>
      </w:r>
      <w:r>
        <w:t>"</w:t>
      </w:r>
      <w:r w:rsidRPr="00FB52DD">
        <w:t xml:space="preserve">, it had "strong doubts about whether such a new entrant could have also made </w:t>
      </w:r>
      <w:r w:rsidRPr="00FB52DD">
        <w:rPr>
          <w:i/>
        </w:rPr>
        <w:t>deliveries</w:t>
      </w:r>
      <w:r w:rsidRPr="00FB52DD">
        <w:t xml:space="preserve"> over {those} years".</w:t>
      </w:r>
      <w:r>
        <w:rPr>
          <w:rStyle w:val="FootnoteReference"/>
        </w:rPr>
        <w:footnoteReference w:id="1907"/>
      </w:r>
      <w:r w:rsidRPr="00FB52DD">
        <w:t xml:space="preserve"> </w:t>
      </w:r>
      <w:r>
        <w:t>T</w:t>
      </w:r>
      <w:r w:rsidRPr="00FB52DD">
        <w:t xml:space="preserve">he Panel </w:t>
      </w:r>
      <w:r>
        <w:t>was thus satisfied</w:t>
      </w:r>
      <w:r w:rsidRPr="00FB52DD">
        <w:t xml:space="preserve"> th</w:t>
      </w:r>
      <w:r>
        <w:t>at no new non</w:t>
      </w:r>
      <w:r>
        <w:noBreakHyphen/>
      </w:r>
      <w:r w:rsidR="00BC27BE">
        <w:t>US</w:t>
      </w:r>
      <w:r w:rsidRPr="00FB52DD">
        <w:t xml:space="preserve"> LCA producer entering the market </w:t>
      </w:r>
      <w:r>
        <w:t>after the end of 2006</w:t>
      </w:r>
      <w:r w:rsidRPr="00FB52DD">
        <w:t xml:space="preserve"> could have </w:t>
      </w:r>
      <w:r w:rsidRPr="004A2CB0">
        <w:rPr>
          <w:i/>
        </w:rPr>
        <w:t>delivered</w:t>
      </w:r>
      <w:r w:rsidR="00BC27BE">
        <w:t xml:space="preserve"> a single</w:t>
      </w:r>
      <w:r w:rsidR="00BC27BE">
        <w:noBreakHyphen/>
      </w:r>
      <w:r w:rsidRPr="00FB52DD">
        <w:t>aisle LCA between 1</w:t>
      </w:r>
      <w:r>
        <w:t> </w:t>
      </w:r>
      <w:r w:rsidRPr="00FB52DD">
        <w:t>December</w:t>
      </w:r>
      <w:r>
        <w:t> </w:t>
      </w:r>
      <w:r w:rsidRPr="00FB52DD">
        <w:t>2011 and the end of 2013.</w:t>
      </w:r>
    </w:p>
    <w:p w:rsidR="00C752B3" w:rsidRPr="00411D1B" w:rsidRDefault="00C752B3" w:rsidP="00526697">
      <w:pPr>
        <w:pStyle w:val="BodyText"/>
        <w:numPr>
          <w:ilvl w:val="6"/>
          <w:numId w:val="2"/>
        </w:numPr>
      </w:pPr>
      <w:r>
        <w:t xml:space="preserve">Finally, </w:t>
      </w:r>
      <w:r w:rsidRPr="00411D1B">
        <w:t xml:space="preserve">with </w:t>
      </w:r>
      <w:r>
        <w:t>regard to the</w:t>
      </w:r>
      <w:r w:rsidRPr="00411D1B">
        <w:t xml:space="preserve"> </w:t>
      </w:r>
      <w:r>
        <w:t>non</w:t>
      </w:r>
      <w:r>
        <w:noBreakHyphen/>
      </w:r>
      <w:r w:rsidRPr="00411D1B">
        <w:t xml:space="preserve">attribution factors asserted by the </w:t>
      </w:r>
      <w:r>
        <w:t>European Union</w:t>
      </w:r>
      <w:r w:rsidR="00E01DBF">
        <w:t>, the </w:t>
      </w:r>
      <w:r w:rsidRPr="00411D1B">
        <w:t>Panel was of the view that these factors were "either entirely or partly premised on the existence of Airbus as a competitive LCA producer offering a full range of LCA in all three LCA product markets".</w:t>
      </w:r>
      <w:r>
        <w:rPr>
          <w:rStyle w:val="FootnoteReference"/>
        </w:rPr>
        <w:footnoteReference w:id="1908"/>
      </w:r>
      <w:r w:rsidRPr="00411D1B">
        <w:t xml:space="preserve"> Having found that</w:t>
      </w:r>
      <w:r w:rsidR="00BC27BE">
        <w:t>,</w:t>
      </w:r>
      <w:r w:rsidRPr="00411D1B">
        <w:t xml:space="preserve"> in the </w:t>
      </w:r>
      <w:r>
        <w:t>"</w:t>
      </w:r>
      <w:r w:rsidRPr="00411D1B">
        <w:t>plausible</w:t>
      </w:r>
      <w:r>
        <w:t>"</w:t>
      </w:r>
      <w:r w:rsidRPr="00411D1B">
        <w:t xml:space="preserve"> counterfactual scenario</w:t>
      </w:r>
      <w:r>
        <w:t>s</w:t>
      </w:r>
      <w:r w:rsidRPr="00411D1B">
        <w:t xml:space="preserve">, Airbus would not have existed at the relevant times, the Panel considered that the LA/MSF subsidies must therefore be a </w:t>
      </w:r>
      <w:r>
        <w:t>"</w:t>
      </w:r>
      <w:r w:rsidRPr="00411D1B">
        <w:t>genuine and substantial</w:t>
      </w:r>
      <w:r>
        <w:t>"</w:t>
      </w:r>
      <w:r w:rsidRPr="00411D1B">
        <w:t xml:space="preserve"> cause of the </w:t>
      </w:r>
      <w:r>
        <w:t>post</w:t>
      </w:r>
      <w:r>
        <w:noBreakHyphen/>
      </w:r>
      <w:r w:rsidRPr="00411D1B">
        <w:t>implementation period deliveries.</w:t>
      </w:r>
      <w:r>
        <w:rPr>
          <w:rStyle w:val="FootnoteReference"/>
        </w:rPr>
        <w:footnoteReference w:id="1909"/>
      </w:r>
      <w:r w:rsidRPr="00411D1B">
        <w:t xml:space="preserve"> </w:t>
      </w:r>
    </w:p>
    <w:p w:rsidR="00C752B3" w:rsidRDefault="00C752B3" w:rsidP="00526697">
      <w:pPr>
        <w:pStyle w:val="BodyText"/>
        <w:numPr>
          <w:ilvl w:val="6"/>
          <w:numId w:val="2"/>
        </w:numPr>
      </w:pPr>
      <w:r w:rsidRPr="00FB52DD">
        <w:t>For these reasons, the Panel found that, in the absence of the "product effects</w:t>
      </w:r>
      <w:r>
        <w:t>"</w:t>
      </w:r>
      <w:r w:rsidRPr="00FB52DD">
        <w:t xml:space="preserve"> of the challenged LA/MSF subsidies, "the volume of deliveries and market shares that would have been achieved by the </w:t>
      </w:r>
      <w:r>
        <w:t>United States</w:t>
      </w:r>
      <w:r w:rsidRPr="00FB52DD">
        <w:t xml:space="preserve">' LCA industry between 1 December 2011 and the end of 2013 would have been higher than its actual level </w:t>
      </w:r>
      <w:r>
        <w:t>in all relevant product markets</w:t>
      </w:r>
      <w:r w:rsidRPr="00FB52DD">
        <w:t>"</w:t>
      </w:r>
      <w:r>
        <w:t>.</w:t>
      </w:r>
      <w:r>
        <w:rPr>
          <w:rStyle w:val="FootnoteReference"/>
        </w:rPr>
        <w:footnoteReference w:id="1910"/>
      </w:r>
      <w:r w:rsidRPr="00FB52DD">
        <w:t xml:space="preserve"> Accordingly, the Panel concluded that:</w:t>
      </w:r>
    </w:p>
    <w:p w:rsidR="00C752B3" w:rsidRDefault="00C752B3" w:rsidP="00C752B3">
      <w:pPr>
        <w:pStyle w:val="Quotation"/>
      </w:pPr>
      <w:r>
        <w:t>t</w:t>
      </w:r>
      <w:r w:rsidRPr="008D00F2">
        <w:t xml:space="preserve">he </w:t>
      </w:r>
      <w:r>
        <w:t>United States</w:t>
      </w:r>
      <w:r w:rsidRPr="008D00F2">
        <w:t xml:space="preserve"> has established that the "product" effects of the challenged LA/MSF subsidies are a "genuine and substantial" cause of </w:t>
      </w:r>
      <w:r w:rsidRPr="00FA5516">
        <w:t>displacement and/or impedance</w:t>
      </w:r>
      <w:r w:rsidRPr="008D00F2">
        <w:t xml:space="preserve"> of </w:t>
      </w:r>
      <w:r>
        <w:t>United States</w:t>
      </w:r>
      <w:r w:rsidRPr="008D00F2">
        <w:t xml:space="preserve"> LCA in the markets for single-aisle LCA in the </w:t>
      </w:r>
      <w:r>
        <w:t>European Union</w:t>
      </w:r>
      <w:r w:rsidRPr="008D00F2">
        <w:t>, Australia, China and India; twin</w:t>
      </w:r>
      <w:r w:rsidRPr="008D00F2">
        <w:noBreakHyphen/>
        <w:t xml:space="preserve">aisle LCA in the </w:t>
      </w:r>
      <w:r>
        <w:t>European Union</w:t>
      </w:r>
      <w:r w:rsidRPr="008D00F2">
        <w:t xml:space="preserve">, China, Korea and Singapore; and very large LCA in the </w:t>
      </w:r>
      <w:r>
        <w:t>European Union</w:t>
      </w:r>
      <w:r w:rsidRPr="008D00F2">
        <w:t>, Australia, China, Korea, Singapore and the United Arab Emirates.</w:t>
      </w:r>
      <w:r>
        <w:rPr>
          <w:rStyle w:val="FootnoteReference"/>
        </w:rPr>
        <w:footnoteReference w:id="1911"/>
      </w:r>
    </w:p>
    <w:p w:rsidR="00C752B3" w:rsidRPr="00B7340B" w:rsidRDefault="00C752B3" w:rsidP="00526697">
      <w:pPr>
        <w:pStyle w:val="Heading4"/>
      </w:pPr>
      <w:bookmarkStart w:id="191" w:name="_Toc514059293"/>
      <w:r w:rsidRPr="00B7340B">
        <w:t>Claims and arguments on appeal</w:t>
      </w:r>
      <w:bookmarkEnd w:id="191"/>
    </w:p>
    <w:p w:rsidR="00C752B3" w:rsidRPr="00C82145" w:rsidRDefault="00C752B3" w:rsidP="00526697">
      <w:pPr>
        <w:pStyle w:val="BodyText"/>
        <w:numPr>
          <w:ilvl w:val="6"/>
          <w:numId w:val="2"/>
        </w:numPr>
      </w:pPr>
      <w:r>
        <w:t>T</w:t>
      </w:r>
      <w:r w:rsidRPr="00CC2DEC">
        <w:t xml:space="preserve">he </w:t>
      </w:r>
      <w:r>
        <w:t>European Union</w:t>
      </w:r>
      <w:r w:rsidRPr="00CC2DEC">
        <w:t xml:space="preserve"> contends that the Panel erred in its application of </w:t>
      </w:r>
      <w:r>
        <w:t>Articles </w:t>
      </w:r>
      <w:r w:rsidRPr="00CC2DEC">
        <w:t>5(c), 6.3</w:t>
      </w:r>
      <w:r>
        <w:t>,</w:t>
      </w:r>
      <w:r w:rsidRPr="00CC2DEC">
        <w:t xml:space="preserve"> and 7.8 </w:t>
      </w:r>
      <w:r>
        <w:t xml:space="preserve">of the SCM Agreement </w:t>
      </w:r>
      <w:r w:rsidRPr="00CC2DEC">
        <w:t xml:space="preserve">in finding causation for </w:t>
      </w:r>
      <w:r>
        <w:t>serious prejudice</w:t>
      </w:r>
      <w:r w:rsidR="00BC27BE">
        <w:t>,</w:t>
      </w:r>
      <w:r>
        <w:t xml:space="preserve"> </w:t>
      </w:r>
      <w:r w:rsidRPr="00CC2DEC">
        <w:t xml:space="preserve">because the Panel failed to account for the differences in the degree of competition </w:t>
      </w:r>
      <w:r>
        <w:t xml:space="preserve">between </w:t>
      </w:r>
      <w:r w:rsidR="00BC27BE">
        <w:t xml:space="preserve">the </w:t>
      </w:r>
      <w:r>
        <w:t xml:space="preserve">relevant LCA at issue. </w:t>
      </w:r>
      <w:r w:rsidR="00E01DBF">
        <w:t>The </w:t>
      </w:r>
      <w:r>
        <w:t>European Union</w:t>
      </w:r>
      <w:r w:rsidRPr="003E150A">
        <w:t xml:space="preserve"> submits that</w:t>
      </w:r>
      <w:r w:rsidR="00BC27BE">
        <w:t>,</w:t>
      </w:r>
      <w:r w:rsidRPr="003E150A">
        <w:t xml:space="preserve"> given the </w:t>
      </w:r>
      <w:r>
        <w:t>"</w:t>
      </w:r>
      <w:r w:rsidRPr="003E150A">
        <w:t xml:space="preserve">extremely broad interpretation that the Panel adopted for the term 'market'" and the </w:t>
      </w:r>
      <w:r>
        <w:t>"</w:t>
      </w:r>
      <w:r w:rsidRPr="003E150A">
        <w:t>consequent identification of product markets within which there would be 'weaker and stronger</w:t>
      </w:r>
      <w:r>
        <w:t xml:space="preserve"> competitive relationships'</w:t>
      </w:r>
      <w:r w:rsidRPr="003E150A">
        <w:t>", it was important for the Panel, in its causation analysis, "to account for these differences in the degree of competition".</w:t>
      </w:r>
      <w:r>
        <w:rPr>
          <w:rStyle w:val="FootnoteReference"/>
        </w:rPr>
        <w:footnoteReference w:id="1912"/>
      </w:r>
      <w:r w:rsidR="00E01DBF">
        <w:t xml:space="preserve"> The </w:t>
      </w:r>
      <w:r>
        <w:t>European Union considers this failure to be "all the more troubling" because the Panel noted the "</w:t>
      </w:r>
      <w:r w:rsidRPr="00C82145">
        <w:rPr>
          <w:i/>
        </w:rPr>
        <w:t>absence</w:t>
      </w:r>
      <w:r>
        <w:t xml:space="preserve"> of close competitive relationships between the products it placed into the same product market".</w:t>
      </w:r>
      <w:r>
        <w:rPr>
          <w:rStyle w:val="FootnoteReference"/>
        </w:rPr>
        <w:footnoteReference w:id="1913"/>
      </w:r>
      <w:r>
        <w:t xml:space="preserve"> Therefore, the European Union argues, the Panel </w:t>
      </w:r>
      <w:r w:rsidRPr="00C82145">
        <w:rPr>
          <w:lang w:val="en-US"/>
        </w:rPr>
        <w:t>should</w:t>
      </w:r>
      <w:r>
        <w:rPr>
          <w:lang w:val="en-US"/>
        </w:rPr>
        <w:t xml:space="preserve"> </w:t>
      </w:r>
      <w:r w:rsidRPr="00C82145">
        <w:rPr>
          <w:lang w:val="en-US"/>
        </w:rPr>
        <w:t xml:space="preserve">have </w:t>
      </w:r>
      <w:r>
        <w:rPr>
          <w:lang w:val="en-US"/>
        </w:rPr>
        <w:t>"</w:t>
      </w:r>
      <w:r w:rsidRPr="00C82145">
        <w:rPr>
          <w:lang w:val="en-US"/>
        </w:rPr>
        <w:t>assessed 'the specific circumstances and dynamics of competition occurring in the relevant geographic market and the demands of customers in that market' to ensure that it arrive</w:t>
      </w:r>
      <w:r w:rsidR="00BC27BE">
        <w:rPr>
          <w:lang w:val="en-US"/>
        </w:rPr>
        <w:t>{d}</w:t>
      </w:r>
      <w:r w:rsidRPr="00C82145">
        <w:rPr>
          <w:lang w:val="en-US"/>
        </w:rPr>
        <w:t xml:space="preserve"> at 'meaningful findings of' displacement, impedance or lost sales"</w:t>
      </w:r>
      <w:r>
        <w:rPr>
          <w:rStyle w:val="FootnoteReference"/>
          <w:lang w:val="en-US"/>
        </w:rPr>
        <w:footnoteReference w:id="1914"/>
      </w:r>
      <w:r w:rsidRPr="00C82145">
        <w:rPr>
          <w:lang w:val="en-US"/>
        </w:rPr>
        <w:t xml:space="preserve">, but </w:t>
      </w:r>
      <w:r w:rsidR="005927FF">
        <w:rPr>
          <w:lang w:val="en-US"/>
        </w:rPr>
        <w:t>it</w:t>
      </w:r>
      <w:r w:rsidRPr="00C82145">
        <w:rPr>
          <w:lang w:val="en-US"/>
        </w:rPr>
        <w:t xml:space="preserve"> failed to do so.</w:t>
      </w:r>
      <w:r>
        <w:rPr>
          <w:rStyle w:val="FootnoteReference"/>
          <w:lang w:val="en-US"/>
        </w:rPr>
        <w:footnoteReference w:id="1915"/>
      </w:r>
      <w:r w:rsidRPr="00C82145">
        <w:rPr>
          <w:lang w:val="en-US"/>
        </w:rPr>
        <w:t xml:space="preserve"> </w:t>
      </w:r>
      <w:r>
        <w:t>Instead, the Panel based its findings of serious prejudice on its theory that "Airbus would not have been able to offer its current range of aircraft in a counterfactual absent the subsidies"</w:t>
      </w:r>
      <w:r>
        <w:rPr>
          <w:rStyle w:val="FootnoteReference"/>
        </w:rPr>
        <w:footnoteReference w:id="1916"/>
      </w:r>
      <w:r>
        <w:t>, and "</w:t>
      </w:r>
      <w:r w:rsidRPr="00C82145">
        <w:rPr>
          <w:lang w:val="en-US"/>
        </w:rPr>
        <w:t>ignored the 'genuine and substantial' causation standard</w:t>
      </w:r>
      <w:r w:rsidR="005927FF">
        <w:rPr>
          <w:lang w:val="en-US"/>
        </w:rPr>
        <w:t>"</w:t>
      </w:r>
      <w:r w:rsidRPr="00C82145">
        <w:rPr>
          <w:lang w:val="en-US"/>
        </w:rPr>
        <w:t xml:space="preserve"> in </w:t>
      </w:r>
      <w:r>
        <w:rPr>
          <w:lang w:val="en-US"/>
        </w:rPr>
        <w:t>Articles </w:t>
      </w:r>
      <w:r w:rsidR="00BC27BE">
        <w:rPr>
          <w:lang w:val="en-US"/>
        </w:rPr>
        <w:t>5(c) and </w:t>
      </w:r>
      <w:r w:rsidRPr="00C82145">
        <w:rPr>
          <w:lang w:val="en-US"/>
        </w:rPr>
        <w:t xml:space="preserve">6.3 of the </w:t>
      </w:r>
      <w:r>
        <w:rPr>
          <w:lang w:val="en-US"/>
        </w:rPr>
        <w:t>SCM Agreement.</w:t>
      </w:r>
      <w:r>
        <w:rPr>
          <w:rStyle w:val="FootnoteReference"/>
          <w:lang w:val="en-US"/>
        </w:rPr>
        <w:footnoteReference w:id="1917"/>
      </w:r>
    </w:p>
    <w:p w:rsidR="00C752B3" w:rsidRDefault="00C752B3" w:rsidP="00526697">
      <w:pPr>
        <w:pStyle w:val="BodyText"/>
        <w:numPr>
          <w:ilvl w:val="6"/>
          <w:numId w:val="2"/>
        </w:numPr>
      </w:pPr>
      <w:r>
        <w:t>The European Union further contends that</w:t>
      </w:r>
      <w:r w:rsidRPr="004A4488">
        <w:t xml:space="preserve"> </w:t>
      </w:r>
      <w:r w:rsidRPr="00CC2DEC">
        <w:t xml:space="preserve">the Panel failed </w:t>
      </w:r>
      <w:r>
        <w:t>to take into account the market</w:t>
      </w:r>
      <w:r>
        <w:noBreakHyphen/>
      </w:r>
      <w:r w:rsidRPr="00CC2DEC">
        <w:t xml:space="preserve">specific and sale-specific </w:t>
      </w:r>
      <w:r>
        <w:t>non</w:t>
      </w:r>
      <w:r>
        <w:noBreakHyphen/>
      </w:r>
      <w:r w:rsidRPr="00CC2DEC">
        <w:t xml:space="preserve">attribution factors that the </w:t>
      </w:r>
      <w:r>
        <w:t>European Union</w:t>
      </w:r>
      <w:r w:rsidRPr="00CC2DEC">
        <w:t xml:space="preserve"> demonstrated caused (or contributed to causing) the observed market phenomena</w:t>
      </w:r>
      <w:r>
        <w:rPr>
          <w:rStyle w:val="FootnoteReference"/>
        </w:rPr>
        <w:footnoteReference w:id="1918"/>
      </w:r>
      <w:r w:rsidR="005927FF">
        <w:t>,</w:t>
      </w:r>
      <w:r w:rsidRPr="004A4488">
        <w:t xml:space="preserve"> </w:t>
      </w:r>
      <w:r>
        <w:t xml:space="preserve">notwithstanding the Panel's recognition that "an LCA customer's decision will be influenced by a </w:t>
      </w:r>
      <w:r w:rsidRPr="009F3094">
        <w:rPr>
          <w:i/>
        </w:rPr>
        <w:t xml:space="preserve">host of </w:t>
      </w:r>
      <w:r>
        <w:rPr>
          <w:i/>
        </w:rPr>
        <w:t>non</w:t>
      </w:r>
      <w:r>
        <w:rPr>
          <w:i/>
        </w:rPr>
        <w:noBreakHyphen/>
      </w:r>
      <w:r w:rsidRPr="009F3094">
        <w:rPr>
          <w:i/>
        </w:rPr>
        <w:t>price factors</w:t>
      </w:r>
      <w:r>
        <w:t>"</w:t>
      </w:r>
      <w:r w:rsidR="005927FF">
        <w:t>.</w:t>
      </w:r>
      <w:r>
        <w:rPr>
          <w:rStyle w:val="FootnoteReference"/>
        </w:rPr>
        <w:footnoteReference w:id="1919"/>
      </w:r>
      <w:r w:rsidR="005927FF">
        <w:t xml:space="preserve"> </w:t>
      </w:r>
      <w:r>
        <w:t>Rather, the Panel "characterised every Airbus sale as a lost sale to Boeing, and every delivery of an Airbus LCA to a market at issue as a basis for its findings of 'displacement and/or impedance'".</w:t>
      </w:r>
      <w:r>
        <w:rPr>
          <w:rStyle w:val="FootnoteReference"/>
        </w:rPr>
        <w:footnoteReference w:id="1920"/>
      </w:r>
      <w:r>
        <w:t xml:space="preserve"> With regard to lost sales, the European Union submits that the Panel rejected its arguments concerning several non</w:t>
      </w:r>
      <w:r>
        <w:noBreakHyphen/>
        <w:t>attribution factors relating to advantages enjoyed by Airbus vis-à-vis Boeing, noting instead that "Airbus would not have had any of these advantages … in the 'plausible' counterfactual scenarios because it simply would not have existed</w:t>
      </w:r>
      <w:r w:rsidR="00BC27BE">
        <w:t>.</w:t>
      </w:r>
      <w:r>
        <w:t>"</w:t>
      </w:r>
      <w:r>
        <w:rPr>
          <w:rStyle w:val="FootnoteReference"/>
        </w:rPr>
        <w:footnoteReference w:id="1921"/>
      </w:r>
      <w:r>
        <w:t xml:space="preserve"> Similarly, the European Union argues, the Panel rejected the non</w:t>
      </w:r>
      <w:r>
        <w:noBreakHyphen/>
        <w:t>attribution factors raised by the European Union in relation to displacement and impedance on the ground that Airbus would not have existed "but for" the LA/MSF subsidies.</w:t>
      </w:r>
      <w:r w:rsidR="005927FF">
        <w:rPr>
          <w:rStyle w:val="FootnoteReference"/>
        </w:rPr>
        <w:footnoteReference w:id="1922"/>
      </w:r>
      <w:r>
        <w:t xml:space="preserve"> Referring to the Panel's rejection of the European Union's request to seek information under Article 13 of the DSU for purposes of examining non</w:t>
      </w:r>
      <w:r>
        <w:noBreakHyphen/>
        <w:t xml:space="preserve">attribution </w:t>
      </w:r>
      <w:r w:rsidRPr="003E1A01">
        <w:t xml:space="preserve">factors, </w:t>
      </w:r>
      <w:r>
        <w:t>the European Union contends that the Panel</w:t>
      </w:r>
      <w:r w:rsidRPr="003E1A01">
        <w:t xml:space="preserve"> simply </w:t>
      </w:r>
      <w:r>
        <w:t>"pre</w:t>
      </w:r>
      <w:r>
        <w:noBreakHyphen/>
      </w:r>
      <w:r w:rsidRPr="003E1A01">
        <w:t xml:space="preserve">judged" the relevance of </w:t>
      </w:r>
      <w:r>
        <w:t>non</w:t>
      </w:r>
      <w:r>
        <w:noBreakHyphen/>
      </w:r>
      <w:r w:rsidRPr="003E1A01">
        <w:t>attribution factors.</w:t>
      </w:r>
      <w:r>
        <w:rPr>
          <w:rStyle w:val="FootnoteReference"/>
        </w:rPr>
        <w:footnoteReference w:id="1923"/>
      </w:r>
    </w:p>
    <w:p w:rsidR="00C752B3" w:rsidRPr="00C82145" w:rsidRDefault="00C752B3" w:rsidP="00526697">
      <w:pPr>
        <w:pStyle w:val="BodyText"/>
        <w:numPr>
          <w:ilvl w:val="6"/>
          <w:numId w:val="2"/>
        </w:numPr>
      </w:pPr>
      <w:r>
        <w:t>Finally, the European Union alleges errors of interpretation and application of Articles 6.3(a) and 6.3(b) of the SCM Agreement in respect of the Panel's findings of displacement and/or impedance. First, the European Union contends that</w:t>
      </w:r>
      <w:r w:rsidRPr="00636ADA">
        <w:rPr>
          <w:lang w:val="en-US"/>
        </w:rPr>
        <w:t xml:space="preserve"> </w:t>
      </w:r>
      <w:r w:rsidRPr="00FB52DD">
        <w:rPr>
          <w:lang w:val="en-US"/>
        </w:rPr>
        <w:t xml:space="preserve">the Panel erred in </w:t>
      </w:r>
      <w:r w:rsidR="005927FF">
        <w:rPr>
          <w:lang w:val="en-US"/>
        </w:rPr>
        <w:t>its</w:t>
      </w:r>
      <w:r w:rsidRPr="00FB52DD">
        <w:rPr>
          <w:lang w:val="en-US"/>
        </w:rPr>
        <w:t xml:space="preserve"> interpretation of </w:t>
      </w:r>
      <w:r>
        <w:rPr>
          <w:lang w:val="en-US"/>
        </w:rPr>
        <w:t>Articles </w:t>
      </w:r>
      <w:r w:rsidRPr="00FB52DD">
        <w:rPr>
          <w:lang w:val="en-US"/>
        </w:rPr>
        <w:t>6.3(a) and 6.3(b)</w:t>
      </w:r>
      <w:r>
        <w:t xml:space="preserve"> of the SCM Agreement because it </w:t>
      </w:r>
      <w:r w:rsidRPr="006D5824">
        <w:rPr>
          <w:lang w:val="en-US"/>
        </w:rPr>
        <w:t xml:space="preserve">made </w:t>
      </w:r>
      <w:r>
        <w:rPr>
          <w:lang w:val="en-US"/>
        </w:rPr>
        <w:t>"</w:t>
      </w:r>
      <w:r w:rsidRPr="006D5824">
        <w:rPr>
          <w:lang w:val="en-US"/>
        </w:rPr>
        <w:t xml:space="preserve">undifferentiated findings of 'displacement </w:t>
      </w:r>
      <w:r w:rsidRPr="00486B66">
        <w:rPr>
          <w:lang w:val="en-US"/>
        </w:rPr>
        <w:t>and/or</w:t>
      </w:r>
      <w:r w:rsidRPr="006D5824">
        <w:rPr>
          <w:lang w:val="en-US"/>
        </w:rPr>
        <w:t xml:space="preserve"> impedance' </w:t>
      </w:r>
      <w:r>
        <w:rPr>
          <w:lang w:val="en-US"/>
        </w:rPr>
        <w:t>for</w:t>
      </w:r>
      <w:r w:rsidRPr="006D5824">
        <w:rPr>
          <w:lang w:val="en-US"/>
        </w:rPr>
        <w:t xml:space="preserve"> the countr</w:t>
      </w:r>
      <w:r>
        <w:rPr>
          <w:lang w:val="en-US"/>
        </w:rPr>
        <w:t>y and product markets at issue", thereby "</w:t>
      </w:r>
      <w:r w:rsidRPr="00FB52DD">
        <w:t xml:space="preserve">conflating </w:t>
      </w:r>
      <w:r w:rsidRPr="00FB52DD">
        <w:rPr>
          <w:lang w:val="en-US"/>
        </w:rPr>
        <w:t>the two concepts of 'displacement' and 'impedance'</w:t>
      </w:r>
      <w:r>
        <w:rPr>
          <w:lang w:val="en-US"/>
        </w:rPr>
        <w:t>".</w:t>
      </w:r>
      <w:r>
        <w:rPr>
          <w:rStyle w:val="FootnoteReference"/>
          <w:lang w:val="en-US"/>
        </w:rPr>
        <w:footnoteReference w:id="1924"/>
      </w:r>
      <w:r w:rsidRPr="00081B76">
        <w:rPr>
          <w:lang w:val="en-US"/>
        </w:rPr>
        <w:t xml:space="preserve"> </w:t>
      </w:r>
      <w:r>
        <w:rPr>
          <w:lang w:val="en-US"/>
        </w:rPr>
        <w:t>T</w:t>
      </w:r>
      <w:r w:rsidRPr="000645F3">
        <w:rPr>
          <w:lang w:val="en-US"/>
        </w:rPr>
        <w:t xml:space="preserve">he </w:t>
      </w:r>
      <w:r>
        <w:rPr>
          <w:lang w:val="en-US"/>
        </w:rPr>
        <w:t>European Union</w:t>
      </w:r>
      <w:r w:rsidRPr="000645F3">
        <w:rPr>
          <w:lang w:val="en-US"/>
        </w:rPr>
        <w:t xml:space="preserve"> </w:t>
      </w:r>
      <w:r>
        <w:rPr>
          <w:lang w:val="en-US"/>
        </w:rPr>
        <w:t xml:space="preserve">also </w:t>
      </w:r>
      <w:r w:rsidRPr="000645F3">
        <w:rPr>
          <w:lang w:val="en-US"/>
        </w:rPr>
        <w:t xml:space="preserve">contends that the Panel erred in interpreting </w:t>
      </w:r>
      <w:r>
        <w:rPr>
          <w:lang w:val="en-US"/>
        </w:rPr>
        <w:t>Articles </w:t>
      </w:r>
      <w:r w:rsidRPr="000645F3">
        <w:rPr>
          <w:lang w:val="en-US"/>
        </w:rPr>
        <w:t>6.3(a) and 6.3(b) to permit a finding of displacement "without any engagement with the sales vol</w:t>
      </w:r>
      <w:r w:rsidR="00E01DBF">
        <w:rPr>
          <w:lang w:val="en-US"/>
        </w:rPr>
        <w:t>ume and market share data", and </w:t>
      </w:r>
      <w:r w:rsidRPr="000645F3">
        <w:rPr>
          <w:lang w:val="en-US"/>
        </w:rPr>
        <w:t>"without a finding of clearly discernible and identifiable declining trends in sales volume or market shares for each of the country and product markets at issue".</w:t>
      </w:r>
      <w:r>
        <w:rPr>
          <w:rStyle w:val="FootnoteReference"/>
          <w:lang w:val="en-US"/>
        </w:rPr>
        <w:footnoteReference w:id="1925"/>
      </w:r>
      <w:r w:rsidRPr="000645F3">
        <w:rPr>
          <w:lang w:val="en-US"/>
        </w:rPr>
        <w:t xml:space="preserve"> </w:t>
      </w:r>
      <w:r>
        <w:rPr>
          <w:lang w:val="en-US"/>
        </w:rPr>
        <w:t>Second, t</w:t>
      </w:r>
      <w:r w:rsidRPr="000645F3">
        <w:rPr>
          <w:lang w:val="en-US"/>
        </w:rPr>
        <w:t xml:space="preserve">he </w:t>
      </w:r>
      <w:r>
        <w:rPr>
          <w:lang w:val="en-US"/>
        </w:rPr>
        <w:t>European Union</w:t>
      </w:r>
      <w:r w:rsidRPr="000645F3">
        <w:rPr>
          <w:lang w:val="en-US"/>
        </w:rPr>
        <w:t xml:space="preserve"> </w:t>
      </w:r>
      <w:r>
        <w:rPr>
          <w:lang w:val="en-US"/>
        </w:rPr>
        <w:t>alleges</w:t>
      </w:r>
      <w:r w:rsidRPr="000645F3">
        <w:rPr>
          <w:lang w:val="en-US"/>
        </w:rPr>
        <w:t xml:space="preserve"> that the Panel erred in </w:t>
      </w:r>
      <w:r w:rsidR="005927FF">
        <w:rPr>
          <w:lang w:val="en-US"/>
        </w:rPr>
        <w:t>its</w:t>
      </w:r>
      <w:r w:rsidRPr="000645F3">
        <w:rPr>
          <w:lang w:val="en-US"/>
        </w:rPr>
        <w:t xml:space="preserve"> application of </w:t>
      </w:r>
      <w:r>
        <w:t>Articles </w:t>
      </w:r>
      <w:r w:rsidRPr="00E92203">
        <w:t>5(c), 6.3(a), 6.3(b), and </w:t>
      </w:r>
      <w:r>
        <w:t xml:space="preserve">7.8 </w:t>
      </w:r>
      <w:r w:rsidR="00BC27BE">
        <w:t xml:space="preserve">of the SCM Agreement </w:t>
      </w:r>
      <w:r w:rsidR="005927FF">
        <w:t>because</w:t>
      </w:r>
      <w:r>
        <w:t xml:space="preserve">: (i) </w:t>
      </w:r>
      <w:r w:rsidRPr="00BE451D">
        <w:t>the Panel failed to adopt a large enough number of data poin</w:t>
      </w:r>
      <w:r>
        <w:t>ts to investigate "</w:t>
      </w:r>
      <w:r w:rsidRPr="00BE451D">
        <w:t>trends"</w:t>
      </w:r>
      <w:r w:rsidR="00624167">
        <w:t xml:space="preserve"> in a meaningful manner</w:t>
      </w:r>
      <w:r>
        <w:rPr>
          <w:rStyle w:val="FootnoteReference"/>
        </w:rPr>
        <w:footnoteReference w:id="1926"/>
      </w:r>
      <w:r>
        <w:t xml:space="preserve">; and (ii) the Panel erred </w:t>
      </w:r>
      <w:r w:rsidRPr="00FB52DD">
        <w:t>"</w:t>
      </w:r>
      <w:r w:rsidRPr="000645F3">
        <w:rPr>
          <w:lang w:val="en-US"/>
        </w:rPr>
        <w:t>by failing to engage with the data, and by instead making findings of displacement entirely divorced from the data</w:t>
      </w:r>
      <w:r>
        <w:t>".</w:t>
      </w:r>
      <w:r>
        <w:rPr>
          <w:rStyle w:val="FootnoteReference"/>
        </w:rPr>
        <w:footnoteReference w:id="1927"/>
      </w:r>
      <w:r>
        <w:t xml:space="preserve"> With respect to the Panel's findings o</w:t>
      </w:r>
      <w:r w:rsidR="005927FF">
        <w:t>f</w:t>
      </w:r>
      <w:r>
        <w:t xml:space="preserve"> impedance, the European Union submits that </w:t>
      </w:r>
      <w:r w:rsidRPr="000645F3">
        <w:rPr>
          <w:lang w:val="en-US"/>
        </w:rPr>
        <w:t xml:space="preserve">the Panel repeated </w:t>
      </w:r>
      <w:r>
        <w:rPr>
          <w:lang w:val="en-US"/>
        </w:rPr>
        <w:t>"</w:t>
      </w:r>
      <w:r w:rsidRPr="000645F3">
        <w:rPr>
          <w:lang w:val="en-US"/>
        </w:rPr>
        <w:t>essentially the same errors</w:t>
      </w:r>
      <w:r>
        <w:rPr>
          <w:lang w:val="en-US"/>
        </w:rPr>
        <w:t>"</w:t>
      </w:r>
      <w:r>
        <w:rPr>
          <w:rStyle w:val="FootnoteReference"/>
        </w:rPr>
        <w:footnoteReference w:id="1928"/>
      </w:r>
      <w:r w:rsidR="005927FF">
        <w:t>,</w:t>
      </w:r>
      <w:r>
        <w:t xml:space="preserve"> </w:t>
      </w:r>
      <w:r w:rsidR="005927FF">
        <w:t>t</w:t>
      </w:r>
      <w:r>
        <w:t>hat is, "</w:t>
      </w:r>
      <w:r w:rsidRPr="00306810">
        <w:rPr>
          <w:lang w:val="en-US"/>
        </w:rPr>
        <w:t>in the Panel</w:t>
      </w:r>
      <w:r>
        <w:rPr>
          <w:lang w:val="en-US"/>
        </w:rPr>
        <w:t>'</w:t>
      </w:r>
      <w:r w:rsidRPr="00306810">
        <w:rPr>
          <w:lang w:val="en-US"/>
        </w:rPr>
        <w:t>s view, impedance may be found without any assessment of sales volume and market share data, and without a finding of a trend that is clearly discernible and identifiable</w:t>
      </w:r>
      <w:r>
        <w:t>".</w:t>
      </w:r>
      <w:r>
        <w:rPr>
          <w:rStyle w:val="FootnoteReference"/>
        </w:rPr>
        <w:footnoteReference w:id="1929"/>
      </w:r>
    </w:p>
    <w:p w:rsidR="00C752B3" w:rsidRPr="00C82145" w:rsidRDefault="00C752B3" w:rsidP="00526697">
      <w:pPr>
        <w:pStyle w:val="BodyText"/>
        <w:numPr>
          <w:ilvl w:val="6"/>
          <w:numId w:val="2"/>
        </w:numPr>
      </w:pPr>
      <w:r w:rsidRPr="00CB38EA">
        <w:t xml:space="preserve">The </w:t>
      </w:r>
      <w:r>
        <w:t>United States</w:t>
      </w:r>
      <w:r w:rsidRPr="00912E8F">
        <w:t xml:space="preserve"> </w:t>
      </w:r>
      <w:r w:rsidR="005927FF">
        <w:t>responds</w:t>
      </w:r>
      <w:r>
        <w:t xml:space="preserve"> </w:t>
      </w:r>
      <w:r w:rsidRPr="00CB38EA">
        <w:rPr>
          <w:lang w:val="en-US"/>
        </w:rPr>
        <w:t>that</w:t>
      </w:r>
      <w:r>
        <w:rPr>
          <w:lang w:val="en-US"/>
        </w:rPr>
        <w:t xml:space="preserve"> </w:t>
      </w:r>
      <w:r>
        <w:t xml:space="preserve">there is no support in the text of the SCM Agreement or the </w:t>
      </w:r>
      <w:r>
        <w:rPr>
          <w:lang w:val="en-US"/>
        </w:rPr>
        <w:t>Appellate Body</w:t>
      </w:r>
      <w:r>
        <w:t xml:space="preserve">'s guidance for the proposition that "the 'closeness of competition' between products </w:t>
      </w:r>
      <w:r w:rsidRPr="00CB38EA">
        <w:rPr>
          <w:i/>
        </w:rPr>
        <w:t>must</w:t>
      </w:r>
      <w:r>
        <w:t>, as a general rule, be examined twice: first in the product market inquiry and then in the evaluation of whether displacement, impedance, or lost sales of the like product in the relevant market was the 'effect of the subsidy' to the subsidized product".</w:t>
      </w:r>
      <w:r>
        <w:rPr>
          <w:rStyle w:val="FootnoteReference"/>
        </w:rPr>
        <w:footnoteReference w:id="1930"/>
      </w:r>
      <w:r>
        <w:t xml:space="preserve"> Thus</w:t>
      </w:r>
      <w:r w:rsidRPr="00CB38EA">
        <w:rPr>
          <w:lang w:val="en-US"/>
        </w:rPr>
        <w:t xml:space="preserve">, the </w:t>
      </w:r>
      <w:r>
        <w:rPr>
          <w:lang w:val="en-US"/>
        </w:rPr>
        <w:t>United States</w:t>
      </w:r>
      <w:r w:rsidRPr="00CB38EA">
        <w:rPr>
          <w:lang w:val="en-US"/>
        </w:rPr>
        <w:t xml:space="preserve"> argues </w:t>
      </w:r>
      <w:r>
        <w:rPr>
          <w:lang w:val="en-US"/>
        </w:rPr>
        <w:t>that</w:t>
      </w:r>
      <w:r w:rsidR="00624167">
        <w:rPr>
          <w:lang w:val="en-US"/>
        </w:rPr>
        <w:t>,</w:t>
      </w:r>
      <w:r>
        <w:rPr>
          <w:lang w:val="en-US"/>
        </w:rPr>
        <w:t xml:space="preserve"> </w:t>
      </w:r>
      <w:r w:rsidRPr="00CB38EA">
        <w:rPr>
          <w:lang w:val="en-US"/>
        </w:rPr>
        <w:t>"by properly taking the nature and degree of competition into account in delineating the product markets, the Panel protected against reaching subsequent adverse effects findings that were not meaningful".</w:t>
      </w:r>
      <w:r>
        <w:rPr>
          <w:rStyle w:val="FootnoteReference"/>
          <w:lang w:val="en-US"/>
        </w:rPr>
        <w:footnoteReference w:id="1931"/>
      </w:r>
      <w:r w:rsidRPr="00CB38EA">
        <w:rPr>
          <w:lang w:val="en-US"/>
        </w:rPr>
        <w:t xml:space="preserve"> Moreover,</w:t>
      </w:r>
      <w:r>
        <w:t xml:space="preserve"> the United States submits that the Panel recognized the "need to properly take into account whether a competitive relationship is 'at most, indirect or remote'", and did not, as the European Union alleges, find that "all products that have some competitive relationship, regardless of the nature or degree of that relationship, must be placed in the same market for the purposes of Article 6.3".</w:t>
      </w:r>
      <w:r>
        <w:rPr>
          <w:rStyle w:val="FootnoteReference"/>
        </w:rPr>
        <w:footnoteReference w:id="1932"/>
      </w:r>
      <w:r>
        <w:t xml:space="preserve"> The United States also contends that the Panel "did … examine 'the existence, nature and degree of competition between the relevant a</w:t>
      </w:r>
      <w:r w:rsidR="005927FF">
        <w:t>ircraft' … in exhaustive detail</w:t>
      </w:r>
      <w:r>
        <w:t xml:space="preserve"> in its analysis of the appropriate product markets".</w:t>
      </w:r>
      <w:r>
        <w:rPr>
          <w:rStyle w:val="FootnoteReference"/>
        </w:rPr>
        <w:footnoteReference w:id="1933"/>
      </w:r>
      <w:r>
        <w:t xml:space="preserve"> Furthermore, the United States asserts that the European Union </w:t>
      </w:r>
      <w:r w:rsidR="00624167">
        <w:t>has not identified</w:t>
      </w:r>
      <w:r>
        <w:t xml:space="preserve"> a specific product relationship in this dispute that was not properly captured by </w:t>
      </w:r>
      <w:r w:rsidR="00624167">
        <w:t xml:space="preserve">the Panel's analysis of </w:t>
      </w:r>
      <w:r>
        <w:t xml:space="preserve">product markets and </w:t>
      </w:r>
      <w:r w:rsidR="00624167">
        <w:t xml:space="preserve">that </w:t>
      </w:r>
      <w:r w:rsidRPr="000E3871">
        <w:t>should have</w:t>
      </w:r>
      <w:r>
        <w:t xml:space="preserve"> been addressed at the causation stage.</w:t>
      </w:r>
      <w:r>
        <w:rPr>
          <w:rStyle w:val="FootnoteReference"/>
        </w:rPr>
        <w:footnoteReference w:id="1934"/>
      </w:r>
      <w:r>
        <w:t xml:space="preserve"> According to the United States, where the parties </w:t>
      </w:r>
      <w:r w:rsidR="00624167">
        <w:t xml:space="preserve">had </w:t>
      </w:r>
      <w:r>
        <w:t>argued that particular aspects of competition were relevant to specific sales campaigns or geographic markets, the Panel examined such issues in the course of its analyses of "the {United States'} lost sales and displacement/impedance claims".</w:t>
      </w:r>
      <w:r>
        <w:rPr>
          <w:rStyle w:val="FootnoteReference"/>
        </w:rPr>
        <w:footnoteReference w:id="1935"/>
      </w:r>
      <w:r>
        <w:t xml:space="preserve"> In sum, the United States contends that "</w:t>
      </w:r>
      <w:r w:rsidRPr="00CB38EA">
        <w:rPr>
          <w:lang w:val="en-US"/>
        </w:rPr>
        <w:t>there are no product</w:t>
      </w:r>
      <w:r w:rsidRPr="00CB38EA">
        <w:rPr>
          <w:lang w:val="en-US"/>
        </w:rPr>
        <w:noBreakHyphen/>
        <w:t xml:space="preserve">related causation issues that the Panel left unaddressed in its analyses of product markets and causation and, therefore, no errors for the </w:t>
      </w:r>
      <w:r>
        <w:rPr>
          <w:lang w:val="en-US"/>
        </w:rPr>
        <w:t>Appellate Body</w:t>
      </w:r>
      <w:r w:rsidRPr="00CB38EA">
        <w:rPr>
          <w:lang w:val="en-US"/>
        </w:rPr>
        <w:t xml:space="preserve"> to correct.</w:t>
      </w:r>
      <w:r>
        <w:t>"</w:t>
      </w:r>
      <w:r>
        <w:rPr>
          <w:rStyle w:val="FootnoteReference"/>
        </w:rPr>
        <w:footnoteReference w:id="1936"/>
      </w:r>
    </w:p>
    <w:p w:rsidR="00C752B3" w:rsidRDefault="005927FF" w:rsidP="00526697">
      <w:pPr>
        <w:pStyle w:val="BodyText"/>
        <w:numPr>
          <w:ilvl w:val="6"/>
          <w:numId w:val="2"/>
        </w:numPr>
      </w:pPr>
      <w:r>
        <w:t>T</w:t>
      </w:r>
      <w:r w:rsidR="00C752B3">
        <w:t xml:space="preserve">he United States </w:t>
      </w:r>
      <w:r>
        <w:t xml:space="preserve">further </w:t>
      </w:r>
      <w:r w:rsidR="00C752B3">
        <w:t>contends that the Panel's treatment of the European Union's non</w:t>
      </w:r>
      <w:r w:rsidR="00C752B3">
        <w:noBreakHyphen/>
        <w:t>attribution arguments is both a logically sound extension of its counterfactual analysis and completely consistent with Articles 5(c), 6.3, and 7.8</w:t>
      </w:r>
      <w:r w:rsidR="00624167">
        <w:t xml:space="preserve"> of the SCM Agreement</w:t>
      </w:r>
      <w:r w:rsidR="00C752B3">
        <w:t>.</w:t>
      </w:r>
      <w:r w:rsidR="00C752B3">
        <w:rPr>
          <w:rStyle w:val="FootnoteReference"/>
        </w:rPr>
        <w:footnoteReference w:id="1937"/>
      </w:r>
      <w:r w:rsidR="00C752B3">
        <w:t xml:space="preserve"> The United States submits that, with respect to lost sales, the Panel explicitly considered each of the European Union's non</w:t>
      </w:r>
      <w:r w:rsidR="00C752B3">
        <w:noBreakHyphen/>
        <w:t>attribution factors and reje</w:t>
      </w:r>
      <w:r>
        <w:t xml:space="preserve">cted most of them because they </w:t>
      </w:r>
      <w:r w:rsidR="00C752B3">
        <w:t>were premised on the existence and market presence of Airbus in the post</w:t>
      </w:r>
      <w:r w:rsidR="00C752B3">
        <w:noBreakHyphen/>
        <w:t>implementation period, a scenario the Panel found to be "unlikely".</w:t>
      </w:r>
      <w:r w:rsidR="00C752B3">
        <w:rPr>
          <w:rStyle w:val="FootnoteReference"/>
        </w:rPr>
        <w:footnoteReference w:id="1938"/>
      </w:r>
      <w:r w:rsidR="00C752B3">
        <w:t xml:space="preserve"> In the United States' view, such factors were not "valid" non</w:t>
      </w:r>
      <w:r w:rsidR="00C752B3">
        <w:noBreakHyphen/>
        <w:t xml:space="preserve">attribution factors because Airbus </w:t>
      </w:r>
      <w:r w:rsidR="00C752B3" w:rsidRPr="00912E8F">
        <w:rPr>
          <w:lang w:val="en-US"/>
        </w:rPr>
        <w:t>would</w:t>
      </w:r>
      <w:r w:rsidR="00C752B3">
        <w:t xml:space="preserve"> not have existed under the "plausible" counterfactual and, as the Appellate Body stated,</w:t>
      </w:r>
      <w:r w:rsidR="00C752B3" w:rsidRPr="009D7115">
        <w:t xml:space="preserve"> </w:t>
      </w:r>
      <w:r w:rsidR="00C752B3">
        <w:t>it "</w:t>
      </w:r>
      <w:r w:rsidR="00C752B3" w:rsidRPr="00B348CB">
        <w:t xml:space="preserve">would be pointless to attempt delineating the features of something that would not have existed </w:t>
      </w:r>
      <w:r w:rsidR="00C752B3">
        <w:t xml:space="preserve">without </w:t>
      </w:r>
      <w:r w:rsidR="00624167">
        <w:t xml:space="preserve">the </w:t>
      </w:r>
      <w:r w:rsidR="00C752B3">
        <w:t>subsidies".</w:t>
      </w:r>
      <w:r w:rsidR="00C752B3">
        <w:rPr>
          <w:rStyle w:val="FootnoteReference"/>
        </w:rPr>
        <w:footnoteReference w:id="1939"/>
      </w:r>
      <w:r w:rsidR="00C752B3">
        <w:t xml:space="preserve"> The United States also maintains that, contrary to the European Union's arguments, the Panel assessed the non</w:t>
      </w:r>
      <w:r w:rsidR="00C752B3">
        <w:noBreakHyphen/>
        <w:t xml:space="preserve">attribution factors individually where they were unique to a customer. With regard to "displacement and/or impedance", the United States contends that the </w:t>
      </w:r>
      <w:r w:rsidR="00C752B3" w:rsidRPr="00E64451">
        <w:t>Panel</w:t>
      </w:r>
      <w:r w:rsidR="00C752B3">
        <w:t>'</w:t>
      </w:r>
      <w:r w:rsidR="00C752B3" w:rsidRPr="00E64451">
        <w:t xml:space="preserve">s analysis of the proposed </w:t>
      </w:r>
      <w:r w:rsidR="00C752B3">
        <w:t>non</w:t>
      </w:r>
      <w:r w:rsidR="00C752B3">
        <w:noBreakHyphen/>
      </w:r>
      <w:r w:rsidR="00C752B3" w:rsidRPr="00E64451">
        <w:t>attribution factors follows logically the line of reasoning that</w:t>
      </w:r>
      <w:r w:rsidR="00C752B3">
        <w:t>,</w:t>
      </w:r>
      <w:r w:rsidR="00C752B3" w:rsidRPr="00E64451">
        <w:t xml:space="preserve"> under the </w:t>
      </w:r>
      <w:r w:rsidR="00C752B3">
        <w:t>"</w:t>
      </w:r>
      <w:r w:rsidR="00C752B3" w:rsidRPr="00E64451">
        <w:t>plausible</w:t>
      </w:r>
      <w:r w:rsidR="00C752B3">
        <w:t>"</w:t>
      </w:r>
      <w:r w:rsidR="00C752B3" w:rsidRPr="00E64451">
        <w:t xml:space="preserve"> counterfactual, Airbus would not have existed in the reference period, absent the effects of the LA/MSF subsidies.</w:t>
      </w:r>
      <w:r w:rsidR="00C752B3">
        <w:rPr>
          <w:rStyle w:val="FootnoteReference"/>
        </w:rPr>
        <w:footnoteReference w:id="1940"/>
      </w:r>
      <w:r w:rsidR="00C752B3" w:rsidRPr="00E64451">
        <w:t xml:space="preserve"> </w:t>
      </w:r>
      <w:r w:rsidR="00C752B3">
        <w:t>Furthermore, according to the United States, the Panel did not summarily reject any factor, but instead analysed how each factor would affect the behaviour of market participants in the counterfactual, and properly dismissed the European Union's arguments on that basis.</w:t>
      </w:r>
      <w:r w:rsidR="00C752B3">
        <w:rPr>
          <w:rStyle w:val="FootnoteReference"/>
        </w:rPr>
        <w:footnoteReference w:id="1941"/>
      </w:r>
      <w:r w:rsidR="00E01DBF">
        <w:t xml:space="preserve"> The </w:t>
      </w:r>
      <w:r w:rsidR="00C752B3">
        <w:t>United States submits that the Panel rejected the European Union's request to seek information pursuant to Article 13 of the DSU, because it correctly concluded that "the requested information is not necessary for its evaluation of the United States' allegations of lost sales and displacement."</w:t>
      </w:r>
      <w:r w:rsidR="00C752B3">
        <w:rPr>
          <w:rStyle w:val="FootnoteReference"/>
        </w:rPr>
        <w:footnoteReference w:id="1942"/>
      </w:r>
    </w:p>
    <w:p w:rsidR="00C752B3" w:rsidRDefault="00C752B3" w:rsidP="00526697">
      <w:pPr>
        <w:pStyle w:val="BodyText"/>
        <w:numPr>
          <w:ilvl w:val="6"/>
          <w:numId w:val="2"/>
        </w:numPr>
      </w:pPr>
      <w:r>
        <w:t>As for the specific interpretative errors of Articles 6.3(a) and 6.3(b) alleged by the European Union, t</w:t>
      </w:r>
      <w:r w:rsidRPr="00386DBD">
        <w:t xml:space="preserve">he </w:t>
      </w:r>
      <w:r>
        <w:t>United States</w:t>
      </w:r>
      <w:r w:rsidRPr="00386DBD">
        <w:t xml:space="preserve"> </w:t>
      </w:r>
      <w:r>
        <w:t>contends</w:t>
      </w:r>
      <w:r w:rsidRPr="00386DBD">
        <w:t xml:space="preserve"> that "{e}</w:t>
      </w:r>
      <w:r w:rsidRPr="00CB38EA">
        <w:rPr>
          <w:lang w:val="en-US"/>
        </w:rPr>
        <w:t>very aspect of the Panel's unitary analysis demonstrates that it considered displacement and impedance as separate and distinct concepts.</w:t>
      </w:r>
      <w:r w:rsidRPr="00386DBD">
        <w:t>"</w:t>
      </w:r>
      <w:r>
        <w:rPr>
          <w:rStyle w:val="FootnoteReference"/>
        </w:rPr>
        <w:footnoteReference w:id="1943"/>
      </w:r>
      <w:r>
        <w:t xml:space="preserve"> </w:t>
      </w:r>
      <w:r w:rsidRPr="00FB52DD">
        <w:t xml:space="preserve">The </w:t>
      </w:r>
      <w:r>
        <w:t>United States</w:t>
      </w:r>
      <w:r w:rsidRPr="00FB52DD">
        <w:t xml:space="preserve"> adds that the fact that the Panel </w:t>
      </w:r>
      <w:r>
        <w:t>"</w:t>
      </w:r>
      <w:r w:rsidRPr="00FB52DD">
        <w:t>made findings of displacement and impedance linked by the term 'and/or' confirms that it considered these product effects to be discrete concepts."</w:t>
      </w:r>
      <w:r>
        <w:rPr>
          <w:rStyle w:val="FootnoteReference"/>
        </w:rPr>
        <w:footnoteReference w:id="1944"/>
      </w:r>
      <w:r>
        <w:t xml:space="preserve"> T</w:t>
      </w:r>
      <w:r w:rsidRPr="00CB38EA">
        <w:rPr>
          <w:lang w:val="en-US"/>
        </w:rPr>
        <w:t xml:space="preserve">he </w:t>
      </w:r>
      <w:r>
        <w:rPr>
          <w:lang w:val="en-US"/>
        </w:rPr>
        <w:t>United States</w:t>
      </w:r>
      <w:r w:rsidRPr="00CB38EA">
        <w:rPr>
          <w:lang w:val="en-US"/>
        </w:rPr>
        <w:t xml:space="preserve"> </w:t>
      </w:r>
      <w:r>
        <w:rPr>
          <w:lang w:val="en-US"/>
        </w:rPr>
        <w:t xml:space="preserve">further </w:t>
      </w:r>
      <w:r w:rsidR="005755A4">
        <w:rPr>
          <w:lang w:val="en-US"/>
        </w:rPr>
        <w:t>recalls</w:t>
      </w:r>
      <w:r w:rsidRPr="00CB38EA">
        <w:rPr>
          <w:lang w:val="en-US"/>
        </w:rPr>
        <w:t xml:space="preserve"> that </w:t>
      </w:r>
      <w:r w:rsidRPr="00FB52DD">
        <w:t xml:space="preserve">the </w:t>
      </w:r>
      <w:r>
        <w:t>Appellate Body</w:t>
      </w:r>
      <w:r w:rsidRPr="00FB52DD">
        <w:t xml:space="preserve">, in interpreting </w:t>
      </w:r>
      <w:r>
        <w:t>Articles </w:t>
      </w:r>
      <w:r w:rsidRPr="00FB52DD">
        <w:t>6.3(a) and 6.3(b), has explained that "panels may discern or identify displacement or impedance based on evidence of trends in import or export volumes and market shares".</w:t>
      </w:r>
      <w:r>
        <w:rPr>
          <w:rStyle w:val="FootnoteReference"/>
        </w:rPr>
        <w:footnoteReference w:id="1945"/>
      </w:r>
      <w:r w:rsidRPr="00FB52DD">
        <w:t xml:space="preserve"> However, the </w:t>
      </w:r>
      <w:r>
        <w:t>United States</w:t>
      </w:r>
      <w:r w:rsidRPr="00FB52DD">
        <w:t xml:space="preserve"> </w:t>
      </w:r>
      <w:r>
        <w:t xml:space="preserve">also </w:t>
      </w:r>
      <w:r w:rsidRPr="00FB52DD">
        <w:t xml:space="preserve">recalls the </w:t>
      </w:r>
      <w:r>
        <w:t>Appellate Body</w:t>
      </w:r>
      <w:r w:rsidRPr="00FB52DD">
        <w:t>'s finding that</w:t>
      </w:r>
      <w:r w:rsidR="00624167">
        <w:t>,</w:t>
      </w:r>
      <w:r w:rsidRPr="00FB52DD">
        <w:t xml:space="preserve"> "because 'impedance may not be a visible phenomenon, evidence of trends may not be dispositive, or may hold less probative value, for a finding of impedance.'"</w:t>
      </w:r>
      <w:r>
        <w:rPr>
          <w:rStyle w:val="FootnoteReference"/>
        </w:rPr>
        <w:footnoteReference w:id="1946"/>
      </w:r>
      <w:r>
        <w:t xml:space="preserve"> In the United States' view, a </w:t>
      </w:r>
      <w:r w:rsidRPr="00CB38EA">
        <w:rPr>
          <w:lang w:val="en-US"/>
        </w:rPr>
        <w:t xml:space="preserve">comparison of the actual and counterfactual situations demonstrated that imports (or exports) and market share of </w:t>
      </w:r>
      <w:r w:rsidR="00624167">
        <w:t>US</w:t>
      </w:r>
      <w:r w:rsidRPr="00CB38EA">
        <w:rPr>
          <w:lang w:val="en-US"/>
        </w:rPr>
        <w:t xml:space="preserve"> LCA would have been greater in each of the relevant product markets, because "under the counterfactual scenarios, Airbus volume of deliveries and market share information would not have existed in any of the relevant product markets</w:t>
      </w:r>
      <w:r w:rsidR="00624167">
        <w:rPr>
          <w:lang w:val="en-US"/>
        </w:rPr>
        <w:t>.</w:t>
      </w:r>
      <w:r w:rsidRPr="00CB38EA">
        <w:rPr>
          <w:lang w:val="en-US"/>
        </w:rPr>
        <w:t>"</w:t>
      </w:r>
      <w:r>
        <w:rPr>
          <w:rStyle w:val="FootnoteReference"/>
          <w:lang w:val="en-US"/>
        </w:rPr>
        <w:footnoteReference w:id="1947"/>
      </w:r>
      <w:r w:rsidRPr="00CB38EA">
        <w:rPr>
          <w:lang w:val="en-US"/>
        </w:rPr>
        <w:t xml:space="preserve"> Thus, </w:t>
      </w:r>
      <w:r w:rsidRPr="00FB52DD">
        <w:t xml:space="preserve">the </w:t>
      </w:r>
      <w:r>
        <w:t>United States</w:t>
      </w:r>
      <w:r w:rsidRPr="00FB52DD">
        <w:t xml:space="preserve"> submits that</w:t>
      </w:r>
      <w:r>
        <w:t xml:space="preserve"> </w:t>
      </w:r>
      <w:r w:rsidRPr="00FB52DD">
        <w:t>t</w:t>
      </w:r>
      <w:r>
        <w:t xml:space="preserve">he Panel correctly interpreted </w:t>
      </w:r>
      <w:r w:rsidR="00624167">
        <w:t>the terms "</w:t>
      </w:r>
      <w:r>
        <w:t>displacement</w:t>
      </w:r>
      <w:r w:rsidR="00624167">
        <w:t>"</w:t>
      </w:r>
      <w:r>
        <w:t xml:space="preserve"> and </w:t>
      </w:r>
      <w:r w:rsidR="00624167">
        <w:t>"</w:t>
      </w:r>
      <w:r>
        <w:t>impedance</w:t>
      </w:r>
      <w:r w:rsidR="00624167">
        <w:t>"</w:t>
      </w:r>
      <w:r w:rsidRPr="00FB52DD">
        <w:t xml:space="preserve"> in </w:t>
      </w:r>
      <w:r>
        <w:t>Article </w:t>
      </w:r>
      <w:r w:rsidRPr="00FB52DD">
        <w:t>6.3</w:t>
      </w:r>
      <w:r w:rsidR="00624167">
        <w:t xml:space="preserve"> of the SCM Agreement</w:t>
      </w:r>
      <w:r>
        <w:t>.</w:t>
      </w:r>
      <w:r>
        <w:rPr>
          <w:rStyle w:val="FootnoteReference"/>
        </w:rPr>
        <w:footnoteReference w:id="1948"/>
      </w:r>
      <w:r w:rsidRPr="00FB52DD">
        <w:t xml:space="preserve"> </w:t>
      </w:r>
    </w:p>
    <w:p w:rsidR="00C752B3" w:rsidRPr="00CB38EA" w:rsidRDefault="00C752B3" w:rsidP="00526697">
      <w:pPr>
        <w:pStyle w:val="BodyText"/>
        <w:numPr>
          <w:ilvl w:val="6"/>
          <w:numId w:val="2"/>
        </w:numPr>
      </w:pPr>
      <w:r>
        <w:t xml:space="preserve">For these reasons, the United States requests </w:t>
      </w:r>
      <w:r w:rsidR="005755A4">
        <w:t>us to reject</w:t>
      </w:r>
      <w:r>
        <w:t xml:space="preserve"> the European Union's challenges to the Panel's analysis.</w:t>
      </w:r>
      <w:r>
        <w:rPr>
          <w:rStyle w:val="FootnoteReference"/>
        </w:rPr>
        <w:footnoteReference w:id="1949"/>
      </w:r>
      <w:r>
        <w:t xml:space="preserve"> However, </w:t>
      </w:r>
      <w:r w:rsidR="00624167">
        <w:t>in the event that we</w:t>
      </w:r>
      <w:r w:rsidRPr="007D6689">
        <w:t xml:space="preserve"> find that </w:t>
      </w:r>
      <w:r w:rsidRPr="007D6689">
        <w:rPr>
          <w:lang w:val="en-US"/>
        </w:rPr>
        <w:t xml:space="preserve">the Panel </w:t>
      </w:r>
      <w:r w:rsidRPr="00CB38EA">
        <w:t>erred</w:t>
      </w:r>
      <w:r w:rsidRPr="007D6689">
        <w:rPr>
          <w:lang w:val="en-US"/>
        </w:rPr>
        <w:t xml:space="preserve"> in its assessment of the evidence related to displacement and impedance</w:t>
      </w:r>
      <w:r w:rsidRPr="007D6689">
        <w:t xml:space="preserve">, or that </w:t>
      </w:r>
      <w:r w:rsidRPr="007D6689">
        <w:rPr>
          <w:lang w:val="en-US"/>
        </w:rPr>
        <w:t>the Panel should have more explicitly addressed trends</w:t>
      </w:r>
      <w:r w:rsidRPr="007D6689">
        <w:t xml:space="preserve">, the </w:t>
      </w:r>
      <w:r>
        <w:t>United States</w:t>
      </w:r>
      <w:r w:rsidRPr="007D6689">
        <w:t xml:space="preserve"> requests </w:t>
      </w:r>
      <w:r>
        <w:t xml:space="preserve">that we </w:t>
      </w:r>
      <w:r w:rsidRPr="007D6689">
        <w:rPr>
          <w:lang w:val="en-US"/>
        </w:rPr>
        <w:t xml:space="preserve">complete the </w:t>
      </w:r>
      <w:r w:rsidR="00624167">
        <w:rPr>
          <w:lang w:val="en-US"/>
        </w:rPr>
        <w:t xml:space="preserve">legal </w:t>
      </w:r>
      <w:r w:rsidRPr="007D6689">
        <w:rPr>
          <w:lang w:val="en-US"/>
        </w:rPr>
        <w:t xml:space="preserve">analysis of displacement and/or impedance based on relevant data from the period </w:t>
      </w:r>
      <w:r w:rsidR="00624167">
        <w:rPr>
          <w:lang w:val="en-US"/>
        </w:rPr>
        <w:t>2001-2013</w:t>
      </w:r>
      <w:r w:rsidRPr="00FB52DD">
        <w:rPr>
          <w:lang w:val="en-US"/>
        </w:rPr>
        <w:t>.</w:t>
      </w:r>
      <w:r>
        <w:rPr>
          <w:rStyle w:val="FootnoteReference"/>
          <w:lang w:val="en-US"/>
        </w:rPr>
        <w:footnoteReference w:id="1950"/>
      </w:r>
    </w:p>
    <w:p w:rsidR="00C752B3" w:rsidRDefault="00C752B3" w:rsidP="00526697">
      <w:pPr>
        <w:pStyle w:val="Heading4"/>
      </w:pPr>
      <w:bookmarkStart w:id="192" w:name="_Toc514059294"/>
      <w:r>
        <w:t>Whether the Panel erred in its interpretation of "displacement" and "impedance"</w:t>
      </w:r>
      <w:bookmarkEnd w:id="192"/>
      <w:r>
        <w:t xml:space="preserve"> </w:t>
      </w:r>
    </w:p>
    <w:p w:rsidR="00C752B3" w:rsidRDefault="00C752B3" w:rsidP="00526697">
      <w:pPr>
        <w:pStyle w:val="BodyText"/>
      </w:pPr>
      <w:r w:rsidRPr="0085300D">
        <w:t xml:space="preserve">We begin our analysis with the text of </w:t>
      </w:r>
      <w:r>
        <w:t>Article </w:t>
      </w:r>
      <w:r w:rsidRPr="0085300D">
        <w:t xml:space="preserve">6.3 of the </w:t>
      </w:r>
      <w:r>
        <w:t>SCM Agreement</w:t>
      </w:r>
      <w:r w:rsidR="001D5A50">
        <w:t>,</w:t>
      </w:r>
      <w:r w:rsidRPr="0085300D">
        <w:t xml:space="preserve"> which states, in relevant part:</w:t>
      </w:r>
    </w:p>
    <w:p w:rsidR="00C752B3" w:rsidRDefault="00C752B3" w:rsidP="00C752B3">
      <w:pPr>
        <w:pStyle w:val="Quotation"/>
      </w:pPr>
      <w:r w:rsidRPr="00906B59">
        <w:t xml:space="preserve">Serious prejudice in the sense of paragraph (c) of </w:t>
      </w:r>
      <w:r>
        <w:t>Article </w:t>
      </w:r>
      <w:r w:rsidRPr="00906B59">
        <w:t>5 may arise in any case where one or several of the following apply:</w:t>
      </w:r>
    </w:p>
    <w:p w:rsidR="00C752B3" w:rsidRDefault="00C752B3" w:rsidP="00C752B3">
      <w:pPr>
        <w:pStyle w:val="Quotation"/>
      </w:pPr>
      <w:r w:rsidRPr="00FB52DD">
        <w:t>(a)</w:t>
      </w:r>
      <w:r w:rsidRPr="00FB52DD">
        <w:tab/>
        <w:t xml:space="preserve">the effect of the subsidy is to </w:t>
      </w:r>
      <w:r w:rsidRPr="002155E4">
        <w:t>displace or impede</w:t>
      </w:r>
      <w:r w:rsidRPr="00FB52DD">
        <w:t xml:space="preserve"> the imports of a like product of another Member into the market of the subsidizing Member;</w:t>
      </w:r>
    </w:p>
    <w:p w:rsidR="00C752B3" w:rsidRDefault="00C752B3" w:rsidP="005755A4">
      <w:pPr>
        <w:pStyle w:val="Quotation"/>
      </w:pPr>
      <w:r w:rsidRPr="00906B59">
        <w:t>(b)</w:t>
      </w:r>
      <w:r w:rsidRPr="00906B59">
        <w:tab/>
        <w:t xml:space="preserve">the effect of the subsidy is to </w:t>
      </w:r>
      <w:r w:rsidRPr="002155E4">
        <w:t>displace or impede</w:t>
      </w:r>
      <w:r w:rsidRPr="00906B59">
        <w:t xml:space="preserve"> the exports of a like product of another Mem</w:t>
      </w:r>
      <w:r w:rsidR="005755A4">
        <w:t>ber from a third country market;</w:t>
      </w:r>
      <w:r w:rsidR="001D5A50">
        <w:t xml:space="preserve"> …</w:t>
      </w:r>
    </w:p>
    <w:p w:rsidR="00C752B3" w:rsidRDefault="00C752B3" w:rsidP="00526697">
      <w:pPr>
        <w:pStyle w:val="BodyText"/>
      </w:pPr>
      <w:r w:rsidRPr="00231B11">
        <w:t xml:space="preserve">We note that </w:t>
      </w:r>
      <w:r>
        <w:t>Article </w:t>
      </w:r>
      <w:r w:rsidRPr="00231B11">
        <w:t xml:space="preserve">6.3(a) and </w:t>
      </w:r>
      <w:r w:rsidR="00624167">
        <w:t xml:space="preserve">Article </w:t>
      </w:r>
      <w:r w:rsidRPr="00231B11">
        <w:t xml:space="preserve">6.3(b) </w:t>
      </w:r>
      <w:r>
        <w:t xml:space="preserve">of the SCM Agreement </w:t>
      </w:r>
      <w:r w:rsidR="00624167">
        <w:t xml:space="preserve">both </w:t>
      </w:r>
      <w:r w:rsidRPr="00231B11">
        <w:t xml:space="preserve">use the conjunction "or" to separate the terms "displace" and "impede". </w:t>
      </w:r>
      <w:r w:rsidRPr="00287170">
        <w:t xml:space="preserve">The text of </w:t>
      </w:r>
      <w:r>
        <w:t>Article </w:t>
      </w:r>
      <w:r w:rsidRPr="00287170">
        <w:t xml:space="preserve">6.3 does not elaborate </w:t>
      </w:r>
      <w:r w:rsidR="00624167">
        <w:t xml:space="preserve">further </w:t>
      </w:r>
      <w:r w:rsidRPr="00287170">
        <w:t>on these concepts</w:t>
      </w:r>
      <w:r>
        <w:t xml:space="preserve">. In </w:t>
      </w:r>
      <w:r w:rsidR="00624167">
        <w:t xml:space="preserve">the original proceedings, the Appellate Body explained that, in </w:t>
      </w:r>
      <w:r>
        <w:t xml:space="preserve">order to come to a finding that the </w:t>
      </w:r>
      <w:r w:rsidRPr="00396F57">
        <w:rPr>
          <w:i/>
        </w:rPr>
        <w:t>effect of a subsidy</w:t>
      </w:r>
      <w:r>
        <w:t xml:space="preserve"> is "to displace or impede", </w:t>
      </w:r>
      <w:r w:rsidR="00624167">
        <w:t>"the </w:t>
      </w:r>
      <w:r w:rsidRPr="006B76DE">
        <w:t>counterfactual analysis would involve estimating what the sales of the complaining Member would have been in the absence of the challenged subsidy"</w:t>
      </w:r>
      <w:r w:rsidR="00624167">
        <w:t>,</w:t>
      </w:r>
      <w:r w:rsidRPr="006B76DE">
        <w:t xml:space="preserve"> and thereafter </w:t>
      </w:r>
      <w:r>
        <w:t xml:space="preserve">comparing </w:t>
      </w:r>
      <w:r w:rsidRPr="006B76DE">
        <w:t xml:space="preserve">"{t}he counterfactual sales of the complaining Member </w:t>
      </w:r>
      <w:r>
        <w:t>…</w:t>
      </w:r>
      <w:r w:rsidRPr="006B76DE">
        <w:t xml:space="preserve"> to its actual sales".</w:t>
      </w:r>
      <w:r>
        <w:rPr>
          <w:rStyle w:val="FootnoteReference"/>
        </w:rPr>
        <w:footnoteReference w:id="1951"/>
      </w:r>
      <w:r w:rsidRPr="006B76DE">
        <w:t xml:space="preserve"> The </w:t>
      </w:r>
      <w:r>
        <w:t>Appellate Body</w:t>
      </w:r>
      <w:r w:rsidRPr="006B76DE">
        <w:t xml:space="preserve"> concluded that </w:t>
      </w:r>
      <w:r>
        <w:t xml:space="preserve">the </w:t>
      </w:r>
      <w:r w:rsidRPr="00396F57">
        <w:rPr>
          <w:i/>
        </w:rPr>
        <w:t>effect of a subsidy</w:t>
      </w:r>
      <w:r>
        <w:t xml:space="preserve"> is "to displace or impede"</w:t>
      </w:r>
      <w:r w:rsidRPr="006B76DE">
        <w:t xml:space="preserve"> where "the counterfactual analysis shows that the sales of the complaining Member would have declined less or would have been higher in the absence of the challenged subsidy</w:t>
      </w:r>
      <w:r w:rsidR="00624167">
        <w:t>.</w:t>
      </w:r>
      <w:r w:rsidRPr="006B76DE">
        <w:t>"</w:t>
      </w:r>
      <w:r>
        <w:rPr>
          <w:rStyle w:val="FootnoteReference"/>
        </w:rPr>
        <w:footnoteReference w:id="1952"/>
      </w:r>
      <w:r>
        <w:t xml:space="preserve"> That said, regardless of the methodology used to undertake an analysis of serious prejudice under Article 6.3, the market phenomenon must be shown to be the effect of the challenged subsidy.</w:t>
      </w:r>
    </w:p>
    <w:p w:rsidR="00C752B3" w:rsidRDefault="00C752B3" w:rsidP="00526697">
      <w:pPr>
        <w:pStyle w:val="BodyText"/>
      </w:pPr>
      <w:r>
        <w:t>Specifically, in relation to displacement, t</w:t>
      </w:r>
      <w:r w:rsidRPr="00BA58E6">
        <w:t xml:space="preserve">he </w:t>
      </w:r>
      <w:r>
        <w:t>Appellate Body</w:t>
      </w:r>
      <w:r w:rsidRPr="00BA58E6">
        <w:t xml:space="preserve"> construed th</w:t>
      </w:r>
      <w:r>
        <w:t>at</w:t>
      </w:r>
      <w:r w:rsidRPr="00BA58E6">
        <w:t xml:space="preserve"> concept </w:t>
      </w:r>
      <w:r>
        <w:t>"</w:t>
      </w:r>
      <w:r w:rsidRPr="00BA58E6">
        <w:t>as relating to, and arising out of, competitive engagement between products in a market"</w:t>
      </w:r>
      <w:r>
        <w:t>.</w:t>
      </w:r>
      <w:r>
        <w:rPr>
          <w:rStyle w:val="FootnoteReference"/>
        </w:rPr>
        <w:footnoteReference w:id="1953"/>
      </w:r>
      <w:r>
        <w:t xml:space="preserve"> Displacement, as the Appellate Body </w:t>
      </w:r>
      <w:r w:rsidR="00624167">
        <w:t>e</w:t>
      </w:r>
      <w:r>
        <w:t>xplained, "</w:t>
      </w:r>
      <w:r w:rsidRPr="004D7EB7">
        <w:t>is a situation where imports or exports of a like product are</w:t>
      </w:r>
      <w:r w:rsidRPr="004D7EB7" w:rsidDel="000931E8">
        <w:t xml:space="preserve"> replace</w:t>
      </w:r>
      <w:r w:rsidRPr="004D7EB7">
        <w:t>d by the sales of the subsidized product"</w:t>
      </w:r>
      <w:r>
        <w:rPr>
          <w:rStyle w:val="FootnoteReference"/>
        </w:rPr>
        <w:footnoteReference w:id="1954"/>
      </w:r>
      <w:r w:rsidRPr="004D7EB7">
        <w:t xml:space="preserve"> </w:t>
      </w:r>
      <w:r>
        <w:t xml:space="preserve">– </w:t>
      </w:r>
      <w:r w:rsidRPr="004D7EB7">
        <w:t>i.e. "there is a substitution effect between the subsidized product and the like product of the complaining Member".</w:t>
      </w:r>
      <w:r>
        <w:rPr>
          <w:rStyle w:val="FootnoteReference"/>
        </w:rPr>
        <w:footnoteReference w:id="1955"/>
      </w:r>
      <w:r w:rsidR="00E01DBF">
        <w:t xml:space="preserve"> A </w:t>
      </w:r>
      <w:r>
        <w:t xml:space="preserve">determination of whether the effect of a subsidy is to displace involves a fact-specific analysis that can </w:t>
      </w:r>
      <w:r w:rsidR="00624167">
        <w:t xml:space="preserve">be made </w:t>
      </w:r>
      <w:r>
        <w:t xml:space="preserve">only on a case-by-case basis and in light of the particularities of the market concerned. To the extent that a complainant can demonstrate through arguments and evidence </w:t>
      </w:r>
      <w:r w:rsidRPr="00F077E5">
        <w:t xml:space="preserve">that actual sales </w:t>
      </w:r>
      <w:r>
        <w:t xml:space="preserve">or market shares of the like product have </w:t>
      </w:r>
      <w:r w:rsidRPr="00451C9C">
        <w:t xml:space="preserve">declined </w:t>
      </w:r>
      <w:r>
        <w:t>during the reference period, this</w:t>
      </w:r>
      <w:r w:rsidRPr="00F077E5">
        <w:t xml:space="preserve"> </w:t>
      </w:r>
      <w:r>
        <w:t>may be indicative of displacement caused by the subsidy within the meaning of Articles 6.3(a) and 6.3(b).</w:t>
      </w:r>
      <w:r>
        <w:rPr>
          <w:rStyle w:val="FootnoteReference"/>
        </w:rPr>
        <w:footnoteReference w:id="1956"/>
      </w:r>
      <w:r>
        <w:t xml:space="preserve"> To that extent, while a</w:t>
      </w:r>
      <w:r w:rsidRPr="00F947ED">
        <w:t xml:space="preserve"> </w:t>
      </w:r>
      <w:r w:rsidR="00624167">
        <w:t xml:space="preserve">market </w:t>
      </w:r>
      <w:r w:rsidRPr="00F947ED">
        <w:t xml:space="preserve">trend analysis </w:t>
      </w:r>
      <w:r w:rsidR="005755A4">
        <w:t>– e.g.</w:t>
      </w:r>
      <w:r>
        <w:t xml:space="preserve"> regarding whether there has been a change in relative shares of the market to the disadvantage of the like product – </w:t>
      </w:r>
      <w:r w:rsidRPr="00F947ED">
        <w:t xml:space="preserve">may </w:t>
      </w:r>
      <w:r>
        <w:t>carry relevance</w:t>
      </w:r>
      <w:r w:rsidRPr="00F947ED">
        <w:t xml:space="preserve">, </w:t>
      </w:r>
      <w:r>
        <w:t>it is not</w:t>
      </w:r>
      <w:r w:rsidRPr="00F947ED">
        <w:t xml:space="preserve"> determinative</w:t>
      </w:r>
      <w:r>
        <w:t xml:space="preserve"> of the existence of serious prejudice. </w:t>
      </w:r>
    </w:p>
    <w:p w:rsidR="00C752B3" w:rsidRDefault="00C752B3" w:rsidP="00526697">
      <w:pPr>
        <w:pStyle w:val="BodyText"/>
      </w:pPr>
      <w:r>
        <w:t xml:space="preserve">The term "impede", as the Appellate Body found, </w:t>
      </w:r>
      <w:r w:rsidRPr="00FB52DD">
        <w:t>"connotes a broader array of situations than the term 'displace'"</w:t>
      </w:r>
      <w:r>
        <w:t>.</w:t>
      </w:r>
      <w:r>
        <w:rPr>
          <w:rStyle w:val="FootnoteReference"/>
        </w:rPr>
        <w:footnoteReference w:id="1957"/>
      </w:r>
      <w:r>
        <w:t xml:space="preserve"> The Appellate Body explained that impedance </w:t>
      </w:r>
      <w:r w:rsidRPr="00FB52DD">
        <w:t>"refers to situations where the exports or imports of the like product of the complaining Member would have expanded had they not been 'obstructed' or 'hindered' by the subsidized product".</w:t>
      </w:r>
      <w:r>
        <w:rPr>
          <w:rStyle w:val="FootnoteReference"/>
        </w:rPr>
        <w:footnoteReference w:id="1958"/>
      </w:r>
      <w:r>
        <w:t xml:space="preserve"> E</w:t>
      </w:r>
      <w:r w:rsidRPr="00E20560">
        <w:t>vidence that sales would ha</w:t>
      </w:r>
      <w:r>
        <w:t xml:space="preserve">ve increased more </w:t>
      </w:r>
      <w:r w:rsidR="00624167">
        <w:t>or</w:t>
      </w:r>
      <w:r>
        <w:t xml:space="preserve"> declined less than they did in the absence of the subsidy</w:t>
      </w:r>
      <w:r w:rsidRPr="00E20560">
        <w:t xml:space="preserve"> would </w:t>
      </w:r>
      <w:r>
        <w:t xml:space="preserve">indicate the existence </w:t>
      </w:r>
      <w:r w:rsidRPr="00E20560">
        <w:t>of impedance</w:t>
      </w:r>
      <w:r>
        <w:t xml:space="preserve"> within the meaning of Articles 6.3(a) and 6.3(b).</w:t>
      </w:r>
      <w:r>
        <w:rPr>
          <w:rStyle w:val="FootnoteReference"/>
        </w:rPr>
        <w:footnoteReference w:id="1959"/>
      </w:r>
      <w:r w:rsidR="00E01DBF">
        <w:t xml:space="preserve"> The </w:t>
      </w:r>
      <w:r>
        <w:t>Appellate Body</w:t>
      </w:r>
      <w:r w:rsidRPr="001059B4">
        <w:t xml:space="preserve"> </w:t>
      </w:r>
      <w:r>
        <w:t xml:space="preserve">further explained that "impedance" </w:t>
      </w:r>
      <w:r w:rsidRPr="00FB52DD">
        <w:t>c</w:t>
      </w:r>
      <w:r>
        <w:t>an</w:t>
      </w:r>
      <w:r w:rsidRPr="00FB52DD">
        <w:t xml:space="preserve"> also refer to a situation where "the exports or imports of the like product of the complaining Member did not materialize at all because production was held back by the subsidized product".</w:t>
      </w:r>
      <w:r>
        <w:rPr>
          <w:rStyle w:val="FootnoteReference"/>
        </w:rPr>
        <w:footnoteReference w:id="1960"/>
      </w:r>
      <w:r>
        <w:t xml:space="preserve"> As in the case of displacement, a determination of whether the effect of a subsidy is to "impede" involves a fact</w:t>
      </w:r>
      <w:r>
        <w:noBreakHyphen/>
      </w:r>
      <w:r w:rsidR="005755A4">
        <w:t>specific</w:t>
      </w:r>
      <w:r>
        <w:t xml:space="preserve"> analysis that can be made </w:t>
      </w:r>
      <w:r w:rsidR="00624167">
        <w:t xml:space="preserve">only </w:t>
      </w:r>
      <w:r>
        <w:t>on a case-by-case basis and in light of th</w:t>
      </w:r>
      <w:r w:rsidR="00E01DBF">
        <w:t>e particularities of the market </w:t>
      </w:r>
      <w:r>
        <w:t xml:space="preserve">concerned. </w:t>
      </w:r>
    </w:p>
    <w:p w:rsidR="00C752B3" w:rsidRDefault="00C752B3" w:rsidP="00526697">
      <w:pPr>
        <w:pStyle w:val="BodyText"/>
      </w:pPr>
      <w:r>
        <w:t>We recall</w:t>
      </w:r>
      <w:r w:rsidR="00624167">
        <w:t>, in the original proceedings,</w:t>
      </w:r>
      <w:r>
        <w:t xml:space="preserve"> that the Appellate </w:t>
      </w:r>
      <w:r w:rsidR="00E01DBF">
        <w:t>Body acknowledged that "{t}here </w:t>
      </w:r>
      <w:r>
        <w:t>… could be situations where displacement and impedance overlap"</w:t>
      </w:r>
      <w:r>
        <w:rPr>
          <w:rStyle w:val="FootnoteReference"/>
        </w:rPr>
        <w:footnoteReference w:id="1961"/>
      </w:r>
      <w:r>
        <w:t xml:space="preserve"> and that "it may be difficult to draw a clear demarcation"</w:t>
      </w:r>
      <w:r>
        <w:rPr>
          <w:rStyle w:val="FootnoteReference"/>
        </w:rPr>
        <w:footnoteReference w:id="1962"/>
      </w:r>
      <w:r>
        <w:t xml:space="preserve"> between these concepts. </w:t>
      </w:r>
      <w:r w:rsidR="00624167">
        <w:t>T</w:t>
      </w:r>
      <w:r>
        <w:t xml:space="preserve">he Appellate Body indicated, for example, how a particular factual situation could give rise to the phenomena of both displacement and impedance. Specifically with respect to </w:t>
      </w:r>
      <w:r w:rsidRPr="0085300D">
        <w:t xml:space="preserve">situations where the imports or exports of the like product </w:t>
      </w:r>
      <w:r>
        <w:t>"</w:t>
      </w:r>
      <w:r w:rsidRPr="0085300D">
        <w:t>are declining</w:t>
      </w:r>
      <w:r>
        <w:t>" and where they</w:t>
      </w:r>
      <w:r w:rsidRPr="0085300D">
        <w:t xml:space="preserve"> </w:t>
      </w:r>
      <w:r>
        <w:t>"</w:t>
      </w:r>
      <w:r w:rsidRPr="0085300D">
        <w:t xml:space="preserve">are declining by more than they otherwise would", </w:t>
      </w:r>
      <w:r>
        <w:t xml:space="preserve">the Appellate Body noted that, </w:t>
      </w:r>
      <w:r w:rsidR="00624167">
        <w:t>"{t}</w:t>
      </w:r>
      <w:r w:rsidRPr="0085300D">
        <w:t xml:space="preserve">o the extent that there </w:t>
      </w:r>
      <w:r w:rsidRPr="00231B11">
        <w:t>is an observable decline</w:t>
      </w:r>
      <w:r w:rsidRPr="0085300D">
        <w:t xml:space="preserve"> in the imports or exports, it could be considered a situation of displacement</w:t>
      </w:r>
      <w:r w:rsidR="00624167">
        <w:t>.</w:t>
      </w:r>
      <w:r w:rsidRPr="0085300D">
        <w:t>"</w:t>
      </w:r>
      <w:r>
        <w:rPr>
          <w:rStyle w:val="FootnoteReference"/>
        </w:rPr>
        <w:footnoteReference w:id="1963"/>
      </w:r>
      <w:r w:rsidRPr="0085300D">
        <w:t xml:space="preserve"> At the same time, the </w:t>
      </w:r>
      <w:r>
        <w:t>Appellate Body</w:t>
      </w:r>
      <w:r w:rsidRPr="0085300D">
        <w:t xml:space="preserve"> stated that "there is an aspect of the decline that is </w:t>
      </w:r>
      <w:r w:rsidRPr="00231B11">
        <w:t>not directly observable</w:t>
      </w:r>
      <w:r>
        <w:t xml:space="preserve"> – </w:t>
      </w:r>
      <w:r w:rsidRPr="0085300D">
        <w:t xml:space="preserve">the decline is sharper than it would otherwise have been", in </w:t>
      </w:r>
      <w:r w:rsidR="00624167">
        <w:t>which</w:t>
      </w:r>
      <w:r w:rsidRPr="0085300D">
        <w:t xml:space="preserve"> case, the "situation could be considered one of impedance".</w:t>
      </w:r>
      <w:r>
        <w:rPr>
          <w:rStyle w:val="FootnoteReference"/>
        </w:rPr>
        <w:footnoteReference w:id="1964"/>
      </w:r>
    </w:p>
    <w:p w:rsidR="00C752B3" w:rsidRPr="00205320" w:rsidRDefault="00C752B3" w:rsidP="00526697">
      <w:pPr>
        <w:pStyle w:val="BodyText"/>
      </w:pPr>
      <w:r w:rsidRPr="00CB2174">
        <w:rPr>
          <w:rFonts w:eastAsia="Times New Roman"/>
        </w:rPr>
        <w:t xml:space="preserve">With these considerations in mind, we turn to address </w:t>
      </w:r>
      <w:r w:rsidRPr="00FB52DD">
        <w:t xml:space="preserve">the issues raised by the </w:t>
      </w:r>
      <w:r>
        <w:t>European Union</w:t>
      </w:r>
      <w:r w:rsidRPr="00FB52DD">
        <w:t xml:space="preserve"> on appeal, beginning with the </w:t>
      </w:r>
      <w:r>
        <w:t>European Union</w:t>
      </w:r>
      <w:r w:rsidRPr="00FB52DD">
        <w:t xml:space="preserve">'s </w:t>
      </w:r>
      <w:r>
        <w:t>claim</w:t>
      </w:r>
      <w:r w:rsidRPr="00FB52DD">
        <w:t xml:space="preserve"> that the Panel </w:t>
      </w:r>
      <w:r>
        <w:t>treated</w:t>
      </w:r>
      <w:r w:rsidRPr="00FB52DD">
        <w:t xml:space="preserve"> </w:t>
      </w:r>
      <w:r w:rsidR="00624167">
        <w:t>"</w:t>
      </w:r>
      <w:r w:rsidRPr="00FB52DD">
        <w:t>displacement</w:t>
      </w:r>
      <w:r w:rsidR="00624167">
        <w:t>"</w:t>
      </w:r>
      <w:r w:rsidRPr="00FB52DD">
        <w:t xml:space="preserve"> and </w:t>
      </w:r>
      <w:r w:rsidR="00624167">
        <w:t>"</w:t>
      </w:r>
      <w:r w:rsidRPr="00FB52DD">
        <w:t>impedance</w:t>
      </w:r>
      <w:r w:rsidR="00624167">
        <w:t>"</w:t>
      </w:r>
      <w:r w:rsidRPr="00FB52DD">
        <w:t xml:space="preserve"> as interchangeable concepts</w:t>
      </w:r>
      <w:r>
        <w:t xml:space="preserve"> and therefore erred</w:t>
      </w:r>
      <w:r w:rsidRPr="00FB52DD">
        <w:t>.</w:t>
      </w:r>
      <w:r>
        <w:t xml:space="preserve"> As noted, the European Union asserts that </w:t>
      </w:r>
      <w:r w:rsidRPr="00080F26">
        <w:t>"</w:t>
      </w:r>
      <w:r w:rsidRPr="00CB2174">
        <w:rPr>
          <w:lang w:val="en-US"/>
        </w:rPr>
        <w:t xml:space="preserve">the Panel made undifferentiated findings of 'displacement </w:t>
      </w:r>
      <w:r w:rsidRPr="00CB2174">
        <w:rPr>
          <w:i/>
          <w:lang w:val="en-US"/>
        </w:rPr>
        <w:t>and/or</w:t>
      </w:r>
      <w:r w:rsidRPr="00F728ED">
        <w:rPr>
          <w:lang w:val="en-US"/>
        </w:rPr>
        <w:t xml:space="preserve"> impedance' with respect to all of the country and product markets at issue".</w:t>
      </w:r>
      <w:r>
        <w:rPr>
          <w:rStyle w:val="FootnoteReference"/>
          <w:lang w:val="en-US"/>
        </w:rPr>
        <w:footnoteReference w:id="1965"/>
      </w:r>
      <w:r w:rsidRPr="00CB2174">
        <w:rPr>
          <w:lang w:val="en-US"/>
        </w:rPr>
        <w:t xml:space="preserve"> The European Union</w:t>
      </w:r>
      <w:r w:rsidRPr="00F728ED">
        <w:rPr>
          <w:lang w:val="en-US"/>
        </w:rPr>
        <w:t xml:space="preserve"> contends </w:t>
      </w:r>
      <w:r>
        <w:t xml:space="preserve">that </w:t>
      </w:r>
      <w:r w:rsidRPr="0012408D">
        <w:t xml:space="preserve">"a proper reading" of the </w:t>
      </w:r>
      <w:r>
        <w:t>Appellate Body</w:t>
      </w:r>
      <w:r w:rsidRPr="0012408D">
        <w:t xml:space="preserve">'s guidance reveals that the </w:t>
      </w:r>
      <w:r>
        <w:t>Appellate Body</w:t>
      </w:r>
      <w:r w:rsidRPr="0012408D">
        <w:t xml:space="preserve"> "matche{d} </w:t>
      </w:r>
      <w:r w:rsidRPr="00CB2174">
        <w:rPr>
          <w:lang w:val="en-US"/>
        </w:rPr>
        <w:t>(i) the concept of 'displacement' with a situation where, absent the subsidies, 'the sales of the complaining Member would have declined less'</w:t>
      </w:r>
      <w:r w:rsidR="00DD5C67">
        <w:rPr>
          <w:lang w:val="en-US"/>
        </w:rPr>
        <w:t xml:space="preserve">, and (ii) </w:t>
      </w:r>
      <w:r w:rsidRPr="00CB2174">
        <w:rPr>
          <w:lang w:val="en-US"/>
        </w:rPr>
        <w:t>the concept of 'impedance' with a situation where, absent the subsidies, 'the sales of the complaining Member … would have been higher'."</w:t>
      </w:r>
      <w:r>
        <w:rPr>
          <w:rStyle w:val="FootnoteReference"/>
          <w:lang w:val="en-US"/>
        </w:rPr>
        <w:footnoteReference w:id="1966"/>
      </w:r>
      <w:r w:rsidRPr="00CB2174">
        <w:rPr>
          <w:lang w:val="en-US"/>
        </w:rPr>
        <w:t xml:space="preserve"> </w:t>
      </w:r>
      <w:r w:rsidRPr="0012408D">
        <w:t xml:space="preserve">The </w:t>
      </w:r>
      <w:r>
        <w:t>European Union</w:t>
      </w:r>
      <w:r w:rsidRPr="0012408D">
        <w:t xml:space="preserve"> </w:t>
      </w:r>
      <w:r>
        <w:t xml:space="preserve">further </w:t>
      </w:r>
      <w:r w:rsidRPr="0012408D">
        <w:t>submits th</w:t>
      </w:r>
      <w:r w:rsidR="00DD5C67">
        <w:t xml:space="preserve">at "the Panel failed to specify whether it had found (i) </w:t>
      </w:r>
      <w:r w:rsidRPr="0012408D">
        <w:t>both displacement and impedance in all country a</w:t>
      </w:r>
      <w:r w:rsidR="00DD5C67">
        <w:t>nd pro</w:t>
      </w:r>
      <w:r w:rsidR="00E01DBF">
        <w:t>duct markets, or </w:t>
      </w:r>
      <w:r w:rsidR="00DD5C67">
        <w:t xml:space="preserve">instead (ii) </w:t>
      </w:r>
      <w:r w:rsidRPr="0012408D">
        <w:t>had found one or the other of these two distinct effects in any given market</w:t>
      </w:r>
      <w:r w:rsidR="00DD5C67">
        <w:t>.</w:t>
      </w:r>
      <w:r w:rsidRPr="0012408D">
        <w:t>"</w:t>
      </w:r>
      <w:r>
        <w:rPr>
          <w:rStyle w:val="FootnoteReference"/>
        </w:rPr>
        <w:footnoteReference w:id="1967"/>
      </w:r>
    </w:p>
    <w:p w:rsidR="00C752B3" w:rsidRDefault="00C752B3" w:rsidP="00526697">
      <w:pPr>
        <w:pStyle w:val="BodyText"/>
      </w:pPr>
      <w:r w:rsidRPr="00080F26">
        <w:t xml:space="preserve">The </w:t>
      </w:r>
      <w:r>
        <w:t>United States</w:t>
      </w:r>
      <w:r w:rsidRPr="00080F26">
        <w:t xml:space="preserve"> </w:t>
      </w:r>
      <w:r>
        <w:t xml:space="preserve">responds by </w:t>
      </w:r>
      <w:r w:rsidRPr="00080F26">
        <w:t>recall</w:t>
      </w:r>
      <w:r>
        <w:t>ing</w:t>
      </w:r>
      <w:r w:rsidRPr="00080F26">
        <w:t xml:space="preserve"> that both "displacement and impedance" were present in most of the product markets and</w:t>
      </w:r>
      <w:r w:rsidRPr="00350933">
        <w:t xml:space="preserve"> </w:t>
      </w:r>
      <w:r>
        <w:t>t</w:t>
      </w:r>
      <w:r w:rsidRPr="00350933">
        <w:t xml:space="preserve">he only product and geographical markets in which the </w:t>
      </w:r>
      <w:r>
        <w:t>United States</w:t>
      </w:r>
      <w:r w:rsidRPr="00350933">
        <w:t xml:space="preserve"> did </w:t>
      </w:r>
      <w:r w:rsidRPr="00350933">
        <w:rPr>
          <w:i/>
        </w:rPr>
        <w:t>not</w:t>
      </w:r>
      <w:r w:rsidRPr="00350933">
        <w:t xml:space="preserve"> allege </w:t>
      </w:r>
      <w:r>
        <w:t>"</w:t>
      </w:r>
      <w:r w:rsidRPr="00350933">
        <w:t>displacement and/or impedance, or the threat thereof"</w:t>
      </w:r>
      <w:r>
        <w:rPr>
          <w:rStyle w:val="FootnoteReference"/>
        </w:rPr>
        <w:footnoteReference w:id="1968"/>
      </w:r>
      <w:r w:rsidRPr="00350933">
        <w:t xml:space="preserve">, were the </w:t>
      </w:r>
      <w:r w:rsidR="00DD5C67">
        <w:t>EU</w:t>
      </w:r>
      <w:r w:rsidRPr="00350933">
        <w:t xml:space="preserve"> twin-aisle </w:t>
      </w:r>
      <w:r>
        <w:t xml:space="preserve">LCA </w:t>
      </w:r>
      <w:r w:rsidRPr="00350933">
        <w:t>market; the China VLA market; and the United Arab Emirates VLA market.</w:t>
      </w:r>
      <w:r>
        <w:t xml:space="preserve"> Instead, the United States </w:t>
      </w:r>
      <w:r w:rsidR="00DD5C67">
        <w:t>has claimed</w:t>
      </w:r>
      <w:r>
        <w:t xml:space="preserve"> only impedance in these markets.</w:t>
      </w:r>
      <w:r>
        <w:rPr>
          <w:rStyle w:val="FootnoteReference"/>
        </w:rPr>
        <w:footnoteReference w:id="1969"/>
      </w:r>
      <w:r>
        <w:t xml:space="preserve"> T</w:t>
      </w:r>
      <w:r w:rsidRPr="00080F26">
        <w:t>herefore</w:t>
      </w:r>
      <w:r>
        <w:t>, according to the United States,</w:t>
      </w:r>
      <w:r w:rsidRPr="00080F26">
        <w:t xml:space="preserve"> "the Panel's simultaneous analysis of both concepts represents a logical approach to assessing the {</w:t>
      </w:r>
      <w:r>
        <w:t>United States</w:t>
      </w:r>
      <w:r w:rsidRPr="00080F26">
        <w:t>'} claims</w:t>
      </w:r>
      <w:r w:rsidR="00DD5C67">
        <w:t>.</w:t>
      </w:r>
      <w:r w:rsidRPr="00080F26">
        <w:t>"</w:t>
      </w:r>
      <w:r>
        <w:rPr>
          <w:rStyle w:val="FootnoteReference"/>
        </w:rPr>
        <w:footnoteReference w:id="1970"/>
      </w:r>
      <w:r>
        <w:t xml:space="preserve"> T</w:t>
      </w:r>
      <w:r w:rsidRPr="0012408D">
        <w:t xml:space="preserve">he </w:t>
      </w:r>
      <w:r>
        <w:t>United States</w:t>
      </w:r>
      <w:r w:rsidRPr="0012408D">
        <w:t xml:space="preserve"> submits that </w:t>
      </w:r>
      <w:r w:rsidR="00DD5C67">
        <w:t>"{</w:t>
      </w:r>
      <w:r w:rsidRPr="0012408D">
        <w:t>t</w:t>
      </w:r>
      <w:r w:rsidR="00DD5C67">
        <w:t>}he </w:t>
      </w:r>
      <w:r>
        <w:t>Appellate Body</w:t>
      </w:r>
      <w:r w:rsidR="00DD5C67">
        <w:t xml:space="preserve"> has clarified that </w:t>
      </w:r>
      <w:r w:rsidRPr="0012408D">
        <w:t>a single factual scenario (namely evidence of declining sales) could demonstrate the existence of both effects</w:t>
      </w:r>
      <w:r w:rsidR="00DD5C67">
        <w:t>.</w:t>
      </w:r>
      <w:r w:rsidRPr="0012408D">
        <w:t>"</w:t>
      </w:r>
      <w:r>
        <w:rPr>
          <w:rStyle w:val="FootnoteReference"/>
        </w:rPr>
        <w:footnoteReference w:id="1971"/>
      </w:r>
      <w:r>
        <w:t xml:space="preserve"> </w:t>
      </w:r>
      <w:r w:rsidRPr="00205320">
        <w:rPr>
          <w:lang w:val="en-US"/>
        </w:rPr>
        <w:t xml:space="preserve">Thus, the </w:t>
      </w:r>
      <w:r>
        <w:rPr>
          <w:lang w:val="en-US"/>
        </w:rPr>
        <w:t>United States</w:t>
      </w:r>
      <w:r w:rsidRPr="00205320">
        <w:rPr>
          <w:lang w:val="en-US"/>
        </w:rPr>
        <w:t xml:space="preserve"> asserts that it is "</w:t>
      </w:r>
      <w:r w:rsidRPr="0012408D">
        <w:t>inaccurate to suggest</w:t>
      </w:r>
      <w:r w:rsidR="00DD5C67">
        <w:t xml:space="preserve"> … that </w:t>
      </w:r>
      <w:r w:rsidRPr="0012408D">
        <w:t xml:space="preserve">the </w:t>
      </w:r>
      <w:r>
        <w:t>Appellate Body</w:t>
      </w:r>
      <w:r w:rsidRPr="0012408D">
        <w:t xml:space="preserve"> 'matched' the concepts of displacement and impedance with an exhaustive set of specific, and mutually exclusive, factual scenarios</w:t>
      </w:r>
      <w:r w:rsidR="00DD5C67">
        <w:t>.</w:t>
      </w:r>
      <w:r w:rsidRPr="0012408D">
        <w:t>"</w:t>
      </w:r>
      <w:r>
        <w:rPr>
          <w:rStyle w:val="FootnoteReference"/>
        </w:rPr>
        <w:footnoteReference w:id="1972"/>
      </w:r>
    </w:p>
    <w:p w:rsidR="00C752B3" w:rsidRDefault="00C752B3" w:rsidP="00526697">
      <w:pPr>
        <w:pStyle w:val="BodyText"/>
      </w:pPr>
      <w:r>
        <w:t>The Panel, as we recall, noted the United States' contention</w:t>
      </w:r>
      <w:r w:rsidRPr="00FB52DD">
        <w:t xml:space="preserve"> that </w:t>
      </w:r>
      <w:r>
        <w:t xml:space="preserve">the </w:t>
      </w:r>
      <w:r w:rsidR="00DD5C67">
        <w:t>US</w:t>
      </w:r>
      <w:r w:rsidRPr="00FB52DD">
        <w:t xml:space="preserve"> LCA industry "suffer{ed} serious prejudice in the form of </w:t>
      </w:r>
      <w:r w:rsidRPr="002A76DB">
        <w:t>displacement and/or impedance</w:t>
      </w:r>
      <w:r w:rsidRPr="00FB52DD">
        <w:t xml:space="preserve"> … in all three relevant product markets in the </w:t>
      </w:r>
      <w:r>
        <w:t>European Union</w:t>
      </w:r>
      <w:r w:rsidRPr="00FB52DD">
        <w:t>, and in 11 third country product markets".</w:t>
      </w:r>
      <w:r>
        <w:rPr>
          <w:rStyle w:val="FootnoteReference"/>
        </w:rPr>
        <w:footnoteReference w:id="1973"/>
      </w:r>
      <w:r w:rsidRPr="00FB52DD">
        <w:t xml:space="preserve"> </w:t>
      </w:r>
      <w:r>
        <w:t xml:space="preserve">The Panel </w:t>
      </w:r>
      <w:r w:rsidR="00DD5C67">
        <w:t>reviewed</w:t>
      </w:r>
      <w:r w:rsidRPr="00FB52DD">
        <w:t xml:space="preserve"> </w:t>
      </w:r>
      <w:r>
        <w:t xml:space="preserve">the </w:t>
      </w:r>
      <w:r w:rsidRPr="00FB52DD">
        <w:t xml:space="preserve">guidance provided by the </w:t>
      </w:r>
      <w:r>
        <w:t>Appellate Body</w:t>
      </w:r>
      <w:r w:rsidRPr="00FB52DD">
        <w:t xml:space="preserve"> "on how to determine whether the effect of a subsidy is to impede </w:t>
      </w:r>
      <w:r w:rsidRPr="00F95F6B">
        <w:rPr>
          <w:i/>
        </w:rPr>
        <w:t>or</w:t>
      </w:r>
      <w:r w:rsidRPr="00FB52DD">
        <w:t xml:space="preserve"> displace the imports or exports of a like product".</w:t>
      </w:r>
      <w:r>
        <w:rPr>
          <w:rStyle w:val="FootnoteReference"/>
        </w:rPr>
        <w:footnoteReference w:id="1974"/>
      </w:r>
      <w:r w:rsidRPr="00FB52DD">
        <w:t xml:space="preserve"> </w:t>
      </w:r>
      <w:r>
        <w:t>T</w:t>
      </w:r>
      <w:r w:rsidRPr="00FB52DD">
        <w:t>he Panel quoted</w:t>
      </w:r>
      <w:r>
        <w:t>, in particular,</w:t>
      </w:r>
      <w:r w:rsidRPr="00FB52DD">
        <w:t xml:space="preserve"> the </w:t>
      </w:r>
      <w:r>
        <w:t>Appellate Body</w:t>
      </w:r>
      <w:r w:rsidRPr="00FB52DD">
        <w:t>'s finding that</w:t>
      </w:r>
      <w:r w:rsidR="00DD5C67">
        <w:t>,</w:t>
      </w:r>
      <w:r w:rsidRPr="00FB52DD">
        <w:t xml:space="preserve"> "{w}hile there may be some overlap between the concepts, 'displacement' and 'impedance' are therefore not interchangeable concepts</w:t>
      </w:r>
      <w:r w:rsidR="00DD5C67">
        <w:t>.</w:t>
      </w:r>
      <w:r w:rsidRPr="00FB52DD">
        <w:t>"</w:t>
      </w:r>
      <w:r>
        <w:rPr>
          <w:rStyle w:val="FootnoteReference"/>
        </w:rPr>
        <w:footnoteReference w:id="1975"/>
      </w:r>
      <w:r w:rsidR="00E01DBF">
        <w:t xml:space="preserve"> The </w:t>
      </w:r>
      <w:r w:rsidRPr="00FB52DD">
        <w:t xml:space="preserve">Panel further recalled the "framework" laid down by the </w:t>
      </w:r>
      <w:r>
        <w:t>Appellate Body</w:t>
      </w:r>
      <w:r w:rsidRPr="00FB52DD">
        <w:t xml:space="preserve"> in order to </w:t>
      </w:r>
      <w:r>
        <w:t>"</w:t>
      </w:r>
      <w:r w:rsidRPr="00FB52DD">
        <w:t xml:space="preserve">evaluate a claim of impedance </w:t>
      </w:r>
      <w:r w:rsidRPr="00F95F6B">
        <w:rPr>
          <w:i/>
        </w:rPr>
        <w:t>or</w:t>
      </w:r>
      <w:r w:rsidRPr="00FB52DD">
        <w:t xml:space="preserve"> displacement".</w:t>
      </w:r>
      <w:r>
        <w:rPr>
          <w:rStyle w:val="FootnoteReference"/>
        </w:rPr>
        <w:footnoteReference w:id="1976"/>
      </w:r>
    </w:p>
    <w:p w:rsidR="00C752B3" w:rsidRDefault="00C752B3" w:rsidP="00526697">
      <w:pPr>
        <w:pStyle w:val="BodyText"/>
      </w:pPr>
      <w:r>
        <w:t xml:space="preserve">The Panel noted that </w:t>
      </w:r>
      <w:r w:rsidRPr="00FB52DD">
        <w:t xml:space="preserve">the </w:t>
      </w:r>
      <w:r>
        <w:t>United States</w:t>
      </w:r>
      <w:r w:rsidRPr="00FB52DD">
        <w:t xml:space="preserve"> </w:t>
      </w:r>
      <w:r>
        <w:t xml:space="preserve">had </w:t>
      </w:r>
      <w:r w:rsidRPr="00FB52DD">
        <w:t>"introduced evidence of Airbus and Boeing delivery volumes and market shares in all relevant product mar</w:t>
      </w:r>
      <w:r w:rsidR="00DD5C67">
        <w:t>kets for each year from 2001 to </w:t>
      </w:r>
      <w:r w:rsidRPr="00FB52DD">
        <w:t xml:space="preserve">2013" to </w:t>
      </w:r>
      <w:r w:rsidR="00DD5C67">
        <w:t>support its claim</w:t>
      </w:r>
      <w:r w:rsidRPr="00FB52DD">
        <w:t xml:space="preserve"> that</w:t>
      </w:r>
      <w:r w:rsidR="00DD5C67">
        <w:t>,</w:t>
      </w:r>
      <w:r w:rsidRPr="00FB52DD">
        <w:t xml:space="preserve"> "in the absence of the 'product' effects of LA/MSF, the</w:t>
      </w:r>
      <w:r w:rsidR="00E01DBF">
        <w:t> </w:t>
      </w:r>
      <w:r w:rsidR="00DD5C67">
        <w:t>U</w:t>
      </w:r>
      <w:r w:rsidR="00D111A4">
        <w:t>nited </w:t>
      </w:r>
      <w:r w:rsidR="00DD5C67">
        <w:t>S</w:t>
      </w:r>
      <w:r w:rsidR="00D111A4">
        <w:t>tates</w:t>
      </w:r>
      <w:r w:rsidR="00DD5C67">
        <w:t> </w:t>
      </w:r>
      <w:r w:rsidRPr="00FB52DD">
        <w:t xml:space="preserve">LCA industry's delivery volumes and market shares </w:t>
      </w:r>
      <w:r w:rsidRPr="00B56378">
        <w:t>would have been higher than they actually were</w:t>
      </w:r>
      <w:r w:rsidRPr="00FB52DD">
        <w:t xml:space="preserve"> in each of the relevant markets."</w:t>
      </w:r>
      <w:r>
        <w:rPr>
          <w:rStyle w:val="FootnoteReference"/>
        </w:rPr>
        <w:footnoteReference w:id="1977"/>
      </w:r>
      <w:r>
        <w:t xml:space="preserve"> The</w:t>
      </w:r>
      <w:r w:rsidR="00DD5C67">
        <w:t xml:space="preserve"> Panel added that a finding of </w:t>
      </w:r>
      <w:r>
        <w:t>displacement or impedance can be made "where the effect of a subsidy is to prevent the like product from achieving a higher volume of sales and market share than would otherwise be the case in the absence of the subsidy".</w:t>
      </w:r>
      <w:r>
        <w:rPr>
          <w:rStyle w:val="FootnoteReference"/>
        </w:rPr>
        <w:footnoteReference w:id="1978"/>
      </w:r>
    </w:p>
    <w:p w:rsidR="00C752B3" w:rsidRDefault="00C752B3" w:rsidP="00526697">
      <w:pPr>
        <w:pStyle w:val="BodyText"/>
      </w:pPr>
      <w:r>
        <w:t xml:space="preserve">As </w:t>
      </w:r>
      <w:r w:rsidR="005755A4">
        <w:t>discussed above,</w:t>
      </w:r>
      <w:r>
        <w:t xml:space="preserve"> the Appellate Body </w:t>
      </w:r>
      <w:r w:rsidRPr="00EE7425">
        <w:t xml:space="preserve">has indicated </w:t>
      </w:r>
      <w:r>
        <w:t>that</w:t>
      </w:r>
      <w:r w:rsidR="00DD5C67">
        <w:t>,</w:t>
      </w:r>
      <w:r>
        <w:t xml:space="preserve"> generally</w:t>
      </w:r>
      <w:r w:rsidR="00DD5C67">
        <w:t>,</w:t>
      </w:r>
      <w:r>
        <w:t xml:space="preserve"> the "more appropriate approach" to assess the effect of a subsidy under Article 6.3 is through</w:t>
      </w:r>
      <w:r w:rsidRPr="00EE7425">
        <w:t xml:space="preserve"> </w:t>
      </w:r>
      <w:r>
        <w:t>a</w:t>
      </w:r>
      <w:r w:rsidRPr="00EE7425">
        <w:t xml:space="preserve"> </w:t>
      </w:r>
      <w:r>
        <w:t>"</w:t>
      </w:r>
      <w:r w:rsidRPr="00EE7425">
        <w:t>unitary</w:t>
      </w:r>
      <w:r>
        <w:t>"</w:t>
      </w:r>
      <w:r w:rsidRPr="00EE7425">
        <w:t xml:space="preserve"> </w:t>
      </w:r>
      <w:r>
        <w:t>counterfactual analysis.</w:t>
      </w:r>
      <w:r>
        <w:rPr>
          <w:rStyle w:val="FootnoteReference"/>
        </w:rPr>
        <w:footnoteReference w:id="1979"/>
      </w:r>
      <w:r>
        <w:t xml:space="preserve"> </w:t>
      </w:r>
      <w:r w:rsidRPr="0007205A">
        <w:t xml:space="preserve">In the case of displacement and impedance, </w:t>
      </w:r>
      <w:r w:rsidR="00DD5C67">
        <w:t>"</w:t>
      </w:r>
      <w:r w:rsidRPr="0007205A">
        <w:t>the counterfactual analysis would involve estimating what the sales of the complaining Member would have been in the absence of the challenged subsidy"</w:t>
      </w:r>
      <w:r w:rsidR="00DD5C67">
        <w:t>,</w:t>
      </w:r>
      <w:r w:rsidRPr="0007205A">
        <w:t xml:space="preserve"> and thereafter its comparison with the "actual sales".</w:t>
      </w:r>
      <w:r>
        <w:rPr>
          <w:rStyle w:val="FootnoteReference"/>
        </w:rPr>
        <w:footnoteReference w:id="1980"/>
      </w:r>
      <w:r w:rsidRPr="0007205A">
        <w:t xml:space="preserve"> </w:t>
      </w:r>
      <w:r>
        <w:t>D</w:t>
      </w:r>
      <w:r w:rsidRPr="0007205A">
        <w:t xml:space="preserve">isplacement or impedance </w:t>
      </w:r>
      <w:r>
        <w:t>would arise</w:t>
      </w:r>
      <w:r w:rsidRPr="0007205A">
        <w:t xml:space="preserve"> where "the counterfactual analysis shows that the sales of the complaining Member would have declined less or would have been higher in the absence of the challenged subsidy</w:t>
      </w:r>
      <w:r w:rsidR="00DD5C67">
        <w:t>."</w:t>
      </w:r>
      <w:r>
        <w:rPr>
          <w:rStyle w:val="FootnoteReference"/>
        </w:rPr>
        <w:footnoteReference w:id="1981"/>
      </w:r>
      <w:r>
        <w:t xml:space="preserve"> We understand the Panel to have sought to apply this framework when it turned to assess </w:t>
      </w:r>
      <w:r w:rsidRPr="0007205A">
        <w:t xml:space="preserve">whether the volume of deliveries and market shares that "would have been achieved by the </w:t>
      </w:r>
      <w:r>
        <w:t>United States</w:t>
      </w:r>
      <w:r w:rsidRPr="0007205A">
        <w:t xml:space="preserve">' LCA industry between 1 December 2011 and the end of 2013 </w:t>
      </w:r>
      <w:r w:rsidRPr="002A76DB">
        <w:t>would have been higher than</w:t>
      </w:r>
      <w:r w:rsidRPr="00B14121">
        <w:rPr>
          <w:i/>
        </w:rPr>
        <w:t xml:space="preserve"> its actual level</w:t>
      </w:r>
      <w:r w:rsidRPr="0007205A">
        <w:t xml:space="preserve"> in all relevant product markets"</w:t>
      </w:r>
      <w:r>
        <w:rPr>
          <w:rStyle w:val="FootnoteReference"/>
        </w:rPr>
        <w:footnoteReference w:id="1982"/>
      </w:r>
      <w:r w:rsidRPr="0007205A">
        <w:t xml:space="preserve"> in the absence of the </w:t>
      </w:r>
      <w:r>
        <w:t>"</w:t>
      </w:r>
      <w:r w:rsidRPr="0007205A">
        <w:t>product effects</w:t>
      </w:r>
      <w:r>
        <w:t>"</w:t>
      </w:r>
      <w:r w:rsidRPr="0007205A">
        <w:t xml:space="preserve"> of </w:t>
      </w:r>
      <w:r w:rsidR="003B220E">
        <w:t xml:space="preserve">the </w:t>
      </w:r>
      <w:r w:rsidRPr="0007205A">
        <w:t>LA/MSF subsidies</w:t>
      </w:r>
      <w:r>
        <w:t>.</w:t>
      </w:r>
    </w:p>
    <w:p w:rsidR="00C752B3" w:rsidRDefault="00C752B3" w:rsidP="00526697">
      <w:pPr>
        <w:pStyle w:val="BodyText"/>
      </w:pPr>
      <w:r w:rsidRPr="00A325BB">
        <w:t>Furthermore, we have noted th</w:t>
      </w:r>
      <w:r>
        <w:t>at there could be situations of</w:t>
      </w:r>
      <w:r w:rsidRPr="00A325BB">
        <w:t xml:space="preserve"> overlap, </w:t>
      </w:r>
      <w:r>
        <w:t xml:space="preserve">in the sense that a given situation may give rise to both displacement and impedance, </w:t>
      </w:r>
      <w:r w:rsidRPr="00A325BB">
        <w:t xml:space="preserve">and that the Appellate Body has cautioned against drawing a bright line distinction between these concepts. </w:t>
      </w:r>
      <w:r>
        <w:t xml:space="preserve">It is conceivable that, depending on the facts of a given case, for a particular product and geographic market, a panel may find that the effect of a subsidy is: displacement; or impedance; or displacement and impedance. </w:t>
      </w:r>
      <w:r w:rsidRPr="00AE5D82">
        <w:t>Although</w:t>
      </w:r>
      <w:r w:rsidRPr="00A325BB">
        <w:t xml:space="preserve"> it is not entirely clear what the Panel meant when it used the term "displacement and/or impedance"</w:t>
      </w:r>
      <w:r>
        <w:t>, a</w:t>
      </w:r>
      <w:r w:rsidRPr="00A325BB">
        <w:t xml:space="preserve">s we see it, the Panel's finding that "the United States has established that the 'product' effects of the challenged LA/MSF subsidies are a 'genuine and substantial' cause of </w:t>
      </w:r>
      <w:r w:rsidRPr="008068D6">
        <w:rPr>
          <w:i/>
        </w:rPr>
        <w:t>displacement and/or impedance</w:t>
      </w:r>
      <w:r w:rsidRPr="00A325BB">
        <w:t xml:space="preserve"> of United States LCA</w:t>
      </w:r>
      <w:r w:rsidRPr="007610D8">
        <w:t xml:space="preserve"> </w:t>
      </w:r>
      <w:r w:rsidR="00E01DBF">
        <w:t>in the {relevant </w:t>
      </w:r>
      <w:r>
        <w:t>geographic} markets for single-aisle LCA …</w:t>
      </w:r>
      <w:r w:rsidR="00D111A4">
        <w:t>;</w:t>
      </w:r>
      <w:r>
        <w:t xml:space="preserve"> twin-aisle LCA …</w:t>
      </w:r>
      <w:r w:rsidR="00D111A4">
        <w:t>;</w:t>
      </w:r>
      <w:r>
        <w:t xml:space="preserve"> and {VLA}</w:t>
      </w:r>
      <w:r w:rsidRPr="00A325BB">
        <w:t>"</w:t>
      </w:r>
      <w:r>
        <w:rPr>
          <w:rStyle w:val="FootnoteReference"/>
        </w:rPr>
        <w:footnoteReference w:id="1983"/>
      </w:r>
      <w:r w:rsidRPr="00A325BB">
        <w:t xml:space="preserve"> </w:t>
      </w:r>
      <w:r w:rsidR="00E01DBF">
        <w:t>is </w:t>
      </w:r>
      <w:r>
        <w:t>informed by</w:t>
      </w:r>
      <w:r w:rsidRPr="00A325BB">
        <w:t xml:space="preserve"> the manner in which the United States framed its claims.</w:t>
      </w:r>
      <w:r>
        <w:rPr>
          <w:rStyle w:val="FootnoteReference"/>
        </w:rPr>
        <w:footnoteReference w:id="1984"/>
      </w:r>
      <w:r w:rsidRPr="00A325BB">
        <w:t xml:space="preserve"> </w:t>
      </w:r>
      <w:r w:rsidRPr="0089093B">
        <w:t>We do not read the Panel's use of the term "displacement and/or impedance"</w:t>
      </w:r>
      <w:r w:rsidR="00DD5C67">
        <w:t>,</w:t>
      </w:r>
      <w:r w:rsidRPr="0089093B">
        <w:t xml:space="preserve"> when summing up its serious prejudice findings </w:t>
      </w:r>
      <w:r w:rsidR="005755A4">
        <w:t>for</w:t>
      </w:r>
      <w:r w:rsidRPr="0089093B">
        <w:t xml:space="preserve"> the </w:t>
      </w:r>
      <w:r>
        <w:t>relevant</w:t>
      </w:r>
      <w:r w:rsidRPr="0089093B">
        <w:t xml:space="preserve"> markets at issue, as suggesting that the Panel found the existence of these serious prejudice phenomena in an undifferentiated manner with respect </w:t>
      </w:r>
      <w:r>
        <w:t>to</w:t>
      </w:r>
      <w:r w:rsidRPr="0089093B">
        <w:t xml:space="preserve"> one and </w:t>
      </w:r>
      <w:r>
        <w:t xml:space="preserve">the </w:t>
      </w:r>
      <w:r w:rsidRPr="0089093B">
        <w:t>same product and country market.</w:t>
      </w:r>
      <w:r>
        <w:t xml:space="preserve"> Therefore,</w:t>
      </w:r>
      <w:r w:rsidRPr="00A325BB">
        <w:t xml:space="preserve"> </w:t>
      </w:r>
      <w:r>
        <w:t>contrary to what the European Union appears to suggest, it does not necessarily follow from the Panel's use of the term "displacement and/or impedance" that the Panel treated "displacement" and "impedance" as interchangeable and indistinguishable concepts for purposes of its adverse effects analysis.</w:t>
      </w:r>
      <w:r>
        <w:rPr>
          <w:rStyle w:val="FootnoteReference"/>
        </w:rPr>
        <w:footnoteReference w:id="1985"/>
      </w:r>
    </w:p>
    <w:p w:rsidR="00C752B3" w:rsidRDefault="00C752B3" w:rsidP="00526697">
      <w:pPr>
        <w:pStyle w:val="Heading4"/>
      </w:pPr>
      <w:bookmarkStart w:id="193" w:name="_Toc514059295"/>
      <w:r>
        <w:t xml:space="preserve">Whether the Panel failed to examine </w:t>
      </w:r>
      <w:r w:rsidR="00DD5C67">
        <w:t xml:space="preserve">the </w:t>
      </w:r>
      <w:r>
        <w:t>"closeness of competition"</w:t>
      </w:r>
      <w:bookmarkEnd w:id="193"/>
      <w:r>
        <w:t xml:space="preserve"> </w:t>
      </w:r>
    </w:p>
    <w:p w:rsidR="00C752B3" w:rsidRPr="00145239" w:rsidRDefault="00C752B3" w:rsidP="00526697">
      <w:pPr>
        <w:pStyle w:val="BodyText"/>
      </w:pPr>
      <w:r>
        <w:t>As noted above, the European Union</w:t>
      </w:r>
      <w:r w:rsidRPr="0063070F">
        <w:t xml:space="preserve"> </w:t>
      </w:r>
      <w:r>
        <w:t xml:space="preserve">claims </w:t>
      </w:r>
      <w:r w:rsidRPr="00CC2DEC">
        <w:t xml:space="preserve">that the Panel erred in its application of </w:t>
      </w:r>
      <w:r>
        <w:t>Articles </w:t>
      </w:r>
      <w:r w:rsidRPr="00CC2DEC">
        <w:t>5(c), 6.3</w:t>
      </w:r>
      <w:r>
        <w:t>,</w:t>
      </w:r>
      <w:r w:rsidRPr="00CC2DEC">
        <w:t xml:space="preserve"> and 7.8 </w:t>
      </w:r>
      <w:r>
        <w:t xml:space="preserve">of the SCM Agreement </w:t>
      </w:r>
      <w:r w:rsidRPr="00CC2DEC">
        <w:t xml:space="preserve">in finding causation because the Panel failed to account for the differences in the degree of competition </w:t>
      </w:r>
      <w:r>
        <w:t>between LCA in the relevant product and country markets at issue. According to the European Union</w:t>
      </w:r>
      <w:r w:rsidRPr="00326D37">
        <w:t>,</w:t>
      </w:r>
      <w:r>
        <w:t xml:space="preserve"> </w:t>
      </w:r>
      <w:r w:rsidRPr="0063070F">
        <w:rPr>
          <w:lang w:val="en-US"/>
        </w:rPr>
        <w:t xml:space="preserve">given the broad interpretation that the Panel adopted for the term "market", and the </w:t>
      </w:r>
      <w:r>
        <w:rPr>
          <w:lang w:val="en-US"/>
        </w:rPr>
        <w:t xml:space="preserve">Panel's </w:t>
      </w:r>
      <w:r w:rsidRPr="0063070F">
        <w:rPr>
          <w:lang w:val="en-US"/>
        </w:rPr>
        <w:t xml:space="preserve">identification of product markets within which "there would be </w:t>
      </w:r>
      <w:r w:rsidRPr="00721240">
        <w:rPr>
          <w:i/>
          <w:lang w:val="en-US"/>
        </w:rPr>
        <w:t>'weaker and stronger competitive relationships</w:t>
      </w:r>
      <w:r w:rsidRPr="0063070F">
        <w:rPr>
          <w:lang w:val="en-US"/>
        </w:rPr>
        <w:t>' (or in some instances, no competitive constraint imposed by one product on another within the same product market)"</w:t>
      </w:r>
      <w:r>
        <w:rPr>
          <w:rStyle w:val="FootnoteReference"/>
          <w:lang w:val="en-US"/>
        </w:rPr>
        <w:footnoteReference w:id="1986"/>
      </w:r>
      <w:r w:rsidR="00E01DBF">
        <w:rPr>
          <w:lang w:val="en-US"/>
        </w:rPr>
        <w:t>, it </w:t>
      </w:r>
      <w:r w:rsidRPr="0063070F">
        <w:rPr>
          <w:lang w:val="en-US"/>
        </w:rPr>
        <w:t>was important for the Panel, in its causation analysis, to account for these differenc</w:t>
      </w:r>
      <w:r>
        <w:rPr>
          <w:lang w:val="en-US"/>
        </w:rPr>
        <w:t>es in the degree of competition</w:t>
      </w:r>
      <w:r w:rsidRPr="0063070F">
        <w:rPr>
          <w:lang w:val="en-US"/>
        </w:rPr>
        <w:t xml:space="preserve">. </w:t>
      </w:r>
      <w:r>
        <w:rPr>
          <w:lang w:val="en-US"/>
        </w:rPr>
        <w:t>T</w:t>
      </w:r>
      <w:r>
        <w:t xml:space="preserve">he European Union further asserts that, "even where there does exist 'some' competition between two products, that fact does not conclusively establish whether subsidies to one </w:t>
      </w:r>
      <w:r w:rsidRPr="00145239">
        <w:t>product result in adverse effects for the other".</w:t>
      </w:r>
      <w:r w:rsidRPr="00145239">
        <w:rPr>
          <w:rStyle w:val="FootnoteReference"/>
        </w:rPr>
        <w:footnoteReference w:id="1987"/>
      </w:r>
    </w:p>
    <w:p w:rsidR="00C752B3" w:rsidRDefault="00C752B3" w:rsidP="00526697">
      <w:pPr>
        <w:pStyle w:val="BodyText"/>
      </w:pPr>
      <w:r w:rsidRPr="00145239">
        <w:t xml:space="preserve">We recall that, in section </w:t>
      </w:r>
      <w:r w:rsidR="00FA1E5D" w:rsidRPr="00145239">
        <w:t>5.6.2 above</w:t>
      </w:r>
      <w:r w:rsidRPr="00145239">
        <w:t>, we have addressed the European Union's appeal concerning the Panel's product market findings, inclu</w:t>
      </w:r>
      <w:r>
        <w:t xml:space="preserve">ding its assertion that the Panel erred in failing to assess the nature and degree of competition between products. We have concluded that </w:t>
      </w:r>
      <w:r w:rsidRPr="009908E7">
        <w:t xml:space="preserve">the Panel's assessment of the relevant product markets in these compliance </w:t>
      </w:r>
      <w:r w:rsidRPr="00C45222">
        <w:t xml:space="preserve">proceedings </w:t>
      </w:r>
      <w:r>
        <w:t>was</w:t>
      </w:r>
      <w:r w:rsidRPr="00C45222">
        <w:t xml:space="preserve"> based on a proper analysis of the nature and degree of competition </w:t>
      </w:r>
      <w:r w:rsidRPr="00946CB8">
        <w:t xml:space="preserve">between products that </w:t>
      </w:r>
      <w:r>
        <w:t>the Panel found to demonstrate sufficient substitutability.</w:t>
      </w:r>
      <w:r w:rsidR="001E08C2">
        <w:rPr>
          <w:rStyle w:val="FootnoteReference"/>
        </w:rPr>
        <w:footnoteReference w:id="1988"/>
      </w:r>
      <w:r>
        <w:t xml:space="preserve"> Accordingly, we have found no error in the Panel's findings in this regard</w:t>
      </w:r>
      <w:r w:rsidRPr="00946CB8">
        <w:t>.</w:t>
      </w:r>
    </w:p>
    <w:p w:rsidR="00C752B3" w:rsidRPr="00205320" w:rsidRDefault="00C752B3" w:rsidP="00526697">
      <w:pPr>
        <w:pStyle w:val="BodyText"/>
      </w:pPr>
      <w:r w:rsidRPr="00210667">
        <w:t xml:space="preserve">That said, we agree with the European Union to the extent </w:t>
      </w:r>
      <w:r w:rsidR="001E08C2">
        <w:t xml:space="preserve">that </w:t>
      </w:r>
      <w:r w:rsidRPr="00210667">
        <w:t xml:space="preserve">it argues that </w:t>
      </w:r>
      <w:r>
        <w:t xml:space="preserve">a </w:t>
      </w:r>
      <w:r w:rsidRPr="00210667">
        <w:t>panel's assessment and identification of relevant product market(s) on the basis of actual or potential competition between products</w:t>
      </w:r>
      <w:r w:rsidRPr="00210667">
        <w:rPr>
          <w:iCs/>
        </w:rPr>
        <w:t xml:space="preserve"> forms only a part of a panel's overall analysis of whether a given subsidy contribute</w:t>
      </w:r>
      <w:r w:rsidR="005755A4">
        <w:rPr>
          <w:iCs/>
        </w:rPr>
        <w:t>s</w:t>
      </w:r>
      <w:r w:rsidRPr="00210667">
        <w:rPr>
          <w:iCs/>
        </w:rPr>
        <w:t xml:space="preserve"> in a genuine and substantial way to producing or bringing about one or more of the adverse effects enumerated</w:t>
      </w:r>
      <w:r>
        <w:rPr>
          <w:iCs/>
        </w:rPr>
        <w:t xml:space="preserve"> in Article 6.3</w:t>
      </w:r>
      <w:r w:rsidR="001E08C2">
        <w:rPr>
          <w:iCs/>
        </w:rPr>
        <w:t xml:space="preserve"> of the SCM Agreement</w:t>
      </w:r>
      <w:r w:rsidRPr="00210667">
        <w:t xml:space="preserve">. Indeed, </w:t>
      </w:r>
      <w:r w:rsidR="001E08C2">
        <w:t xml:space="preserve">as the Appellate Body has stated, </w:t>
      </w:r>
      <w:r w:rsidRPr="00210667">
        <w:t xml:space="preserve">a panel's evaluation of </w:t>
      </w:r>
      <w:r>
        <w:t>"</w:t>
      </w:r>
      <w:r w:rsidRPr="00210667">
        <w:t>whether the alleged subsidized and like products compete in the sa</w:t>
      </w:r>
      <w:r>
        <w:t xml:space="preserve">me market or multiple markets … </w:t>
      </w:r>
      <w:r w:rsidRPr="00210667">
        <w:t xml:space="preserve">is a </w:t>
      </w:r>
      <w:r w:rsidRPr="00210667">
        <w:rPr>
          <w:i/>
        </w:rPr>
        <w:t>prerequisite</w:t>
      </w:r>
      <w:r>
        <w:rPr>
          <w:i/>
        </w:rPr>
        <w:t xml:space="preserve"> </w:t>
      </w:r>
      <w:r w:rsidRPr="00210667">
        <w:t xml:space="preserve">for assessing whether </w:t>
      </w:r>
      <w:r w:rsidRPr="00210667">
        <w:rPr>
          <w:iCs/>
        </w:rPr>
        <w:t xml:space="preserve">displacement </w:t>
      </w:r>
      <w:r>
        <w:rPr>
          <w:iCs/>
        </w:rPr>
        <w:t xml:space="preserve">{or impedance} </w:t>
      </w:r>
      <w:r w:rsidRPr="00210667">
        <w:rPr>
          <w:iCs/>
        </w:rPr>
        <w:t>within the</w:t>
      </w:r>
      <w:r w:rsidR="001E08C2">
        <w:rPr>
          <w:iCs/>
        </w:rPr>
        <w:t xml:space="preserve"> meaning of Articles 6.3(a) and </w:t>
      </w:r>
      <w:r w:rsidRPr="00210667">
        <w:rPr>
          <w:iCs/>
        </w:rPr>
        <w:t>6.3(b) could be found to exist".</w:t>
      </w:r>
      <w:r>
        <w:rPr>
          <w:rStyle w:val="FootnoteReference"/>
        </w:rPr>
        <w:footnoteReference w:id="1989"/>
      </w:r>
      <w:r w:rsidRPr="00410588">
        <w:rPr>
          <w:iCs/>
        </w:rPr>
        <w:t xml:space="preserve"> </w:t>
      </w:r>
      <w:r w:rsidRPr="00210667">
        <w:t>However, an assessment of the nature and degree of competition in the relevant product market</w:t>
      </w:r>
      <w:r>
        <w:t>(s)</w:t>
      </w:r>
      <w:r w:rsidRPr="00210667">
        <w:t xml:space="preserve"> does not, in and of itself, answer the question of whether the subsidies </w:t>
      </w:r>
      <w:r>
        <w:t>existing in the post-implementation period</w:t>
      </w:r>
      <w:r w:rsidRPr="00210667">
        <w:t xml:space="preserve"> are a genuine and substantial cause of adverse effects in the relevant market</w:t>
      </w:r>
      <w:r w:rsidR="003B220E">
        <w:t>(</w:t>
      </w:r>
      <w:r>
        <w:t>s</w:t>
      </w:r>
      <w:r w:rsidR="003B220E">
        <w:t>)</w:t>
      </w:r>
      <w:r w:rsidRPr="00210667">
        <w:t>. We will bear these considerations in mind as we continue to review the Panel's findings.</w:t>
      </w:r>
    </w:p>
    <w:p w:rsidR="00C752B3" w:rsidRDefault="00C752B3" w:rsidP="00526697">
      <w:pPr>
        <w:pStyle w:val="Heading4"/>
      </w:pPr>
      <w:bookmarkStart w:id="194" w:name="_Toc514059296"/>
      <w:r>
        <w:t>Whether the Panel erred in its findings of significant lost sales and "displacement and/or impedance"</w:t>
      </w:r>
      <w:bookmarkEnd w:id="194"/>
      <w:r>
        <w:t xml:space="preserve"> </w:t>
      </w:r>
    </w:p>
    <w:p w:rsidR="00C752B3" w:rsidRPr="00910315" w:rsidRDefault="00C752B3" w:rsidP="00526697">
      <w:pPr>
        <w:pStyle w:val="Heading5"/>
      </w:pPr>
      <w:bookmarkStart w:id="195" w:name="_Toc514059297"/>
      <w:r>
        <w:t>The data set examined by the Panel</w:t>
      </w:r>
      <w:bookmarkEnd w:id="195"/>
    </w:p>
    <w:p w:rsidR="00C752B3" w:rsidRDefault="00C752B3" w:rsidP="00526697">
      <w:pPr>
        <w:pStyle w:val="BodyText"/>
      </w:pPr>
      <w:r w:rsidRPr="00895891">
        <w:t xml:space="preserve">Before reviewing the Panel's findings of serious prejudice, we address a preliminary issue raised by the </w:t>
      </w:r>
      <w:r>
        <w:t>European Union</w:t>
      </w:r>
      <w:r w:rsidRPr="00895891">
        <w:t xml:space="preserve"> concerning the size of the data set examined by the Panel in reaching its findings o</w:t>
      </w:r>
      <w:r>
        <w:t>f</w:t>
      </w:r>
      <w:r w:rsidRPr="00895891">
        <w:t xml:space="preserve"> </w:t>
      </w:r>
      <w:r>
        <w:t>"</w:t>
      </w:r>
      <w:r w:rsidRPr="00895891">
        <w:t>displacement and</w:t>
      </w:r>
      <w:r>
        <w:t>/or</w:t>
      </w:r>
      <w:r w:rsidRPr="00895891">
        <w:t xml:space="preserve"> impedance</w:t>
      </w:r>
      <w:r>
        <w:t>"</w:t>
      </w:r>
      <w:r w:rsidRPr="00895891">
        <w:t>.</w:t>
      </w:r>
      <w:r>
        <w:t xml:space="preserve"> The Eu</w:t>
      </w:r>
      <w:r w:rsidR="00E01DBF">
        <w:t>ropean Union contends that "the </w:t>
      </w:r>
      <w:r>
        <w:t>Panel failed to adopt a large enough number of data points to meaningfully investigate 'trends'"</w:t>
      </w:r>
      <w:r>
        <w:rPr>
          <w:rStyle w:val="FootnoteReference"/>
        </w:rPr>
        <w:footnoteReference w:id="1990"/>
      </w:r>
      <w:r>
        <w:t xml:space="preserve"> and</w:t>
      </w:r>
      <w:r w:rsidR="001E08C2">
        <w:t>,</w:t>
      </w:r>
      <w:r>
        <w:t xml:space="preserve"> "{b}y virtue of its choices", the Panel was "effectively left with two data points – annual data for the years 2012 and 2013".</w:t>
      </w:r>
      <w:r>
        <w:rPr>
          <w:rStyle w:val="FootnoteReference"/>
        </w:rPr>
        <w:footnoteReference w:id="1991"/>
      </w:r>
      <w:r>
        <w:t xml:space="preserve"> According to the European Union, "{t}he </w:t>
      </w:r>
      <w:r w:rsidRPr="00FB52DD">
        <w:t>data for the single month, December 2011, would present the problem of 'sales {being} sporadic and volumes relatively small, making identification of any trends more difficult'"</w:t>
      </w:r>
      <w:r>
        <w:rPr>
          <w:rStyle w:val="FootnoteReference"/>
        </w:rPr>
        <w:footnoteReference w:id="1992"/>
      </w:r>
      <w:r w:rsidR="00E01DBF">
        <w:t xml:space="preserve"> and that "there </w:t>
      </w:r>
      <w:r w:rsidRPr="00FB52DD">
        <w:t>would be no meaningful way to compare data pertaining to a single month to data pertaining to full years".</w:t>
      </w:r>
      <w:r>
        <w:rPr>
          <w:rStyle w:val="FootnoteReference"/>
        </w:rPr>
        <w:footnoteReference w:id="1993"/>
      </w:r>
    </w:p>
    <w:p w:rsidR="00C752B3" w:rsidRDefault="00C752B3" w:rsidP="00526697">
      <w:pPr>
        <w:pStyle w:val="BodyText"/>
      </w:pPr>
      <w:r>
        <w:t xml:space="preserve">The Panel, as we recall, considered </w:t>
      </w:r>
      <w:r w:rsidRPr="00B03079">
        <w:t>that "a panel tasked with reviewing the merits of claims</w:t>
      </w:r>
      <w:r>
        <w:t>"</w:t>
      </w:r>
      <w:r w:rsidRPr="00B03079">
        <w:t xml:space="preserve"> made under </w:t>
      </w:r>
      <w:r>
        <w:t>Articles </w:t>
      </w:r>
      <w:r w:rsidRPr="00B03079">
        <w:t xml:space="preserve">6.3(a), </w:t>
      </w:r>
      <w:r>
        <w:t>6.3</w:t>
      </w:r>
      <w:r w:rsidRPr="00B03079">
        <w:t>(b)</w:t>
      </w:r>
      <w:r>
        <w:t>,</w:t>
      </w:r>
      <w:r w:rsidRPr="00B03079">
        <w:t xml:space="preserve"> and </w:t>
      </w:r>
      <w:r>
        <w:t>6.3</w:t>
      </w:r>
      <w:r w:rsidRPr="00B03079">
        <w:t xml:space="preserve">(c) of the </w:t>
      </w:r>
      <w:r>
        <w:t>SCM Agreement</w:t>
      </w:r>
      <w:r w:rsidRPr="00B03079">
        <w:t xml:space="preserve"> must </w:t>
      </w:r>
      <w:r>
        <w:t>"</w:t>
      </w:r>
      <w:r w:rsidRPr="00B03079">
        <w:t xml:space="preserve">focus its efforts on determining the extent to which the challenged subsidies are a 'genuine and substantial' cause of serious prejudice </w:t>
      </w:r>
      <w:r w:rsidRPr="00B03079">
        <w:rPr>
          <w:i/>
        </w:rPr>
        <w:t>in the present</w:t>
      </w:r>
      <w:r w:rsidRPr="00B03079">
        <w:t>"</w:t>
      </w:r>
      <w:r>
        <w:rPr>
          <w:rStyle w:val="FootnoteReference"/>
        </w:rPr>
        <w:footnoteReference w:id="1994"/>
      </w:r>
      <w:r w:rsidRPr="00B03079">
        <w:t>, or "'</w:t>
      </w:r>
      <w:r w:rsidRPr="00B03079">
        <w:rPr>
          <w:i/>
        </w:rPr>
        <w:t>under</w:t>
      </w:r>
      <w:r w:rsidRPr="00B03079">
        <w:t xml:space="preserve"> </w:t>
      </w:r>
      <w:r w:rsidRPr="00B03079">
        <w:rPr>
          <w:i/>
        </w:rPr>
        <w:t>current factual conditions</w:t>
      </w:r>
      <w:r w:rsidRPr="00B03079">
        <w:t>'".</w:t>
      </w:r>
      <w:r>
        <w:rPr>
          <w:rStyle w:val="FootnoteReference"/>
        </w:rPr>
        <w:footnoteReference w:id="1995"/>
      </w:r>
      <w:r w:rsidRPr="00B03079">
        <w:t xml:space="preserve"> The Panel noted the parties' agree</w:t>
      </w:r>
      <w:r w:rsidR="005755A4">
        <w:t>ment</w:t>
      </w:r>
      <w:r w:rsidRPr="00B03079">
        <w:t xml:space="preserve"> that</w:t>
      </w:r>
      <w:r w:rsidR="001E08C2">
        <w:t>,</w:t>
      </w:r>
      <w:r w:rsidRPr="00B03079">
        <w:t xml:space="preserve"> as far as the findings in these compliance proceedings were concerned, </w:t>
      </w:r>
      <w:r w:rsidR="001E08C2">
        <w:t>it may have been</w:t>
      </w:r>
      <w:r w:rsidRPr="00A33A85">
        <w:t xml:space="preserve"> possible and even appropriate for the Panel to examine data from a historical period that predate</w:t>
      </w:r>
      <w:r w:rsidR="001E08C2">
        <w:t>d</w:t>
      </w:r>
      <w:r w:rsidRPr="00A33A85">
        <w:t xml:space="preserve"> the end of the implementation period</w:t>
      </w:r>
      <w:r w:rsidRPr="00B03079">
        <w:t xml:space="preserve">. </w:t>
      </w:r>
      <w:r>
        <w:t xml:space="preserve">The Panel shared this view and </w:t>
      </w:r>
      <w:r w:rsidRPr="00B03079">
        <w:t xml:space="preserve">considered that its "duty to conduct an objective assessment of the matter pursuant to </w:t>
      </w:r>
      <w:r>
        <w:t>Article </w:t>
      </w:r>
      <w:r w:rsidRPr="00B03079">
        <w:t xml:space="preserve">11 of the DSU would be best served" if it were "to examine the entirety of the evidence put forward by the </w:t>
      </w:r>
      <w:r>
        <w:t>United States</w:t>
      </w:r>
      <w:r w:rsidRPr="00B03079">
        <w:t xml:space="preserve">, and the full rebuttal evidence advanced by the </w:t>
      </w:r>
      <w:r>
        <w:t>European Union</w:t>
      </w:r>
      <w:r w:rsidRPr="00B03079">
        <w:t>, including the most recent information where relevant and reliable".</w:t>
      </w:r>
      <w:r>
        <w:rPr>
          <w:rStyle w:val="FootnoteReference"/>
        </w:rPr>
        <w:footnoteReference w:id="1996"/>
      </w:r>
      <w:r w:rsidRPr="00B03079">
        <w:t xml:space="preserve"> </w:t>
      </w:r>
      <w:r w:rsidRPr="00F728ED">
        <w:t>However,</w:t>
      </w:r>
      <w:r>
        <w:t xml:space="preserve"> while the </w:t>
      </w:r>
      <w:r w:rsidRPr="00B03079">
        <w:t>Panel</w:t>
      </w:r>
      <w:r>
        <w:t xml:space="preserve"> did not see the "need to make any </w:t>
      </w:r>
      <w:r w:rsidRPr="00A33A85">
        <w:rPr>
          <w:i/>
        </w:rPr>
        <w:t>a priori</w:t>
      </w:r>
      <w:r>
        <w:t xml:space="preserve"> choice of reference period",</w:t>
      </w:r>
      <w:r w:rsidRPr="00B03079">
        <w:t xml:space="preserve"> </w:t>
      </w:r>
      <w:r>
        <w:t>it considered</w:t>
      </w:r>
      <w:r w:rsidRPr="00B03079">
        <w:t xml:space="preserve"> that the </w:t>
      </w:r>
      <w:r>
        <w:t>United States</w:t>
      </w:r>
      <w:r w:rsidRPr="00B03079">
        <w:t xml:space="preserve"> would only succeed in its </w:t>
      </w:r>
      <w:r>
        <w:t>non</w:t>
      </w:r>
      <w:r>
        <w:noBreakHyphen/>
      </w:r>
      <w:r w:rsidRPr="00B03079">
        <w:t xml:space="preserve">compliance claims if it could establish </w:t>
      </w:r>
      <w:r>
        <w:t>"</w:t>
      </w:r>
      <w:r w:rsidRPr="00B03079">
        <w:t xml:space="preserve">the existence of </w:t>
      </w:r>
      <w:r w:rsidRPr="00B03079">
        <w:rPr>
          <w:i/>
        </w:rPr>
        <w:t>present</w:t>
      </w:r>
      <w:r w:rsidRPr="00B03079">
        <w:t xml:space="preserve"> serious prejudice to its interests … </w:t>
      </w:r>
      <w:r w:rsidRPr="00B03079">
        <w:rPr>
          <w:i/>
        </w:rPr>
        <w:t>in</w:t>
      </w:r>
      <w:r w:rsidRPr="00B03079">
        <w:t xml:space="preserve"> </w:t>
      </w:r>
      <w:r w:rsidRPr="00B03079">
        <w:rPr>
          <w:i/>
        </w:rPr>
        <w:t>the</w:t>
      </w:r>
      <w:r w:rsidRPr="00B03079">
        <w:t xml:space="preserve"> </w:t>
      </w:r>
      <w:r>
        <w:rPr>
          <w:i/>
        </w:rPr>
        <w:t>post</w:t>
      </w:r>
      <w:r>
        <w:rPr>
          <w:i/>
        </w:rPr>
        <w:noBreakHyphen/>
      </w:r>
      <w:r w:rsidRPr="00B03079">
        <w:rPr>
          <w:i/>
        </w:rPr>
        <w:t>implementation period</w:t>
      </w:r>
      <w:r w:rsidRPr="00B03079">
        <w:t xml:space="preserve">, that is, </w:t>
      </w:r>
      <w:r w:rsidRPr="00B03079">
        <w:rPr>
          <w:i/>
        </w:rPr>
        <w:t>present</w:t>
      </w:r>
      <w:r w:rsidRPr="00B03079">
        <w:t xml:space="preserve"> serious prejudice in the period </w:t>
      </w:r>
      <w:r w:rsidRPr="00B03079">
        <w:rPr>
          <w:i/>
        </w:rPr>
        <w:t>after 1 December 2011</w:t>
      </w:r>
      <w:r w:rsidRPr="00B03079">
        <w:t>"</w:t>
      </w:r>
      <w:r>
        <w:t>.</w:t>
      </w:r>
      <w:r>
        <w:rPr>
          <w:rStyle w:val="FootnoteReference"/>
        </w:rPr>
        <w:footnoteReference w:id="1997"/>
      </w:r>
    </w:p>
    <w:p w:rsidR="00C752B3" w:rsidRDefault="00C752B3" w:rsidP="00526697">
      <w:pPr>
        <w:pStyle w:val="BodyText"/>
      </w:pPr>
      <w:r>
        <w:t xml:space="preserve">As noted, while evidence pointing to changes in relative market shares </w:t>
      </w:r>
      <w:r w:rsidRPr="00D20B74">
        <w:t xml:space="preserve">may be </w:t>
      </w:r>
      <w:r>
        <w:t>indicative</w:t>
      </w:r>
      <w:r w:rsidRPr="00D20B74">
        <w:t xml:space="preserve"> of displacement</w:t>
      </w:r>
      <w:r>
        <w:t xml:space="preserve"> or impedance</w:t>
      </w:r>
      <w:r w:rsidRPr="00D20B74">
        <w:t xml:space="preserve">, it </w:t>
      </w:r>
      <w:r>
        <w:t>does not, without more, establish that the effect of a particular subsidy is to displace or impede imports or exports of a like product of another Member within the meaning of Articles 6.3(a) and 6.3(b). Article </w:t>
      </w:r>
      <w:r w:rsidRPr="00FB52DD">
        <w:t xml:space="preserve">6.4 of the </w:t>
      </w:r>
      <w:r>
        <w:t>SCM Agreement</w:t>
      </w:r>
      <w:r w:rsidRPr="00FB52DD">
        <w:t xml:space="preserve"> stipulates</w:t>
      </w:r>
      <w:r w:rsidR="001E08C2">
        <w:t>,</w:t>
      </w:r>
      <w:r w:rsidRPr="00FB52DD">
        <w:t xml:space="preserve"> </w:t>
      </w:r>
      <w:r>
        <w:t>in this regard</w:t>
      </w:r>
      <w:r w:rsidR="001E08C2">
        <w:t>,</w:t>
      </w:r>
      <w:r>
        <w:t xml:space="preserve"> </w:t>
      </w:r>
      <w:r w:rsidRPr="00FB52DD">
        <w:t xml:space="preserve">that displacement or impedance "shall include any case in which … it has been demonstrated that there has been a change in relative shares of the market to the disadvantage of the </w:t>
      </w:r>
      <w:r>
        <w:t>non</w:t>
      </w:r>
      <w:r>
        <w:noBreakHyphen/>
      </w:r>
      <w:r w:rsidRPr="00FB52DD">
        <w:t>subsidized like product (</w:t>
      </w:r>
      <w:r w:rsidRPr="00971AD7">
        <w:rPr>
          <w:i/>
        </w:rPr>
        <w:t>over an appropriately representative period</w:t>
      </w:r>
      <w:r w:rsidRPr="00BF6326">
        <w:t xml:space="preserve"> </w:t>
      </w:r>
      <w:r w:rsidRPr="00971AD7">
        <w:rPr>
          <w:i/>
        </w:rPr>
        <w:t>sufficient</w:t>
      </w:r>
      <w:r w:rsidRPr="00BF6326">
        <w:t xml:space="preserve"> </w:t>
      </w:r>
      <w:r w:rsidRPr="00971AD7">
        <w:rPr>
          <w:i/>
        </w:rPr>
        <w:t>to demonstrate clear trends</w:t>
      </w:r>
      <w:r w:rsidRPr="00FB52DD">
        <w:t xml:space="preserve"> in the development of the market for the product concerned, </w:t>
      </w:r>
      <w:r w:rsidRPr="008C7D19">
        <w:t>which,</w:t>
      </w:r>
      <w:r w:rsidRPr="00971AD7">
        <w:rPr>
          <w:i/>
        </w:rPr>
        <w:t xml:space="preserve"> in normal circumstances, shall be at least one year)</w:t>
      </w:r>
      <w:r w:rsidRPr="00FB52DD">
        <w:t>".</w:t>
      </w:r>
      <w:r>
        <w:rPr>
          <w:rStyle w:val="FootnoteReference"/>
        </w:rPr>
        <w:footnoteReference w:id="1998"/>
      </w:r>
      <w:r>
        <w:t xml:space="preserve"> Although</w:t>
      </w:r>
      <w:r w:rsidDel="00D6674B">
        <w:t xml:space="preserve"> </w:t>
      </w:r>
      <w:r>
        <w:t xml:space="preserve">a plain reading of Article 6.4 suggests that, </w:t>
      </w:r>
      <w:r w:rsidR="005755A4">
        <w:t>u</w:t>
      </w:r>
      <w:r w:rsidR="00004C56">
        <w:t>n</w:t>
      </w:r>
      <w:r w:rsidR="005755A4">
        <w:t>der</w:t>
      </w:r>
      <w:r>
        <w:t xml:space="preserve"> normal circumstances, trends in the market can be established even on the basis of data from a one</w:t>
      </w:r>
      <w:r w:rsidR="001E08C2">
        <w:t>-</w:t>
      </w:r>
      <w:r>
        <w:t>year reference period, this will depend on the nature of the product and the particularities of the market at issue and the number of data points available in the chosen reference period. The</w:t>
      </w:r>
      <w:r w:rsidRPr="00FB52DD">
        <w:t xml:space="preserve"> </w:t>
      </w:r>
      <w:r>
        <w:t>Appellate Body</w:t>
      </w:r>
      <w:r w:rsidRPr="00FB52DD">
        <w:t xml:space="preserve"> </w:t>
      </w:r>
      <w:r>
        <w:t>has stated</w:t>
      </w:r>
      <w:r w:rsidRPr="00FB52DD">
        <w:t xml:space="preserve"> that "{t}he identification of a trend will be more accurate the larger the data set used in the analysis"</w:t>
      </w:r>
      <w:r>
        <w:t>.</w:t>
      </w:r>
      <w:r>
        <w:rPr>
          <w:rStyle w:val="FootnoteReference"/>
        </w:rPr>
        <w:footnoteReference w:id="1999"/>
      </w:r>
      <w:r>
        <w:t xml:space="preserve"> At</w:t>
      </w:r>
      <w:r w:rsidRPr="00FB52DD">
        <w:t xml:space="preserve"> the same time, the </w:t>
      </w:r>
      <w:r>
        <w:t>Appellate Body</w:t>
      </w:r>
      <w:r w:rsidRPr="00FB52DD">
        <w:t xml:space="preserve"> </w:t>
      </w:r>
      <w:r w:rsidR="005755A4">
        <w:t xml:space="preserve">has </w:t>
      </w:r>
      <w:r>
        <w:t xml:space="preserve">explained </w:t>
      </w:r>
      <w:r w:rsidRPr="00FB52DD">
        <w:t>that "too strict a requirement concerning the size of the data set could preclude a Member from timely challenging subsidies that cause adverse effects to its interests".</w:t>
      </w:r>
      <w:r>
        <w:rPr>
          <w:rStyle w:val="FootnoteReference"/>
        </w:rPr>
        <w:footnoteReference w:id="2000"/>
      </w:r>
      <w:r>
        <w:t xml:space="preserve"> </w:t>
      </w:r>
      <w:r w:rsidRPr="00075091">
        <w:t>Moreover, in the context of compliance proceedings, a panel may</w:t>
      </w:r>
      <w:r>
        <w:t xml:space="preserve"> </w:t>
      </w:r>
      <w:r w:rsidRPr="00075091">
        <w:t xml:space="preserve">be called upon to adjudicate a claim of </w:t>
      </w:r>
      <w:r>
        <w:t>non</w:t>
      </w:r>
      <w:r>
        <w:noBreakHyphen/>
      </w:r>
      <w:r w:rsidRPr="00075091">
        <w:t>compliance following what may have been a relatively short reasonable period of time for implementation.</w:t>
      </w:r>
      <w:r>
        <w:t xml:space="preserve"> We also note the particular nature of the LCA industry where instances of sales and volumes of deliveries are generally much lower than in the case of consumer goods. </w:t>
      </w:r>
    </w:p>
    <w:p w:rsidR="00C752B3" w:rsidRDefault="00C752B3" w:rsidP="00526697">
      <w:pPr>
        <w:pStyle w:val="BodyText"/>
      </w:pPr>
      <w:r>
        <w:t xml:space="preserve">In our view, these considerations are apt and instructive </w:t>
      </w:r>
      <w:r w:rsidRPr="00FB52DD">
        <w:t xml:space="preserve">in the context of </w:t>
      </w:r>
      <w:r>
        <w:t>these</w:t>
      </w:r>
      <w:r w:rsidRPr="00FB52DD">
        <w:t xml:space="preserve"> compliance proceeding</w:t>
      </w:r>
      <w:r>
        <w:t xml:space="preserve">s. We do not understand the Panel to have </w:t>
      </w:r>
      <w:r w:rsidRPr="00721240">
        <w:rPr>
          <w:i/>
        </w:rPr>
        <w:t>a priori</w:t>
      </w:r>
      <w:r>
        <w:t xml:space="preserve"> excluded from consideration relevant evidence and information that had been put before it. In the circumstances of the present case, given that it recognized that "the United States {would} only succeed in its non-compliance claims if it {could} establish the existence of </w:t>
      </w:r>
      <w:r>
        <w:rPr>
          <w:i/>
        </w:rPr>
        <w:t>present</w:t>
      </w:r>
      <w:r>
        <w:t xml:space="preserve"> serious prejudice … </w:t>
      </w:r>
      <w:r w:rsidRPr="00197B0E">
        <w:rPr>
          <w:i/>
        </w:rPr>
        <w:t>in the post</w:t>
      </w:r>
      <w:r w:rsidRPr="00197B0E">
        <w:rPr>
          <w:i/>
        </w:rPr>
        <w:noBreakHyphen/>
        <w:t>implementation period</w:t>
      </w:r>
      <w:r>
        <w:t>"</w:t>
      </w:r>
      <w:r>
        <w:rPr>
          <w:rStyle w:val="FootnoteReference"/>
        </w:rPr>
        <w:footnoteReference w:id="2001"/>
      </w:r>
      <w:r w:rsidRPr="00B965D1">
        <w:t>,</w:t>
      </w:r>
      <w:r>
        <w:t xml:space="preserve"> we see no error in the Panel's decision to focus on the "most recent market data presented by the parties in this dispute from the </w:t>
      </w:r>
      <w:r>
        <w:rPr>
          <w:i/>
        </w:rPr>
        <w:t>post</w:t>
      </w:r>
      <w:r>
        <w:rPr>
          <w:i/>
        </w:rPr>
        <w:noBreakHyphen/>
        <w:t>implementation period</w:t>
      </w:r>
      <w:r w:rsidR="001E08C2">
        <w:t>"</w:t>
      </w:r>
      <w:r>
        <w:t>.</w:t>
      </w:r>
      <w:r>
        <w:rPr>
          <w:rStyle w:val="FootnoteReference"/>
        </w:rPr>
        <w:footnoteReference w:id="2002"/>
      </w:r>
      <w:r>
        <w:t xml:space="preserve"> While we acknowledge that the data on the volume of deliveries and market shares </w:t>
      </w:r>
      <w:r w:rsidRPr="00FB52DD">
        <w:t xml:space="preserve">from the </w:t>
      </w:r>
      <w:r>
        <w:t>post</w:t>
      </w:r>
      <w:r>
        <w:noBreakHyphen/>
        <w:t>implementation</w:t>
      </w:r>
      <w:r w:rsidRPr="00FB52DD">
        <w:t xml:space="preserve"> period </w:t>
      </w:r>
      <w:r>
        <w:t>in this case appear to have been rather</w:t>
      </w:r>
      <w:r w:rsidRPr="00FB52DD">
        <w:t xml:space="preserve"> </w:t>
      </w:r>
      <w:r>
        <w:t xml:space="preserve">limited, we see no basis to rule out </w:t>
      </w:r>
      <w:r w:rsidRPr="00971AD7">
        <w:rPr>
          <w:i/>
        </w:rPr>
        <w:t>a priori</w:t>
      </w:r>
      <w:r>
        <w:t>, without further analysis, the possibility that such data could support a finding as to the existence of adverse effects</w:t>
      </w:r>
      <w:r w:rsidRPr="000B117C">
        <w:t xml:space="preserve"> in </w:t>
      </w:r>
      <w:r>
        <w:t xml:space="preserve">the post-implementation period. </w:t>
      </w:r>
    </w:p>
    <w:p w:rsidR="00C752B3" w:rsidRDefault="00C752B3" w:rsidP="00526697">
      <w:pPr>
        <w:pStyle w:val="BodyText"/>
      </w:pPr>
      <w:r>
        <w:t>We now turn to examine the Panel's findings of alleged lost sales</w:t>
      </w:r>
      <w:r>
        <w:rPr>
          <w:rStyle w:val="FootnoteReference"/>
        </w:rPr>
        <w:footnoteReference w:id="2003"/>
      </w:r>
      <w:r>
        <w:t xml:space="preserve"> and "</w:t>
      </w:r>
      <w:r w:rsidR="00E01DBF">
        <w:t>displacement </w:t>
      </w:r>
      <w:r w:rsidRPr="005715F8">
        <w:t>and/or impedance</w:t>
      </w:r>
      <w:r>
        <w:t>" in the post</w:t>
      </w:r>
      <w:r>
        <w:noBreakHyphen/>
        <w:t xml:space="preserve">implementation period, beginning </w:t>
      </w:r>
      <w:r w:rsidR="00E01DBF">
        <w:t>with its findings </w:t>
      </w:r>
      <w:r w:rsidR="005755A4">
        <w:t xml:space="preserve">for </w:t>
      </w:r>
      <w:r>
        <w:t>the single</w:t>
      </w:r>
      <w:r>
        <w:noBreakHyphen/>
        <w:t xml:space="preserve">aisle LCA market. </w:t>
      </w:r>
    </w:p>
    <w:p w:rsidR="00C752B3" w:rsidRDefault="00C752B3" w:rsidP="00526697">
      <w:pPr>
        <w:pStyle w:val="Heading5"/>
      </w:pPr>
      <w:bookmarkStart w:id="196" w:name="_Toc514059298"/>
      <w:r>
        <w:t>The single-aisle LCA market</w:t>
      </w:r>
      <w:bookmarkEnd w:id="196"/>
    </w:p>
    <w:p w:rsidR="00C752B3" w:rsidRDefault="00C752B3" w:rsidP="00526697">
      <w:pPr>
        <w:pStyle w:val="BodyText"/>
      </w:pPr>
      <w:r>
        <w:t>The Panel identified the following "lost sales" alleged by the United States in the single</w:t>
      </w:r>
      <w:r>
        <w:noBreakHyphen/>
        <w:t>aisle LCA market in the post</w:t>
      </w:r>
      <w:r>
        <w:noBreakHyphen/>
        <w:t>implementation period, all of which concerned the sales of Airbus' A320 family of LCA:</w:t>
      </w:r>
    </w:p>
    <w:p w:rsidR="00C752B3" w:rsidRDefault="00C752B3" w:rsidP="00C752B3">
      <w:pPr>
        <w:pStyle w:val="Caption"/>
      </w:pPr>
      <w:r>
        <w:t xml:space="preserve">Table </w:t>
      </w:r>
      <w:r w:rsidR="009A724D">
        <w:fldChar w:fldCharType="begin"/>
      </w:r>
      <w:r w:rsidR="009A724D">
        <w:instrText xml:space="preserve"> SEQ Table \* ARABIC </w:instrText>
      </w:r>
      <w:r w:rsidR="009A724D">
        <w:fldChar w:fldCharType="separate"/>
      </w:r>
      <w:r w:rsidR="00FD2727">
        <w:rPr>
          <w:noProof/>
        </w:rPr>
        <w:t>8</w:t>
      </w:r>
      <w:r w:rsidR="009A724D">
        <w:rPr>
          <w:noProof/>
        </w:rPr>
        <w:fldChar w:fldCharType="end"/>
      </w:r>
      <w:r>
        <w:t>: United States</w:t>
      </w:r>
      <w:r w:rsidRPr="00865465">
        <w:t xml:space="preserve">' </w:t>
      </w:r>
      <w:r>
        <w:t>"</w:t>
      </w:r>
      <w:r w:rsidRPr="00865465">
        <w:t>Lost Sales</w:t>
      </w:r>
      <w:r>
        <w:t>"</w:t>
      </w:r>
      <w:r w:rsidRPr="00865465">
        <w:t xml:space="preserve"> Claims </w:t>
      </w:r>
      <w:r>
        <w:t>i</w:t>
      </w:r>
      <w:r w:rsidRPr="00865465">
        <w:t xml:space="preserve">n </w:t>
      </w:r>
      <w:r>
        <w:t>t</w:t>
      </w:r>
      <w:r w:rsidRPr="00865465">
        <w:t>he Post</w:t>
      </w:r>
      <w:r w:rsidRPr="00865465">
        <w:noBreakHyphen/>
        <w:t>Implementation Period</w:t>
      </w:r>
    </w:p>
    <w:tbl>
      <w:tblPr>
        <w:tblW w:w="8374" w:type="dxa"/>
        <w:jc w:val="center"/>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3229"/>
        <w:gridCol w:w="1761"/>
        <w:gridCol w:w="1692"/>
        <w:gridCol w:w="1692"/>
      </w:tblGrid>
      <w:tr w:rsidR="00C752B3" w:rsidRPr="006142F3" w:rsidTr="00C752B3">
        <w:trPr>
          <w:jc w:val="center"/>
        </w:trPr>
        <w:tc>
          <w:tcPr>
            <w:tcW w:w="3229" w:type="dxa"/>
            <w:shd w:val="clear" w:color="auto" w:fill="006283"/>
          </w:tcPr>
          <w:p w:rsidR="00C752B3" w:rsidRPr="006142F3" w:rsidRDefault="00C752B3" w:rsidP="00C752B3">
            <w:pPr>
              <w:keepNext/>
              <w:keepLines/>
              <w:rPr>
                <w:b/>
                <w:color w:val="FFFFFF"/>
                <w:sz w:val="16"/>
                <w:szCs w:val="16"/>
              </w:rPr>
            </w:pPr>
            <w:r w:rsidRPr="006142F3">
              <w:rPr>
                <w:b/>
                <w:color w:val="FFFFFF"/>
                <w:sz w:val="16"/>
                <w:szCs w:val="16"/>
              </w:rPr>
              <w:t>Product Market / Customer</w:t>
            </w:r>
          </w:p>
        </w:tc>
        <w:tc>
          <w:tcPr>
            <w:tcW w:w="1761" w:type="dxa"/>
            <w:shd w:val="clear" w:color="auto" w:fill="006283"/>
          </w:tcPr>
          <w:p w:rsidR="00C752B3" w:rsidRPr="006142F3" w:rsidRDefault="00C752B3" w:rsidP="00C752B3">
            <w:pPr>
              <w:keepNext/>
              <w:keepLines/>
              <w:jc w:val="center"/>
              <w:rPr>
                <w:b/>
                <w:color w:val="FFFFFF"/>
                <w:sz w:val="16"/>
                <w:szCs w:val="16"/>
              </w:rPr>
            </w:pPr>
            <w:r w:rsidRPr="006142F3">
              <w:rPr>
                <w:b/>
                <w:color w:val="FFFFFF"/>
                <w:sz w:val="16"/>
                <w:szCs w:val="16"/>
              </w:rPr>
              <w:t>LCA model</w:t>
            </w:r>
          </w:p>
        </w:tc>
        <w:tc>
          <w:tcPr>
            <w:tcW w:w="1692" w:type="dxa"/>
            <w:shd w:val="clear" w:color="auto" w:fill="006283"/>
          </w:tcPr>
          <w:p w:rsidR="00C752B3" w:rsidRPr="006142F3" w:rsidRDefault="00C752B3" w:rsidP="00C752B3">
            <w:pPr>
              <w:keepNext/>
              <w:keepLines/>
              <w:jc w:val="center"/>
              <w:rPr>
                <w:b/>
                <w:color w:val="FFFFFF"/>
                <w:sz w:val="16"/>
                <w:szCs w:val="16"/>
              </w:rPr>
            </w:pPr>
            <w:r w:rsidRPr="006142F3">
              <w:rPr>
                <w:b/>
                <w:color w:val="FFFFFF"/>
                <w:sz w:val="16"/>
                <w:szCs w:val="16"/>
              </w:rPr>
              <w:t>No. of Orders</w:t>
            </w:r>
          </w:p>
          <w:p w:rsidR="00C752B3" w:rsidRPr="006142F3" w:rsidRDefault="00C752B3" w:rsidP="00C752B3">
            <w:pPr>
              <w:keepNext/>
              <w:keepLines/>
              <w:jc w:val="center"/>
              <w:rPr>
                <w:b/>
                <w:color w:val="FFFFFF"/>
                <w:sz w:val="16"/>
                <w:szCs w:val="16"/>
              </w:rPr>
            </w:pPr>
            <w:r w:rsidRPr="006142F3">
              <w:rPr>
                <w:b/>
                <w:color w:val="FFFFFF"/>
                <w:sz w:val="16"/>
                <w:szCs w:val="16"/>
              </w:rPr>
              <w:t>2012</w:t>
            </w:r>
          </w:p>
        </w:tc>
        <w:tc>
          <w:tcPr>
            <w:tcW w:w="1692" w:type="dxa"/>
            <w:shd w:val="clear" w:color="auto" w:fill="006283"/>
          </w:tcPr>
          <w:p w:rsidR="00C752B3" w:rsidRPr="006142F3" w:rsidRDefault="00C752B3" w:rsidP="00C752B3">
            <w:pPr>
              <w:keepNext/>
              <w:keepLines/>
              <w:jc w:val="center"/>
              <w:rPr>
                <w:b/>
                <w:color w:val="FFFFFF"/>
                <w:sz w:val="16"/>
                <w:szCs w:val="16"/>
              </w:rPr>
            </w:pPr>
            <w:r w:rsidRPr="006142F3">
              <w:rPr>
                <w:b/>
                <w:color w:val="FFFFFF"/>
                <w:sz w:val="16"/>
                <w:szCs w:val="16"/>
              </w:rPr>
              <w:t>No. of Orders</w:t>
            </w:r>
          </w:p>
          <w:p w:rsidR="00C752B3" w:rsidRPr="006142F3" w:rsidRDefault="00C752B3" w:rsidP="00C752B3">
            <w:pPr>
              <w:keepNext/>
              <w:keepLines/>
              <w:jc w:val="center"/>
              <w:rPr>
                <w:b/>
                <w:color w:val="FFFFFF"/>
                <w:sz w:val="16"/>
                <w:szCs w:val="16"/>
              </w:rPr>
            </w:pPr>
            <w:r w:rsidRPr="006142F3">
              <w:rPr>
                <w:b/>
                <w:color w:val="FFFFFF"/>
                <w:sz w:val="16"/>
                <w:szCs w:val="16"/>
              </w:rPr>
              <w:t>2013</w:t>
            </w:r>
          </w:p>
        </w:tc>
      </w:tr>
      <w:tr w:rsidR="00C752B3" w:rsidRPr="006142F3" w:rsidTr="00C752B3">
        <w:trPr>
          <w:jc w:val="center"/>
        </w:trPr>
        <w:tc>
          <w:tcPr>
            <w:tcW w:w="8374" w:type="dxa"/>
            <w:gridSpan w:val="4"/>
            <w:shd w:val="clear" w:color="auto" w:fill="auto"/>
          </w:tcPr>
          <w:p w:rsidR="00C752B3" w:rsidRPr="006142F3" w:rsidRDefault="00C752B3" w:rsidP="00147EC4">
            <w:pPr>
              <w:keepNext/>
              <w:spacing w:before="60" w:after="60"/>
              <w:ind w:left="559"/>
              <w:rPr>
                <w:sz w:val="16"/>
                <w:szCs w:val="16"/>
              </w:rPr>
            </w:pPr>
            <w:r w:rsidRPr="006142F3">
              <w:rPr>
                <w:i/>
                <w:sz w:val="16"/>
                <w:szCs w:val="16"/>
              </w:rPr>
              <w:t>Single-Aisle</w:t>
            </w:r>
          </w:p>
        </w:tc>
      </w:tr>
      <w:tr w:rsidR="00C752B3" w:rsidRPr="006142F3" w:rsidTr="00C752B3">
        <w:trPr>
          <w:jc w:val="center"/>
        </w:trPr>
        <w:tc>
          <w:tcPr>
            <w:tcW w:w="3229" w:type="dxa"/>
            <w:shd w:val="clear" w:color="auto" w:fill="C9DED4"/>
          </w:tcPr>
          <w:p w:rsidR="00C752B3" w:rsidRPr="006142F3" w:rsidRDefault="00C752B3" w:rsidP="00147EC4">
            <w:pPr>
              <w:keepNext/>
              <w:spacing w:before="60" w:after="60"/>
              <w:rPr>
                <w:sz w:val="16"/>
                <w:szCs w:val="16"/>
              </w:rPr>
            </w:pPr>
            <w:r w:rsidRPr="006142F3">
              <w:rPr>
                <w:sz w:val="16"/>
                <w:szCs w:val="16"/>
              </w:rPr>
              <w:t>China Aircraft Leasing Company</w:t>
            </w:r>
          </w:p>
        </w:tc>
        <w:tc>
          <w:tcPr>
            <w:tcW w:w="1761" w:type="dxa"/>
            <w:shd w:val="clear" w:color="auto" w:fill="C9DED4"/>
          </w:tcPr>
          <w:p w:rsidR="00C752B3" w:rsidRPr="006142F3" w:rsidRDefault="00C752B3" w:rsidP="00147EC4">
            <w:pPr>
              <w:keepNext/>
              <w:spacing w:before="60" w:after="60"/>
              <w:jc w:val="center"/>
              <w:rPr>
                <w:sz w:val="16"/>
                <w:szCs w:val="16"/>
              </w:rPr>
            </w:pPr>
            <w:r w:rsidRPr="006142F3">
              <w:rPr>
                <w:sz w:val="16"/>
                <w:szCs w:val="16"/>
              </w:rPr>
              <w:t>A320ceo/A321ceo</w:t>
            </w:r>
          </w:p>
        </w:tc>
        <w:tc>
          <w:tcPr>
            <w:tcW w:w="1692" w:type="dxa"/>
            <w:shd w:val="clear" w:color="auto" w:fill="C9DED4"/>
          </w:tcPr>
          <w:p w:rsidR="00C752B3" w:rsidRPr="006142F3" w:rsidRDefault="00C752B3" w:rsidP="00147EC4">
            <w:pPr>
              <w:keepNext/>
              <w:spacing w:before="60" w:after="60"/>
              <w:jc w:val="center"/>
              <w:rPr>
                <w:sz w:val="16"/>
                <w:szCs w:val="16"/>
              </w:rPr>
            </w:pPr>
            <w:r w:rsidRPr="006142F3">
              <w:rPr>
                <w:sz w:val="16"/>
                <w:szCs w:val="16"/>
              </w:rPr>
              <w:t>28/8</w:t>
            </w:r>
          </w:p>
        </w:tc>
        <w:tc>
          <w:tcPr>
            <w:tcW w:w="1692" w:type="dxa"/>
            <w:shd w:val="clear" w:color="auto" w:fill="C9DED4"/>
          </w:tcPr>
          <w:p w:rsidR="00C752B3" w:rsidRPr="006142F3" w:rsidRDefault="00C752B3" w:rsidP="00147EC4">
            <w:pPr>
              <w:keepNext/>
              <w:spacing w:before="60" w:after="60"/>
              <w:jc w:val="center"/>
              <w:rPr>
                <w:sz w:val="16"/>
                <w:szCs w:val="16"/>
              </w:rPr>
            </w:pPr>
          </w:p>
        </w:tc>
      </w:tr>
      <w:tr w:rsidR="00C752B3" w:rsidRPr="006142F3" w:rsidTr="00C752B3">
        <w:trPr>
          <w:jc w:val="center"/>
        </w:trPr>
        <w:tc>
          <w:tcPr>
            <w:tcW w:w="3229" w:type="dxa"/>
            <w:shd w:val="clear" w:color="auto" w:fill="auto"/>
          </w:tcPr>
          <w:p w:rsidR="00C752B3" w:rsidRPr="006142F3" w:rsidRDefault="00C752B3" w:rsidP="00147EC4">
            <w:pPr>
              <w:keepNext/>
              <w:spacing w:before="60" w:after="60"/>
              <w:rPr>
                <w:sz w:val="16"/>
                <w:szCs w:val="16"/>
              </w:rPr>
            </w:pPr>
            <w:r w:rsidRPr="006142F3">
              <w:rPr>
                <w:sz w:val="16"/>
                <w:szCs w:val="16"/>
              </w:rPr>
              <w:t>easyJet</w:t>
            </w:r>
          </w:p>
        </w:tc>
        <w:tc>
          <w:tcPr>
            <w:tcW w:w="1761" w:type="dxa"/>
            <w:shd w:val="clear" w:color="auto" w:fill="auto"/>
          </w:tcPr>
          <w:p w:rsidR="00C752B3" w:rsidRPr="006142F3" w:rsidRDefault="00C752B3" w:rsidP="00147EC4">
            <w:pPr>
              <w:keepNext/>
              <w:spacing w:before="60" w:after="60"/>
              <w:jc w:val="center"/>
              <w:rPr>
                <w:sz w:val="16"/>
                <w:szCs w:val="16"/>
              </w:rPr>
            </w:pPr>
            <w:r w:rsidRPr="006142F3">
              <w:rPr>
                <w:sz w:val="16"/>
                <w:szCs w:val="16"/>
              </w:rPr>
              <w:t>A320ceo/A320neo</w:t>
            </w:r>
          </w:p>
        </w:tc>
        <w:tc>
          <w:tcPr>
            <w:tcW w:w="1692" w:type="dxa"/>
            <w:shd w:val="clear" w:color="auto" w:fill="auto"/>
          </w:tcPr>
          <w:p w:rsidR="00C752B3" w:rsidRPr="006142F3" w:rsidRDefault="00C752B3" w:rsidP="00147EC4">
            <w:pPr>
              <w:keepNext/>
              <w:spacing w:before="60" w:after="60"/>
              <w:jc w:val="center"/>
              <w:rPr>
                <w:sz w:val="16"/>
                <w:szCs w:val="16"/>
              </w:rPr>
            </w:pPr>
          </w:p>
        </w:tc>
        <w:tc>
          <w:tcPr>
            <w:tcW w:w="1692" w:type="dxa"/>
            <w:shd w:val="clear" w:color="auto" w:fill="auto"/>
          </w:tcPr>
          <w:p w:rsidR="00C752B3" w:rsidRPr="006142F3" w:rsidRDefault="00C752B3" w:rsidP="00147EC4">
            <w:pPr>
              <w:keepNext/>
              <w:spacing w:before="60" w:after="60"/>
              <w:jc w:val="center"/>
              <w:rPr>
                <w:sz w:val="16"/>
                <w:szCs w:val="16"/>
              </w:rPr>
            </w:pPr>
            <w:r w:rsidRPr="006142F3">
              <w:rPr>
                <w:sz w:val="16"/>
                <w:szCs w:val="16"/>
              </w:rPr>
              <w:t>35/100</w:t>
            </w:r>
          </w:p>
        </w:tc>
      </w:tr>
      <w:tr w:rsidR="00C752B3" w:rsidRPr="006142F3" w:rsidTr="00C752B3">
        <w:trPr>
          <w:jc w:val="center"/>
        </w:trPr>
        <w:tc>
          <w:tcPr>
            <w:tcW w:w="3229" w:type="dxa"/>
            <w:shd w:val="clear" w:color="auto" w:fill="C9DED4"/>
          </w:tcPr>
          <w:p w:rsidR="00C752B3" w:rsidRPr="006142F3" w:rsidRDefault="00C752B3" w:rsidP="00147EC4">
            <w:pPr>
              <w:keepNext/>
              <w:spacing w:before="60" w:after="60"/>
              <w:rPr>
                <w:sz w:val="16"/>
                <w:szCs w:val="16"/>
              </w:rPr>
            </w:pPr>
            <w:r w:rsidRPr="006142F3">
              <w:rPr>
                <w:sz w:val="16"/>
                <w:szCs w:val="16"/>
              </w:rPr>
              <w:t>Norwegian Air Shuttle</w:t>
            </w:r>
          </w:p>
        </w:tc>
        <w:tc>
          <w:tcPr>
            <w:tcW w:w="1761" w:type="dxa"/>
            <w:shd w:val="clear" w:color="auto" w:fill="C9DED4"/>
          </w:tcPr>
          <w:p w:rsidR="00C752B3" w:rsidRPr="006142F3" w:rsidRDefault="00C752B3" w:rsidP="00147EC4">
            <w:pPr>
              <w:keepNext/>
              <w:spacing w:before="60" w:after="60"/>
              <w:jc w:val="center"/>
              <w:rPr>
                <w:sz w:val="16"/>
                <w:szCs w:val="16"/>
              </w:rPr>
            </w:pPr>
            <w:r w:rsidRPr="006142F3">
              <w:rPr>
                <w:sz w:val="16"/>
                <w:szCs w:val="16"/>
              </w:rPr>
              <w:t>A320neo</w:t>
            </w:r>
          </w:p>
        </w:tc>
        <w:tc>
          <w:tcPr>
            <w:tcW w:w="1692" w:type="dxa"/>
            <w:shd w:val="clear" w:color="auto" w:fill="C9DED4"/>
          </w:tcPr>
          <w:p w:rsidR="00C752B3" w:rsidRPr="006142F3" w:rsidRDefault="00C752B3" w:rsidP="00147EC4">
            <w:pPr>
              <w:keepNext/>
              <w:spacing w:before="60" w:after="60"/>
              <w:jc w:val="center"/>
              <w:rPr>
                <w:sz w:val="16"/>
                <w:szCs w:val="16"/>
              </w:rPr>
            </w:pPr>
            <w:r w:rsidRPr="006142F3">
              <w:rPr>
                <w:sz w:val="16"/>
                <w:szCs w:val="16"/>
              </w:rPr>
              <w:t>100</w:t>
            </w:r>
          </w:p>
        </w:tc>
        <w:tc>
          <w:tcPr>
            <w:tcW w:w="1692" w:type="dxa"/>
            <w:shd w:val="clear" w:color="auto" w:fill="C9DED4"/>
          </w:tcPr>
          <w:p w:rsidR="00C752B3" w:rsidRPr="006142F3" w:rsidRDefault="00C752B3" w:rsidP="00147EC4">
            <w:pPr>
              <w:keepNext/>
              <w:spacing w:before="60" w:after="60"/>
              <w:jc w:val="center"/>
              <w:rPr>
                <w:sz w:val="16"/>
                <w:szCs w:val="16"/>
              </w:rPr>
            </w:pPr>
          </w:p>
        </w:tc>
      </w:tr>
    </w:tbl>
    <w:p w:rsidR="00C752B3" w:rsidRDefault="00C752B3" w:rsidP="00526697">
      <w:pPr>
        <w:pStyle w:val="NoteText"/>
        <w:spacing w:before="120" w:after="240"/>
      </w:pPr>
      <w:r>
        <w:t xml:space="preserve">Source: Panel Report, </w:t>
      </w:r>
      <w:r w:rsidR="001E08C2">
        <w:t xml:space="preserve">para. 6.1781, </w:t>
      </w:r>
      <w:r>
        <w:t>Table 19.</w:t>
      </w:r>
    </w:p>
    <w:p w:rsidR="00C752B3" w:rsidRDefault="00C752B3" w:rsidP="00526697">
      <w:pPr>
        <w:pStyle w:val="BodyText"/>
      </w:pPr>
      <w:r>
        <w:t xml:space="preserve">As noted above, the Panel considered that, under either "plausible" counterfactual scenario, competition from potential </w:t>
      </w:r>
      <w:r w:rsidR="001E08C2">
        <w:t xml:space="preserve">new </w:t>
      </w:r>
      <w:r>
        <w:t>non</w:t>
      </w:r>
      <w:r>
        <w:noBreakHyphen/>
      </w:r>
      <w:r w:rsidR="001E08C2">
        <w:t xml:space="preserve">US </w:t>
      </w:r>
      <w:r>
        <w:t xml:space="preserve">entrants would </w:t>
      </w:r>
      <w:r w:rsidR="001E08C2">
        <w:t>have been limited to the single</w:t>
      </w:r>
      <w:r w:rsidR="001E08C2">
        <w:noBreakHyphen/>
      </w:r>
      <w:r>
        <w:t>aisle LCA market.</w:t>
      </w:r>
      <w:r>
        <w:rPr>
          <w:rStyle w:val="FootnoteReference"/>
        </w:rPr>
        <w:footnoteReference w:id="2004"/>
      </w:r>
      <w:r>
        <w:t xml:space="preserve"> However, the Panel found it difficult to see how any </w:t>
      </w:r>
      <w:r w:rsidR="001E08C2">
        <w:t xml:space="preserve">new </w:t>
      </w:r>
      <w:r>
        <w:t>non</w:t>
      </w:r>
      <w:r>
        <w:noBreakHyphen/>
      </w:r>
      <w:r w:rsidR="001E08C2">
        <w:t>US</w:t>
      </w:r>
      <w:r>
        <w:t xml:space="preserve"> entrant could have developed "a credible single-aisle LCA offering" that could compete with Boeing (or a duopoly of Boeing with another </w:t>
      </w:r>
      <w:r w:rsidR="001E08C2">
        <w:t>US</w:t>
      </w:r>
      <w:r>
        <w:t xml:space="preserve"> LCA producer) in the sales campaigns in question.</w:t>
      </w:r>
      <w:r>
        <w:rPr>
          <w:rStyle w:val="FootnoteReference"/>
        </w:rPr>
        <w:footnoteReference w:id="2005"/>
      </w:r>
      <w:r w:rsidRPr="00ED5410">
        <w:t xml:space="preserve"> </w:t>
      </w:r>
    </w:p>
    <w:p w:rsidR="00C752B3" w:rsidRDefault="00C752B3" w:rsidP="00526697">
      <w:pPr>
        <w:pStyle w:val="BodyText"/>
      </w:pPr>
      <w:r>
        <w:t xml:space="preserve">Furthermore, we recall that the United States </w:t>
      </w:r>
      <w:r w:rsidR="001E08C2">
        <w:t xml:space="preserve">has </w:t>
      </w:r>
      <w:r>
        <w:t xml:space="preserve">claimed </w:t>
      </w:r>
      <w:r w:rsidR="001E08C2">
        <w:t xml:space="preserve">the existence of </w:t>
      </w:r>
      <w:r>
        <w:t>displacement and/or impedance in the markets for single-aisle LCA in Australia, China, and India.</w:t>
      </w:r>
      <w:r>
        <w:rPr>
          <w:rStyle w:val="FootnoteReference"/>
        </w:rPr>
        <w:footnoteReference w:id="2006"/>
      </w:r>
      <w:r>
        <w:t xml:space="preserve"> For the </w:t>
      </w:r>
      <w:r w:rsidR="001E08C2">
        <w:t>EU </w:t>
      </w:r>
      <w:r>
        <w:t xml:space="preserve">single-aisle LCA market, the United States </w:t>
      </w:r>
      <w:r w:rsidR="001E08C2">
        <w:t xml:space="preserve">has </w:t>
      </w:r>
      <w:r>
        <w:t>claimed</w:t>
      </w:r>
      <w:r w:rsidR="001E08C2">
        <w:t xml:space="preserve"> the existence of</w:t>
      </w:r>
      <w:r>
        <w:t xml:space="preserve"> "impedance"</w:t>
      </w:r>
      <w:r>
        <w:rPr>
          <w:rStyle w:val="FootnoteReference"/>
        </w:rPr>
        <w:footnoteReference w:id="2007"/>
      </w:r>
      <w:r>
        <w:t xml:space="preserve">, and in the alternative, </w:t>
      </w:r>
      <w:r w:rsidRPr="00BC7753">
        <w:rPr>
          <w:lang w:val="en-US"/>
        </w:rPr>
        <w:t>threat of displacement and impedance.</w:t>
      </w:r>
      <w:r>
        <w:rPr>
          <w:rStyle w:val="FootnoteReference"/>
          <w:lang w:val="en-US"/>
        </w:rPr>
        <w:footnoteReference w:id="2008"/>
      </w:r>
      <w:r>
        <w:rPr>
          <w:lang w:val="en-US"/>
        </w:rPr>
        <w:t xml:space="preserve"> T</w:t>
      </w:r>
      <w:r>
        <w:t>he Panel identified</w:t>
      </w:r>
      <w:r w:rsidRPr="00FB52DD">
        <w:t xml:space="preserve"> "the volume of deliveries and market share" </w:t>
      </w:r>
      <w:r w:rsidR="001E08C2">
        <w:t>data</w:t>
      </w:r>
      <w:r w:rsidRPr="00FB52DD">
        <w:t xml:space="preserve"> for each of the different </w:t>
      </w:r>
      <w:r>
        <w:t>single</w:t>
      </w:r>
      <w:r>
        <w:noBreakHyphen/>
        <w:t xml:space="preserve">aisle LCA </w:t>
      </w:r>
      <w:r w:rsidRPr="00FB52DD">
        <w:t xml:space="preserve">markets </w:t>
      </w:r>
      <w:r>
        <w:t>in Table 20 of its Report</w:t>
      </w:r>
      <w:r w:rsidR="001E08C2">
        <w:t xml:space="preserve"> (reproduced in Table 9</w:t>
      </w:r>
      <w:r w:rsidR="00873259">
        <w:t xml:space="preserve"> below</w:t>
      </w:r>
      <w:r w:rsidR="001E08C2">
        <w:t>).</w:t>
      </w:r>
      <w:r>
        <w:t xml:space="preserve"> All of the deliveries by Airbus </w:t>
      </w:r>
      <w:r w:rsidR="005755A4">
        <w:t>reflected in Table 9</w:t>
      </w:r>
      <w:r>
        <w:t xml:space="preserve"> involved</w:t>
      </w:r>
      <w:r w:rsidRPr="00FB1CD3">
        <w:t xml:space="preserve"> </w:t>
      </w:r>
      <w:r>
        <w:t>deliv</w:t>
      </w:r>
      <w:r w:rsidR="001E08C2">
        <w:t>eries of the A320 family of LCA</w:t>
      </w:r>
      <w:r>
        <w:t>.</w:t>
      </w:r>
      <w:r>
        <w:rPr>
          <w:rStyle w:val="FootnoteReference"/>
        </w:rPr>
        <w:footnoteReference w:id="2009"/>
      </w:r>
    </w:p>
    <w:p w:rsidR="00C752B3" w:rsidRDefault="00C752B3" w:rsidP="00C752B3">
      <w:pPr>
        <w:pStyle w:val="Caption"/>
      </w:pPr>
      <w:r>
        <w:t xml:space="preserve">Table </w:t>
      </w:r>
      <w:r w:rsidR="009A724D">
        <w:fldChar w:fldCharType="begin"/>
      </w:r>
      <w:r w:rsidR="009A724D">
        <w:instrText xml:space="preserve"> SEQ Table \* ARABIC </w:instrText>
      </w:r>
      <w:r w:rsidR="009A724D">
        <w:fldChar w:fldCharType="separate"/>
      </w:r>
      <w:r w:rsidR="00FD2727">
        <w:rPr>
          <w:noProof/>
        </w:rPr>
        <w:t>9</w:t>
      </w:r>
      <w:r w:rsidR="009A724D">
        <w:rPr>
          <w:noProof/>
        </w:rPr>
        <w:fldChar w:fldCharType="end"/>
      </w:r>
      <w:r>
        <w:t>: Market for single-aisle LCA</w:t>
      </w:r>
    </w:p>
    <w:tbl>
      <w:tblPr>
        <w:tblW w:w="0" w:type="auto"/>
        <w:tblBorders>
          <w:top w:val="single" w:sz="4" w:space="0" w:color="auto"/>
          <w:left w:val="single" w:sz="4" w:space="0" w:color="auto"/>
          <w:bottom w:val="single" w:sz="4" w:space="0" w:color="auto"/>
          <w:right w:val="single" w:sz="4" w:space="0" w:color="auto"/>
          <w:insideV w:val="single" w:sz="4" w:space="0" w:color="auto"/>
        </w:tblBorders>
        <w:tblCellMar>
          <w:top w:w="57" w:type="dxa"/>
          <w:left w:w="85" w:type="dxa"/>
          <w:bottom w:w="57" w:type="dxa"/>
          <w:right w:w="85" w:type="dxa"/>
        </w:tblCellMar>
        <w:tblLook w:val="0020" w:firstRow="1" w:lastRow="0" w:firstColumn="0" w:lastColumn="0" w:noHBand="0" w:noVBand="0"/>
      </w:tblPr>
      <w:tblGrid>
        <w:gridCol w:w="1015"/>
        <w:gridCol w:w="710"/>
        <w:gridCol w:w="673"/>
        <w:gridCol w:w="673"/>
        <w:gridCol w:w="667"/>
        <w:gridCol w:w="673"/>
        <w:gridCol w:w="673"/>
        <w:gridCol w:w="710"/>
        <w:gridCol w:w="673"/>
        <w:gridCol w:w="673"/>
        <w:gridCol w:w="710"/>
        <w:gridCol w:w="673"/>
        <w:gridCol w:w="673"/>
      </w:tblGrid>
      <w:tr w:rsidR="006C406F" w:rsidRPr="006142F3" w:rsidTr="006C406F">
        <w:trPr>
          <w:trHeight w:val="276"/>
        </w:trPr>
        <w:tc>
          <w:tcPr>
            <w:tcW w:w="0" w:type="auto"/>
            <w:shd w:val="clear" w:color="auto" w:fill="006283"/>
          </w:tcPr>
          <w:p w:rsidR="00C752B3" w:rsidRPr="006142F3" w:rsidRDefault="00C752B3" w:rsidP="00901B2F">
            <w:pPr>
              <w:keepNext/>
              <w:autoSpaceDE w:val="0"/>
              <w:autoSpaceDN w:val="0"/>
              <w:adjustRightInd w:val="0"/>
              <w:jc w:val="center"/>
              <w:rPr>
                <w:b/>
                <w:bCs/>
                <w:color w:val="FFFFFF"/>
                <w:sz w:val="16"/>
                <w:szCs w:val="16"/>
                <w:lang w:eastAsia="en-GB"/>
              </w:rPr>
            </w:pPr>
          </w:p>
        </w:tc>
        <w:tc>
          <w:tcPr>
            <w:tcW w:w="0" w:type="auto"/>
            <w:gridSpan w:val="3"/>
            <w:shd w:val="clear" w:color="auto" w:fill="006283"/>
          </w:tcPr>
          <w:p w:rsidR="00C752B3" w:rsidRPr="006142F3" w:rsidRDefault="00C752B3" w:rsidP="00901B2F">
            <w:pPr>
              <w:keepNext/>
              <w:autoSpaceDE w:val="0"/>
              <w:autoSpaceDN w:val="0"/>
              <w:adjustRightInd w:val="0"/>
              <w:jc w:val="center"/>
              <w:rPr>
                <w:b/>
                <w:bCs/>
                <w:color w:val="FFFFFF"/>
                <w:sz w:val="16"/>
                <w:szCs w:val="16"/>
                <w:lang w:eastAsia="en-GB"/>
              </w:rPr>
            </w:pPr>
            <w:r>
              <w:rPr>
                <w:b/>
                <w:bCs/>
                <w:color w:val="FFFFFF"/>
                <w:sz w:val="16"/>
                <w:szCs w:val="16"/>
                <w:lang w:eastAsia="en-GB"/>
              </w:rPr>
              <w:t>European Union</w:t>
            </w:r>
          </w:p>
        </w:tc>
        <w:tc>
          <w:tcPr>
            <w:tcW w:w="0" w:type="auto"/>
            <w:gridSpan w:val="3"/>
            <w:shd w:val="clear" w:color="auto" w:fill="006283"/>
          </w:tcPr>
          <w:p w:rsidR="00C752B3" w:rsidRPr="006142F3" w:rsidRDefault="00C752B3" w:rsidP="00901B2F">
            <w:pPr>
              <w:keepNext/>
              <w:autoSpaceDE w:val="0"/>
              <w:autoSpaceDN w:val="0"/>
              <w:adjustRightInd w:val="0"/>
              <w:jc w:val="center"/>
              <w:rPr>
                <w:b/>
                <w:bCs/>
                <w:color w:val="FFFFFF"/>
                <w:sz w:val="16"/>
                <w:szCs w:val="16"/>
                <w:lang w:eastAsia="en-GB"/>
              </w:rPr>
            </w:pPr>
            <w:r w:rsidRPr="006142F3">
              <w:rPr>
                <w:b/>
                <w:bCs/>
                <w:color w:val="FFFFFF"/>
                <w:sz w:val="16"/>
                <w:szCs w:val="16"/>
                <w:lang w:eastAsia="en-GB"/>
              </w:rPr>
              <w:t>Australia</w:t>
            </w:r>
          </w:p>
        </w:tc>
        <w:tc>
          <w:tcPr>
            <w:tcW w:w="2057" w:type="dxa"/>
            <w:gridSpan w:val="3"/>
            <w:shd w:val="clear" w:color="auto" w:fill="006283"/>
          </w:tcPr>
          <w:p w:rsidR="00C752B3" w:rsidRPr="006142F3" w:rsidRDefault="00C752B3" w:rsidP="00901B2F">
            <w:pPr>
              <w:keepNext/>
              <w:autoSpaceDE w:val="0"/>
              <w:autoSpaceDN w:val="0"/>
              <w:adjustRightInd w:val="0"/>
              <w:jc w:val="center"/>
              <w:rPr>
                <w:b/>
                <w:bCs/>
                <w:color w:val="FFFFFF"/>
                <w:sz w:val="16"/>
                <w:szCs w:val="16"/>
                <w:lang w:eastAsia="en-GB"/>
              </w:rPr>
            </w:pPr>
            <w:r w:rsidRPr="006142F3">
              <w:rPr>
                <w:b/>
                <w:bCs/>
                <w:color w:val="FFFFFF"/>
                <w:sz w:val="16"/>
                <w:szCs w:val="16"/>
                <w:lang w:eastAsia="en-GB"/>
              </w:rPr>
              <w:t>China</w:t>
            </w:r>
          </w:p>
        </w:tc>
        <w:tc>
          <w:tcPr>
            <w:tcW w:w="2056" w:type="dxa"/>
            <w:gridSpan w:val="3"/>
            <w:shd w:val="clear" w:color="auto" w:fill="006283"/>
          </w:tcPr>
          <w:p w:rsidR="00C752B3" w:rsidRPr="006142F3" w:rsidRDefault="00C752B3" w:rsidP="00901B2F">
            <w:pPr>
              <w:keepNext/>
              <w:autoSpaceDE w:val="0"/>
              <w:autoSpaceDN w:val="0"/>
              <w:adjustRightInd w:val="0"/>
              <w:jc w:val="center"/>
              <w:rPr>
                <w:b/>
                <w:bCs/>
                <w:color w:val="FFFFFF"/>
                <w:sz w:val="16"/>
                <w:szCs w:val="16"/>
                <w:lang w:eastAsia="en-GB"/>
              </w:rPr>
            </w:pPr>
            <w:r w:rsidRPr="006142F3">
              <w:rPr>
                <w:b/>
                <w:bCs/>
                <w:color w:val="FFFFFF"/>
                <w:sz w:val="16"/>
                <w:szCs w:val="16"/>
                <w:lang w:eastAsia="en-GB"/>
              </w:rPr>
              <w:t>India</w:t>
            </w:r>
          </w:p>
        </w:tc>
      </w:tr>
      <w:tr w:rsidR="006C406F" w:rsidRPr="006142F3" w:rsidTr="006C406F">
        <w:trPr>
          <w:trHeight w:val="534"/>
        </w:trPr>
        <w:tc>
          <w:tcPr>
            <w:tcW w:w="0" w:type="auto"/>
            <w:shd w:val="clear" w:color="auto" w:fill="auto"/>
          </w:tcPr>
          <w:p w:rsidR="00C752B3" w:rsidRPr="006142F3" w:rsidRDefault="00C752B3" w:rsidP="00901B2F">
            <w:pPr>
              <w:keepNext/>
              <w:autoSpaceDE w:val="0"/>
              <w:autoSpaceDN w:val="0"/>
              <w:adjustRightInd w:val="0"/>
              <w:jc w:val="center"/>
              <w:rPr>
                <w:b/>
                <w:color w:val="000000"/>
                <w:sz w:val="16"/>
                <w:szCs w:val="16"/>
                <w:lang w:eastAsia="en-GB"/>
              </w:rPr>
            </w:pPr>
            <w:r w:rsidRPr="006142F3">
              <w:rPr>
                <w:b/>
                <w:color w:val="000000"/>
                <w:sz w:val="16"/>
                <w:szCs w:val="16"/>
                <w:lang w:eastAsia="en-GB"/>
              </w:rPr>
              <w:t>Delivery Data</w:t>
            </w:r>
          </w:p>
        </w:tc>
        <w:tc>
          <w:tcPr>
            <w:tcW w:w="0" w:type="auto"/>
            <w:shd w:val="clear" w:color="auto" w:fill="auto"/>
          </w:tcPr>
          <w:p w:rsidR="00C752B3" w:rsidRPr="006142F3" w:rsidRDefault="00C752B3" w:rsidP="00901B2F">
            <w:pPr>
              <w:keepNext/>
              <w:autoSpaceDE w:val="0"/>
              <w:autoSpaceDN w:val="0"/>
              <w:adjustRightInd w:val="0"/>
              <w:jc w:val="center"/>
              <w:rPr>
                <w:b/>
                <w:bCs/>
                <w:color w:val="000000"/>
                <w:sz w:val="16"/>
                <w:szCs w:val="16"/>
                <w:lang w:eastAsia="en-GB"/>
              </w:rPr>
            </w:pPr>
            <w:r w:rsidRPr="006142F3">
              <w:rPr>
                <w:b/>
                <w:bCs/>
                <w:color w:val="000000"/>
                <w:sz w:val="16"/>
                <w:szCs w:val="16"/>
                <w:lang w:eastAsia="en-GB"/>
              </w:rPr>
              <w:t>Dec. 2011</w:t>
            </w:r>
          </w:p>
        </w:tc>
        <w:tc>
          <w:tcPr>
            <w:tcW w:w="0" w:type="auto"/>
            <w:shd w:val="clear" w:color="auto" w:fill="auto"/>
          </w:tcPr>
          <w:p w:rsidR="00C752B3" w:rsidRPr="006142F3" w:rsidRDefault="00C752B3" w:rsidP="00901B2F">
            <w:pPr>
              <w:keepNext/>
              <w:autoSpaceDE w:val="0"/>
              <w:autoSpaceDN w:val="0"/>
              <w:adjustRightInd w:val="0"/>
              <w:jc w:val="center"/>
              <w:rPr>
                <w:b/>
                <w:bCs/>
                <w:color w:val="000000"/>
                <w:sz w:val="16"/>
                <w:szCs w:val="16"/>
                <w:lang w:eastAsia="en-GB"/>
              </w:rPr>
            </w:pPr>
            <w:r w:rsidRPr="006142F3">
              <w:rPr>
                <w:b/>
                <w:bCs/>
                <w:color w:val="000000"/>
                <w:sz w:val="16"/>
                <w:szCs w:val="16"/>
                <w:lang w:eastAsia="en-GB"/>
              </w:rPr>
              <w:t>2012</w:t>
            </w:r>
          </w:p>
        </w:tc>
        <w:tc>
          <w:tcPr>
            <w:tcW w:w="0" w:type="auto"/>
            <w:shd w:val="clear" w:color="auto" w:fill="auto"/>
          </w:tcPr>
          <w:p w:rsidR="00C752B3" w:rsidRPr="006142F3" w:rsidRDefault="00C752B3" w:rsidP="00901B2F">
            <w:pPr>
              <w:keepNext/>
              <w:autoSpaceDE w:val="0"/>
              <w:autoSpaceDN w:val="0"/>
              <w:adjustRightInd w:val="0"/>
              <w:jc w:val="center"/>
              <w:rPr>
                <w:b/>
                <w:bCs/>
                <w:color w:val="000000"/>
                <w:sz w:val="16"/>
                <w:szCs w:val="16"/>
                <w:lang w:eastAsia="en-GB"/>
              </w:rPr>
            </w:pPr>
            <w:r w:rsidRPr="006142F3">
              <w:rPr>
                <w:b/>
                <w:bCs/>
                <w:color w:val="000000"/>
                <w:sz w:val="16"/>
                <w:szCs w:val="16"/>
                <w:lang w:eastAsia="en-GB"/>
              </w:rPr>
              <w:t>2013</w:t>
            </w:r>
          </w:p>
        </w:tc>
        <w:tc>
          <w:tcPr>
            <w:tcW w:w="0" w:type="auto"/>
            <w:shd w:val="clear" w:color="auto" w:fill="auto"/>
          </w:tcPr>
          <w:p w:rsidR="00C752B3" w:rsidRPr="006142F3" w:rsidRDefault="00C752B3" w:rsidP="00901B2F">
            <w:pPr>
              <w:keepNext/>
              <w:autoSpaceDE w:val="0"/>
              <w:autoSpaceDN w:val="0"/>
              <w:adjustRightInd w:val="0"/>
              <w:jc w:val="center"/>
              <w:rPr>
                <w:b/>
                <w:bCs/>
                <w:color w:val="000000"/>
                <w:sz w:val="16"/>
                <w:szCs w:val="16"/>
                <w:lang w:eastAsia="en-GB"/>
              </w:rPr>
            </w:pPr>
            <w:r w:rsidRPr="006142F3">
              <w:rPr>
                <w:b/>
                <w:bCs/>
                <w:color w:val="000000"/>
                <w:sz w:val="16"/>
                <w:szCs w:val="16"/>
                <w:lang w:eastAsia="en-GB"/>
              </w:rPr>
              <w:t>Dec. 2011</w:t>
            </w:r>
          </w:p>
        </w:tc>
        <w:tc>
          <w:tcPr>
            <w:tcW w:w="0" w:type="auto"/>
            <w:shd w:val="clear" w:color="auto" w:fill="auto"/>
          </w:tcPr>
          <w:p w:rsidR="00C752B3" w:rsidRPr="006142F3" w:rsidRDefault="00C752B3" w:rsidP="00901B2F">
            <w:pPr>
              <w:keepNext/>
              <w:autoSpaceDE w:val="0"/>
              <w:autoSpaceDN w:val="0"/>
              <w:adjustRightInd w:val="0"/>
              <w:jc w:val="center"/>
              <w:rPr>
                <w:b/>
                <w:bCs/>
                <w:color w:val="000000"/>
                <w:sz w:val="16"/>
                <w:szCs w:val="16"/>
                <w:lang w:eastAsia="en-GB"/>
              </w:rPr>
            </w:pPr>
            <w:r w:rsidRPr="006142F3">
              <w:rPr>
                <w:b/>
                <w:bCs/>
                <w:color w:val="000000"/>
                <w:sz w:val="16"/>
                <w:szCs w:val="16"/>
                <w:lang w:eastAsia="en-GB"/>
              </w:rPr>
              <w:t>2012</w:t>
            </w:r>
          </w:p>
        </w:tc>
        <w:tc>
          <w:tcPr>
            <w:tcW w:w="0" w:type="auto"/>
            <w:shd w:val="clear" w:color="auto" w:fill="auto"/>
          </w:tcPr>
          <w:p w:rsidR="00C752B3" w:rsidRPr="006142F3" w:rsidRDefault="00C752B3" w:rsidP="00901B2F">
            <w:pPr>
              <w:keepNext/>
              <w:autoSpaceDE w:val="0"/>
              <w:autoSpaceDN w:val="0"/>
              <w:adjustRightInd w:val="0"/>
              <w:jc w:val="center"/>
              <w:rPr>
                <w:b/>
                <w:bCs/>
                <w:color w:val="000000"/>
                <w:sz w:val="16"/>
                <w:szCs w:val="16"/>
                <w:lang w:eastAsia="en-GB"/>
              </w:rPr>
            </w:pPr>
            <w:r w:rsidRPr="006142F3">
              <w:rPr>
                <w:b/>
                <w:bCs/>
                <w:color w:val="000000"/>
                <w:sz w:val="16"/>
                <w:szCs w:val="16"/>
                <w:lang w:eastAsia="en-GB"/>
              </w:rPr>
              <w:t>2013</w:t>
            </w:r>
          </w:p>
        </w:tc>
        <w:tc>
          <w:tcPr>
            <w:tcW w:w="0" w:type="auto"/>
            <w:shd w:val="clear" w:color="auto" w:fill="auto"/>
          </w:tcPr>
          <w:p w:rsidR="00C752B3" w:rsidRPr="006142F3" w:rsidRDefault="00C752B3" w:rsidP="00901B2F">
            <w:pPr>
              <w:keepNext/>
              <w:autoSpaceDE w:val="0"/>
              <w:autoSpaceDN w:val="0"/>
              <w:adjustRightInd w:val="0"/>
              <w:jc w:val="center"/>
              <w:rPr>
                <w:b/>
                <w:bCs/>
                <w:color w:val="000000"/>
                <w:sz w:val="16"/>
                <w:szCs w:val="16"/>
                <w:lang w:eastAsia="en-GB"/>
              </w:rPr>
            </w:pPr>
            <w:r w:rsidRPr="006142F3">
              <w:rPr>
                <w:b/>
                <w:bCs/>
                <w:color w:val="000000"/>
                <w:sz w:val="16"/>
                <w:szCs w:val="16"/>
                <w:lang w:eastAsia="en-GB"/>
              </w:rPr>
              <w:t>Dec. 2011</w:t>
            </w:r>
          </w:p>
        </w:tc>
        <w:tc>
          <w:tcPr>
            <w:tcW w:w="0" w:type="auto"/>
            <w:shd w:val="clear" w:color="auto" w:fill="auto"/>
          </w:tcPr>
          <w:p w:rsidR="00C752B3" w:rsidRPr="006142F3" w:rsidRDefault="00C752B3" w:rsidP="00901B2F">
            <w:pPr>
              <w:keepNext/>
              <w:autoSpaceDE w:val="0"/>
              <w:autoSpaceDN w:val="0"/>
              <w:adjustRightInd w:val="0"/>
              <w:jc w:val="center"/>
              <w:rPr>
                <w:b/>
                <w:bCs/>
                <w:color w:val="000000"/>
                <w:sz w:val="16"/>
                <w:szCs w:val="16"/>
                <w:lang w:eastAsia="en-GB"/>
              </w:rPr>
            </w:pPr>
            <w:r w:rsidRPr="006142F3">
              <w:rPr>
                <w:b/>
                <w:bCs/>
                <w:color w:val="000000"/>
                <w:sz w:val="16"/>
                <w:szCs w:val="16"/>
                <w:lang w:eastAsia="en-GB"/>
              </w:rPr>
              <w:t>2012</w:t>
            </w:r>
          </w:p>
        </w:tc>
        <w:tc>
          <w:tcPr>
            <w:tcW w:w="0" w:type="auto"/>
            <w:shd w:val="clear" w:color="auto" w:fill="auto"/>
          </w:tcPr>
          <w:p w:rsidR="00C752B3" w:rsidRPr="006142F3" w:rsidRDefault="00C752B3" w:rsidP="00901B2F">
            <w:pPr>
              <w:keepNext/>
              <w:autoSpaceDE w:val="0"/>
              <w:autoSpaceDN w:val="0"/>
              <w:adjustRightInd w:val="0"/>
              <w:jc w:val="center"/>
              <w:rPr>
                <w:b/>
                <w:bCs/>
                <w:color w:val="000000"/>
                <w:sz w:val="16"/>
                <w:szCs w:val="16"/>
                <w:lang w:eastAsia="en-GB"/>
              </w:rPr>
            </w:pPr>
            <w:r w:rsidRPr="006142F3">
              <w:rPr>
                <w:b/>
                <w:bCs/>
                <w:color w:val="000000"/>
                <w:sz w:val="16"/>
                <w:szCs w:val="16"/>
                <w:lang w:eastAsia="en-GB"/>
              </w:rPr>
              <w:t>2013</w:t>
            </w:r>
          </w:p>
        </w:tc>
        <w:tc>
          <w:tcPr>
            <w:tcW w:w="0" w:type="auto"/>
            <w:shd w:val="clear" w:color="auto" w:fill="auto"/>
          </w:tcPr>
          <w:p w:rsidR="00C752B3" w:rsidRPr="006142F3" w:rsidRDefault="00C752B3" w:rsidP="00901B2F">
            <w:pPr>
              <w:keepNext/>
              <w:autoSpaceDE w:val="0"/>
              <w:autoSpaceDN w:val="0"/>
              <w:adjustRightInd w:val="0"/>
              <w:jc w:val="center"/>
              <w:rPr>
                <w:b/>
                <w:bCs/>
                <w:color w:val="000000"/>
                <w:sz w:val="16"/>
                <w:szCs w:val="16"/>
                <w:lang w:eastAsia="en-GB"/>
              </w:rPr>
            </w:pPr>
            <w:r w:rsidRPr="006142F3">
              <w:rPr>
                <w:b/>
                <w:bCs/>
                <w:color w:val="000000"/>
                <w:sz w:val="16"/>
                <w:szCs w:val="16"/>
                <w:lang w:eastAsia="en-GB"/>
              </w:rPr>
              <w:t>Dec. 2011</w:t>
            </w:r>
          </w:p>
        </w:tc>
        <w:tc>
          <w:tcPr>
            <w:tcW w:w="0" w:type="auto"/>
            <w:shd w:val="clear" w:color="auto" w:fill="auto"/>
          </w:tcPr>
          <w:p w:rsidR="00C752B3" w:rsidRPr="006142F3" w:rsidRDefault="00C752B3" w:rsidP="00901B2F">
            <w:pPr>
              <w:keepNext/>
              <w:autoSpaceDE w:val="0"/>
              <w:autoSpaceDN w:val="0"/>
              <w:adjustRightInd w:val="0"/>
              <w:jc w:val="center"/>
              <w:rPr>
                <w:b/>
                <w:bCs/>
                <w:color w:val="000000"/>
                <w:sz w:val="16"/>
                <w:szCs w:val="16"/>
                <w:lang w:eastAsia="en-GB"/>
              </w:rPr>
            </w:pPr>
            <w:r w:rsidRPr="006142F3">
              <w:rPr>
                <w:b/>
                <w:bCs/>
                <w:color w:val="000000"/>
                <w:sz w:val="16"/>
                <w:szCs w:val="16"/>
                <w:lang w:eastAsia="en-GB"/>
              </w:rPr>
              <w:t>2012</w:t>
            </w:r>
          </w:p>
        </w:tc>
        <w:tc>
          <w:tcPr>
            <w:tcW w:w="0" w:type="auto"/>
            <w:shd w:val="clear" w:color="auto" w:fill="auto"/>
          </w:tcPr>
          <w:p w:rsidR="00C752B3" w:rsidRPr="006142F3" w:rsidRDefault="00C752B3" w:rsidP="00901B2F">
            <w:pPr>
              <w:keepNext/>
              <w:autoSpaceDE w:val="0"/>
              <w:autoSpaceDN w:val="0"/>
              <w:adjustRightInd w:val="0"/>
              <w:jc w:val="center"/>
              <w:rPr>
                <w:b/>
                <w:bCs/>
                <w:color w:val="000000"/>
                <w:sz w:val="16"/>
                <w:szCs w:val="16"/>
                <w:lang w:eastAsia="en-GB"/>
              </w:rPr>
            </w:pPr>
            <w:r w:rsidRPr="006142F3">
              <w:rPr>
                <w:b/>
                <w:bCs/>
                <w:color w:val="000000"/>
                <w:sz w:val="16"/>
                <w:szCs w:val="16"/>
                <w:lang w:eastAsia="en-GB"/>
              </w:rPr>
              <w:t>2013</w:t>
            </w:r>
          </w:p>
        </w:tc>
      </w:tr>
      <w:tr w:rsidR="006C406F" w:rsidRPr="006142F3" w:rsidTr="006C406F">
        <w:trPr>
          <w:trHeight w:val="216"/>
        </w:trPr>
        <w:tc>
          <w:tcPr>
            <w:tcW w:w="0" w:type="auto"/>
            <w:shd w:val="clear" w:color="auto" w:fill="C9DED4"/>
          </w:tcPr>
          <w:p w:rsidR="00C752B3" w:rsidRPr="006142F3" w:rsidRDefault="00C752B3" w:rsidP="00901B2F">
            <w:pPr>
              <w:keepNext/>
              <w:autoSpaceDE w:val="0"/>
              <w:autoSpaceDN w:val="0"/>
              <w:adjustRightInd w:val="0"/>
              <w:jc w:val="center"/>
              <w:rPr>
                <w:color w:val="000000"/>
                <w:sz w:val="16"/>
                <w:szCs w:val="16"/>
                <w:lang w:eastAsia="en-GB"/>
              </w:rPr>
            </w:pPr>
            <w:r w:rsidRPr="006142F3">
              <w:rPr>
                <w:color w:val="000000"/>
                <w:sz w:val="16"/>
                <w:szCs w:val="16"/>
                <w:lang w:eastAsia="en-GB"/>
              </w:rPr>
              <w:t>Boeing Volume (Units)</w:t>
            </w:r>
          </w:p>
        </w:tc>
        <w:tc>
          <w:tcPr>
            <w:tcW w:w="0" w:type="auto"/>
            <w:shd w:val="clear" w:color="auto" w:fill="C9DED4"/>
            <w:vAlign w:val="center"/>
          </w:tcPr>
          <w:p w:rsidR="00C752B3" w:rsidRPr="003E0892" w:rsidRDefault="00C752B3" w:rsidP="003E0892">
            <w:pPr>
              <w:keepNext/>
              <w:jc w:val="center"/>
              <w:rPr>
                <w:color w:val="000000"/>
                <w:sz w:val="15"/>
                <w:szCs w:val="15"/>
                <w:lang w:eastAsia="en-GB"/>
              </w:rPr>
            </w:pPr>
            <w:r w:rsidRPr="003E0892">
              <w:rPr>
                <w:color w:val="000000"/>
                <w:sz w:val="15"/>
                <w:szCs w:val="15"/>
                <w:lang w:eastAsia="en-GB"/>
              </w:rPr>
              <w:t>10</w:t>
            </w:r>
          </w:p>
        </w:tc>
        <w:tc>
          <w:tcPr>
            <w:tcW w:w="0" w:type="auto"/>
            <w:shd w:val="clear" w:color="auto" w:fill="C9DED4"/>
            <w:vAlign w:val="center"/>
          </w:tcPr>
          <w:p w:rsidR="00C752B3" w:rsidRPr="003E0892" w:rsidRDefault="00C752B3" w:rsidP="003E0892">
            <w:pPr>
              <w:keepNext/>
              <w:jc w:val="center"/>
              <w:rPr>
                <w:color w:val="000000"/>
                <w:sz w:val="15"/>
                <w:szCs w:val="15"/>
                <w:lang w:eastAsia="en-GB"/>
              </w:rPr>
            </w:pPr>
            <w:r w:rsidRPr="003E0892">
              <w:rPr>
                <w:color w:val="000000"/>
                <w:sz w:val="15"/>
                <w:szCs w:val="15"/>
                <w:lang w:eastAsia="en-GB"/>
              </w:rPr>
              <w:t>59</w:t>
            </w:r>
          </w:p>
        </w:tc>
        <w:tc>
          <w:tcPr>
            <w:tcW w:w="0" w:type="auto"/>
            <w:shd w:val="clear" w:color="auto" w:fill="C9DED4"/>
            <w:vAlign w:val="center"/>
          </w:tcPr>
          <w:p w:rsidR="00C752B3" w:rsidRPr="003E0892" w:rsidRDefault="00C752B3" w:rsidP="003E0892">
            <w:pPr>
              <w:keepNext/>
              <w:jc w:val="center"/>
              <w:rPr>
                <w:color w:val="000000"/>
                <w:sz w:val="15"/>
                <w:szCs w:val="15"/>
                <w:lang w:eastAsia="en-GB"/>
              </w:rPr>
            </w:pPr>
            <w:r w:rsidRPr="003E0892">
              <w:rPr>
                <w:color w:val="000000"/>
                <w:sz w:val="15"/>
                <w:szCs w:val="15"/>
                <w:lang w:eastAsia="en-GB"/>
              </w:rPr>
              <w:t>29</w:t>
            </w:r>
          </w:p>
        </w:tc>
        <w:tc>
          <w:tcPr>
            <w:tcW w:w="0" w:type="auto"/>
            <w:shd w:val="clear" w:color="auto" w:fill="C9DED4"/>
            <w:vAlign w:val="center"/>
          </w:tcPr>
          <w:p w:rsidR="00C752B3" w:rsidRPr="003E0892" w:rsidRDefault="00C752B3" w:rsidP="003E0892">
            <w:pPr>
              <w:keepNext/>
              <w:jc w:val="center"/>
              <w:rPr>
                <w:color w:val="000000"/>
                <w:sz w:val="15"/>
                <w:szCs w:val="15"/>
                <w:lang w:eastAsia="en-GB"/>
              </w:rPr>
            </w:pPr>
            <w:r w:rsidRPr="003E0892">
              <w:rPr>
                <w:color w:val="000000"/>
                <w:sz w:val="15"/>
                <w:szCs w:val="15"/>
                <w:lang w:eastAsia="en-GB"/>
              </w:rPr>
              <w:t>4</w:t>
            </w:r>
          </w:p>
        </w:tc>
        <w:tc>
          <w:tcPr>
            <w:tcW w:w="0" w:type="auto"/>
            <w:shd w:val="clear" w:color="auto" w:fill="C9DED4"/>
            <w:vAlign w:val="center"/>
          </w:tcPr>
          <w:p w:rsidR="00C752B3" w:rsidRPr="003E0892" w:rsidRDefault="00C752B3" w:rsidP="003E0892">
            <w:pPr>
              <w:keepNext/>
              <w:jc w:val="center"/>
              <w:rPr>
                <w:color w:val="000000"/>
                <w:sz w:val="15"/>
                <w:szCs w:val="15"/>
                <w:lang w:eastAsia="en-GB"/>
              </w:rPr>
            </w:pPr>
            <w:r w:rsidRPr="003E0892">
              <w:rPr>
                <w:color w:val="000000"/>
                <w:sz w:val="15"/>
                <w:szCs w:val="15"/>
                <w:lang w:eastAsia="en-GB"/>
              </w:rPr>
              <w:t>21</w:t>
            </w:r>
          </w:p>
        </w:tc>
        <w:tc>
          <w:tcPr>
            <w:tcW w:w="0" w:type="auto"/>
            <w:shd w:val="clear" w:color="auto" w:fill="C9DED4"/>
            <w:vAlign w:val="center"/>
          </w:tcPr>
          <w:p w:rsidR="00C752B3" w:rsidRPr="003E0892" w:rsidRDefault="00C752B3" w:rsidP="003E0892">
            <w:pPr>
              <w:keepNext/>
              <w:jc w:val="center"/>
              <w:rPr>
                <w:color w:val="000000"/>
                <w:sz w:val="15"/>
                <w:szCs w:val="15"/>
                <w:lang w:eastAsia="en-GB"/>
              </w:rPr>
            </w:pPr>
            <w:r w:rsidRPr="003E0892">
              <w:rPr>
                <w:color w:val="000000"/>
                <w:sz w:val="15"/>
                <w:szCs w:val="15"/>
                <w:lang w:eastAsia="en-GB"/>
              </w:rPr>
              <w:t>14</w:t>
            </w:r>
          </w:p>
        </w:tc>
        <w:tc>
          <w:tcPr>
            <w:tcW w:w="0" w:type="auto"/>
            <w:shd w:val="clear" w:color="auto" w:fill="C9DED4"/>
            <w:vAlign w:val="center"/>
          </w:tcPr>
          <w:p w:rsidR="00C752B3" w:rsidRPr="003E0892" w:rsidRDefault="00C752B3" w:rsidP="003E0892">
            <w:pPr>
              <w:keepNext/>
              <w:jc w:val="center"/>
              <w:rPr>
                <w:color w:val="000000"/>
                <w:sz w:val="15"/>
                <w:szCs w:val="15"/>
                <w:lang w:eastAsia="en-GB"/>
              </w:rPr>
            </w:pPr>
            <w:r w:rsidRPr="003E0892">
              <w:rPr>
                <w:color w:val="000000"/>
                <w:sz w:val="15"/>
                <w:szCs w:val="15"/>
                <w:lang w:eastAsia="en-GB"/>
              </w:rPr>
              <w:t>4</w:t>
            </w:r>
          </w:p>
        </w:tc>
        <w:tc>
          <w:tcPr>
            <w:tcW w:w="0" w:type="auto"/>
            <w:shd w:val="clear" w:color="auto" w:fill="C9DED4"/>
            <w:vAlign w:val="center"/>
          </w:tcPr>
          <w:p w:rsidR="00C752B3" w:rsidRPr="003E0892" w:rsidRDefault="00C752B3" w:rsidP="003E0892">
            <w:pPr>
              <w:keepNext/>
              <w:jc w:val="center"/>
              <w:rPr>
                <w:color w:val="000000"/>
                <w:sz w:val="15"/>
                <w:szCs w:val="15"/>
                <w:lang w:eastAsia="en-GB"/>
              </w:rPr>
            </w:pPr>
            <w:r w:rsidRPr="003E0892">
              <w:rPr>
                <w:color w:val="000000"/>
                <w:sz w:val="15"/>
                <w:szCs w:val="15"/>
                <w:lang w:eastAsia="en-GB"/>
              </w:rPr>
              <w:t>73</w:t>
            </w:r>
          </w:p>
        </w:tc>
        <w:tc>
          <w:tcPr>
            <w:tcW w:w="0" w:type="auto"/>
            <w:shd w:val="clear" w:color="auto" w:fill="C9DED4"/>
            <w:vAlign w:val="center"/>
          </w:tcPr>
          <w:p w:rsidR="00C752B3" w:rsidRPr="003E0892" w:rsidRDefault="00C752B3" w:rsidP="003E0892">
            <w:pPr>
              <w:keepNext/>
              <w:jc w:val="center"/>
              <w:rPr>
                <w:color w:val="000000"/>
                <w:sz w:val="15"/>
                <w:szCs w:val="15"/>
                <w:lang w:eastAsia="en-GB"/>
              </w:rPr>
            </w:pPr>
            <w:r w:rsidRPr="003E0892">
              <w:rPr>
                <w:color w:val="000000"/>
                <w:sz w:val="15"/>
                <w:szCs w:val="15"/>
                <w:lang w:eastAsia="en-GB"/>
              </w:rPr>
              <w:t>123</w:t>
            </w:r>
          </w:p>
        </w:tc>
        <w:tc>
          <w:tcPr>
            <w:tcW w:w="0" w:type="auto"/>
            <w:shd w:val="clear" w:color="auto" w:fill="C9DED4"/>
            <w:vAlign w:val="center"/>
          </w:tcPr>
          <w:p w:rsidR="00C752B3" w:rsidRPr="003E0892" w:rsidRDefault="00C752B3" w:rsidP="003E0892">
            <w:pPr>
              <w:keepNext/>
              <w:jc w:val="center"/>
              <w:rPr>
                <w:color w:val="000000"/>
                <w:sz w:val="15"/>
                <w:szCs w:val="15"/>
                <w:lang w:eastAsia="en-GB"/>
              </w:rPr>
            </w:pPr>
            <w:r w:rsidRPr="003E0892">
              <w:rPr>
                <w:color w:val="000000"/>
                <w:sz w:val="15"/>
                <w:szCs w:val="15"/>
                <w:lang w:eastAsia="en-GB"/>
              </w:rPr>
              <w:t>1</w:t>
            </w:r>
          </w:p>
        </w:tc>
        <w:tc>
          <w:tcPr>
            <w:tcW w:w="0" w:type="auto"/>
            <w:shd w:val="clear" w:color="auto" w:fill="C9DED4"/>
            <w:vAlign w:val="center"/>
          </w:tcPr>
          <w:p w:rsidR="00C752B3" w:rsidRPr="003E0892" w:rsidRDefault="00C752B3" w:rsidP="003E0892">
            <w:pPr>
              <w:keepNext/>
              <w:jc w:val="center"/>
              <w:rPr>
                <w:color w:val="000000"/>
                <w:sz w:val="15"/>
                <w:szCs w:val="15"/>
                <w:lang w:eastAsia="en-GB"/>
              </w:rPr>
            </w:pPr>
            <w:r w:rsidRPr="003E0892">
              <w:rPr>
                <w:color w:val="000000"/>
                <w:sz w:val="15"/>
                <w:szCs w:val="15"/>
                <w:lang w:eastAsia="en-GB"/>
              </w:rPr>
              <w:t>8</w:t>
            </w:r>
          </w:p>
        </w:tc>
        <w:tc>
          <w:tcPr>
            <w:tcW w:w="0" w:type="auto"/>
            <w:shd w:val="clear" w:color="auto" w:fill="C9DED4"/>
            <w:vAlign w:val="center"/>
          </w:tcPr>
          <w:p w:rsidR="00C752B3" w:rsidRPr="003E0892" w:rsidRDefault="00C752B3" w:rsidP="003E0892">
            <w:pPr>
              <w:keepNext/>
              <w:jc w:val="center"/>
              <w:rPr>
                <w:color w:val="000000"/>
                <w:sz w:val="15"/>
                <w:szCs w:val="15"/>
                <w:lang w:eastAsia="en-GB"/>
              </w:rPr>
            </w:pPr>
            <w:r w:rsidRPr="003E0892">
              <w:rPr>
                <w:color w:val="000000"/>
                <w:sz w:val="15"/>
                <w:szCs w:val="15"/>
                <w:lang w:eastAsia="en-GB"/>
              </w:rPr>
              <w:t>17</w:t>
            </w:r>
          </w:p>
        </w:tc>
      </w:tr>
      <w:tr w:rsidR="006C406F" w:rsidRPr="006142F3" w:rsidTr="006C406F">
        <w:trPr>
          <w:trHeight w:val="434"/>
        </w:trPr>
        <w:tc>
          <w:tcPr>
            <w:tcW w:w="0" w:type="auto"/>
            <w:shd w:val="clear" w:color="auto" w:fill="auto"/>
          </w:tcPr>
          <w:p w:rsidR="00C752B3" w:rsidRPr="006142F3" w:rsidRDefault="00C752B3" w:rsidP="00901B2F">
            <w:pPr>
              <w:keepNext/>
              <w:autoSpaceDE w:val="0"/>
              <w:autoSpaceDN w:val="0"/>
              <w:adjustRightInd w:val="0"/>
              <w:jc w:val="center"/>
              <w:rPr>
                <w:color w:val="000000"/>
                <w:sz w:val="16"/>
                <w:szCs w:val="16"/>
                <w:lang w:eastAsia="en-GB"/>
              </w:rPr>
            </w:pPr>
            <w:r w:rsidRPr="006142F3">
              <w:rPr>
                <w:color w:val="000000"/>
                <w:sz w:val="16"/>
                <w:szCs w:val="16"/>
                <w:lang w:eastAsia="en-GB"/>
              </w:rPr>
              <w:t>Boeing Market Share</w:t>
            </w:r>
          </w:p>
        </w:tc>
        <w:tc>
          <w:tcPr>
            <w:tcW w:w="0" w:type="auto"/>
            <w:shd w:val="clear" w:color="auto" w:fill="auto"/>
            <w:vAlign w:val="center"/>
          </w:tcPr>
          <w:p w:rsidR="00C752B3" w:rsidRPr="003E0892" w:rsidRDefault="00C752B3" w:rsidP="003E0892">
            <w:pPr>
              <w:keepNext/>
              <w:jc w:val="center"/>
              <w:rPr>
                <w:color w:val="000000"/>
                <w:sz w:val="15"/>
                <w:szCs w:val="15"/>
                <w:lang w:eastAsia="en-GB"/>
              </w:rPr>
            </w:pPr>
            <w:r w:rsidRPr="003E0892">
              <w:rPr>
                <w:color w:val="000000"/>
                <w:sz w:val="15"/>
                <w:szCs w:val="15"/>
                <w:lang w:eastAsia="en-GB"/>
              </w:rPr>
              <w:t>83.3%</w:t>
            </w:r>
          </w:p>
        </w:tc>
        <w:tc>
          <w:tcPr>
            <w:tcW w:w="0" w:type="auto"/>
            <w:shd w:val="clear" w:color="auto" w:fill="auto"/>
            <w:vAlign w:val="center"/>
          </w:tcPr>
          <w:p w:rsidR="00C752B3" w:rsidRPr="003E0892" w:rsidRDefault="00C752B3" w:rsidP="003E0892">
            <w:pPr>
              <w:keepNext/>
              <w:jc w:val="center"/>
              <w:rPr>
                <w:color w:val="000000"/>
                <w:sz w:val="15"/>
                <w:szCs w:val="15"/>
                <w:lang w:eastAsia="en-GB"/>
              </w:rPr>
            </w:pPr>
            <w:r w:rsidRPr="003E0892">
              <w:rPr>
                <w:color w:val="000000"/>
                <w:sz w:val="15"/>
                <w:szCs w:val="15"/>
                <w:lang w:eastAsia="en-GB"/>
              </w:rPr>
              <w:t>49.6%</w:t>
            </w:r>
          </w:p>
        </w:tc>
        <w:tc>
          <w:tcPr>
            <w:tcW w:w="0" w:type="auto"/>
            <w:shd w:val="clear" w:color="auto" w:fill="auto"/>
            <w:vAlign w:val="center"/>
          </w:tcPr>
          <w:p w:rsidR="00C752B3" w:rsidRPr="003E0892" w:rsidRDefault="00C752B3" w:rsidP="003E0892">
            <w:pPr>
              <w:keepNext/>
              <w:jc w:val="center"/>
              <w:rPr>
                <w:color w:val="000000"/>
                <w:sz w:val="15"/>
                <w:szCs w:val="15"/>
                <w:lang w:eastAsia="en-GB"/>
              </w:rPr>
            </w:pPr>
            <w:r w:rsidRPr="003E0892">
              <w:rPr>
                <w:color w:val="000000"/>
                <w:sz w:val="15"/>
                <w:szCs w:val="15"/>
                <w:lang w:eastAsia="en-GB"/>
              </w:rPr>
              <w:t>29.0%</w:t>
            </w:r>
          </w:p>
        </w:tc>
        <w:tc>
          <w:tcPr>
            <w:tcW w:w="0" w:type="auto"/>
            <w:shd w:val="clear" w:color="auto" w:fill="auto"/>
            <w:vAlign w:val="center"/>
          </w:tcPr>
          <w:p w:rsidR="00C752B3" w:rsidRPr="003E0892" w:rsidRDefault="00C752B3" w:rsidP="003E0892">
            <w:pPr>
              <w:keepNext/>
              <w:jc w:val="center"/>
              <w:rPr>
                <w:color w:val="000000"/>
                <w:sz w:val="15"/>
                <w:szCs w:val="15"/>
                <w:lang w:eastAsia="en-GB"/>
              </w:rPr>
            </w:pPr>
            <w:r w:rsidRPr="003E0892">
              <w:rPr>
                <w:color w:val="000000"/>
                <w:sz w:val="15"/>
                <w:szCs w:val="15"/>
                <w:lang w:eastAsia="en-GB"/>
              </w:rPr>
              <w:t>80%</w:t>
            </w:r>
          </w:p>
        </w:tc>
        <w:tc>
          <w:tcPr>
            <w:tcW w:w="0" w:type="auto"/>
            <w:shd w:val="clear" w:color="auto" w:fill="auto"/>
            <w:vAlign w:val="center"/>
          </w:tcPr>
          <w:p w:rsidR="00C752B3" w:rsidRPr="003E0892" w:rsidRDefault="00C752B3" w:rsidP="003E0892">
            <w:pPr>
              <w:keepNext/>
              <w:jc w:val="center"/>
              <w:rPr>
                <w:color w:val="000000"/>
                <w:sz w:val="15"/>
                <w:szCs w:val="15"/>
                <w:lang w:eastAsia="en-GB"/>
              </w:rPr>
            </w:pPr>
            <w:r w:rsidRPr="003E0892">
              <w:rPr>
                <w:color w:val="000000"/>
                <w:sz w:val="15"/>
                <w:szCs w:val="15"/>
                <w:lang w:eastAsia="en-GB"/>
              </w:rPr>
              <w:t>77.8%</w:t>
            </w:r>
          </w:p>
        </w:tc>
        <w:tc>
          <w:tcPr>
            <w:tcW w:w="0" w:type="auto"/>
            <w:shd w:val="clear" w:color="auto" w:fill="auto"/>
            <w:vAlign w:val="center"/>
          </w:tcPr>
          <w:p w:rsidR="00C752B3" w:rsidRPr="003E0892" w:rsidRDefault="00C752B3" w:rsidP="003E0892">
            <w:pPr>
              <w:keepNext/>
              <w:jc w:val="center"/>
              <w:rPr>
                <w:color w:val="000000"/>
                <w:sz w:val="15"/>
                <w:szCs w:val="15"/>
                <w:lang w:eastAsia="en-GB"/>
              </w:rPr>
            </w:pPr>
            <w:r w:rsidRPr="003E0892">
              <w:rPr>
                <w:color w:val="000000"/>
                <w:sz w:val="15"/>
                <w:szCs w:val="15"/>
                <w:lang w:eastAsia="en-GB"/>
              </w:rPr>
              <w:t>51.9%</w:t>
            </w:r>
          </w:p>
        </w:tc>
        <w:tc>
          <w:tcPr>
            <w:tcW w:w="0" w:type="auto"/>
            <w:shd w:val="clear" w:color="auto" w:fill="auto"/>
            <w:vAlign w:val="center"/>
          </w:tcPr>
          <w:p w:rsidR="00C752B3" w:rsidRPr="003E0892" w:rsidRDefault="00C752B3" w:rsidP="003E0892">
            <w:pPr>
              <w:keepNext/>
              <w:jc w:val="center"/>
              <w:rPr>
                <w:color w:val="000000"/>
                <w:sz w:val="15"/>
                <w:szCs w:val="15"/>
                <w:lang w:eastAsia="en-GB"/>
              </w:rPr>
            </w:pPr>
            <w:r w:rsidRPr="003E0892">
              <w:rPr>
                <w:color w:val="000000"/>
                <w:sz w:val="15"/>
                <w:szCs w:val="15"/>
                <w:lang w:eastAsia="en-GB"/>
              </w:rPr>
              <w:t>33.3%</w:t>
            </w:r>
          </w:p>
        </w:tc>
        <w:tc>
          <w:tcPr>
            <w:tcW w:w="0" w:type="auto"/>
            <w:shd w:val="clear" w:color="auto" w:fill="auto"/>
            <w:vAlign w:val="center"/>
          </w:tcPr>
          <w:p w:rsidR="00C752B3" w:rsidRPr="003E0892" w:rsidRDefault="00C752B3" w:rsidP="003E0892">
            <w:pPr>
              <w:keepNext/>
              <w:jc w:val="center"/>
              <w:rPr>
                <w:color w:val="000000"/>
                <w:sz w:val="15"/>
                <w:szCs w:val="15"/>
                <w:lang w:eastAsia="en-GB"/>
              </w:rPr>
            </w:pPr>
            <w:r w:rsidRPr="003E0892">
              <w:rPr>
                <w:color w:val="000000"/>
                <w:sz w:val="15"/>
                <w:szCs w:val="15"/>
                <w:lang w:eastAsia="en-GB"/>
              </w:rPr>
              <w:t>41.7%</w:t>
            </w:r>
          </w:p>
        </w:tc>
        <w:tc>
          <w:tcPr>
            <w:tcW w:w="0" w:type="auto"/>
            <w:shd w:val="clear" w:color="auto" w:fill="auto"/>
            <w:vAlign w:val="center"/>
          </w:tcPr>
          <w:p w:rsidR="00C752B3" w:rsidRPr="003E0892" w:rsidRDefault="00C752B3" w:rsidP="003E0892">
            <w:pPr>
              <w:keepNext/>
              <w:jc w:val="center"/>
              <w:rPr>
                <w:color w:val="000000"/>
                <w:sz w:val="15"/>
                <w:szCs w:val="15"/>
                <w:lang w:eastAsia="en-GB"/>
              </w:rPr>
            </w:pPr>
            <w:r w:rsidRPr="003E0892">
              <w:rPr>
                <w:color w:val="000000"/>
                <w:sz w:val="15"/>
                <w:szCs w:val="15"/>
                <w:lang w:eastAsia="en-GB"/>
              </w:rPr>
              <w:t>55.9%</w:t>
            </w:r>
          </w:p>
        </w:tc>
        <w:tc>
          <w:tcPr>
            <w:tcW w:w="0" w:type="auto"/>
            <w:shd w:val="clear" w:color="auto" w:fill="auto"/>
            <w:vAlign w:val="center"/>
          </w:tcPr>
          <w:p w:rsidR="00C752B3" w:rsidRPr="003E0892" w:rsidRDefault="00C752B3" w:rsidP="003E0892">
            <w:pPr>
              <w:keepNext/>
              <w:jc w:val="center"/>
              <w:rPr>
                <w:color w:val="000000"/>
                <w:sz w:val="15"/>
                <w:szCs w:val="15"/>
                <w:lang w:eastAsia="en-GB"/>
              </w:rPr>
            </w:pPr>
            <w:r w:rsidRPr="003E0892">
              <w:rPr>
                <w:color w:val="000000"/>
                <w:sz w:val="15"/>
                <w:szCs w:val="15"/>
                <w:lang w:eastAsia="en-GB"/>
              </w:rPr>
              <w:t>33.3%</w:t>
            </w:r>
          </w:p>
        </w:tc>
        <w:tc>
          <w:tcPr>
            <w:tcW w:w="0" w:type="auto"/>
            <w:shd w:val="clear" w:color="auto" w:fill="auto"/>
            <w:vAlign w:val="center"/>
          </w:tcPr>
          <w:p w:rsidR="00C752B3" w:rsidRPr="003E0892" w:rsidRDefault="00C752B3" w:rsidP="003E0892">
            <w:pPr>
              <w:keepNext/>
              <w:jc w:val="center"/>
              <w:rPr>
                <w:color w:val="000000"/>
                <w:sz w:val="15"/>
                <w:szCs w:val="15"/>
                <w:lang w:eastAsia="en-GB"/>
              </w:rPr>
            </w:pPr>
            <w:r w:rsidRPr="003E0892">
              <w:rPr>
                <w:color w:val="000000"/>
                <w:sz w:val="15"/>
                <w:szCs w:val="15"/>
                <w:lang w:eastAsia="en-GB"/>
              </w:rPr>
              <w:t>26.7%</w:t>
            </w:r>
          </w:p>
        </w:tc>
        <w:tc>
          <w:tcPr>
            <w:tcW w:w="0" w:type="auto"/>
            <w:shd w:val="clear" w:color="auto" w:fill="auto"/>
            <w:vAlign w:val="center"/>
          </w:tcPr>
          <w:p w:rsidR="00C752B3" w:rsidRPr="003E0892" w:rsidRDefault="00C752B3" w:rsidP="003E0892">
            <w:pPr>
              <w:keepNext/>
              <w:jc w:val="center"/>
              <w:rPr>
                <w:color w:val="000000"/>
                <w:sz w:val="15"/>
                <w:szCs w:val="15"/>
                <w:lang w:eastAsia="en-GB"/>
              </w:rPr>
            </w:pPr>
            <w:r w:rsidRPr="003E0892">
              <w:rPr>
                <w:color w:val="000000"/>
                <w:sz w:val="15"/>
                <w:szCs w:val="15"/>
                <w:lang w:eastAsia="en-GB"/>
              </w:rPr>
              <w:t>43.6%</w:t>
            </w:r>
          </w:p>
        </w:tc>
      </w:tr>
      <w:tr w:rsidR="006C406F" w:rsidRPr="006142F3" w:rsidTr="006C406F">
        <w:trPr>
          <w:trHeight w:val="216"/>
        </w:trPr>
        <w:tc>
          <w:tcPr>
            <w:tcW w:w="0" w:type="auto"/>
            <w:shd w:val="clear" w:color="auto" w:fill="C9DED4"/>
          </w:tcPr>
          <w:p w:rsidR="00C752B3" w:rsidRPr="006142F3" w:rsidRDefault="00C752B3" w:rsidP="00901B2F">
            <w:pPr>
              <w:keepNext/>
              <w:autoSpaceDE w:val="0"/>
              <w:autoSpaceDN w:val="0"/>
              <w:adjustRightInd w:val="0"/>
              <w:jc w:val="center"/>
              <w:rPr>
                <w:color w:val="000000"/>
                <w:sz w:val="16"/>
                <w:szCs w:val="16"/>
                <w:lang w:eastAsia="en-GB"/>
              </w:rPr>
            </w:pPr>
            <w:r w:rsidRPr="006142F3">
              <w:rPr>
                <w:color w:val="000000"/>
                <w:sz w:val="16"/>
                <w:szCs w:val="16"/>
                <w:lang w:eastAsia="en-GB"/>
              </w:rPr>
              <w:t>Airbus Volume (Units)</w:t>
            </w:r>
          </w:p>
        </w:tc>
        <w:tc>
          <w:tcPr>
            <w:tcW w:w="0" w:type="auto"/>
            <w:shd w:val="clear" w:color="auto" w:fill="C9DED4"/>
            <w:vAlign w:val="center"/>
          </w:tcPr>
          <w:p w:rsidR="00C752B3" w:rsidRPr="003E0892" w:rsidRDefault="00C752B3" w:rsidP="003E0892">
            <w:pPr>
              <w:keepNext/>
              <w:jc w:val="center"/>
              <w:rPr>
                <w:color w:val="000000"/>
                <w:sz w:val="15"/>
                <w:szCs w:val="15"/>
                <w:lang w:eastAsia="en-GB"/>
              </w:rPr>
            </w:pPr>
            <w:r w:rsidRPr="003E0892">
              <w:rPr>
                <w:color w:val="000000"/>
                <w:sz w:val="15"/>
                <w:szCs w:val="15"/>
                <w:lang w:eastAsia="en-GB"/>
              </w:rPr>
              <w:t>2</w:t>
            </w:r>
          </w:p>
        </w:tc>
        <w:tc>
          <w:tcPr>
            <w:tcW w:w="0" w:type="auto"/>
            <w:shd w:val="clear" w:color="auto" w:fill="C9DED4"/>
            <w:vAlign w:val="center"/>
          </w:tcPr>
          <w:p w:rsidR="00C752B3" w:rsidRPr="003E0892" w:rsidRDefault="00C752B3" w:rsidP="003E0892">
            <w:pPr>
              <w:keepNext/>
              <w:jc w:val="center"/>
              <w:rPr>
                <w:color w:val="000000"/>
                <w:sz w:val="15"/>
                <w:szCs w:val="15"/>
                <w:lang w:eastAsia="en-GB"/>
              </w:rPr>
            </w:pPr>
            <w:r w:rsidRPr="003E0892">
              <w:rPr>
                <w:color w:val="000000"/>
                <w:sz w:val="15"/>
                <w:szCs w:val="15"/>
                <w:lang w:eastAsia="en-GB"/>
              </w:rPr>
              <w:t>60</w:t>
            </w:r>
          </w:p>
        </w:tc>
        <w:tc>
          <w:tcPr>
            <w:tcW w:w="0" w:type="auto"/>
            <w:shd w:val="clear" w:color="auto" w:fill="C9DED4"/>
            <w:vAlign w:val="center"/>
          </w:tcPr>
          <w:p w:rsidR="00C752B3" w:rsidRPr="003E0892" w:rsidRDefault="00C752B3" w:rsidP="003E0892">
            <w:pPr>
              <w:keepNext/>
              <w:jc w:val="center"/>
              <w:rPr>
                <w:color w:val="000000"/>
                <w:sz w:val="15"/>
                <w:szCs w:val="15"/>
                <w:lang w:eastAsia="en-GB"/>
              </w:rPr>
            </w:pPr>
            <w:r w:rsidRPr="003E0892">
              <w:rPr>
                <w:color w:val="000000"/>
                <w:sz w:val="15"/>
                <w:szCs w:val="15"/>
                <w:lang w:eastAsia="en-GB"/>
              </w:rPr>
              <w:t>71</w:t>
            </w:r>
          </w:p>
        </w:tc>
        <w:tc>
          <w:tcPr>
            <w:tcW w:w="0" w:type="auto"/>
            <w:shd w:val="clear" w:color="auto" w:fill="C9DED4"/>
            <w:vAlign w:val="center"/>
          </w:tcPr>
          <w:p w:rsidR="00C752B3" w:rsidRPr="003E0892" w:rsidRDefault="00C752B3" w:rsidP="003E0892">
            <w:pPr>
              <w:keepNext/>
              <w:jc w:val="center"/>
              <w:rPr>
                <w:color w:val="000000"/>
                <w:sz w:val="15"/>
                <w:szCs w:val="15"/>
                <w:lang w:eastAsia="en-GB"/>
              </w:rPr>
            </w:pPr>
            <w:r w:rsidRPr="003E0892">
              <w:rPr>
                <w:color w:val="000000"/>
                <w:sz w:val="15"/>
                <w:szCs w:val="15"/>
                <w:lang w:eastAsia="en-GB"/>
              </w:rPr>
              <w:t>1</w:t>
            </w:r>
          </w:p>
        </w:tc>
        <w:tc>
          <w:tcPr>
            <w:tcW w:w="0" w:type="auto"/>
            <w:shd w:val="clear" w:color="auto" w:fill="C9DED4"/>
            <w:vAlign w:val="center"/>
          </w:tcPr>
          <w:p w:rsidR="00C752B3" w:rsidRPr="003E0892" w:rsidRDefault="00C752B3" w:rsidP="003E0892">
            <w:pPr>
              <w:keepNext/>
              <w:jc w:val="center"/>
              <w:rPr>
                <w:color w:val="000000"/>
                <w:sz w:val="15"/>
                <w:szCs w:val="15"/>
                <w:lang w:eastAsia="en-GB"/>
              </w:rPr>
            </w:pPr>
            <w:r w:rsidRPr="003E0892">
              <w:rPr>
                <w:color w:val="000000"/>
                <w:sz w:val="15"/>
                <w:szCs w:val="15"/>
                <w:lang w:eastAsia="en-GB"/>
              </w:rPr>
              <w:t>6</w:t>
            </w:r>
          </w:p>
        </w:tc>
        <w:tc>
          <w:tcPr>
            <w:tcW w:w="0" w:type="auto"/>
            <w:shd w:val="clear" w:color="auto" w:fill="C9DED4"/>
            <w:vAlign w:val="center"/>
          </w:tcPr>
          <w:p w:rsidR="00C752B3" w:rsidRPr="003E0892" w:rsidRDefault="00C752B3" w:rsidP="003E0892">
            <w:pPr>
              <w:keepNext/>
              <w:jc w:val="center"/>
              <w:rPr>
                <w:color w:val="000000"/>
                <w:sz w:val="15"/>
                <w:szCs w:val="15"/>
                <w:lang w:eastAsia="en-GB"/>
              </w:rPr>
            </w:pPr>
            <w:r w:rsidRPr="003E0892">
              <w:rPr>
                <w:color w:val="000000"/>
                <w:sz w:val="15"/>
                <w:szCs w:val="15"/>
                <w:lang w:eastAsia="en-GB"/>
              </w:rPr>
              <w:t>13</w:t>
            </w:r>
          </w:p>
        </w:tc>
        <w:tc>
          <w:tcPr>
            <w:tcW w:w="0" w:type="auto"/>
            <w:shd w:val="clear" w:color="auto" w:fill="C9DED4"/>
            <w:vAlign w:val="center"/>
          </w:tcPr>
          <w:p w:rsidR="00C752B3" w:rsidRPr="003E0892" w:rsidRDefault="00C752B3" w:rsidP="003E0892">
            <w:pPr>
              <w:keepNext/>
              <w:jc w:val="center"/>
              <w:rPr>
                <w:color w:val="000000"/>
                <w:sz w:val="15"/>
                <w:szCs w:val="15"/>
                <w:lang w:eastAsia="en-GB"/>
              </w:rPr>
            </w:pPr>
            <w:r w:rsidRPr="003E0892">
              <w:rPr>
                <w:color w:val="000000"/>
                <w:sz w:val="15"/>
                <w:szCs w:val="15"/>
                <w:lang w:eastAsia="en-GB"/>
              </w:rPr>
              <w:t>8</w:t>
            </w:r>
          </w:p>
        </w:tc>
        <w:tc>
          <w:tcPr>
            <w:tcW w:w="0" w:type="auto"/>
            <w:shd w:val="clear" w:color="auto" w:fill="C9DED4"/>
            <w:vAlign w:val="center"/>
          </w:tcPr>
          <w:p w:rsidR="00C752B3" w:rsidRPr="003E0892" w:rsidRDefault="00C752B3" w:rsidP="003E0892">
            <w:pPr>
              <w:keepNext/>
              <w:jc w:val="center"/>
              <w:rPr>
                <w:color w:val="000000"/>
                <w:sz w:val="15"/>
                <w:szCs w:val="15"/>
                <w:lang w:eastAsia="en-GB"/>
              </w:rPr>
            </w:pPr>
            <w:r w:rsidRPr="003E0892">
              <w:rPr>
                <w:color w:val="000000"/>
                <w:sz w:val="15"/>
                <w:szCs w:val="15"/>
                <w:lang w:eastAsia="en-GB"/>
              </w:rPr>
              <w:t>102</w:t>
            </w:r>
          </w:p>
        </w:tc>
        <w:tc>
          <w:tcPr>
            <w:tcW w:w="0" w:type="auto"/>
            <w:shd w:val="clear" w:color="auto" w:fill="C9DED4"/>
            <w:vAlign w:val="center"/>
          </w:tcPr>
          <w:p w:rsidR="00C752B3" w:rsidRPr="003E0892" w:rsidRDefault="00C752B3" w:rsidP="003E0892">
            <w:pPr>
              <w:keepNext/>
              <w:jc w:val="center"/>
              <w:rPr>
                <w:color w:val="000000"/>
                <w:sz w:val="15"/>
                <w:szCs w:val="15"/>
                <w:lang w:eastAsia="en-GB"/>
              </w:rPr>
            </w:pPr>
            <w:r w:rsidRPr="003E0892">
              <w:rPr>
                <w:color w:val="000000"/>
                <w:sz w:val="15"/>
                <w:szCs w:val="15"/>
                <w:lang w:eastAsia="en-GB"/>
              </w:rPr>
              <w:t>97</w:t>
            </w:r>
          </w:p>
        </w:tc>
        <w:tc>
          <w:tcPr>
            <w:tcW w:w="0" w:type="auto"/>
            <w:shd w:val="clear" w:color="auto" w:fill="C9DED4"/>
            <w:vAlign w:val="center"/>
          </w:tcPr>
          <w:p w:rsidR="00C752B3" w:rsidRPr="003E0892" w:rsidRDefault="00C752B3" w:rsidP="003E0892">
            <w:pPr>
              <w:keepNext/>
              <w:jc w:val="center"/>
              <w:rPr>
                <w:color w:val="000000"/>
                <w:sz w:val="15"/>
                <w:szCs w:val="15"/>
                <w:lang w:eastAsia="en-GB"/>
              </w:rPr>
            </w:pPr>
            <w:r w:rsidRPr="003E0892">
              <w:rPr>
                <w:color w:val="000000"/>
                <w:sz w:val="15"/>
                <w:szCs w:val="15"/>
                <w:lang w:eastAsia="en-GB"/>
              </w:rPr>
              <w:t>2</w:t>
            </w:r>
          </w:p>
        </w:tc>
        <w:tc>
          <w:tcPr>
            <w:tcW w:w="0" w:type="auto"/>
            <w:shd w:val="clear" w:color="auto" w:fill="C9DED4"/>
            <w:vAlign w:val="center"/>
          </w:tcPr>
          <w:p w:rsidR="00C752B3" w:rsidRPr="003E0892" w:rsidRDefault="00C752B3" w:rsidP="003E0892">
            <w:pPr>
              <w:keepNext/>
              <w:jc w:val="center"/>
              <w:rPr>
                <w:color w:val="000000"/>
                <w:sz w:val="15"/>
                <w:szCs w:val="15"/>
                <w:lang w:eastAsia="en-GB"/>
              </w:rPr>
            </w:pPr>
            <w:r w:rsidRPr="003E0892">
              <w:rPr>
                <w:color w:val="000000"/>
                <w:sz w:val="15"/>
                <w:szCs w:val="15"/>
                <w:lang w:eastAsia="en-GB"/>
              </w:rPr>
              <w:t>22</w:t>
            </w:r>
          </w:p>
        </w:tc>
        <w:tc>
          <w:tcPr>
            <w:tcW w:w="0" w:type="auto"/>
            <w:shd w:val="clear" w:color="auto" w:fill="C9DED4"/>
            <w:vAlign w:val="center"/>
          </w:tcPr>
          <w:p w:rsidR="00C752B3" w:rsidRPr="003E0892" w:rsidRDefault="00C752B3" w:rsidP="003E0892">
            <w:pPr>
              <w:keepNext/>
              <w:jc w:val="center"/>
              <w:rPr>
                <w:color w:val="000000"/>
                <w:sz w:val="15"/>
                <w:szCs w:val="15"/>
                <w:lang w:eastAsia="en-GB"/>
              </w:rPr>
            </w:pPr>
            <w:r w:rsidRPr="003E0892">
              <w:rPr>
                <w:color w:val="000000"/>
                <w:sz w:val="15"/>
                <w:szCs w:val="15"/>
                <w:lang w:eastAsia="en-GB"/>
              </w:rPr>
              <w:t>22</w:t>
            </w:r>
          </w:p>
        </w:tc>
      </w:tr>
      <w:tr w:rsidR="006C406F" w:rsidRPr="006142F3" w:rsidTr="006C406F">
        <w:trPr>
          <w:trHeight w:val="216"/>
        </w:trPr>
        <w:tc>
          <w:tcPr>
            <w:tcW w:w="0" w:type="auto"/>
            <w:shd w:val="clear" w:color="auto" w:fill="auto"/>
          </w:tcPr>
          <w:p w:rsidR="00C752B3" w:rsidRPr="006142F3" w:rsidRDefault="00C752B3" w:rsidP="00901B2F">
            <w:pPr>
              <w:keepNext/>
              <w:autoSpaceDE w:val="0"/>
              <w:autoSpaceDN w:val="0"/>
              <w:adjustRightInd w:val="0"/>
              <w:jc w:val="center"/>
              <w:rPr>
                <w:color w:val="000000"/>
                <w:sz w:val="16"/>
                <w:szCs w:val="16"/>
                <w:lang w:eastAsia="en-GB"/>
              </w:rPr>
            </w:pPr>
            <w:r w:rsidRPr="006142F3">
              <w:rPr>
                <w:color w:val="000000"/>
                <w:sz w:val="16"/>
                <w:szCs w:val="16"/>
                <w:lang w:eastAsia="en-GB"/>
              </w:rPr>
              <w:t>Airbus Market Share</w:t>
            </w:r>
          </w:p>
        </w:tc>
        <w:tc>
          <w:tcPr>
            <w:tcW w:w="0" w:type="auto"/>
            <w:shd w:val="clear" w:color="auto" w:fill="auto"/>
            <w:vAlign w:val="center"/>
          </w:tcPr>
          <w:p w:rsidR="00C752B3" w:rsidRPr="003E0892" w:rsidRDefault="00C752B3" w:rsidP="003E0892">
            <w:pPr>
              <w:keepNext/>
              <w:jc w:val="center"/>
              <w:rPr>
                <w:color w:val="000000"/>
                <w:sz w:val="15"/>
                <w:szCs w:val="15"/>
                <w:lang w:eastAsia="en-GB"/>
              </w:rPr>
            </w:pPr>
            <w:r w:rsidRPr="003E0892">
              <w:rPr>
                <w:color w:val="000000"/>
                <w:sz w:val="15"/>
                <w:szCs w:val="15"/>
                <w:lang w:eastAsia="en-GB"/>
              </w:rPr>
              <w:t>16.7%</w:t>
            </w:r>
          </w:p>
        </w:tc>
        <w:tc>
          <w:tcPr>
            <w:tcW w:w="0" w:type="auto"/>
            <w:shd w:val="clear" w:color="auto" w:fill="auto"/>
            <w:vAlign w:val="center"/>
          </w:tcPr>
          <w:p w:rsidR="00C752B3" w:rsidRPr="003E0892" w:rsidRDefault="00C752B3" w:rsidP="003E0892">
            <w:pPr>
              <w:keepNext/>
              <w:jc w:val="center"/>
              <w:rPr>
                <w:color w:val="000000"/>
                <w:sz w:val="15"/>
                <w:szCs w:val="15"/>
                <w:lang w:eastAsia="en-GB"/>
              </w:rPr>
            </w:pPr>
            <w:r w:rsidRPr="003E0892">
              <w:rPr>
                <w:color w:val="000000"/>
                <w:sz w:val="15"/>
                <w:szCs w:val="15"/>
                <w:lang w:eastAsia="en-GB"/>
              </w:rPr>
              <w:t>50.4%</w:t>
            </w:r>
          </w:p>
        </w:tc>
        <w:tc>
          <w:tcPr>
            <w:tcW w:w="0" w:type="auto"/>
            <w:shd w:val="clear" w:color="auto" w:fill="auto"/>
            <w:vAlign w:val="center"/>
          </w:tcPr>
          <w:p w:rsidR="00C752B3" w:rsidRPr="003E0892" w:rsidRDefault="00C752B3" w:rsidP="003E0892">
            <w:pPr>
              <w:keepNext/>
              <w:jc w:val="center"/>
              <w:rPr>
                <w:color w:val="000000"/>
                <w:sz w:val="15"/>
                <w:szCs w:val="15"/>
                <w:lang w:eastAsia="en-GB"/>
              </w:rPr>
            </w:pPr>
            <w:r w:rsidRPr="003E0892">
              <w:rPr>
                <w:color w:val="000000"/>
                <w:sz w:val="15"/>
                <w:szCs w:val="15"/>
                <w:lang w:eastAsia="en-GB"/>
              </w:rPr>
              <w:t>71.0%</w:t>
            </w:r>
          </w:p>
        </w:tc>
        <w:tc>
          <w:tcPr>
            <w:tcW w:w="0" w:type="auto"/>
            <w:shd w:val="clear" w:color="auto" w:fill="auto"/>
            <w:vAlign w:val="center"/>
          </w:tcPr>
          <w:p w:rsidR="00C752B3" w:rsidRPr="003E0892" w:rsidRDefault="00C752B3" w:rsidP="003E0892">
            <w:pPr>
              <w:keepNext/>
              <w:jc w:val="center"/>
              <w:rPr>
                <w:color w:val="000000"/>
                <w:sz w:val="15"/>
                <w:szCs w:val="15"/>
                <w:lang w:eastAsia="en-GB"/>
              </w:rPr>
            </w:pPr>
            <w:r w:rsidRPr="003E0892">
              <w:rPr>
                <w:color w:val="000000"/>
                <w:sz w:val="15"/>
                <w:szCs w:val="15"/>
                <w:lang w:eastAsia="en-GB"/>
              </w:rPr>
              <w:t>20%</w:t>
            </w:r>
          </w:p>
        </w:tc>
        <w:tc>
          <w:tcPr>
            <w:tcW w:w="0" w:type="auto"/>
            <w:shd w:val="clear" w:color="auto" w:fill="auto"/>
            <w:vAlign w:val="center"/>
          </w:tcPr>
          <w:p w:rsidR="00C752B3" w:rsidRPr="003E0892" w:rsidRDefault="00C752B3" w:rsidP="003E0892">
            <w:pPr>
              <w:keepNext/>
              <w:jc w:val="center"/>
              <w:rPr>
                <w:color w:val="000000"/>
                <w:sz w:val="15"/>
                <w:szCs w:val="15"/>
                <w:lang w:eastAsia="en-GB"/>
              </w:rPr>
            </w:pPr>
            <w:r w:rsidRPr="003E0892">
              <w:rPr>
                <w:color w:val="000000"/>
                <w:sz w:val="15"/>
                <w:szCs w:val="15"/>
                <w:lang w:eastAsia="en-GB"/>
              </w:rPr>
              <w:t>22.2%</w:t>
            </w:r>
          </w:p>
        </w:tc>
        <w:tc>
          <w:tcPr>
            <w:tcW w:w="0" w:type="auto"/>
            <w:shd w:val="clear" w:color="auto" w:fill="auto"/>
            <w:vAlign w:val="center"/>
          </w:tcPr>
          <w:p w:rsidR="00C752B3" w:rsidRPr="003E0892" w:rsidRDefault="00C752B3" w:rsidP="003E0892">
            <w:pPr>
              <w:keepNext/>
              <w:jc w:val="center"/>
              <w:rPr>
                <w:color w:val="000000"/>
                <w:sz w:val="15"/>
                <w:szCs w:val="15"/>
                <w:lang w:eastAsia="en-GB"/>
              </w:rPr>
            </w:pPr>
            <w:r w:rsidRPr="003E0892">
              <w:rPr>
                <w:color w:val="000000"/>
                <w:sz w:val="15"/>
                <w:szCs w:val="15"/>
                <w:lang w:eastAsia="en-GB"/>
              </w:rPr>
              <w:t>48.1%</w:t>
            </w:r>
          </w:p>
        </w:tc>
        <w:tc>
          <w:tcPr>
            <w:tcW w:w="0" w:type="auto"/>
            <w:shd w:val="clear" w:color="auto" w:fill="auto"/>
            <w:vAlign w:val="center"/>
          </w:tcPr>
          <w:p w:rsidR="00C752B3" w:rsidRPr="003E0892" w:rsidRDefault="00C752B3" w:rsidP="003E0892">
            <w:pPr>
              <w:keepNext/>
              <w:jc w:val="center"/>
              <w:rPr>
                <w:color w:val="000000"/>
                <w:sz w:val="15"/>
                <w:szCs w:val="15"/>
                <w:lang w:eastAsia="en-GB"/>
              </w:rPr>
            </w:pPr>
            <w:r w:rsidRPr="003E0892">
              <w:rPr>
                <w:color w:val="000000"/>
                <w:sz w:val="15"/>
                <w:szCs w:val="15"/>
                <w:lang w:eastAsia="en-GB"/>
              </w:rPr>
              <w:t>66.7%</w:t>
            </w:r>
          </w:p>
        </w:tc>
        <w:tc>
          <w:tcPr>
            <w:tcW w:w="0" w:type="auto"/>
            <w:shd w:val="clear" w:color="auto" w:fill="auto"/>
            <w:vAlign w:val="center"/>
          </w:tcPr>
          <w:p w:rsidR="00C752B3" w:rsidRPr="003E0892" w:rsidRDefault="00C752B3" w:rsidP="003E0892">
            <w:pPr>
              <w:keepNext/>
              <w:jc w:val="center"/>
              <w:rPr>
                <w:color w:val="000000"/>
                <w:sz w:val="15"/>
                <w:szCs w:val="15"/>
                <w:lang w:eastAsia="en-GB"/>
              </w:rPr>
            </w:pPr>
            <w:r w:rsidRPr="003E0892">
              <w:rPr>
                <w:color w:val="000000"/>
                <w:sz w:val="15"/>
                <w:szCs w:val="15"/>
                <w:lang w:eastAsia="en-GB"/>
              </w:rPr>
              <w:t>58.3%</w:t>
            </w:r>
          </w:p>
        </w:tc>
        <w:tc>
          <w:tcPr>
            <w:tcW w:w="0" w:type="auto"/>
            <w:shd w:val="clear" w:color="auto" w:fill="auto"/>
            <w:vAlign w:val="center"/>
          </w:tcPr>
          <w:p w:rsidR="00C752B3" w:rsidRPr="003E0892" w:rsidRDefault="00C752B3" w:rsidP="003E0892">
            <w:pPr>
              <w:keepNext/>
              <w:jc w:val="center"/>
              <w:rPr>
                <w:color w:val="000000"/>
                <w:sz w:val="15"/>
                <w:szCs w:val="15"/>
                <w:lang w:eastAsia="en-GB"/>
              </w:rPr>
            </w:pPr>
            <w:r w:rsidRPr="003E0892">
              <w:rPr>
                <w:color w:val="000000"/>
                <w:sz w:val="15"/>
                <w:szCs w:val="15"/>
                <w:lang w:eastAsia="en-GB"/>
              </w:rPr>
              <w:t>44.1%</w:t>
            </w:r>
          </w:p>
        </w:tc>
        <w:tc>
          <w:tcPr>
            <w:tcW w:w="0" w:type="auto"/>
            <w:shd w:val="clear" w:color="auto" w:fill="auto"/>
            <w:vAlign w:val="center"/>
          </w:tcPr>
          <w:p w:rsidR="00C752B3" w:rsidRPr="003E0892" w:rsidRDefault="00C752B3" w:rsidP="003E0892">
            <w:pPr>
              <w:keepNext/>
              <w:jc w:val="center"/>
              <w:rPr>
                <w:color w:val="000000"/>
                <w:sz w:val="15"/>
                <w:szCs w:val="15"/>
                <w:lang w:eastAsia="en-GB"/>
              </w:rPr>
            </w:pPr>
            <w:r w:rsidRPr="003E0892">
              <w:rPr>
                <w:color w:val="000000"/>
                <w:sz w:val="15"/>
                <w:szCs w:val="15"/>
                <w:lang w:eastAsia="en-GB"/>
              </w:rPr>
              <w:t>66.7%</w:t>
            </w:r>
          </w:p>
        </w:tc>
        <w:tc>
          <w:tcPr>
            <w:tcW w:w="0" w:type="auto"/>
            <w:shd w:val="clear" w:color="auto" w:fill="auto"/>
            <w:vAlign w:val="center"/>
          </w:tcPr>
          <w:p w:rsidR="00C752B3" w:rsidRPr="003E0892" w:rsidRDefault="00C752B3" w:rsidP="003E0892">
            <w:pPr>
              <w:keepNext/>
              <w:jc w:val="center"/>
              <w:rPr>
                <w:color w:val="000000"/>
                <w:sz w:val="15"/>
                <w:szCs w:val="15"/>
                <w:lang w:eastAsia="en-GB"/>
              </w:rPr>
            </w:pPr>
            <w:r w:rsidRPr="003E0892">
              <w:rPr>
                <w:color w:val="000000"/>
                <w:sz w:val="15"/>
                <w:szCs w:val="15"/>
                <w:lang w:eastAsia="en-GB"/>
              </w:rPr>
              <w:t>73.3%</w:t>
            </w:r>
          </w:p>
        </w:tc>
        <w:tc>
          <w:tcPr>
            <w:tcW w:w="0" w:type="auto"/>
            <w:shd w:val="clear" w:color="auto" w:fill="auto"/>
            <w:vAlign w:val="center"/>
          </w:tcPr>
          <w:p w:rsidR="00C752B3" w:rsidRPr="003E0892" w:rsidRDefault="00C752B3" w:rsidP="003E0892">
            <w:pPr>
              <w:keepNext/>
              <w:jc w:val="center"/>
              <w:rPr>
                <w:color w:val="000000"/>
                <w:sz w:val="15"/>
                <w:szCs w:val="15"/>
                <w:lang w:eastAsia="en-GB"/>
              </w:rPr>
            </w:pPr>
            <w:r w:rsidRPr="003E0892">
              <w:rPr>
                <w:color w:val="000000"/>
                <w:sz w:val="15"/>
                <w:szCs w:val="15"/>
                <w:lang w:eastAsia="en-GB"/>
              </w:rPr>
              <w:t>56.4%</w:t>
            </w:r>
          </w:p>
        </w:tc>
      </w:tr>
    </w:tbl>
    <w:p w:rsidR="00C752B3" w:rsidRDefault="00C752B3" w:rsidP="00526697">
      <w:pPr>
        <w:pStyle w:val="BodyText"/>
        <w:spacing w:before="240"/>
      </w:pPr>
      <w:r>
        <w:t>Following this table</w:t>
      </w:r>
      <w:r w:rsidR="001E08C2">
        <w:t xml:space="preserve"> in its Report</w:t>
      </w:r>
      <w:r>
        <w:t>, t</w:t>
      </w:r>
      <w:r w:rsidRPr="00FB52DD">
        <w:t xml:space="preserve">he Panel </w:t>
      </w:r>
      <w:r>
        <w:t>stated</w:t>
      </w:r>
      <w:r w:rsidRPr="00FB52DD">
        <w:t xml:space="preserve"> that</w:t>
      </w:r>
      <w:r w:rsidR="005755A4">
        <w:t>,</w:t>
      </w:r>
      <w:r w:rsidRPr="00FB52DD">
        <w:t xml:space="preserve"> "{i}n the light of the two 'plausible' counterfactual scenarios", it was evident that "in the absence of the effects of the challenged LA/MSF subsidies, the volume of deliveries and market shares that would have been achieved by the </w:t>
      </w:r>
      <w:r>
        <w:t>United States</w:t>
      </w:r>
      <w:r w:rsidRPr="00FB52DD">
        <w:t>' LCA industry would have been higher than its actual level."</w:t>
      </w:r>
      <w:r>
        <w:rPr>
          <w:rStyle w:val="FootnoteReference"/>
        </w:rPr>
        <w:footnoteReference w:id="2010"/>
      </w:r>
      <w:r>
        <w:t xml:space="preserve"> The Panel also expressed "strong doubts" about whether a new non</w:t>
      </w:r>
      <w:r>
        <w:noBreakHyphen/>
      </w:r>
      <w:r w:rsidR="00051C68">
        <w:t>US</w:t>
      </w:r>
      <w:r>
        <w:t xml:space="preserve"> LCA producer of single-aisle LCA "could have … made </w:t>
      </w:r>
      <w:r w:rsidRPr="00F25384">
        <w:rPr>
          <w:i/>
        </w:rPr>
        <w:t>deliveries</w:t>
      </w:r>
      <w:r>
        <w:t xml:space="preserve"> over these years".</w:t>
      </w:r>
      <w:r>
        <w:rPr>
          <w:rStyle w:val="FootnoteReference"/>
        </w:rPr>
        <w:footnoteReference w:id="2011"/>
      </w:r>
      <w:r>
        <w:t xml:space="preserve"> Accordingly, the Panel found the United States to have demonstrated the existence of </w:t>
      </w:r>
      <w:r w:rsidRPr="0072410E">
        <w:t>displacement and/or impedance</w:t>
      </w:r>
      <w:r>
        <w:t xml:space="preserve"> in the single-aisle LCA markets in </w:t>
      </w:r>
      <w:r w:rsidR="00051C68">
        <w:t xml:space="preserve">the </w:t>
      </w:r>
      <w:r>
        <w:t>European Union, Australia, China, and India.</w:t>
      </w:r>
      <w:r>
        <w:rPr>
          <w:rStyle w:val="FootnoteReference"/>
        </w:rPr>
        <w:footnoteReference w:id="2012"/>
      </w:r>
      <w:r>
        <w:t xml:space="preserve"> </w:t>
      </w:r>
    </w:p>
    <w:p w:rsidR="00C752B3" w:rsidRDefault="00C752B3" w:rsidP="00526697">
      <w:pPr>
        <w:pStyle w:val="BodyText"/>
      </w:pPr>
      <w:r>
        <w:t xml:space="preserve">Thus, in reaching its findings of adverse effects in the single-aisle LCA market, the Panel relied on the proposition that Airbus would not have been able to sell or deliver its A320 family of LCA in the absence of the "product effects" of the challenged LA/MSF </w:t>
      </w:r>
      <w:r w:rsidR="00051C68">
        <w:t>subsidies</w:t>
      </w:r>
      <w:r>
        <w:t>. As explained above, the Panel's findings regarding the "product effects" of LA/MSF subsidies</w:t>
      </w:r>
      <w:r w:rsidRPr="003B220E">
        <w:t xml:space="preserve"> on the A320 </w:t>
      </w:r>
      <w:r>
        <w:t>concerned primarily the effects of those subsidies that had expired prior to the end of the implementation period.</w:t>
      </w:r>
      <w:r>
        <w:rPr>
          <w:rStyle w:val="FootnoteReference"/>
        </w:rPr>
        <w:footnoteReference w:id="2013"/>
      </w:r>
      <w:r>
        <w:t xml:space="preserve"> We have found, however, that the European Union has no compliance obligation in respect of those expired subsidies. Rather, the pertinent question is whether the subsidies existing in the post-implementation period cause adverse effects, such that the European Union has failed to comply with its obligation under Article 7.8 of the SCM Agreement to "take appropriate steps to remove the adverse effects".</w:t>
      </w:r>
    </w:p>
    <w:p w:rsidR="00C752B3" w:rsidRDefault="00C752B3" w:rsidP="00526697">
      <w:pPr>
        <w:pStyle w:val="BodyText"/>
      </w:pPr>
      <w:r>
        <w:t xml:space="preserve">In this respect, we </w:t>
      </w:r>
      <w:r w:rsidRPr="00834342">
        <w:t xml:space="preserve">do not find any analysis </w:t>
      </w:r>
      <w:r w:rsidR="00051C68">
        <w:t xml:space="preserve">made </w:t>
      </w:r>
      <w:r w:rsidRPr="00834342">
        <w:t>by the Panel as to whether</w:t>
      </w:r>
      <w:r>
        <w:t>,</w:t>
      </w:r>
      <w:r w:rsidRPr="00834342">
        <w:t xml:space="preserve"> and to what </w:t>
      </w:r>
      <w:r w:rsidRPr="004B1FF7">
        <w:t xml:space="preserve">extent, Airbus' competitiveness in the single-aisle </w:t>
      </w:r>
      <w:r>
        <w:t xml:space="preserve">LCA </w:t>
      </w:r>
      <w:r w:rsidRPr="004B1FF7">
        <w:t>market, gained through the pre</w:t>
      </w:r>
      <w:r w:rsidRPr="004B1FF7">
        <w:noBreakHyphen/>
        <w:t>A380 LA/MSF subsidies, was renewed and sustained beyond the original reference period as a result of the subsidies that the European Union maintained or granted afte</w:t>
      </w:r>
      <w:r w:rsidR="00051C68">
        <w:t xml:space="preserve">r the original reference period (2001-2006) </w:t>
      </w:r>
      <w:r w:rsidRPr="004B1FF7">
        <w:t>and into the post</w:t>
      </w:r>
      <w:r w:rsidRPr="0069164C">
        <w:noBreakHyphen/>
        <w:t>implementation period</w:t>
      </w:r>
      <w:r w:rsidRPr="005F69D1">
        <w:t xml:space="preserve">. The Panel did acknowledge that the A350XWB programme was of "significant strategic importance" to Airbus in order </w:t>
      </w:r>
      <w:r w:rsidR="00051C68">
        <w:t xml:space="preserve">for it </w:t>
      </w:r>
      <w:r w:rsidRPr="005F69D1">
        <w:t>"</w:t>
      </w:r>
      <w:r w:rsidRPr="00C523C6">
        <w:t xml:space="preserve">not only to maintain market share in the twin-aisle segment, </w:t>
      </w:r>
      <w:r w:rsidRPr="00C523C6">
        <w:rPr>
          <w:i/>
        </w:rPr>
        <w:t>but also to avoid losing ground in other markets</w:t>
      </w:r>
      <w:r w:rsidRPr="00C523C6">
        <w:t xml:space="preserve"> with respect to customers interested in fleet commonality".</w:t>
      </w:r>
      <w:r>
        <w:rPr>
          <w:rStyle w:val="FootnoteReference"/>
        </w:rPr>
        <w:footnoteReference w:id="2014"/>
      </w:r>
      <w:r w:rsidRPr="009148F3">
        <w:t xml:space="preserve"> The Panel, however, </w:t>
      </w:r>
      <w:r>
        <w:t xml:space="preserve">did not </w:t>
      </w:r>
      <w:r w:rsidRPr="009148F3">
        <w:t>explore</w:t>
      </w:r>
      <w:r>
        <w:t xml:space="preserve"> or</w:t>
      </w:r>
      <w:r w:rsidRPr="00834342">
        <w:t xml:space="preserve"> elaborate upon how </w:t>
      </w:r>
      <w:r>
        <w:t xml:space="preserve">the "product effects" of the subsidies existing in the post-implementation period, particularly those for the A350XWB and A380 that we have reviewed above, </w:t>
      </w:r>
      <w:r w:rsidRPr="00834342">
        <w:t>may have contributed to Airbus' competitiveness in respect of its single</w:t>
      </w:r>
      <w:r>
        <w:noBreakHyphen/>
      </w:r>
      <w:r w:rsidRPr="00834342">
        <w:t xml:space="preserve">aisle LCA offerings in </w:t>
      </w:r>
      <w:r w:rsidRPr="00C77BCA">
        <w:t xml:space="preserve">the </w:t>
      </w:r>
      <w:r>
        <w:t>post</w:t>
      </w:r>
      <w:r>
        <w:noBreakHyphen/>
      </w:r>
      <w:r w:rsidRPr="00C77BCA">
        <w:t>implementation period</w:t>
      </w:r>
      <w:r w:rsidR="00051C68">
        <w:t>,</w:t>
      </w:r>
      <w:r w:rsidRPr="00C77BCA">
        <w:t xml:space="preserve"> such that the alleged </w:t>
      </w:r>
      <w:r>
        <w:t>adverse effects</w:t>
      </w:r>
      <w:r w:rsidRPr="00C77BCA">
        <w:t xml:space="preserve"> in the single-aisle</w:t>
      </w:r>
      <w:r>
        <w:t xml:space="preserve"> LCA</w:t>
      </w:r>
      <w:r w:rsidRPr="00C77BCA">
        <w:t xml:space="preserve"> market</w:t>
      </w:r>
      <w:r>
        <w:t xml:space="preserve"> </w:t>
      </w:r>
      <w:r w:rsidRPr="00C77BCA">
        <w:t xml:space="preserve">could be linked in a genuine and substantial way to </w:t>
      </w:r>
      <w:r w:rsidR="00051C68">
        <w:t xml:space="preserve">the </w:t>
      </w:r>
      <w:r w:rsidRPr="00C77BCA">
        <w:t>LA/MSF subsidies</w:t>
      </w:r>
      <w:r>
        <w:t xml:space="preserve"> existing in the post</w:t>
      </w:r>
      <w:r>
        <w:noBreakHyphen/>
        <w:t>implementation period</w:t>
      </w:r>
      <w:r w:rsidRPr="004E1747">
        <w:t>.</w:t>
      </w:r>
      <w:r>
        <w:rPr>
          <w:rStyle w:val="FootnoteReference"/>
        </w:rPr>
        <w:footnoteReference w:id="2015"/>
      </w:r>
    </w:p>
    <w:p w:rsidR="00C752B3" w:rsidRDefault="00C752B3" w:rsidP="00526697">
      <w:pPr>
        <w:pStyle w:val="BodyText"/>
      </w:pPr>
      <w:r w:rsidRPr="00D03C80">
        <w:t xml:space="preserve"> </w:t>
      </w:r>
      <w:r w:rsidRPr="003C348C">
        <w:t xml:space="preserve">On the basis of the above considerations, we are not convinced that, insofar as the </w:t>
      </w:r>
      <w:r>
        <w:t>single</w:t>
      </w:r>
      <w:r>
        <w:noBreakHyphen/>
        <w:t>aisle LCA market is concerned</w:t>
      </w:r>
      <w:r w:rsidRPr="003C348C">
        <w:t>, the Panel's analysis provide</w:t>
      </w:r>
      <w:r>
        <w:t>s</w:t>
      </w:r>
      <w:r w:rsidRPr="003C348C">
        <w:t xml:space="preserve"> a </w:t>
      </w:r>
      <w:r>
        <w:t xml:space="preserve">sufficient </w:t>
      </w:r>
      <w:r w:rsidRPr="003C348C">
        <w:t xml:space="preserve">basis </w:t>
      </w:r>
      <w:r>
        <w:t>to</w:t>
      </w:r>
      <w:r w:rsidRPr="003C348C">
        <w:t xml:space="preserve"> sustain its conclusion that </w:t>
      </w:r>
      <w:r>
        <w:t>"the orders identified in Table 19 {in the single-aisle LCA market} represent 'significant' 'lost sales' to the United States LCA industry and, therefore, that the challenged LA/MSF subsidies continue to be a 'genuine and substantial' cause of serious prejudice to the United States</w:t>
      </w:r>
      <w:r w:rsidRPr="00895891">
        <w:t xml:space="preserve"> within the meaning of </w:t>
      </w:r>
      <w:r>
        <w:t>Article 6.3(c) of the SCM Agreement"</w:t>
      </w:r>
      <w:r w:rsidRPr="00895891">
        <w:t>.</w:t>
      </w:r>
      <w:r>
        <w:rPr>
          <w:rStyle w:val="FootnoteReference"/>
        </w:rPr>
        <w:footnoteReference w:id="2016"/>
      </w:r>
      <w:r w:rsidRPr="00895891">
        <w:t xml:space="preserve"> Similarly, we are not convinced that, with regard to the various country markets for single-aisle LCA, the Panel's analysis </w:t>
      </w:r>
      <w:r>
        <w:t>is</w:t>
      </w:r>
      <w:r w:rsidRPr="00895891">
        <w:t xml:space="preserve"> sufficient </w:t>
      </w:r>
      <w:r>
        <w:t>to</w:t>
      </w:r>
      <w:r w:rsidRPr="00895891">
        <w:t xml:space="preserve"> sustain its conclusion that </w:t>
      </w:r>
      <w:r>
        <w:t>"the</w:t>
      </w:r>
      <w:r w:rsidRPr="00895891">
        <w:t xml:space="preserve"> </w:t>
      </w:r>
      <w:r>
        <w:t xml:space="preserve">challenged </w:t>
      </w:r>
      <w:r w:rsidRPr="00895891">
        <w:t xml:space="preserve">LA/MSF subsidies are a </w:t>
      </w:r>
      <w:r>
        <w:t>'</w:t>
      </w:r>
      <w:r w:rsidRPr="00895891">
        <w:t>genuine and substantial</w:t>
      </w:r>
      <w:r>
        <w:t>'</w:t>
      </w:r>
      <w:r w:rsidRPr="00895891">
        <w:t xml:space="preserve"> cause of displacement and/or impedance</w:t>
      </w:r>
      <w:r w:rsidRPr="006C7464">
        <w:t xml:space="preserve"> </w:t>
      </w:r>
      <w:r>
        <w:t>of United States LCA in the markets for single-aisle LCA in the European Union, Australia, China and India"</w:t>
      </w:r>
      <w:r w:rsidRPr="00895891">
        <w:t>.</w:t>
      </w:r>
      <w:r>
        <w:rPr>
          <w:rStyle w:val="FootnoteReference"/>
        </w:rPr>
        <w:footnoteReference w:id="2017"/>
      </w:r>
      <w:r w:rsidRPr="00895891">
        <w:t xml:space="preserve"> </w:t>
      </w:r>
      <w:r>
        <w:t xml:space="preserve">We therefore </w:t>
      </w:r>
      <w:r w:rsidRPr="00051C68">
        <w:rPr>
          <w:u w:val="single"/>
        </w:rPr>
        <w:t>reverse</w:t>
      </w:r>
      <w:r>
        <w:t xml:space="preserve"> the above findings of the Panel under Articles 6.3(a), 6.3(b), and 6.3(c) of the SCM Agreement insofar as they relate to the single-aisle LCA market.</w:t>
      </w:r>
    </w:p>
    <w:p w:rsidR="00C752B3" w:rsidRPr="00895891" w:rsidRDefault="00051C68" w:rsidP="00526697">
      <w:pPr>
        <w:pStyle w:val="BodyText"/>
      </w:pPr>
      <w:r>
        <w:t>Consequently</w:t>
      </w:r>
      <w:r w:rsidR="00C752B3" w:rsidRPr="00895891">
        <w:t xml:space="preserve">, we do not consider it necessary to address the </w:t>
      </w:r>
      <w:r w:rsidR="00C752B3">
        <w:t>European Union</w:t>
      </w:r>
      <w:r w:rsidR="00C752B3" w:rsidRPr="00895891">
        <w:t xml:space="preserve">'s </w:t>
      </w:r>
      <w:r w:rsidR="00C752B3" w:rsidRPr="009148F3">
        <w:t xml:space="preserve">arguments that: </w:t>
      </w:r>
      <w:r w:rsidR="00C752B3">
        <w:t>(i) the Panel failed to take into account the market-specific and sale-specific non</w:t>
      </w:r>
      <w:r w:rsidR="00C752B3">
        <w:noBreakHyphen/>
        <w:t>attribution factors that allegedly caused (or contributed to causing) the observed market phenomena</w:t>
      </w:r>
      <w:r w:rsidR="00C752B3">
        <w:rPr>
          <w:rStyle w:val="FootnoteReference"/>
        </w:rPr>
        <w:footnoteReference w:id="2018"/>
      </w:r>
      <w:r w:rsidR="00C752B3">
        <w:t xml:space="preserve">; </w:t>
      </w:r>
      <w:r w:rsidR="00C752B3" w:rsidRPr="009148F3">
        <w:t>(</w:t>
      </w:r>
      <w:r w:rsidR="00C752B3">
        <w:t>i</w:t>
      </w:r>
      <w:r w:rsidR="00E01DBF">
        <w:t>i) </w:t>
      </w:r>
      <w:r w:rsidR="00C752B3" w:rsidRPr="009148F3">
        <w:t>"whatever number of data points it chose", the Panel made findings of displacement and impedanc</w:t>
      </w:r>
      <w:r w:rsidR="00C752B3" w:rsidRPr="00834342">
        <w:t>e "entirely divorced from the data"</w:t>
      </w:r>
      <w:r w:rsidR="00C752B3">
        <w:rPr>
          <w:rStyle w:val="FootnoteReference"/>
        </w:rPr>
        <w:footnoteReference w:id="2019"/>
      </w:r>
      <w:r w:rsidR="00C752B3" w:rsidRPr="009148F3">
        <w:t xml:space="preserve"> in th</w:t>
      </w:r>
      <w:r w:rsidR="00C752B3">
        <w:t>o</w:t>
      </w:r>
      <w:r w:rsidR="00C752B3" w:rsidRPr="009148F3">
        <w:t>se markets; (</w:t>
      </w:r>
      <w:r w:rsidR="00C752B3">
        <w:t>iii</w:t>
      </w:r>
      <w:r w:rsidR="00C752B3" w:rsidRPr="009148F3">
        <w:t>) the Panel failed to determine whether the data revealed a discernible or clear trend of substitution in the case of displacement</w:t>
      </w:r>
      <w:r w:rsidR="00C752B3">
        <w:rPr>
          <w:rStyle w:val="FootnoteReference"/>
        </w:rPr>
        <w:footnoteReference w:id="2020"/>
      </w:r>
      <w:r w:rsidR="00C752B3" w:rsidRPr="009148F3">
        <w:t>; and (i</w:t>
      </w:r>
      <w:r w:rsidR="00C752B3">
        <w:t>v</w:t>
      </w:r>
      <w:r w:rsidR="00C752B3" w:rsidRPr="009148F3">
        <w:t>) the Panel failed t</w:t>
      </w:r>
      <w:r w:rsidR="00C752B3" w:rsidRPr="00834342">
        <w:t>o identify actual trends, construct counterfactual trends, or undertake a comparison between the two in the case of impedance.</w:t>
      </w:r>
      <w:r w:rsidR="00C752B3">
        <w:rPr>
          <w:rStyle w:val="FootnoteReference"/>
        </w:rPr>
        <w:footnoteReference w:id="2021"/>
      </w:r>
      <w:r w:rsidR="00C752B3">
        <w:t xml:space="preserve"> </w:t>
      </w:r>
    </w:p>
    <w:p w:rsidR="00C752B3" w:rsidRDefault="00C752B3" w:rsidP="00526697">
      <w:pPr>
        <w:pStyle w:val="Heading5"/>
      </w:pPr>
      <w:bookmarkStart w:id="197" w:name="_Toc514059299"/>
      <w:r>
        <w:t>The twin-aisle LCA market</w:t>
      </w:r>
      <w:bookmarkEnd w:id="197"/>
    </w:p>
    <w:p w:rsidR="00C752B3" w:rsidRPr="00C55015" w:rsidRDefault="00C752B3" w:rsidP="00526697">
      <w:pPr>
        <w:pStyle w:val="Heading6"/>
      </w:pPr>
      <w:bookmarkStart w:id="198" w:name="_Toc514059300"/>
      <w:r>
        <w:t>Significant lost sales</w:t>
      </w:r>
      <w:bookmarkEnd w:id="198"/>
    </w:p>
    <w:p w:rsidR="00C752B3" w:rsidRDefault="00C752B3" w:rsidP="00526697">
      <w:pPr>
        <w:pStyle w:val="BodyText"/>
      </w:pPr>
      <w:r w:rsidRPr="00715DDC">
        <w:t xml:space="preserve">We </w:t>
      </w:r>
      <w:r>
        <w:t>recall</w:t>
      </w:r>
      <w:r w:rsidRPr="00715DDC">
        <w:t xml:space="preserve"> that, at the outset of its analysis o</w:t>
      </w:r>
      <w:r w:rsidR="00935D4E">
        <w:t>f</w:t>
      </w:r>
      <w:r w:rsidRPr="00715DDC">
        <w:t xml:space="preserve"> lost sales, the Panel rec</w:t>
      </w:r>
      <w:r>
        <w:t>apitulated</w:t>
      </w:r>
      <w:r w:rsidRPr="00715DDC">
        <w:t xml:space="preserve"> the meaning of the terms "significant" </w:t>
      </w:r>
      <w:r w:rsidR="00051C68">
        <w:t xml:space="preserve">and </w:t>
      </w:r>
      <w:r w:rsidRPr="00715DDC">
        <w:t>"lost sales" in Article 6.3(c) of the SCM Agreement as interpreted in past disputes. As the Panel noted, the term "significant" means "important, notable or consequential", and has both quantitative and qualitative dimensions.</w:t>
      </w:r>
      <w:r>
        <w:rPr>
          <w:rStyle w:val="FootnoteReference"/>
        </w:rPr>
        <w:footnoteReference w:id="2022"/>
      </w:r>
      <w:r>
        <w:t xml:space="preserve"> The Panel further noted the Appellate Body's finding that "lost sales" "are sales that suppliers of the complaining Member 'failed to obtain' and that instead were won by suppliers</w:t>
      </w:r>
      <w:r w:rsidR="00E01DBF">
        <w:t xml:space="preserve"> of the respondent Member", and </w:t>
      </w:r>
      <w:r>
        <w:t xml:space="preserve">that the "the most appropriate approach to assess whether lost sales are the </w:t>
      </w:r>
      <w:r>
        <w:rPr>
          <w:i/>
          <w:iCs/>
        </w:rPr>
        <w:t>effect</w:t>
      </w:r>
      <w:r>
        <w:t xml:space="preserve"> of the challenged subsidy is through a unitary counterfactual an</w:t>
      </w:r>
      <w:r w:rsidR="00E01DBF">
        <w:t>alysis", which would involve "a </w:t>
      </w:r>
      <w:r>
        <w:t>comparison of the sales actually made by the competing firm(s) of the complaining Member with a counterfactual scenario in which the firm(s) of the respondent Member would not have received the challenged subsidies".</w:t>
      </w:r>
      <w:r>
        <w:rPr>
          <w:rStyle w:val="FootnoteReference"/>
        </w:rPr>
        <w:footnoteReference w:id="2023"/>
      </w:r>
      <w:r>
        <w:t xml:space="preserve"> The interpretation of the terms "significant" "lost sale</w:t>
      </w:r>
      <w:r w:rsidR="00051C68">
        <w:t>s</w:t>
      </w:r>
      <w:r>
        <w:t>" within the meaning of Article 6.3(c) is not disputed on appeal.</w:t>
      </w:r>
    </w:p>
    <w:p w:rsidR="00C752B3" w:rsidRDefault="00935D4E" w:rsidP="00526697">
      <w:pPr>
        <w:pStyle w:val="BodyText"/>
      </w:pPr>
      <w:r>
        <w:t>In Table 19 of the Panel</w:t>
      </w:r>
      <w:r w:rsidR="00C752B3">
        <w:t xml:space="preserve"> Report, the Panel identified the following "lost sales" alleged by the United States in the twin-aisle LCA market, all of which involved sales of Airbus' A350XWB family of LCA.</w:t>
      </w:r>
      <w:r w:rsidR="00C752B3" w:rsidRPr="00CB21E9">
        <w:t xml:space="preserve"> </w:t>
      </w:r>
    </w:p>
    <w:p w:rsidR="00C752B3" w:rsidRDefault="00C752B3" w:rsidP="00C752B3">
      <w:pPr>
        <w:pStyle w:val="Caption"/>
      </w:pPr>
      <w:r>
        <w:t xml:space="preserve">Table </w:t>
      </w:r>
      <w:r w:rsidR="009A724D">
        <w:fldChar w:fldCharType="begin"/>
      </w:r>
      <w:r w:rsidR="009A724D">
        <w:instrText xml:space="preserve"> SEQ Table \* ARABIC </w:instrText>
      </w:r>
      <w:r w:rsidR="009A724D">
        <w:fldChar w:fldCharType="separate"/>
      </w:r>
      <w:r w:rsidR="00FD2727">
        <w:rPr>
          <w:noProof/>
        </w:rPr>
        <w:t>10</w:t>
      </w:r>
      <w:r w:rsidR="009A724D">
        <w:rPr>
          <w:noProof/>
        </w:rPr>
        <w:fldChar w:fldCharType="end"/>
      </w:r>
      <w:r>
        <w:t>: United States</w:t>
      </w:r>
      <w:r w:rsidRPr="00A13ACE">
        <w:t xml:space="preserve">' </w:t>
      </w:r>
      <w:r>
        <w:t>"</w:t>
      </w:r>
      <w:r w:rsidRPr="00A13ACE">
        <w:t>Lost Sales</w:t>
      </w:r>
      <w:r>
        <w:t>"</w:t>
      </w:r>
      <w:r w:rsidRPr="00A13ACE">
        <w:t xml:space="preserve"> Claims in the Post</w:t>
      </w:r>
      <w:r w:rsidRPr="00A13ACE">
        <w:noBreakHyphen/>
        <w:t>Implementation Period</w:t>
      </w:r>
    </w:p>
    <w:tbl>
      <w:tblPr>
        <w:tblW w:w="8374" w:type="dxa"/>
        <w:jc w:val="center"/>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3229"/>
        <w:gridCol w:w="1761"/>
        <w:gridCol w:w="1692"/>
        <w:gridCol w:w="1692"/>
      </w:tblGrid>
      <w:tr w:rsidR="00C752B3" w:rsidRPr="006142F3" w:rsidTr="00C752B3">
        <w:trPr>
          <w:jc w:val="center"/>
        </w:trPr>
        <w:tc>
          <w:tcPr>
            <w:tcW w:w="3229" w:type="dxa"/>
            <w:shd w:val="clear" w:color="auto" w:fill="006283"/>
          </w:tcPr>
          <w:p w:rsidR="00C752B3" w:rsidRPr="006142F3" w:rsidRDefault="00C752B3" w:rsidP="00C752B3">
            <w:pPr>
              <w:keepNext/>
              <w:rPr>
                <w:b/>
                <w:color w:val="FFFFFF"/>
                <w:sz w:val="16"/>
                <w:szCs w:val="16"/>
              </w:rPr>
            </w:pPr>
            <w:r w:rsidRPr="006142F3">
              <w:rPr>
                <w:b/>
                <w:color w:val="FFFFFF"/>
                <w:sz w:val="16"/>
                <w:szCs w:val="16"/>
              </w:rPr>
              <w:t>Product Market / Customer</w:t>
            </w:r>
          </w:p>
        </w:tc>
        <w:tc>
          <w:tcPr>
            <w:tcW w:w="1761" w:type="dxa"/>
            <w:shd w:val="clear" w:color="auto" w:fill="006283"/>
          </w:tcPr>
          <w:p w:rsidR="00C752B3" w:rsidRPr="006142F3" w:rsidRDefault="00C752B3" w:rsidP="00C752B3">
            <w:pPr>
              <w:keepNext/>
              <w:jc w:val="center"/>
              <w:rPr>
                <w:b/>
                <w:color w:val="FFFFFF"/>
                <w:sz w:val="16"/>
                <w:szCs w:val="16"/>
              </w:rPr>
            </w:pPr>
            <w:r w:rsidRPr="006142F3">
              <w:rPr>
                <w:b/>
                <w:color w:val="FFFFFF"/>
                <w:sz w:val="16"/>
                <w:szCs w:val="16"/>
              </w:rPr>
              <w:t>LCA model</w:t>
            </w:r>
          </w:p>
        </w:tc>
        <w:tc>
          <w:tcPr>
            <w:tcW w:w="1692" w:type="dxa"/>
            <w:shd w:val="clear" w:color="auto" w:fill="006283"/>
          </w:tcPr>
          <w:p w:rsidR="00C752B3" w:rsidRPr="006142F3" w:rsidRDefault="00C752B3" w:rsidP="00C752B3">
            <w:pPr>
              <w:keepNext/>
              <w:jc w:val="center"/>
              <w:rPr>
                <w:b/>
                <w:color w:val="FFFFFF"/>
                <w:sz w:val="16"/>
                <w:szCs w:val="16"/>
              </w:rPr>
            </w:pPr>
            <w:r w:rsidRPr="006142F3">
              <w:rPr>
                <w:b/>
                <w:color w:val="FFFFFF"/>
                <w:sz w:val="16"/>
                <w:szCs w:val="16"/>
              </w:rPr>
              <w:t>No. of Orders</w:t>
            </w:r>
          </w:p>
          <w:p w:rsidR="00C752B3" w:rsidRPr="006142F3" w:rsidRDefault="00C752B3" w:rsidP="00C752B3">
            <w:pPr>
              <w:keepNext/>
              <w:jc w:val="center"/>
              <w:rPr>
                <w:b/>
                <w:color w:val="FFFFFF"/>
                <w:sz w:val="16"/>
                <w:szCs w:val="16"/>
              </w:rPr>
            </w:pPr>
            <w:r w:rsidRPr="006142F3">
              <w:rPr>
                <w:b/>
                <w:color w:val="FFFFFF"/>
                <w:sz w:val="16"/>
                <w:szCs w:val="16"/>
              </w:rPr>
              <w:t>2012</w:t>
            </w:r>
          </w:p>
        </w:tc>
        <w:tc>
          <w:tcPr>
            <w:tcW w:w="1692" w:type="dxa"/>
            <w:shd w:val="clear" w:color="auto" w:fill="006283"/>
          </w:tcPr>
          <w:p w:rsidR="00C752B3" w:rsidRPr="006142F3" w:rsidRDefault="00C752B3" w:rsidP="00C752B3">
            <w:pPr>
              <w:keepNext/>
              <w:jc w:val="center"/>
              <w:rPr>
                <w:b/>
                <w:color w:val="FFFFFF"/>
                <w:sz w:val="16"/>
                <w:szCs w:val="16"/>
              </w:rPr>
            </w:pPr>
            <w:r w:rsidRPr="006142F3">
              <w:rPr>
                <w:b/>
                <w:color w:val="FFFFFF"/>
                <w:sz w:val="16"/>
                <w:szCs w:val="16"/>
              </w:rPr>
              <w:t>No. of Orders</w:t>
            </w:r>
          </w:p>
          <w:p w:rsidR="00C752B3" w:rsidRPr="006142F3" w:rsidRDefault="00C752B3" w:rsidP="00C752B3">
            <w:pPr>
              <w:keepNext/>
              <w:jc w:val="center"/>
              <w:rPr>
                <w:b/>
                <w:color w:val="FFFFFF"/>
                <w:sz w:val="16"/>
                <w:szCs w:val="16"/>
              </w:rPr>
            </w:pPr>
            <w:r w:rsidRPr="006142F3">
              <w:rPr>
                <w:b/>
                <w:color w:val="FFFFFF"/>
                <w:sz w:val="16"/>
                <w:szCs w:val="16"/>
              </w:rPr>
              <w:t>2013</w:t>
            </w:r>
          </w:p>
        </w:tc>
      </w:tr>
      <w:tr w:rsidR="00C752B3" w:rsidRPr="006142F3" w:rsidTr="00C752B3">
        <w:trPr>
          <w:jc w:val="center"/>
        </w:trPr>
        <w:tc>
          <w:tcPr>
            <w:tcW w:w="8374" w:type="dxa"/>
            <w:gridSpan w:val="4"/>
            <w:shd w:val="clear" w:color="auto" w:fill="auto"/>
          </w:tcPr>
          <w:p w:rsidR="00C752B3" w:rsidRPr="006142F3" w:rsidRDefault="00C752B3" w:rsidP="00147EC4">
            <w:pPr>
              <w:keepNext/>
              <w:spacing w:before="60" w:after="60"/>
              <w:ind w:left="559"/>
              <w:rPr>
                <w:sz w:val="16"/>
                <w:szCs w:val="16"/>
              </w:rPr>
            </w:pPr>
            <w:r w:rsidRPr="006142F3">
              <w:rPr>
                <w:i/>
                <w:sz w:val="16"/>
                <w:szCs w:val="16"/>
              </w:rPr>
              <w:t>Twin-Aisle</w:t>
            </w:r>
          </w:p>
        </w:tc>
      </w:tr>
      <w:tr w:rsidR="00C752B3" w:rsidRPr="006142F3" w:rsidTr="00C752B3">
        <w:trPr>
          <w:jc w:val="center"/>
        </w:trPr>
        <w:tc>
          <w:tcPr>
            <w:tcW w:w="3229" w:type="dxa"/>
            <w:shd w:val="clear" w:color="auto" w:fill="C9DED4"/>
          </w:tcPr>
          <w:p w:rsidR="00C752B3" w:rsidRPr="006142F3" w:rsidRDefault="00C752B3" w:rsidP="00147EC4">
            <w:pPr>
              <w:keepNext/>
              <w:spacing w:before="60" w:after="60"/>
              <w:rPr>
                <w:sz w:val="16"/>
                <w:szCs w:val="16"/>
              </w:rPr>
            </w:pPr>
            <w:r w:rsidRPr="006142F3">
              <w:rPr>
                <w:sz w:val="16"/>
                <w:szCs w:val="16"/>
              </w:rPr>
              <w:t>Cathay Pacific Airways</w:t>
            </w:r>
          </w:p>
        </w:tc>
        <w:tc>
          <w:tcPr>
            <w:tcW w:w="1761" w:type="dxa"/>
            <w:shd w:val="clear" w:color="auto" w:fill="C9DED4"/>
          </w:tcPr>
          <w:p w:rsidR="00C752B3" w:rsidRPr="006142F3" w:rsidRDefault="00C752B3" w:rsidP="00147EC4">
            <w:pPr>
              <w:keepNext/>
              <w:spacing w:before="60" w:after="60"/>
              <w:jc w:val="center"/>
              <w:rPr>
                <w:sz w:val="16"/>
                <w:szCs w:val="16"/>
              </w:rPr>
            </w:pPr>
            <w:r w:rsidRPr="006142F3">
              <w:rPr>
                <w:sz w:val="16"/>
                <w:szCs w:val="16"/>
              </w:rPr>
              <w:t>A350XWB-1000</w:t>
            </w:r>
          </w:p>
        </w:tc>
        <w:tc>
          <w:tcPr>
            <w:tcW w:w="1692" w:type="dxa"/>
            <w:shd w:val="clear" w:color="auto" w:fill="C9DED4"/>
          </w:tcPr>
          <w:p w:rsidR="00C752B3" w:rsidRPr="006142F3" w:rsidRDefault="00C752B3" w:rsidP="00147EC4">
            <w:pPr>
              <w:keepNext/>
              <w:spacing w:before="60" w:after="60"/>
              <w:jc w:val="center"/>
              <w:rPr>
                <w:sz w:val="16"/>
                <w:szCs w:val="16"/>
              </w:rPr>
            </w:pPr>
            <w:r w:rsidRPr="006142F3">
              <w:rPr>
                <w:sz w:val="16"/>
                <w:szCs w:val="16"/>
              </w:rPr>
              <w:t>10</w:t>
            </w:r>
          </w:p>
        </w:tc>
        <w:tc>
          <w:tcPr>
            <w:tcW w:w="1692" w:type="dxa"/>
            <w:shd w:val="clear" w:color="auto" w:fill="C9DED4"/>
          </w:tcPr>
          <w:p w:rsidR="00C752B3" w:rsidRPr="006142F3" w:rsidRDefault="00C752B3" w:rsidP="00147EC4">
            <w:pPr>
              <w:keepNext/>
              <w:spacing w:before="60" w:after="60"/>
              <w:jc w:val="center"/>
              <w:rPr>
                <w:sz w:val="16"/>
                <w:szCs w:val="16"/>
              </w:rPr>
            </w:pPr>
          </w:p>
        </w:tc>
      </w:tr>
      <w:tr w:rsidR="00C752B3" w:rsidRPr="006142F3" w:rsidTr="00C752B3">
        <w:trPr>
          <w:jc w:val="center"/>
        </w:trPr>
        <w:tc>
          <w:tcPr>
            <w:tcW w:w="3229" w:type="dxa"/>
            <w:shd w:val="clear" w:color="auto" w:fill="auto"/>
          </w:tcPr>
          <w:p w:rsidR="00C752B3" w:rsidRPr="006142F3" w:rsidRDefault="00C752B3" w:rsidP="00147EC4">
            <w:pPr>
              <w:keepNext/>
              <w:spacing w:before="60" w:after="60"/>
              <w:rPr>
                <w:sz w:val="16"/>
                <w:szCs w:val="16"/>
              </w:rPr>
            </w:pPr>
            <w:r w:rsidRPr="006142F3">
              <w:rPr>
                <w:sz w:val="16"/>
                <w:szCs w:val="16"/>
              </w:rPr>
              <w:t>Singapore Airways</w:t>
            </w:r>
          </w:p>
        </w:tc>
        <w:tc>
          <w:tcPr>
            <w:tcW w:w="1761" w:type="dxa"/>
            <w:shd w:val="clear" w:color="auto" w:fill="auto"/>
          </w:tcPr>
          <w:p w:rsidR="00C752B3" w:rsidRPr="006142F3" w:rsidRDefault="00C752B3" w:rsidP="00147EC4">
            <w:pPr>
              <w:keepNext/>
              <w:spacing w:before="60" w:after="60"/>
              <w:jc w:val="center"/>
              <w:rPr>
                <w:sz w:val="16"/>
                <w:szCs w:val="16"/>
              </w:rPr>
            </w:pPr>
            <w:r w:rsidRPr="006142F3">
              <w:rPr>
                <w:sz w:val="16"/>
                <w:szCs w:val="16"/>
              </w:rPr>
              <w:t>A350XWB-900</w:t>
            </w:r>
          </w:p>
        </w:tc>
        <w:tc>
          <w:tcPr>
            <w:tcW w:w="1692" w:type="dxa"/>
            <w:shd w:val="clear" w:color="auto" w:fill="auto"/>
          </w:tcPr>
          <w:p w:rsidR="00C752B3" w:rsidRPr="006142F3" w:rsidRDefault="00C752B3" w:rsidP="00147EC4">
            <w:pPr>
              <w:keepNext/>
              <w:spacing w:before="60" w:after="60"/>
              <w:jc w:val="center"/>
              <w:rPr>
                <w:sz w:val="16"/>
                <w:szCs w:val="16"/>
              </w:rPr>
            </w:pPr>
          </w:p>
        </w:tc>
        <w:tc>
          <w:tcPr>
            <w:tcW w:w="1692" w:type="dxa"/>
            <w:shd w:val="clear" w:color="auto" w:fill="auto"/>
          </w:tcPr>
          <w:p w:rsidR="00C752B3" w:rsidRPr="006142F3" w:rsidRDefault="00C752B3" w:rsidP="00147EC4">
            <w:pPr>
              <w:keepNext/>
              <w:spacing w:before="60" w:after="60"/>
              <w:jc w:val="center"/>
              <w:rPr>
                <w:sz w:val="16"/>
                <w:szCs w:val="16"/>
              </w:rPr>
            </w:pPr>
            <w:r w:rsidRPr="006142F3">
              <w:rPr>
                <w:sz w:val="16"/>
                <w:szCs w:val="16"/>
              </w:rPr>
              <w:t>30</w:t>
            </w:r>
          </w:p>
        </w:tc>
      </w:tr>
      <w:tr w:rsidR="00C752B3" w:rsidRPr="006142F3" w:rsidTr="00C752B3">
        <w:trPr>
          <w:jc w:val="center"/>
        </w:trPr>
        <w:tc>
          <w:tcPr>
            <w:tcW w:w="3229" w:type="dxa"/>
            <w:shd w:val="clear" w:color="auto" w:fill="C9DED4"/>
          </w:tcPr>
          <w:p w:rsidR="00C752B3" w:rsidRPr="006142F3" w:rsidRDefault="00C752B3" w:rsidP="00147EC4">
            <w:pPr>
              <w:keepNext/>
              <w:spacing w:before="60" w:after="60"/>
              <w:rPr>
                <w:sz w:val="16"/>
                <w:szCs w:val="16"/>
              </w:rPr>
            </w:pPr>
            <w:r w:rsidRPr="006142F3">
              <w:rPr>
                <w:sz w:val="16"/>
                <w:szCs w:val="16"/>
              </w:rPr>
              <w:t>United Airlines</w:t>
            </w:r>
          </w:p>
        </w:tc>
        <w:tc>
          <w:tcPr>
            <w:tcW w:w="1761" w:type="dxa"/>
            <w:shd w:val="clear" w:color="auto" w:fill="C9DED4"/>
          </w:tcPr>
          <w:p w:rsidR="00C752B3" w:rsidRPr="006142F3" w:rsidRDefault="00C752B3" w:rsidP="00147EC4">
            <w:pPr>
              <w:keepNext/>
              <w:spacing w:before="60" w:after="60"/>
              <w:jc w:val="center"/>
              <w:rPr>
                <w:sz w:val="16"/>
                <w:szCs w:val="16"/>
              </w:rPr>
            </w:pPr>
            <w:r w:rsidRPr="006142F3">
              <w:rPr>
                <w:sz w:val="16"/>
                <w:szCs w:val="16"/>
              </w:rPr>
              <w:t>A350XWB-1000</w:t>
            </w:r>
          </w:p>
        </w:tc>
        <w:tc>
          <w:tcPr>
            <w:tcW w:w="1692" w:type="dxa"/>
            <w:shd w:val="clear" w:color="auto" w:fill="C9DED4"/>
          </w:tcPr>
          <w:p w:rsidR="00C752B3" w:rsidRPr="006142F3" w:rsidRDefault="00C752B3" w:rsidP="00147EC4">
            <w:pPr>
              <w:keepNext/>
              <w:spacing w:before="60" w:after="60"/>
              <w:jc w:val="center"/>
              <w:rPr>
                <w:sz w:val="16"/>
                <w:szCs w:val="16"/>
              </w:rPr>
            </w:pPr>
          </w:p>
        </w:tc>
        <w:tc>
          <w:tcPr>
            <w:tcW w:w="1692" w:type="dxa"/>
            <w:shd w:val="clear" w:color="auto" w:fill="C9DED4"/>
          </w:tcPr>
          <w:p w:rsidR="00C752B3" w:rsidRPr="006142F3" w:rsidRDefault="00C752B3" w:rsidP="00147EC4">
            <w:pPr>
              <w:keepNext/>
              <w:spacing w:before="60" w:after="60"/>
              <w:jc w:val="center"/>
              <w:rPr>
                <w:sz w:val="16"/>
                <w:szCs w:val="16"/>
              </w:rPr>
            </w:pPr>
            <w:r w:rsidRPr="006142F3">
              <w:rPr>
                <w:sz w:val="16"/>
                <w:szCs w:val="16"/>
              </w:rPr>
              <w:t>10</w:t>
            </w:r>
          </w:p>
        </w:tc>
      </w:tr>
    </w:tbl>
    <w:p w:rsidR="00C752B3" w:rsidRDefault="00C752B3" w:rsidP="00526697">
      <w:pPr>
        <w:pStyle w:val="NoteText"/>
        <w:spacing w:before="120" w:after="240"/>
      </w:pPr>
      <w:r>
        <w:t xml:space="preserve">Source: Panel Report, </w:t>
      </w:r>
      <w:r w:rsidR="00051C68">
        <w:t xml:space="preserve">para. 6.1781, </w:t>
      </w:r>
      <w:r>
        <w:t>Table 19.</w:t>
      </w:r>
    </w:p>
    <w:p w:rsidR="00C752B3" w:rsidRDefault="00C752B3" w:rsidP="00526697">
      <w:pPr>
        <w:pStyle w:val="BodyText"/>
      </w:pPr>
      <w:r>
        <w:t>The Panel recalled its</w:t>
      </w:r>
      <w:r w:rsidRPr="008C2E6C">
        <w:t xml:space="preserve"> </w:t>
      </w:r>
      <w:r>
        <w:t>finding that any market presence of a new entrant operating in the post</w:t>
      </w:r>
      <w:r>
        <w:noBreakHyphen/>
        <w:t xml:space="preserve">implementation period would be, if anything, limited to the market for </w:t>
      </w:r>
      <w:r>
        <w:rPr>
          <w:i/>
        </w:rPr>
        <w:t>single</w:t>
      </w:r>
      <w:r>
        <w:rPr>
          <w:i/>
        </w:rPr>
        <w:noBreakHyphen/>
        <w:t xml:space="preserve">aisle </w:t>
      </w:r>
      <w:r w:rsidRPr="00051C68">
        <w:t>LCA.</w:t>
      </w:r>
      <w:r>
        <w:t xml:space="preserve"> </w:t>
      </w:r>
      <w:r w:rsidR="00935D4E">
        <w:t>For</w:t>
      </w:r>
      <w:r>
        <w:t xml:space="preserve"> the Panel, "it must necessarily follow that the sales {of the A350XWB} won by Airbus in the twin</w:t>
      </w:r>
      <w:r>
        <w:noBreakHyphen/>
        <w:t>aisle … market</w:t>
      </w:r>
      <w:r w:rsidR="00935D4E">
        <w:t>{}</w:t>
      </w:r>
      <w:r>
        <w:t xml:space="preserve"> were 'lost sales' to the United States' industry in both 'plausible' counterfactual scenarios."</w:t>
      </w:r>
      <w:r>
        <w:rPr>
          <w:rStyle w:val="FootnoteReference"/>
        </w:rPr>
        <w:footnoteReference w:id="2024"/>
      </w:r>
      <w:r>
        <w:t xml:space="preserve"> The Panel also rejected the "non</w:t>
      </w:r>
      <w:r>
        <w:noBreakHyphen/>
        <w:t>subsidy" reasons alleged by the European Union to explain why Airbus won the sales in</w:t>
      </w:r>
      <w:r w:rsidR="00051C68">
        <w:t xml:space="preserve"> </w:t>
      </w:r>
      <w:r>
        <w:t>the twin-aisle LCA market, because</w:t>
      </w:r>
      <w:r w:rsidR="00051C68">
        <w:t>, for the Panel, it was apparent that</w:t>
      </w:r>
      <w:r>
        <w:t xml:space="preserve"> "almost all of those reasons</w:t>
      </w:r>
      <w:r w:rsidR="00051C68">
        <w:t>"</w:t>
      </w:r>
      <w:r>
        <w:t xml:space="preserve"> </w:t>
      </w:r>
      <w:r w:rsidR="00051C68">
        <w:t>were</w:t>
      </w:r>
      <w:r>
        <w:t xml:space="preserve">, in fact, </w:t>
      </w:r>
      <w:r w:rsidR="00051C68">
        <w:t>"</w:t>
      </w:r>
      <w:r>
        <w:t xml:space="preserve">based on the effects of the LA/MSF subsidies because they </w:t>
      </w:r>
      <w:r w:rsidR="00051C68">
        <w:t>{were}</w:t>
      </w:r>
      <w:r>
        <w:t xml:space="preserve"> premised on Airbus being present in all {three} of the relevant sales campaigns {in the twin-aisle LCA market} as exactly the same competitor selling identical aircraft to those it markets today".</w:t>
      </w:r>
      <w:r>
        <w:rPr>
          <w:rStyle w:val="FootnoteReference"/>
        </w:rPr>
        <w:footnoteReference w:id="2025"/>
      </w:r>
      <w:r>
        <w:t xml:space="preserve"> In other words, a key basis for the Panel's finding on lost sales in the twin-aisle LCA market was its finding that,</w:t>
      </w:r>
      <w:r w:rsidR="00E01DBF">
        <w:t xml:space="preserve"> in the absence of the "product </w:t>
      </w:r>
      <w:r>
        <w:t xml:space="preserve">effects" of the challenged LA/MSF subsidies, Airbus would not have been in a position to </w:t>
      </w:r>
      <w:r w:rsidR="00935D4E">
        <w:t>launch</w:t>
      </w:r>
      <w:r>
        <w:t xml:space="preserve"> the A350XWB as and when it did.</w:t>
      </w:r>
    </w:p>
    <w:p w:rsidR="00C752B3" w:rsidRPr="00145239" w:rsidRDefault="00C752B3" w:rsidP="00526697">
      <w:pPr>
        <w:pStyle w:val="BodyText"/>
        <w:spacing w:before="240"/>
      </w:pPr>
      <w:r>
        <w:t xml:space="preserve">We recall that, at the outset of its analysis of lost sales, displacement, and impedance, the Panel explained that it would </w:t>
      </w:r>
      <w:r w:rsidRPr="00FB55CF">
        <w:t>limit its assessment</w:t>
      </w:r>
      <w:r>
        <w:t xml:space="preserve"> </w:t>
      </w:r>
      <w:r w:rsidRPr="00C34816">
        <w:t>to evaluating</w:t>
      </w:r>
      <w:r w:rsidRPr="00C34816">
        <w:rPr>
          <w:i/>
        </w:rPr>
        <w:t xml:space="preserve"> </w:t>
      </w:r>
      <w:r w:rsidRPr="00C34816">
        <w:t xml:space="preserve">the merits of the </w:t>
      </w:r>
      <w:r>
        <w:t>United States</w:t>
      </w:r>
      <w:r w:rsidRPr="00C34816">
        <w:t xml:space="preserve">' claims </w:t>
      </w:r>
      <w:r>
        <w:t xml:space="preserve">in </w:t>
      </w:r>
      <w:r w:rsidRPr="00FB55CF">
        <w:t xml:space="preserve">light of </w:t>
      </w:r>
      <w:r w:rsidR="00051C68">
        <w:t>its</w:t>
      </w:r>
      <w:r w:rsidRPr="00FB55CF">
        <w:t xml:space="preserve"> findings</w:t>
      </w:r>
      <w:r w:rsidRPr="00C34816">
        <w:rPr>
          <w:i/>
        </w:rPr>
        <w:t xml:space="preserve"> </w:t>
      </w:r>
      <w:r w:rsidRPr="00C34816">
        <w:t xml:space="preserve">with respect to the "product effects" of LA/MSF </w:t>
      </w:r>
      <w:r w:rsidR="00051C68">
        <w:t xml:space="preserve">subsidies </w:t>
      </w:r>
      <w:r w:rsidR="00935D4E">
        <w:t>under</w:t>
      </w:r>
      <w:r w:rsidRPr="00FB55CF">
        <w:t xml:space="preserve"> the "plausible" counterfactual scenarios</w:t>
      </w:r>
      <w:r>
        <w:t>, in which a non</w:t>
      </w:r>
      <w:r>
        <w:noBreakHyphen/>
        <w:t>subsidized Airbus would not have existed.</w:t>
      </w:r>
      <w:r>
        <w:rPr>
          <w:rStyle w:val="FootnoteReference"/>
        </w:rPr>
        <w:footnoteReference w:id="2026"/>
      </w:r>
      <w:r>
        <w:t xml:space="preserve"> Nonetheless, we </w:t>
      </w:r>
      <w:r w:rsidRPr="00145239">
        <w:t>recall that the Panel's analysis of the "product effects</w:t>
      </w:r>
      <w:r w:rsidR="00051C68" w:rsidRPr="00145239">
        <w:t>"</w:t>
      </w:r>
      <w:r w:rsidRPr="00145239">
        <w:t xml:space="preserve"> of LA/MSF </w:t>
      </w:r>
      <w:r w:rsidR="00051C68" w:rsidRPr="00145239">
        <w:t xml:space="preserve">subsidies </w:t>
      </w:r>
      <w:r w:rsidRPr="00145239">
        <w:t>on the A350XWB was</w:t>
      </w:r>
      <w:r w:rsidRPr="00145239">
        <w:rPr>
          <w:i/>
        </w:rPr>
        <w:t xml:space="preserve"> not</w:t>
      </w:r>
      <w:r w:rsidRPr="00145239">
        <w:t xml:space="preserve"> limited to the "plausible" counterfactual scenarios alone. Rather, as discussed in section </w:t>
      </w:r>
      <w:r w:rsidR="006A3819">
        <w:t xml:space="preserve">5.6.3.5.2 </w:t>
      </w:r>
      <w:r w:rsidRPr="00145239">
        <w:t xml:space="preserve">above, the Panel carried out its analysis, </w:t>
      </w:r>
      <w:r w:rsidR="00935D4E" w:rsidRPr="00145239">
        <w:t>in large part</w:t>
      </w:r>
      <w:r w:rsidRPr="00145239">
        <w:t xml:space="preserve">, on the basis of the parties' arguments regarding the extent to which the Airbus, as it </w:t>
      </w:r>
      <w:r w:rsidRPr="00145239">
        <w:rPr>
          <w:i/>
        </w:rPr>
        <w:t>actually existed</w:t>
      </w:r>
      <w:r w:rsidRPr="00145239">
        <w:t xml:space="preserve"> during the 2006-2010 period, could have launched the A350XWB</w:t>
      </w:r>
      <w:r w:rsidR="00935D4E" w:rsidRPr="00145239">
        <w:t xml:space="preserve"> as and when it did</w:t>
      </w:r>
      <w:r w:rsidRPr="00145239">
        <w:t>, so as to evaluate the "direct effects" of the A350XWB LA/MSF subsidies.</w:t>
      </w:r>
      <w:r w:rsidRPr="00145239">
        <w:rPr>
          <w:rStyle w:val="FootnoteReference"/>
        </w:rPr>
        <w:footnoteReference w:id="2027"/>
      </w:r>
    </w:p>
    <w:p w:rsidR="00C752B3" w:rsidRPr="0069164C" w:rsidRDefault="00935D4E" w:rsidP="00526697">
      <w:pPr>
        <w:pStyle w:val="BodyText"/>
      </w:pPr>
      <w:r w:rsidRPr="00145239">
        <w:t>S</w:t>
      </w:r>
      <w:r w:rsidR="00C752B3" w:rsidRPr="00145239">
        <w:t xml:space="preserve">pecifically, the Panel's analysis regarding the "product effects" of LA/MSF subsidies on the A350XWB first sought to determine whether Airbus – as it actually existed in December 2006 – could have launched the A350XWB as and when it did in the absence of the "direct effects" of A350XWB LA/MSF subsidies. In section </w:t>
      </w:r>
      <w:r w:rsidR="00847104" w:rsidRPr="00145239">
        <w:t>5.6.3.</w:t>
      </w:r>
      <w:r w:rsidR="00C752B3" w:rsidRPr="00145239">
        <w:t xml:space="preserve"> above, we have agreed with the Panel's findings in that context, and in particular </w:t>
      </w:r>
      <w:r w:rsidRPr="00145239">
        <w:t>it</w:t>
      </w:r>
      <w:r w:rsidR="00C752B3" w:rsidRPr="00145239">
        <w:t xml:space="preserve">s conclusion that, without </w:t>
      </w:r>
      <w:r w:rsidR="00051C68" w:rsidRPr="00145239">
        <w:t xml:space="preserve">the </w:t>
      </w:r>
      <w:r w:rsidR="00C752B3" w:rsidRPr="00145239">
        <w:t>A350XWB LA/MSF</w:t>
      </w:r>
      <w:r w:rsidR="0067373F" w:rsidRPr="00145239">
        <w:t xml:space="preserve"> subsidies</w:t>
      </w:r>
      <w:r w:rsidR="00C752B3" w:rsidRPr="00145239">
        <w:t>, there was a high likelihood that the Airbus company that actually existed in 2006 would</w:t>
      </w:r>
      <w:r w:rsidRPr="00145239">
        <w:t>, to some degree,</w:t>
      </w:r>
      <w:r w:rsidR="00C752B3" w:rsidRPr="00145239">
        <w:t xml:space="preserve"> have had to make certain compromises with respect to the pace of the </w:t>
      </w:r>
      <w:r w:rsidR="0067373F" w:rsidRPr="00145239">
        <w:t xml:space="preserve">A350XWB </w:t>
      </w:r>
      <w:r w:rsidR="00C752B3" w:rsidRPr="00145239">
        <w:t>programme and/or the features of the aircraft.</w:t>
      </w:r>
      <w:r w:rsidR="00C752B3" w:rsidRPr="00145239">
        <w:rPr>
          <w:rStyle w:val="FootnoteReference"/>
        </w:rPr>
        <w:footnoteReference w:id="2028"/>
      </w:r>
      <w:r w:rsidR="00C752B3" w:rsidRPr="00145239">
        <w:t xml:space="preserve"> We have also agreed with the Panel's assessment as to the "indirect effects" of the A380 LA/MSF </w:t>
      </w:r>
      <w:r w:rsidRPr="00145239">
        <w:t xml:space="preserve">subsidies </w:t>
      </w:r>
      <w:r w:rsidR="00C752B3" w:rsidRPr="00145239">
        <w:t>on the A350XWB.</w:t>
      </w:r>
      <w:r w:rsidR="00C752B3" w:rsidRPr="00145239">
        <w:rPr>
          <w:rStyle w:val="FootnoteReference"/>
        </w:rPr>
        <w:footnoteReference w:id="2029"/>
      </w:r>
      <w:r w:rsidR="00E01DBF">
        <w:t xml:space="preserve"> We </w:t>
      </w:r>
      <w:r w:rsidR="00C752B3" w:rsidRPr="00145239">
        <w:t xml:space="preserve">emphasize that, pursuant to our interpretation of Article 7.8 of the SCM Agreement, we disagree with the Panel to the extent that it considered the effects of the expired LA/MSF subsidies </w:t>
      </w:r>
      <w:r w:rsidRPr="00145239">
        <w:t>as</w:t>
      </w:r>
      <w:r w:rsidR="00C752B3" w:rsidRPr="00145239">
        <w:t xml:space="preserve"> part of its aggregated assessment. Instead, our review in section </w:t>
      </w:r>
      <w:r w:rsidR="00847104" w:rsidRPr="00145239">
        <w:t>5.6.3</w:t>
      </w:r>
      <w:r w:rsidR="00C752B3" w:rsidRPr="00145239">
        <w:t xml:space="preserve"> above focuses on the Panel's findings regarding the subsidies existing in the post-implementation period. These Panel fin</w:t>
      </w:r>
      <w:r w:rsidR="00C752B3" w:rsidRPr="0069164C">
        <w:t>dings highlight the fact that</w:t>
      </w:r>
      <w:r w:rsidR="00C752B3">
        <w:t>, in the twin-aisle LCA market,</w:t>
      </w:r>
      <w:r w:rsidR="00C752B3" w:rsidRPr="0069164C">
        <w:t xml:space="preserve"> Airbus' competitiveness</w:t>
      </w:r>
      <w:r w:rsidR="0067373F">
        <w:t>,</w:t>
      </w:r>
      <w:r w:rsidR="00C752B3" w:rsidRPr="0069164C">
        <w:t xml:space="preserve"> gained </w:t>
      </w:r>
      <w:r w:rsidR="00C752B3" w:rsidRPr="008E2E67">
        <w:t>through earlier LA/MSF subsidies</w:t>
      </w:r>
      <w:r w:rsidR="0067373F">
        <w:t>,</w:t>
      </w:r>
      <w:r w:rsidR="00C752B3" w:rsidRPr="008E2E67">
        <w:t xml:space="preserve"> was renewed and sustained beyon</w:t>
      </w:r>
      <w:r w:rsidR="0067373F">
        <w:t>d the original reference period</w:t>
      </w:r>
      <w:r w:rsidR="00C752B3" w:rsidRPr="008E2E67">
        <w:t xml:space="preserve"> as a result of the subsidies that the</w:t>
      </w:r>
      <w:r w:rsidR="00C752B3" w:rsidRPr="00DC6490">
        <w:t xml:space="preserve"> European Union maintained or granted after the original reference period and into the post</w:t>
      </w:r>
      <w:r w:rsidR="00C752B3" w:rsidRPr="00DC6490">
        <w:noBreakHyphen/>
        <w:t>implementation period</w:t>
      </w:r>
      <w:r w:rsidR="00C752B3">
        <w:t>.</w:t>
      </w:r>
    </w:p>
    <w:p w:rsidR="00C752B3" w:rsidRPr="0069164C" w:rsidRDefault="00C752B3" w:rsidP="00526697">
      <w:pPr>
        <w:pStyle w:val="BodyText"/>
      </w:pPr>
      <w:r w:rsidRPr="0069164C">
        <w:t>Our review of the Panel's finding</w:t>
      </w:r>
      <w:r w:rsidR="00935D4E">
        <w:t>s</w:t>
      </w:r>
      <w:r w:rsidRPr="0069164C">
        <w:t xml:space="preserve"> on the product effects of LA/MSF subsidies on the A350XWB thus indicates that, in the absence of the LA/MSF subsidies </w:t>
      </w:r>
      <w:r>
        <w:t>existing</w:t>
      </w:r>
      <w:r w:rsidRPr="0069164C">
        <w:t xml:space="preserve"> in the post</w:t>
      </w:r>
      <w:r w:rsidRPr="0069164C">
        <w:noBreakHyphen/>
        <w:t>implementation period, Airbus would not have been able to offer the A350XWB at the time it did and with the features that the A350XWB contained. In other words, in the absence of these subsidies, Airbus would not have been able to be "present in all {three} of the relevant sales campaigns as exactly the same competitor selling identical aircraft" in the post-implementation period.</w:t>
      </w:r>
      <w:r>
        <w:rPr>
          <w:rStyle w:val="FootnoteReference"/>
        </w:rPr>
        <w:footnoteReference w:id="2030"/>
      </w:r>
    </w:p>
    <w:p w:rsidR="00C752B3" w:rsidRDefault="00C752B3" w:rsidP="00526697">
      <w:pPr>
        <w:pStyle w:val="BodyText"/>
      </w:pPr>
      <w:r w:rsidRPr="0069164C">
        <w:t>We next consider whether the Panel's finding that the sales of the A350XWB in the post</w:t>
      </w:r>
      <w:r w:rsidRPr="0069164C">
        <w:noBreakHyphen/>
        <w:t>implementation period constituted</w:t>
      </w:r>
      <w:r>
        <w:t xml:space="preserve"> "lost sales" </w:t>
      </w:r>
      <w:r w:rsidR="0067373F">
        <w:t xml:space="preserve">to the US LCA industry </w:t>
      </w:r>
      <w:r>
        <w:t>within the meaning of Article 6.3(c) of the SCM Agreement is supported by relevant Panel findings regarding the competitive dynamics between Boeing's and Airbus' respective product offerings in the twin-aisle LCA market. The twin-aisle LCA market, as the Panel found, comprises the Boeing 767, 777, and</w:t>
      </w:r>
      <w:r w:rsidR="001D5A50">
        <w:t> </w:t>
      </w:r>
      <w:r>
        <w:t>787</w:t>
      </w:r>
      <w:r w:rsidR="0067373F">
        <w:t>,</w:t>
      </w:r>
      <w:r>
        <w:t xml:space="preserve"> on the one hand, and the Airbus A330 and A350XWB, on the other hand.</w:t>
      </w:r>
      <w:r>
        <w:rPr>
          <w:rStyle w:val="FootnoteReference"/>
        </w:rPr>
        <w:footnoteReference w:id="2031"/>
      </w:r>
      <w:r>
        <w:t xml:space="preserve"> The Panel found that "</w:t>
      </w:r>
      <w:r w:rsidRPr="007B45C8">
        <w:t>all five families of Airbus and Boeing twin-aisle LCA exercise differing but overall sufficient degrees of competitive constraints against each other</w:t>
      </w:r>
      <w:r>
        <w:t>"</w:t>
      </w:r>
      <w:r w:rsidR="0067373F">
        <w:t>,</w:t>
      </w:r>
      <w:r w:rsidRPr="007B45C8">
        <w:t xml:space="preserve"> such that </w:t>
      </w:r>
      <w:r>
        <w:t>"</w:t>
      </w:r>
      <w:r w:rsidRPr="007B45C8">
        <w:t>they should all be considered to fall within the same product market</w:t>
      </w:r>
      <w:r>
        <w:t>".</w:t>
      </w:r>
      <w:r>
        <w:rPr>
          <w:rStyle w:val="FootnoteReference"/>
        </w:rPr>
        <w:footnoteReference w:id="2032"/>
      </w:r>
      <w:r>
        <w:t xml:space="preserve"> In </w:t>
      </w:r>
      <w:r w:rsidR="00935D4E">
        <w:t>reaching</w:t>
      </w:r>
      <w:r>
        <w:t xml:space="preserve"> this conclusion, the Panel considered that </w:t>
      </w:r>
      <w:r w:rsidRPr="00087CD8">
        <w:t xml:space="preserve">the fact that Airbus chose to highlight </w:t>
      </w:r>
      <w:r>
        <w:t>"</w:t>
      </w:r>
      <w:r w:rsidRPr="00087CD8">
        <w:t>the alleged performance advantages of the A350XWB-900 o</w:t>
      </w:r>
      <w:r>
        <w:t>ver the 787</w:t>
      </w:r>
      <w:r>
        <w:noBreakHyphen/>
      </w:r>
      <w:r w:rsidRPr="00087CD8">
        <w:t xml:space="preserve">9 </w:t>
      </w:r>
      <w:r w:rsidRPr="00D92CED">
        <w:rPr>
          <w:i/>
        </w:rPr>
        <w:t>and the 777-200ER</w:t>
      </w:r>
      <w:r w:rsidRPr="00087CD8">
        <w:t xml:space="preserve"> at the time of launch</w:t>
      </w:r>
      <w:r>
        <w:t>"</w:t>
      </w:r>
      <w:r w:rsidRPr="00087CD8">
        <w:t xml:space="preserve"> suggest</w:t>
      </w:r>
      <w:r>
        <w:t>ed</w:t>
      </w:r>
      <w:r w:rsidRPr="00087CD8">
        <w:t xml:space="preserve"> that </w:t>
      </w:r>
      <w:r>
        <w:t>"</w:t>
      </w:r>
      <w:r w:rsidRPr="00087CD8">
        <w:t xml:space="preserve">it must have expected potential customers to be interested in learning about the relative performance characteristics of </w:t>
      </w:r>
      <w:r w:rsidRPr="00D92CED">
        <w:rPr>
          <w:i/>
        </w:rPr>
        <w:t>all three aircraft</w:t>
      </w:r>
      <w:r>
        <w:t>".</w:t>
      </w:r>
      <w:r>
        <w:rPr>
          <w:rStyle w:val="FootnoteReference"/>
        </w:rPr>
        <w:footnoteReference w:id="2033"/>
      </w:r>
      <w:r>
        <w:t xml:space="preserve"> The Panel further noted that</w:t>
      </w:r>
      <w:r w:rsidR="001D5A50">
        <w:t>,</w:t>
      </w:r>
      <w:r>
        <w:t xml:space="preserve"> "since it was launched, Airbus … continued to market the A350XWB family as an alternative to both the 787 </w:t>
      </w:r>
      <w:r w:rsidRPr="00D92CED">
        <w:rPr>
          <w:i/>
        </w:rPr>
        <w:t>and the 777</w:t>
      </w:r>
      <w:r w:rsidRPr="00087CD8">
        <w:t>"</w:t>
      </w:r>
      <w:r>
        <w:t>.</w:t>
      </w:r>
      <w:r>
        <w:rPr>
          <w:rStyle w:val="FootnoteReference"/>
        </w:rPr>
        <w:footnoteReference w:id="2034"/>
      </w:r>
      <w:r>
        <w:t xml:space="preserve"> The Panel considered that </w:t>
      </w:r>
      <w:r w:rsidRPr="006C448F">
        <w:t xml:space="preserve">the fact that the </w:t>
      </w:r>
      <w:r w:rsidRPr="00834342">
        <w:t>e</w:t>
      </w:r>
      <w:r w:rsidRPr="00C77BCA">
        <w:t>vid</w:t>
      </w:r>
      <w:r w:rsidRPr="004E1747">
        <w:t>en</w:t>
      </w:r>
      <w:r w:rsidRPr="00D03C80">
        <w:t>ce</w:t>
      </w:r>
      <w:r w:rsidR="00935D4E">
        <w:t xml:space="preserve"> before it</w:t>
      </w:r>
      <w:r w:rsidRPr="006C448F">
        <w:t xml:space="preserve"> </w:t>
      </w:r>
      <w:r>
        <w:t>"</w:t>
      </w:r>
      <w:r w:rsidRPr="006C448F">
        <w:t xml:space="preserve">seeks to highlight the </w:t>
      </w:r>
      <w:r>
        <w:t>'</w:t>
      </w:r>
      <w:r w:rsidRPr="00D92CED">
        <w:rPr>
          <w:i/>
        </w:rPr>
        <w:t>competitiveness</w:t>
      </w:r>
      <w:r>
        <w:t>'</w:t>
      </w:r>
      <w:r w:rsidRPr="006C448F">
        <w:t xml:space="preserve"> of the technologically advanced A350XWB by focusing on its relative performance advantages over the 787, 777, and 767</w:t>
      </w:r>
      <w:r>
        <w:t>"</w:t>
      </w:r>
      <w:r w:rsidRPr="006C448F">
        <w:t xml:space="preserve"> </w:t>
      </w:r>
      <w:r>
        <w:t>was</w:t>
      </w:r>
      <w:r w:rsidRPr="006C448F">
        <w:t xml:space="preserve"> consistent with </w:t>
      </w:r>
      <w:r>
        <w:t>the fact that "</w:t>
      </w:r>
      <w:r w:rsidR="00E01DBF">
        <w:t>the </w:t>
      </w:r>
      <w:r w:rsidRPr="006C448F">
        <w:t xml:space="preserve">A350XWB was developed for the specific purpose of </w:t>
      </w:r>
      <w:r w:rsidRPr="00D92CED">
        <w:rPr>
          <w:i/>
        </w:rPr>
        <w:t>winning sales</w:t>
      </w:r>
      <w:r w:rsidRPr="006C448F">
        <w:t xml:space="preserve"> from a range of customers that would otherwise be potentially interested in the performance ch</w:t>
      </w:r>
      <w:r w:rsidR="00E01DBF">
        <w:t>aracteristics of, at least, all </w:t>
      </w:r>
      <w:r w:rsidRPr="006C448F">
        <w:t>three families of Boeing aircraft</w:t>
      </w:r>
      <w:r>
        <w:t>"</w:t>
      </w:r>
      <w:r w:rsidRPr="006C448F">
        <w:t>.</w:t>
      </w:r>
      <w:r>
        <w:rPr>
          <w:rStyle w:val="FootnoteReference"/>
        </w:rPr>
        <w:footnoteReference w:id="2035"/>
      </w:r>
    </w:p>
    <w:p w:rsidR="00C752B3" w:rsidRPr="00167F26" w:rsidRDefault="00C752B3" w:rsidP="00526697">
      <w:pPr>
        <w:pStyle w:val="BodyText"/>
      </w:pPr>
      <w:r>
        <w:t xml:space="preserve">Evidence examined by the Panel regarding specific sales campaigns involving the A350XWB further supports its view that Airbus' A350XWB product offering was in direct competition with Boeing's twin-aisle LCA. </w:t>
      </w:r>
      <w:r w:rsidR="00935D4E">
        <w:t>With</w:t>
      </w:r>
      <w:r>
        <w:t xml:space="preserve"> respect </w:t>
      </w:r>
      <w:r w:rsidR="00935D4E">
        <w:t>to</w:t>
      </w:r>
      <w:r>
        <w:t xml:space="preserve"> the sales of</w:t>
      </w:r>
      <w:r w:rsidR="0067373F">
        <w:t xml:space="preserve"> the</w:t>
      </w:r>
      <w:r>
        <w:t xml:space="preserve"> A350XWB to Cath</w:t>
      </w:r>
      <w:r w:rsidR="003C1ECC">
        <w:t>ay </w:t>
      </w:r>
      <w:r>
        <w:t>Pacific</w:t>
      </w:r>
      <w:r w:rsidR="0067373F">
        <w:t xml:space="preserve"> Airways</w:t>
      </w:r>
      <w:r>
        <w:t>, the Panel found that "the HSBI evidence submitted by the United States very clearly and explicitly demonstrate</w:t>
      </w:r>
      <w:r w:rsidR="0067373F">
        <w:t>{d}</w:t>
      </w:r>
      <w:r>
        <w:t xml:space="preserve"> that Cathay Pacific was interested in considering different combinations of Airbus and Boeing twin-aisle LCA" to meet its delivery preferences.</w:t>
      </w:r>
      <w:r>
        <w:rPr>
          <w:rStyle w:val="FootnoteReference"/>
        </w:rPr>
        <w:footnoteReference w:id="2036"/>
      </w:r>
      <w:r>
        <w:t xml:space="preserve"> Furthermore, the Panel stressed, "the fact that one aircraft may have been chosen over one or more others because of its </w:t>
      </w:r>
      <w:r w:rsidRPr="00167F26">
        <w:rPr>
          <w:i/>
        </w:rPr>
        <w:t>availability</w:t>
      </w:r>
      <w:r>
        <w:t xml:space="preserve"> reflect</w:t>
      </w:r>
      <w:r w:rsidR="0067373F">
        <w:t>{ed}</w:t>
      </w:r>
      <w:r>
        <w:t xml:space="preserve"> its competitive advantage"</w:t>
      </w:r>
      <w:r w:rsidR="00935D4E">
        <w:t>.</w:t>
      </w:r>
      <w:r>
        <w:rPr>
          <w:rStyle w:val="FootnoteReference"/>
        </w:rPr>
        <w:footnoteReference w:id="2037"/>
      </w:r>
      <w:r>
        <w:t xml:space="preserve"> We recall, in this regard, the Panel's analysis of the "direct effects" of the A350XWB LA/MSF, which suggests that even a slight delay in the launch of the A350XWB could have had significant implications for Airbus' competitiveness, particularly in light of the developmental head start that the Boeing 787 had over the A350XWB.</w:t>
      </w:r>
    </w:p>
    <w:p w:rsidR="00C752B3" w:rsidRDefault="00C752B3" w:rsidP="00526697">
      <w:pPr>
        <w:pStyle w:val="BodyText"/>
      </w:pPr>
      <w:r>
        <w:t>The Panel reviewed a number of non</w:t>
      </w:r>
      <w:r>
        <w:noBreakHyphen/>
        <w:t>attribution factors alleged by the European Union in respect of lost sales in the twin-aisle LCA market. The European Union argued that Airbus' pre</w:t>
      </w:r>
      <w:r>
        <w:noBreakHyphen/>
        <w:t xml:space="preserve">existing commonality advantages and other product-related advantages over Boeing helped to explain its sales of </w:t>
      </w:r>
      <w:r w:rsidR="0067373F">
        <w:t xml:space="preserve">the </w:t>
      </w:r>
      <w:r>
        <w:t>A350XWB-1000 in 2012 and 2013.</w:t>
      </w:r>
      <w:r>
        <w:rPr>
          <w:rStyle w:val="FootnoteReference"/>
        </w:rPr>
        <w:footnoteReference w:id="2038"/>
      </w:r>
      <w:r>
        <w:t xml:space="preserve"> More specifically, in the competition that led Cathay Pacific Airways to order ten A350XWB-1000 aircraft in 2012, the European Union submitted that Airbus had pre</w:t>
      </w:r>
      <w:r>
        <w:noBreakHyphen/>
        <w:t>existing commonality advantages and certain other product</w:t>
      </w:r>
      <w:r>
        <w:noBreakHyphen/>
        <w:t>related advantages over Boeing. In the campaign that led Singapore A</w:t>
      </w:r>
      <w:r w:rsidR="00935D4E">
        <w:t>irlines to order 30 A350XWBs in </w:t>
      </w:r>
      <w:r>
        <w:t>2013, the European Union argued that Airbus had an advantage over Boeing because: (i) there was uncertainty about the specifications, performance, and availability of the Boeing 787-10 relative to the A350XWB-900; (ii) the A350XWB had an advantage in terms of "the delivery positions themselves"; and (iii) the terms of Airbus' offer provided Singapore Airlines with higher benefits of commonality and lower fleet complexity in the long run in case "Singapore Airlines would opt for the A350XWB-1000".</w:t>
      </w:r>
      <w:r>
        <w:rPr>
          <w:rStyle w:val="FootnoteReference"/>
        </w:rPr>
        <w:footnoteReference w:id="2039"/>
      </w:r>
      <w:r>
        <w:t xml:space="preserve"> Similarly, the European Union maintained that Airbus was successful in the sales campaign that led United Airlines to order ten additional A350XWB</w:t>
      </w:r>
      <w:r>
        <w:noBreakHyphen/>
        <w:t>1000 aircraft in 2013 because the A350XWB</w:t>
      </w:r>
      <w:r>
        <w:noBreakHyphen/>
        <w:t xml:space="preserve">1000 was, for various reasons, the only aircraft that could satisfy the airline's requirements at the relevant time. </w:t>
      </w:r>
    </w:p>
    <w:p w:rsidR="00C752B3" w:rsidRPr="0069164C" w:rsidRDefault="00C752B3" w:rsidP="00526697">
      <w:pPr>
        <w:pStyle w:val="BodyText"/>
      </w:pPr>
      <w:r>
        <w:t>The Panel disagreed that these non</w:t>
      </w:r>
      <w:r>
        <w:noBreakHyphen/>
        <w:t xml:space="preserve">attribution factors undermine the causal nexus between the LA/MSF subsidies and lost sales in the twin-aisle </w:t>
      </w:r>
      <w:r w:rsidR="00E01DBF">
        <w:t>LCA market, noting that "Airbus </w:t>
      </w:r>
      <w:r>
        <w:t>would not have had any of these advantages in the above campaigns" had it not been for the "product effects" of LA/MSF subsidies.</w:t>
      </w:r>
      <w:r>
        <w:rPr>
          <w:rStyle w:val="FootnoteReference"/>
        </w:rPr>
        <w:footnoteReference w:id="2040"/>
      </w:r>
      <w:r w:rsidRPr="00EC49C8">
        <w:t xml:space="preserve"> </w:t>
      </w:r>
      <w:r>
        <w:t>The Panel noted that one non</w:t>
      </w:r>
      <w:r>
        <w:noBreakHyphen/>
        <w:t xml:space="preserve">attribution factor </w:t>
      </w:r>
      <w:r w:rsidRPr="00242DD3">
        <w:t xml:space="preserve">alleged by the </w:t>
      </w:r>
      <w:r>
        <w:t>European Union</w:t>
      </w:r>
      <w:r w:rsidRPr="00242DD3">
        <w:t xml:space="preserve"> </w:t>
      </w:r>
      <w:r w:rsidR="0067373F">
        <w:t>did</w:t>
      </w:r>
      <w:r>
        <w:t xml:space="preserve"> not appear to be directly</w:t>
      </w:r>
      <w:r>
        <w:noBreakHyphen/>
      </w:r>
      <w:r w:rsidRPr="00242DD3">
        <w:t>linked with Airbus' competitiveness gained through its launches of subsidized aircraft</w:t>
      </w:r>
      <w:r>
        <w:t>, namely, Singapore Airlines'</w:t>
      </w:r>
      <w:r w:rsidRPr="00DB638B">
        <w:t xml:space="preserve"> </w:t>
      </w:r>
      <w:r>
        <w:t>wish to split orders between Airbus and Boeing.</w:t>
      </w:r>
      <w:r>
        <w:rPr>
          <w:rStyle w:val="FootnoteReference"/>
        </w:rPr>
        <w:footnoteReference w:id="2041"/>
      </w:r>
      <w:r>
        <w:t xml:space="preserve"> The Panel reasoned, however, that</w:t>
      </w:r>
      <w:r w:rsidR="0067373F">
        <w:t>,</w:t>
      </w:r>
      <w:r>
        <w:t xml:space="preserve"> due to Airbus' ability to offer the A350XWB, the airline was presented with </w:t>
      </w:r>
      <w:r w:rsidRPr="0069164C">
        <w:t>the option to split its orders</w:t>
      </w:r>
      <w:r w:rsidR="00935D4E">
        <w:t xml:space="preserve"> in this manner</w:t>
      </w:r>
      <w:r w:rsidRPr="0069164C">
        <w:t xml:space="preserve"> – an option that would not have been available in the absence of LA/MSF.</w:t>
      </w:r>
      <w:r w:rsidR="0067373F">
        <w:rPr>
          <w:rStyle w:val="FootnoteReference"/>
        </w:rPr>
        <w:footnoteReference w:id="2042"/>
      </w:r>
      <w:r w:rsidRPr="0069164C">
        <w:t xml:space="preserve"> </w:t>
      </w:r>
    </w:p>
    <w:p w:rsidR="00C752B3" w:rsidRDefault="00C752B3" w:rsidP="00526697">
      <w:pPr>
        <w:pStyle w:val="BodyText"/>
      </w:pPr>
      <w:r w:rsidRPr="0069164C">
        <w:t xml:space="preserve">As noted, the Panel's relevant findings on "product effects" </w:t>
      </w:r>
      <w:r w:rsidR="00935D4E">
        <w:t>concerning</w:t>
      </w:r>
      <w:r w:rsidRPr="0069164C">
        <w:t xml:space="preserve"> the A350XWB indicate that, in the absence of </w:t>
      </w:r>
      <w:r w:rsidR="0067373F">
        <w:t xml:space="preserve">the </w:t>
      </w:r>
      <w:r w:rsidRPr="0069164C">
        <w:t xml:space="preserve">LA/MSF subsidies existing in the post-implementation period, Airbus would have been unable to launch the A350XWB or an A350XWB-type aircraft by the end of 2006. </w:t>
      </w:r>
      <w:r w:rsidRPr="00A75582">
        <w:t>Thus</w:t>
      </w:r>
      <w:r w:rsidRPr="009A559E">
        <w:t>,</w:t>
      </w:r>
      <w:r w:rsidRPr="0069164C">
        <w:t xml:space="preserve"> we share the Panel's view that most of the alleged </w:t>
      </w:r>
      <w:r>
        <w:t>non</w:t>
      </w:r>
      <w:r>
        <w:noBreakHyphen/>
      </w:r>
      <w:r w:rsidRPr="0069164C">
        <w:t>attribution factors with regard to lost sales in the twin-aisle</w:t>
      </w:r>
      <w:r>
        <w:t xml:space="preserve"> LCA</w:t>
      </w:r>
      <w:r w:rsidRPr="0069164C">
        <w:t xml:space="preserve"> market described above, including Airbus' pre</w:t>
      </w:r>
      <w:r w:rsidRPr="0069164C">
        <w:noBreakHyphen/>
        <w:t xml:space="preserve">existing commonality advantages and other product-related advantages over Boeing, are not factors "unrelated" to the LA/MSF subsidies </w:t>
      </w:r>
      <w:r w:rsidR="0067373F">
        <w:t>existing</w:t>
      </w:r>
      <w:r w:rsidRPr="0069164C">
        <w:t xml:space="preserve"> in the post</w:t>
      </w:r>
      <w:r w:rsidRPr="0069164C">
        <w:noBreakHyphen/>
        <w:t xml:space="preserve">implementation period. </w:t>
      </w:r>
      <w:r>
        <w:t>L</w:t>
      </w:r>
      <w:r w:rsidRPr="0069164C">
        <w:t>ike the Panel, we have doubts as to whether Airbus' pre</w:t>
      </w:r>
      <w:r w:rsidRPr="0069164C">
        <w:noBreakHyphen/>
        <w:t>existing commonality</w:t>
      </w:r>
      <w:r>
        <w:t xml:space="preserve"> advantages and other product-related advantages over Boeing (to the extent </w:t>
      </w:r>
      <w:r w:rsidR="0067373F">
        <w:t xml:space="preserve">that </w:t>
      </w:r>
      <w:r>
        <w:t xml:space="preserve">they </w:t>
      </w:r>
      <w:r w:rsidR="007653D5">
        <w:t>resulted from the provision</w:t>
      </w:r>
      <w:r>
        <w:t xml:space="preserve"> of LA/MSF</w:t>
      </w:r>
      <w:r w:rsidR="007653D5">
        <w:t xml:space="preserve"> subsidies</w:t>
      </w:r>
      <w:r>
        <w:t>) could be characterized as non</w:t>
      </w:r>
      <w:r>
        <w:noBreakHyphen/>
        <w:t>attribution factors that could be said to "dilute" the causal link between the LA/MSF subsidies existing in the post-implementation period and the relevant market effects. Similarly, we agree with the Panel's assessment of the non</w:t>
      </w:r>
      <w:r>
        <w:noBreakHyphen/>
        <w:t xml:space="preserve">attribution factor concerning Singapore Airlines' wish to split orders between Boeing and Airbus. Indeed, the fact that Airbus was in a position to offer </w:t>
      </w:r>
      <w:r w:rsidR="0067373F">
        <w:t xml:space="preserve">the </w:t>
      </w:r>
      <w:r>
        <w:t>A350XWB in a timely manner was, in itself, largely due to LA/MSF subsidies a</w:t>
      </w:r>
      <w:r w:rsidR="007653D5">
        <w:t>nd their effect on the pace of the programme</w:t>
      </w:r>
      <w:r>
        <w:t xml:space="preserve"> and </w:t>
      </w:r>
      <w:r w:rsidR="007653D5">
        <w:t xml:space="preserve">the </w:t>
      </w:r>
      <w:r>
        <w:t xml:space="preserve">features of the </w:t>
      </w:r>
      <w:r w:rsidRPr="009A559E">
        <w:t>A350</w:t>
      </w:r>
      <w:r>
        <w:t>XWB</w:t>
      </w:r>
      <w:r w:rsidRPr="009A559E">
        <w:t xml:space="preserve">. </w:t>
      </w:r>
      <w:r w:rsidRPr="00A75582">
        <w:t>Therefore</w:t>
      </w:r>
      <w:r w:rsidRPr="009A559E">
        <w:t>, insofar as lost sales in the twin-aisle LCA market are concerned, we are not convinced by</w:t>
      </w:r>
      <w:r>
        <w:t xml:space="preserve"> the European Union's argument that the Panel's failure to take into account market</w:t>
      </w:r>
      <w:r>
        <w:noBreakHyphen/>
        <w:t>specific and sale-specific non</w:t>
      </w:r>
      <w:r>
        <w:noBreakHyphen/>
        <w:t>attribution factors is contrary to the Appellate Bo</w:t>
      </w:r>
      <w:r w:rsidR="00E01DBF">
        <w:t>dy's guidance that panels "must </w:t>
      </w:r>
      <w:r>
        <w:t>ensure that the effects of other factors are not improper</w:t>
      </w:r>
      <w:r w:rsidR="00E01DBF">
        <w:t>ly attributed to the challenged </w:t>
      </w:r>
      <w:r>
        <w:t>subsidies".</w:t>
      </w:r>
      <w:r>
        <w:rPr>
          <w:rStyle w:val="FootnoteReference"/>
        </w:rPr>
        <w:footnoteReference w:id="2043"/>
      </w:r>
      <w:r>
        <w:t xml:space="preserve"> </w:t>
      </w:r>
    </w:p>
    <w:p w:rsidR="00C752B3" w:rsidRDefault="00C752B3" w:rsidP="00526697">
      <w:pPr>
        <w:pStyle w:val="BodyText"/>
      </w:pPr>
      <w:r>
        <w:t>The Panel's findings reviewed above support the conclusion that</w:t>
      </w:r>
      <w:r w:rsidRPr="008A43A0">
        <w:t xml:space="preserve"> </w:t>
      </w:r>
      <w:r>
        <w:t xml:space="preserve">the sales of the A350XWB identified in Table 19 of the Panel Report represent "significant lost sales" to the </w:t>
      </w:r>
      <w:r w:rsidR="0067373F">
        <w:t>US</w:t>
      </w:r>
      <w:r>
        <w:t xml:space="preserve"> LCA industry</w:t>
      </w:r>
      <w:r w:rsidRPr="00613507">
        <w:t xml:space="preserve"> </w:t>
      </w:r>
      <w:r w:rsidRPr="008A43A0">
        <w:t xml:space="preserve">within the meaning of </w:t>
      </w:r>
      <w:r>
        <w:t>Article </w:t>
      </w:r>
      <w:r w:rsidRPr="008A43A0">
        <w:t xml:space="preserve">6.3(c) of the </w:t>
      </w:r>
      <w:r>
        <w:t>SCM Agreement and that such lost sales were the effect of the</w:t>
      </w:r>
      <w:r w:rsidRPr="008A43A0">
        <w:t xml:space="preserve"> LA/MSF</w:t>
      </w:r>
      <w:r>
        <w:t xml:space="preserve"> subsidies existing in the post</w:t>
      </w:r>
      <w:r>
        <w:noBreakHyphen/>
        <w:t xml:space="preserve">implementation period. This conclusion also </w:t>
      </w:r>
      <w:r w:rsidRPr="008A43A0">
        <w:t xml:space="preserve">finds support in the analytical framework adopted by the panel and the </w:t>
      </w:r>
      <w:r>
        <w:t>Appellate Body</w:t>
      </w:r>
      <w:r w:rsidRPr="008A43A0">
        <w:t xml:space="preserve"> in the original proceedings, as well as in a number of </w:t>
      </w:r>
      <w:r w:rsidR="0067373F">
        <w:t xml:space="preserve">the </w:t>
      </w:r>
      <w:r w:rsidRPr="008A43A0">
        <w:t>Panel</w:t>
      </w:r>
      <w:r w:rsidR="0067373F">
        <w:t>'s</w:t>
      </w:r>
      <w:r w:rsidRPr="008A43A0">
        <w:t xml:space="preserve"> findings, including its finding concerning the </w:t>
      </w:r>
      <w:r>
        <w:t>"product effects" of the LA/MSF subsidies existing in the post</w:t>
      </w:r>
      <w:r>
        <w:noBreakHyphen/>
        <w:t>implementation period on</w:t>
      </w:r>
      <w:r w:rsidRPr="008A43A0">
        <w:t xml:space="preserve"> </w:t>
      </w:r>
      <w:r>
        <w:t>Airbus'</w:t>
      </w:r>
      <w:r w:rsidRPr="008A43A0">
        <w:t xml:space="preserve"> timely launch of the A350XWB, </w:t>
      </w:r>
      <w:r>
        <w:t xml:space="preserve">and </w:t>
      </w:r>
      <w:r w:rsidRPr="008A43A0">
        <w:t>the existence of sufficient substitutability between Boeing'</w:t>
      </w:r>
      <w:r>
        <w:t>s</w:t>
      </w:r>
      <w:r w:rsidRPr="008A43A0">
        <w:t xml:space="preserve"> and Airbus' twin-aisle product offerings.</w:t>
      </w:r>
      <w:r>
        <w:t xml:space="preserve"> </w:t>
      </w:r>
    </w:p>
    <w:p w:rsidR="00C752B3" w:rsidRPr="000C29EC" w:rsidRDefault="00C752B3" w:rsidP="00526697">
      <w:pPr>
        <w:pStyle w:val="BodyText"/>
      </w:pPr>
      <w:r>
        <w:t>In light of our interpretation of Article 7.8 of the SCM Agreement</w:t>
      </w:r>
      <w:r>
        <w:rPr>
          <w:rStyle w:val="FootnoteReference"/>
        </w:rPr>
        <w:footnoteReference w:id="2044"/>
      </w:r>
      <w:r>
        <w:t>, however, we disagree with the Panel's conclusion on "significant lost sales" in the twin-aisle LCA market to the extent that</w:t>
      </w:r>
      <w:r w:rsidR="0067373F">
        <w:t xml:space="preserve"> its</w:t>
      </w:r>
      <w:r>
        <w:t xml:space="preserve"> conclusion </w:t>
      </w:r>
      <w:r w:rsidR="0067373F">
        <w:t>wa</w:t>
      </w:r>
      <w:r>
        <w:t xml:space="preserve">s based on </w:t>
      </w:r>
      <w:r w:rsidR="0067373F">
        <w:t xml:space="preserve">the </w:t>
      </w:r>
      <w:r>
        <w:t xml:space="preserve">effects of </w:t>
      </w:r>
      <w:r w:rsidR="0067373F">
        <w:t xml:space="preserve">the </w:t>
      </w:r>
      <w:r>
        <w:t xml:space="preserve">challenged LA/MSF subsidies that the Panel found to have expired. We therefore </w:t>
      </w:r>
      <w:r w:rsidRPr="00764D27">
        <w:rPr>
          <w:u w:val="single"/>
        </w:rPr>
        <w:t>modify</w:t>
      </w:r>
      <w:r>
        <w:t xml:space="preserve"> the Panel's conclusion in paragraph 6.1798 of </w:t>
      </w:r>
      <w:r w:rsidR="0067373F">
        <w:t>the Panel</w:t>
      </w:r>
      <w:r>
        <w:t xml:space="preserve"> Report</w:t>
      </w:r>
      <w:r w:rsidR="0067373F">
        <w:t>,</w:t>
      </w:r>
      <w:r>
        <w:t xml:space="preserve"> and </w:t>
      </w:r>
      <w:r w:rsidRPr="00764D27">
        <w:rPr>
          <w:u w:val="single"/>
        </w:rPr>
        <w:t>find</w:t>
      </w:r>
      <w:r>
        <w:t xml:space="preserve"> instead that the orders identified in Table 19 in the twin-aisle LCA market represent significant lost sales to the </w:t>
      </w:r>
      <w:r w:rsidR="0067373F">
        <w:t>US</w:t>
      </w:r>
      <w:r>
        <w:t xml:space="preserve"> LCA industry and, therefore, that the LA/MSF subsidies existing in the post-implementation period are a genuine and substantial cause of serious prejudice to the United States within the meaning of Article 6.3(c) of the SCM Agreement.</w:t>
      </w:r>
    </w:p>
    <w:p w:rsidR="00C752B3" w:rsidRDefault="00C752B3" w:rsidP="00526697">
      <w:pPr>
        <w:pStyle w:val="Heading6"/>
      </w:pPr>
      <w:bookmarkStart w:id="199" w:name="_Toc514059301"/>
      <w:r>
        <w:t>"Displacement and/or impedance"</w:t>
      </w:r>
      <w:bookmarkEnd w:id="199"/>
      <w:r>
        <w:t xml:space="preserve"> </w:t>
      </w:r>
    </w:p>
    <w:p w:rsidR="00C752B3" w:rsidRDefault="00C752B3" w:rsidP="00526697">
      <w:pPr>
        <w:pStyle w:val="BodyText"/>
      </w:pPr>
      <w:r w:rsidRPr="00EE4532">
        <w:t xml:space="preserve">We recall that the </w:t>
      </w:r>
      <w:r>
        <w:t>United States</w:t>
      </w:r>
      <w:r w:rsidRPr="00EE4532">
        <w:t xml:space="preserve"> </w:t>
      </w:r>
      <w:r w:rsidR="0067373F">
        <w:t xml:space="preserve">has </w:t>
      </w:r>
      <w:r w:rsidRPr="00EE4532">
        <w:t>claimed the existence</w:t>
      </w:r>
      <w:r>
        <w:t xml:space="preserve"> of</w:t>
      </w:r>
      <w:r w:rsidRPr="00EE4532">
        <w:t xml:space="preserve"> displacement and/or impedance in the twin-aisle LCA markets in China, Korea, and Singapore.</w:t>
      </w:r>
      <w:r>
        <w:rPr>
          <w:rStyle w:val="FootnoteReference"/>
        </w:rPr>
        <w:footnoteReference w:id="2045"/>
      </w:r>
      <w:r w:rsidRPr="00EE4532">
        <w:t xml:space="preserve"> </w:t>
      </w:r>
      <w:r>
        <w:t>F</w:t>
      </w:r>
      <w:r w:rsidRPr="00EE4532">
        <w:t xml:space="preserve">or the </w:t>
      </w:r>
      <w:r>
        <w:t>European Union</w:t>
      </w:r>
      <w:r w:rsidRPr="00EE4532">
        <w:t xml:space="preserve"> twin-aisle LCA market, the </w:t>
      </w:r>
      <w:r>
        <w:t>United States</w:t>
      </w:r>
      <w:r w:rsidRPr="00EE4532">
        <w:t xml:space="preserve"> </w:t>
      </w:r>
      <w:r w:rsidR="0067373F">
        <w:t xml:space="preserve">has </w:t>
      </w:r>
      <w:r w:rsidRPr="00EE4532">
        <w:t xml:space="preserve">claimed </w:t>
      </w:r>
      <w:r w:rsidR="0067373F">
        <w:t>t</w:t>
      </w:r>
      <w:r w:rsidRPr="00EE4532">
        <w:t>he existence</w:t>
      </w:r>
      <w:r>
        <w:t xml:space="preserve"> </w:t>
      </w:r>
      <w:r w:rsidR="0067373F">
        <w:t xml:space="preserve">only </w:t>
      </w:r>
      <w:r>
        <w:t>of impedance.</w:t>
      </w:r>
      <w:r>
        <w:rPr>
          <w:rStyle w:val="FootnoteReference"/>
        </w:rPr>
        <w:footnoteReference w:id="2046"/>
      </w:r>
      <w:r>
        <w:t xml:space="preserve"> The Panel identified </w:t>
      </w:r>
      <w:r w:rsidRPr="00FB52DD">
        <w:t>the volume of deliveries and ma</w:t>
      </w:r>
      <w:r>
        <w:t>rket share</w:t>
      </w:r>
      <w:r w:rsidRPr="00FB52DD">
        <w:t xml:space="preserve"> </w:t>
      </w:r>
      <w:r w:rsidR="0067373F">
        <w:t>data</w:t>
      </w:r>
      <w:r w:rsidRPr="00FB52DD">
        <w:t xml:space="preserve"> for each of the</w:t>
      </w:r>
      <w:r>
        <w:t>se</w:t>
      </w:r>
      <w:r w:rsidRPr="00FB52DD">
        <w:t xml:space="preserve"> </w:t>
      </w:r>
      <w:r>
        <w:t xml:space="preserve">twin-aisle LCA </w:t>
      </w:r>
      <w:r w:rsidRPr="00FB52DD">
        <w:t>markets</w:t>
      </w:r>
      <w:r>
        <w:t xml:space="preserve"> in Table 21 of its Report</w:t>
      </w:r>
      <w:r w:rsidRPr="00FB52DD">
        <w:t xml:space="preserve"> (reproduced </w:t>
      </w:r>
      <w:r w:rsidR="0067373F">
        <w:t xml:space="preserve">in Table 11 </w:t>
      </w:r>
      <w:r w:rsidRPr="00FB52DD">
        <w:t>below).</w:t>
      </w:r>
      <w:r w:rsidRPr="000664DA">
        <w:t xml:space="preserve"> </w:t>
      </w:r>
      <w:r>
        <w:t xml:space="preserve">All of the deliveries by Airbus </w:t>
      </w:r>
      <w:r w:rsidR="007653D5">
        <w:t>reflected in Table 11</w:t>
      </w:r>
      <w:r>
        <w:t xml:space="preserve"> involved d</w:t>
      </w:r>
      <w:r w:rsidR="0067373F">
        <w:t>eliveries of the A330 family of </w:t>
      </w:r>
      <w:r>
        <w:t>LCA.</w:t>
      </w:r>
      <w:r w:rsidR="007653D5">
        <w:rPr>
          <w:rStyle w:val="FootnoteReference"/>
        </w:rPr>
        <w:footnoteReference w:id="2047"/>
      </w:r>
    </w:p>
    <w:p w:rsidR="00C752B3" w:rsidRDefault="00C752B3" w:rsidP="00C752B3">
      <w:pPr>
        <w:pStyle w:val="Caption"/>
      </w:pPr>
      <w:r>
        <w:t xml:space="preserve">Table </w:t>
      </w:r>
      <w:r w:rsidR="009A724D">
        <w:fldChar w:fldCharType="begin"/>
      </w:r>
      <w:r w:rsidR="009A724D">
        <w:instrText xml:space="preserve"> SEQ Table \* ARABIC </w:instrText>
      </w:r>
      <w:r w:rsidR="009A724D">
        <w:fldChar w:fldCharType="separate"/>
      </w:r>
      <w:r w:rsidR="00FD2727">
        <w:rPr>
          <w:noProof/>
        </w:rPr>
        <w:t>11</w:t>
      </w:r>
      <w:r w:rsidR="009A724D">
        <w:rPr>
          <w:noProof/>
        </w:rPr>
        <w:fldChar w:fldCharType="end"/>
      </w:r>
      <w:r>
        <w:t>: Market for twin-aisle LCA</w:t>
      </w:r>
    </w:p>
    <w:tbl>
      <w:tblPr>
        <w:tblW w:w="4990" w:type="pct"/>
        <w:tblBorders>
          <w:top w:val="single" w:sz="4" w:space="0" w:color="auto"/>
          <w:left w:val="single" w:sz="4" w:space="0" w:color="auto"/>
          <w:bottom w:val="single" w:sz="4" w:space="0" w:color="auto"/>
          <w:right w:val="single" w:sz="4" w:space="0" w:color="auto"/>
          <w:insideV w:val="single" w:sz="4" w:space="0" w:color="auto"/>
        </w:tblBorders>
        <w:tblCellMar>
          <w:top w:w="57" w:type="dxa"/>
          <w:left w:w="85" w:type="dxa"/>
          <w:bottom w:w="57" w:type="dxa"/>
          <w:right w:w="85" w:type="dxa"/>
        </w:tblCellMar>
        <w:tblLook w:val="0020" w:firstRow="1" w:lastRow="0" w:firstColumn="0" w:lastColumn="0" w:noHBand="0" w:noVBand="0"/>
      </w:tblPr>
      <w:tblGrid>
        <w:gridCol w:w="1088"/>
        <w:gridCol w:w="648"/>
        <w:gridCol w:w="706"/>
        <w:gridCol w:w="706"/>
        <w:gridCol w:w="625"/>
        <w:gridCol w:w="706"/>
        <w:gridCol w:w="706"/>
        <w:gridCol w:w="625"/>
        <w:gridCol w:w="706"/>
        <w:gridCol w:w="706"/>
        <w:gridCol w:w="625"/>
        <w:gridCol w:w="625"/>
        <w:gridCol w:w="706"/>
      </w:tblGrid>
      <w:tr w:rsidR="00C752B3" w:rsidRPr="006142F3" w:rsidTr="00C752B3">
        <w:trPr>
          <w:trHeight w:val="216"/>
        </w:trPr>
        <w:tc>
          <w:tcPr>
            <w:tcW w:w="593" w:type="pct"/>
            <w:shd w:val="clear" w:color="auto" w:fill="006283"/>
          </w:tcPr>
          <w:p w:rsidR="00C752B3" w:rsidRPr="006142F3" w:rsidRDefault="00C752B3" w:rsidP="00C752B3">
            <w:pPr>
              <w:autoSpaceDE w:val="0"/>
              <w:autoSpaceDN w:val="0"/>
              <w:adjustRightInd w:val="0"/>
              <w:spacing w:before="100" w:beforeAutospacing="1" w:after="100" w:afterAutospacing="1"/>
              <w:jc w:val="center"/>
              <w:rPr>
                <w:b/>
                <w:bCs/>
                <w:color w:val="FFFFFF"/>
                <w:sz w:val="16"/>
                <w:szCs w:val="16"/>
              </w:rPr>
            </w:pPr>
          </w:p>
        </w:tc>
        <w:tc>
          <w:tcPr>
            <w:tcW w:w="1122" w:type="pct"/>
            <w:gridSpan w:val="3"/>
            <w:shd w:val="clear" w:color="auto" w:fill="006283"/>
          </w:tcPr>
          <w:p w:rsidR="00C752B3" w:rsidRPr="006142F3" w:rsidRDefault="00C752B3" w:rsidP="00C752B3">
            <w:pPr>
              <w:autoSpaceDE w:val="0"/>
              <w:autoSpaceDN w:val="0"/>
              <w:adjustRightInd w:val="0"/>
              <w:spacing w:before="100" w:beforeAutospacing="1" w:after="100" w:afterAutospacing="1"/>
              <w:jc w:val="center"/>
              <w:rPr>
                <w:b/>
                <w:bCs/>
                <w:color w:val="FFFFFF"/>
                <w:sz w:val="16"/>
                <w:szCs w:val="16"/>
              </w:rPr>
            </w:pPr>
            <w:r>
              <w:rPr>
                <w:b/>
                <w:bCs/>
                <w:color w:val="FFFFFF"/>
                <w:sz w:val="16"/>
                <w:szCs w:val="16"/>
              </w:rPr>
              <w:t>European Union</w:t>
            </w:r>
          </w:p>
        </w:tc>
        <w:tc>
          <w:tcPr>
            <w:tcW w:w="1110" w:type="pct"/>
            <w:gridSpan w:val="3"/>
            <w:shd w:val="clear" w:color="auto" w:fill="006283"/>
          </w:tcPr>
          <w:p w:rsidR="00C752B3" w:rsidRPr="006142F3" w:rsidRDefault="00C752B3" w:rsidP="00C752B3">
            <w:pPr>
              <w:autoSpaceDE w:val="0"/>
              <w:autoSpaceDN w:val="0"/>
              <w:adjustRightInd w:val="0"/>
              <w:spacing w:before="100" w:beforeAutospacing="1" w:after="100" w:afterAutospacing="1"/>
              <w:jc w:val="center"/>
              <w:rPr>
                <w:b/>
                <w:bCs/>
                <w:color w:val="FFFFFF"/>
                <w:sz w:val="16"/>
                <w:szCs w:val="16"/>
              </w:rPr>
            </w:pPr>
            <w:r w:rsidRPr="006142F3">
              <w:rPr>
                <w:b/>
                <w:bCs/>
                <w:color w:val="FFFFFF"/>
                <w:sz w:val="16"/>
                <w:szCs w:val="16"/>
              </w:rPr>
              <w:t>China</w:t>
            </w:r>
          </w:p>
        </w:tc>
        <w:tc>
          <w:tcPr>
            <w:tcW w:w="1110" w:type="pct"/>
            <w:gridSpan w:val="3"/>
            <w:shd w:val="clear" w:color="auto" w:fill="006283"/>
          </w:tcPr>
          <w:p w:rsidR="00C752B3" w:rsidRPr="006142F3" w:rsidRDefault="00C752B3" w:rsidP="00C752B3">
            <w:pPr>
              <w:autoSpaceDE w:val="0"/>
              <w:autoSpaceDN w:val="0"/>
              <w:adjustRightInd w:val="0"/>
              <w:spacing w:before="100" w:beforeAutospacing="1" w:after="100" w:afterAutospacing="1"/>
              <w:jc w:val="center"/>
              <w:rPr>
                <w:b/>
                <w:bCs/>
                <w:color w:val="FFFFFF"/>
                <w:sz w:val="16"/>
                <w:szCs w:val="16"/>
              </w:rPr>
            </w:pPr>
            <w:r w:rsidRPr="006142F3">
              <w:rPr>
                <w:b/>
                <w:bCs/>
                <w:color w:val="FFFFFF"/>
                <w:sz w:val="16"/>
                <w:szCs w:val="16"/>
              </w:rPr>
              <w:t>Korea</w:t>
            </w:r>
          </w:p>
        </w:tc>
        <w:tc>
          <w:tcPr>
            <w:tcW w:w="1066" w:type="pct"/>
            <w:gridSpan w:val="3"/>
            <w:shd w:val="clear" w:color="auto" w:fill="006283"/>
          </w:tcPr>
          <w:p w:rsidR="00C752B3" w:rsidRPr="006142F3" w:rsidRDefault="00C752B3" w:rsidP="00C752B3">
            <w:pPr>
              <w:autoSpaceDE w:val="0"/>
              <w:autoSpaceDN w:val="0"/>
              <w:adjustRightInd w:val="0"/>
              <w:spacing w:before="100" w:beforeAutospacing="1" w:after="100" w:afterAutospacing="1"/>
              <w:jc w:val="center"/>
              <w:rPr>
                <w:b/>
                <w:bCs/>
                <w:color w:val="FFFFFF"/>
                <w:sz w:val="16"/>
                <w:szCs w:val="16"/>
              </w:rPr>
            </w:pPr>
            <w:r w:rsidRPr="006142F3">
              <w:rPr>
                <w:b/>
                <w:bCs/>
                <w:color w:val="FFFFFF"/>
                <w:sz w:val="16"/>
                <w:szCs w:val="16"/>
              </w:rPr>
              <w:t>Singapore</w:t>
            </w:r>
          </w:p>
        </w:tc>
      </w:tr>
      <w:tr w:rsidR="00C752B3" w:rsidRPr="006142F3" w:rsidTr="00C752B3">
        <w:trPr>
          <w:trHeight w:val="216"/>
        </w:trPr>
        <w:tc>
          <w:tcPr>
            <w:tcW w:w="593" w:type="pct"/>
            <w:shd w:val="clear" w:color="auto" w:fill="auto"/>
            <w:vAlign w:val="center"/>
          </w:tcPr>
          <w:p w:rsidR="00C752B3" w:rsidRPr="006142F3" w:rsidRDefault="00C752B3" w:rsidP="00C752B3">
            <w:pPr>
              <w:autoSpaceDE w:val="0"/>
              <w:autoSpaceDN w:val="0"/>
              <w:adjustRightInd w:val="0"/>
              <w:spacing w:before="100" w:beforeAutospacing="1" w:after="100" w:afterAutospacing="1"/>
              <w:jc w:val="center"/>
              <w:rPr>
                <w:color w:val="000000"/>
                <w:sz w:val="16"/>
                <w:szCs w:val="16"/>
              </w:rPr>
            </w:pPr>
            <w:r w:rsidRPr="006142F3">
              <w:rPr>
                <w:b/>
                <w:bCs/>
                <w:color w:val="000000"/>
                <w:sz w:val="16"/>
                <w:szCs w:val="16"/>
              </w:rPr>
              <w:t>Delivery Data</w:t>
            </w:r>
          </w:p>
        </w:tc>
        <w:tc>
          <w:tcPr>
            <w:tcW w:w="353" w:type="pct"/>
            <w:shd w:val="clear" w:color="auto" w:fill="auto"/>
            <w:vAlign w:val="center"/>
          </w:tcPr>
          <w:p w:rsidR="00C752B3" w:rsidRPr="006142F3" w:rsidRDefault="00C752B3" w:rsidP="00C752B3">
            <w:pPr>
              <w:autoSpaceDE w:val="0"/>
              <w:autoSpaceDN w:val="0"/>
              <w:adjustRightInd w:val="0"/>
              <w:spacing w:before="100" w:beforeAutospacing="1" w:after="100" w:afterAutospacing="1"/>
              <w:jc w:val="center"/>
              <w:rPr>
                <w:b/>
                <w:bCs/>
                <w:color w:val="000000"/>
                <w:sz w:val="16"/>
                <w:szCs w:val="16"/>
              </w:rPr>
            </w:pPr>
            <w:r w:rsidRPr="006142F3">
              <w:rPr>
                <w:b/>
                <w:bCs/>
                <w:color w:val="000000"/>
                <w:sz w:val="16"/>
                <w:szCs w:val="16"/>
              </w:rPr>
              <w:t>Dec. 2011</w:t>
            </w:r>
          </w:p>
        </w:tc>
        <w:tc>
          <w:tcPr>
            <w:tcW w:w="385" w:type="pct"/>
            <w:shd w:val="clear" w:color="auto" w:fill="auto"/>
            <w:vAlign w:val="center"/>
          </w:tcPr>
          <w:p w:rsidR="00C752B3" w:rsidRPr="006142F3" w:rsidRDefault="00C752B3" w:rsidP="00C752B3">
            <w:pPr>
              <w:autoSpaceDE w:val="0"/>
              <w:autoSpaceDN w:val="0"/>
              <w:adjustRightInd w:val="0"/>
              <w:spacing w:before="100" w:beforeAutospacing="1" w:after="100" w:afterAutospacing="1"/>
              <w:jc w:val="center"/>
              <w:rPr>
                <w:b/>
                <w:bCs/>
                <w:color w:val="000000"/>
                <w:sz w:val="16"/>
                <w:szCs w:val="16"/>
              </w:rPr>
            </w:pPr>
            <w:r w:rsidRPr="006142F3">
              <w:rPr>
                <w:b/>
                <w:bCs/>
                <w:color w:val="000000"/>
                <w:sz w:val="16"/>
                <w:szCs w:val="16"/>
              </w:rPr>
              <w:t>2012</w:t>
            </w:r>
          </w:p>
        </w:tc>
        <w:tc>
          <w:tcPr>
            <w:tcW w:w="385" w:type="pct"/>
            <w:shd w:val="clear" w:color="auto" w:fill="auto"/>
            <w:vAlign w:val="center"/>
          </w:tcPr>
          <w:p w:rsidR="00C752B3" w:rsidRPr="006142F3" w:rsidRDefault="00C752B3" w:rsidP="00C752B3">
            <w:pPr>
              <w:autoSpaceDE w:val="0"/>
              <w:autoSpaceDN w:val="0"/>
              <w:adjustRightInd w:val="0"/>
              <w:spacing w:before="100" w:beforeAutospacing="1" w:after="100" w:afterAutospacing="1"/>
              <w:jc w:val="center"/>
              <w:rPr>
                <w:b/>
                <w:bCs/>
                <w:color w:val="000000"/>
                <w:sz w:val="16"/>
                <w:szCs w:val="16"/>
              </w:rPr>
            </w:pPr>
            <w:r w:rsidRPr="006142F3">
              <w:rPr>
                <w:b/>
                <w:bCs/>
                <w:color w:val="000000"/>
                <w:sz w:val="16"/>
                <w:szCs w:val="16"/>
              </w:rPr>
              <w:t>2013</w:t>
            </w:r>
          </w:p>
        </w:tc>
        <w:tc>
          <w:tcPr>
            <w:tcW w:w="340" w:type="pct"/>
            <w:shd w:val="clear" w:color="auto" w:fill="auto"/>
            <w:vAlign w:val="center"/>
          </w:tcPr>
          <w:p w:rsidR="00C752B3" w:rsidRPr="006142F3" w:rsidRDefault="00C752B3" w:rsidP="00C752B3">
            <w:pPr>
              <w:autoSpaceDE w:val="0"/>
              <w:autoSpaceDN w:val="0"/>
              <w:adjustRightInd w:val="0"/>
              <w:spacing w:before="100" w:beforeAutospacing="1" w:after="100" w:afterAutospacing="1"/>
              <w:jc w:val="center"/>
              <w:rPr>
                <w:b/>
                <w:bCs/>
                <w:color w:val="000000"/>
                <w:sz w:val="16"/>
                <w:szCs w:val="16"/>
              </w:rPr>
            </w:pPr>
            <w:r w:rsidRPr="006142F3">
              <w:rPr>
                <w:b/>
                <w:bCs/>
                <w:color w:val="000000"/>
                <w:sz w:val="16"/>
                <w:szCs w:val="16"/>
              </w:rPr>
              <w:t>Dec. 2011</w:t>
            </w:r>
          </w:p>
        </w:tc>
        <w:tc>
          <w:tcPr>
            <w:tcW w:w="385" w:type="pct"/>
            <w:shd w:val="clear" w:color="auto" w:fill="auto"/>
            <w:vAlign w:val="center"/>
          </w:tcPr>
          <w:p w:rsidR="00C752B3" w:rsidRPr="006142F3" w:rsidRDefault="00C752B3" w:rsidP="00C752B3">
            <w:pPr>
              <w:autoSpaceDE w:val="0"/>
              <w:autoSpaceDN w:val="0"/>
              <w:adjustRightInd w:val="0"/>
              <w:spacing w:before="100" w:beforeAutospacing="1" w:after="100" w:afterAutospacing="1"/>
              <w:jc w:val="center"/>
              <w:rPr>
                <w:b/>
                <w:bCs/>
                <w:color w:val="000000"/>
                <w:sz w:val="16"/>
                <w:szCs w:val="16"/>
              </w:rPr>
            </w:pPr>
            <w:r w:rsidRPr="006142F3">
              <w:rPr>
                <w:b/>
                <w:bCs/>
                <w:color w:val="000000"/>
                <w:sz w:val="16"/>
                <w:szCs w:val="16"/>
              </w:rPr>
              <w:t>2012</w:t>
            </w:r>
          </w:p>
        </w:tc>
        <w:tc>
          <w:tcPr>
            <w:tcW w:w="385" w:type="pct"/>
            <w:shd w:val="clear" w:color="auto" w:fill="auto"/>
            <w:vAlign w:val="center"/>
          </w:tcPr>
          <w:p w:rsidR="00C752B3" w:rsidRPr="006142F3" w:rsidRDefault="00C752B3" w:rsidP="00C752B3">
            <w:pPr>
              <w:autoSpaceDE w:val="0"/>
              <w:autoSpaceDN w:val="0"/>
              <w:adjustRightInd w:val="0"/>
              <w:spacing w:before="100" w:beforeAutospacing="1" w:after="100" w:afterAutospacing="1"/>
              <w:jc w:val="center"/>
              <w:rPr>
                <w:b/>
                <w:bCs/>
                <w:color w:val="000000"/>
                <w:sz w:val="16"/>
                <w:szCs w:val="16"/>
              </w:rPr>
            </w:pPr>
            <w:r w:rsidRPr="006142F3">
              <w:rPr>
                <w:b/>
                <w:bCs/>
                <w:color w:val="000000"/>
                <w:sz w:val="16"/>
                <w:szCs w:val="16"/>
              </w:rPr>
              <w:t>2013</w:t>
            </w:r>
          </w:p>
        </w:tc>
        <w:tc>
          <w:tcPr>
            <w:tcW w:w="340" w:type="pct"/>
            <w:shd w:val="clear" w:color="auto" w:fill="auto"/>
            <w:vAlign w:val="center"/>
          </w:tcPr>
          <w:p w:rsidR="00C752B3" w:rsidRPr="006142F3" w:rsidRDefault="00C752B3" w:rsidP="00C752B3">
            <w:pPr>
              <w:autoSpaceDE w:val="0"/>
              <w:autoSpaceDN w:val="0"/>
              <w:adjustRightInd w:val="0"/>
              <w:spacing w:before="100" w:beforeAutospacing="1" w:after="100" w:afterAutospacing="1"/>
              <w:jc w:val="center"/>
              <w:rPr>
                <w:b/>
                <w:bCs/>
                <w:color w:val="000000"/>
                <w:sz w:val="16"/>
                <w:szCs w:val="16"/>
              </w:rPr>
            </w:pPr>
            <w:r w:rsidRPr="006142F3">
              <w:rPr>
                <w:b/>
                <w:bCs/>
                <w:color w:val="000000"/>
                <w:sz w:val="16"/>
                <w:szCs w:val="16"/>
              </w:rPr>
              <w:t>Dec. 2011</w:t>
            </w:r>
          </w:p>
        </w:tc>
        <w:tc>
          <w:tcPr>
            <w:tcW w:w="385" w:type="pct"/>
            <w:shd w:val="clear" w:color="auto" w:fill="auto"/>
            <w:vAlign w:val="center"/>
          </w:tcPr>
          <w:p w:rsidR="00C752B3" w:rsidRPr="006142F3" w:rsidRDefault="00C752B3" w:rsidP="00C752B3">
            <w:pPr>
              <w:autoSpaceDE w:val="0"/>
              <w:autoSpaceDN w:val="0"/>
              <w:adjustRightInd w:val="0"/>
              <w:spacing w:before="100" w:beforeAutospacing="1" w:after="100" w:afterAutospacing="1"/>
              <w:jc w:val="center"/>
              <w:rPr>
                <w:b/>
                <w:bCs/>
                <w:color w:val="000000"/>
                <w:sz w:val="16"/>
                <w:szCs w:val="16"/>
              </w:rPr>
            </w:pPr>
            <w:r w:rsidRPr="006142F3">
              <w:rPr>
                <w:b/>
                <w:bCs/>
                <w:color w:val="000000"/>
                <w:sz w:val="16"/>
                <w:szCs w:val="16"/>
              </w:rPr>
              <w:t>2012</w:t>
            </w:r>
          </w:p>
        </w:tc>
        <w:tc>
          <w:tcPr>
            <w:tcW w:w="385" w:type="pct"/>
            <w:shd w:val="clear" w:color="auto" w:fill="auto"/>
            <w:vAlign w:val="center"/>
          </w:tcPr>
          <w:p w:rsidR="00C752B3" w:rsidRPr="006142F3" w:rsidRDefault="00C752B3" w:rsidP="00C752B3">
            <w:pPr>
              <w:autoSpaceDE w:val="0"/>
              <w:autoSpaceDN w:val="0"/>
              <w:adjustRightInd w:val="0"/>
              <w:spacing w:before="100" w:beforeAutospacing="1" w:after="100" w:afterAutospacing="1"/>
              <w:jc w:val="center"/>
              <w:rPr>
                <w:b/>
                <w:bCs/>
                <w:color w:val="000000"/>
                <w:sz w:val="16"/>
                <w:szCs w:val="16"/>
              </w:rPr>
            </w:pPr>
            <w:r w:rsidRPr="006142F3">
              <w:rPr>
                <w:b/>
                <w:bCs/>
                <w:color w:val="000000"/>
                <w:sz w:val="16"/>
                <w:szCs w:val="16"/>
              </w:rPr>
              <w:t>2013</w:t>
            </w:r>
          </w:p>
        </w:tc>
        <w:tc>
          <w:tcPr>
            <w:tcW w:w="340" w:type="pct"/>
            <w:shd w:val="clear" w:color="auto" w:fill="auto"/>
            <w:vAlign w:val="center"/>
          </w:tcPr>
          <w:p w:rsidR="00C752B3" w:rsidRPr="006142F3" w:rsidRDefault="00C752B3" w:rsidP="00C752B3">
            <w:pPr>
              <w:autoSpaceDE w:val="0"/>
              <w:autoSpaceDN w:val="0"/>
              <w:adjustRightInd w:val="0"/>
              <w:spacing w:before="100" w:beforeAutospacing="1" w:after="100" w:afterAutospacing="1"/>
              <w:jc w:val="center"/>
              <w:rPr>
                <w:b/>
                <w:bCs/>
                <w:color w:val="000000"/>
                <w:sz w:val="16"/>
                <w:szCs w:val="16"/>
              </w:rPr>
            </w:pPr>
            <w:r w:rsidRPr="006142F3">
              <w:rPr>
                <w:b/>
                <w:bCs/>
                <w:color w:val="000000"/>
                <w:sz w:val="16"/>
                <w:szCs w:val="16"/>
              </w:rPr>
              <w:t>Dec. 2011</w:t>
            </w:r>
          </w:p>
        </w:tc>
        <w:tc>
          <w:tcPr>
            <w:tcW w:w="340" w:type="pct"/>
            <w:shd w:val="clear" w:color="auto" w:fill="auto"/>
            <w:vAlign w:val="center"/>
          </w:tcPr>
          <w:p w:rsidR="00C752B3" w:rsidRPr="006142F3" w:rsidRDefault="00C752B3" w:rsidP="00C752B3">
            <w:pPr>
              <w:autoSpaceDE w:val="0"/>
              <w:autoSpaceDN w:val="0"/>
              <w:adjustRightInd w:val="0"/>
              <w:spacing w:before="100" w:beforeAutospacing="1" w:after="100" w:afterAutospacing="1"/>
              <w:jc w:val="center"/>
              <w:rPr>
                <w:b/>
                <w:bCs/>
                <w:color w:val="000000"/>
                <w:sz w:val="16"/>
                <w:szCs w:val="16"/>
              </w:rPr>
            </w:pPr>
            <w:r w:rsidRPr="006142F3">
              <w:rPr>
                <w:b/>
                <w:bCs/>
                <w:color w:val="000000"/>
                <w:sz w:val="16"/>
                <w:szCs w:val="16"/>
              </w:rPr>
              <w:t>2012</w:t>
            </w:r>
          </w:p>
        </w:tc>
        <w:tc>
          <w:tcPr>
            <w:tcW w:w="385" w:type="pct"/>
            <w:shd w:val="clear" w:color="auto" w:fill="auto"/>
            <w:vAlign w:val="center"/>
          </w:tcPr>
          <w:p w:rsidR="00C752B3" w:rsidRPr="006142F3" w:rsidRDefault="00C752B3" w:rsidP="00C752B3">
            <w:pPr>
              <w:autoSpaceDE w:val="0"/>
              <w:autoSpaceDN w:val="0"/>
              <w:adjustRightInd w:val="0"/>
              <w:spacing w:before="100" w:beforeAutospacing="1" w:after="100" w:afterAutospacing="1"/>
              <w:jc w:val="center"/>
              <w:rPr>
                <w:b/>
                <w:bCs/>
                <w:color w:val="000000"/>
                <w:sz w:val="16"/>
                <w:szCs w:val="16"/>
              </w:rPr>
            </w:pPr>
            <w:r w:rsidRPr="006142F3">
              <w:rPr>
                <w:b/>
                <w:bCs/>
                <w:color w:val="000000"/>
                <w:sz w:val="16"/>
                <w:szCs w:val="16"/>
              </w:rPr>
              <w:t>2013</w:t>
            </w:r>
          </w:p>
        </w:tc>
      </w:tr>
      <w:tr w:rsidR="00C752B3" w:rsidRPr="006142F3" w:rsidTr="00C752B3">
        <w:trPr>
          <w:trHeight w:val="216"/>
        </w:trPr>
        <w:tc>
          <w:tcPr>
            <w:tcW w:w="593" w:type="pct"/>
            <w:shd w:val="clear" w:color="auto" w:fill="C9DED4"/>
            <w:vAlign w:val="center"/>
          </w:tcPr>
          <w:p w:rsidR="00C752B3" w:rsidRPr="006142F3" w:rsidRDefault="00C752B3" w:rsidP="001806FB">
            <w:pPr>
              <w:autoSpaceDE w:val="0"/>
              <w:autoSpaceDN w:val="0"/>
              <w:adjustRightInd w:val="0"/>
              <w:spacing w:before="100" w:beforeAutospacing="1" w:after="100" w:afterAutospacing="1"/>
              <w:jc w:val="center"/>
              <w:rPr>
                <w:color w:val="000000"/>
                <w:sz w:val="16"/>
                <w:szCs w:val="16"/>
              </w:rPr>
            </w:pPr>
            <w:r w:rsidRPr="006142F3">
              <w:rPr>
                <w:color w:val="000000"/>
                <w:sz w:val="16"/>
                <w:szCs w:val="16"/>
              </w:rPr>
              <w:t>Boeing Volume (Units)</w:t>
            </w:r>
          </w:p>
        </w:tc>
        <w:tc>
          <w:tcPr>
            <w:tcW w:w="353" w:type="pct"/>
            <w:shd w:val="clear" w:color="auto" w:fill="C9DED4"/>
            <w:vAlign w:val="center"/>
          </w:tcPr>
          <w:p w:rsidR="00C752B3" w:rsidRPr="006142F3" w:rsidRDefault="00C752B3" w:rsidP="00C752B3">
            <w:pPr>
              <w:spacing w:before="100" w:beforeAutospacing="1" w:after="100" w:afterAutospacing="1"/>
              <w:jc w:val="center"/>
              <w:rPr>
                <w:color w:val="000000"/>
                <w:sz w:val="16"/>
                <w:szCs w:val="16"/>
              </w:rPr>
            </w:pPr>
            <w:r w:rsidRPr="006142F3">
              <w:rPr>
                <w:color w:val="000000"/>
                <w:sz w:val="16"/>
                <w:szCs w:val="16"/>
              </w:rPr>
              <w:t>1</w:t>
            </w:r>
          </w:p>
        </w:tc>
        <w:tc>
          <w:tcPr>
            <w:tcW w:w="385" w:type="pct"/>
            <w:shd w:val="clear" w:color="auto" w:fill="C9DED4"/>
            <w:vAlign w:val="center"/>
          </w:tcPr>
          <w:p w:rsidR="00C752B3" w:rsidRPr="006142F3" w:rsidRDefault="00C752B3" w:rsidP="00C752B3">
            <w:pPr>
              <w:spacing w:before="100" w:beforeAutospacing="1" w:after="100" w:afterAutospacing="1"/>
              <w:jc w:val="center"/>
              <w:rPr>
                <w:color w:val="000000"/>
                <w:sz w:val="16"/>
                <w:szCs w:val="16"/>
              </w:rPr>
            </w:pPr>
            <w:r w:rsidRPr="006142F3">
              <w:rPr>
                <w:color w:val="000000"/>
                <w:sz w:val="16"/>
                <w:szCs w:val="16"/>
              </w:rPr>
              <w:t>8</w:t>
            </w:r>
          </w:p>
        </w:tc>
        <w:tc>
          <w:tcPr>
            <w:tcW w:w="385" w:type="pct"/>
            <w:shd w:val="clear" w:color="auto" w:fill="C9DED4"/>
            <w:vAlign w:val="center"/>
          </w:tcPr>
          <w:p w:rsidR="00C752B3" w:rsidRPr="006142F3" w:rsidRDefault="00C752B3" w:rsidP="00C752B3">
            <w:pPr>
              <w:spacing w:before="100" w:beforeAutospacing="1" w:after="100" w:afterAutospacing="1"/>
              <w:jc w:val="center"/>
              <w:rPr>
                <w:color w:val="000000"/>
                <w:sz w:val="16"/>
                <w:szCs w:val="16"/>
              </w:rPr>
            </w:pPr>
            <w:r w:rsidRPr="006142F3">
              <w:rPr>
                <w:color w:val="000000"/>
                <w:sz w:val="16"/>
                <w:szCs w:val="16"/>
              </w:rPr>
              <w:t>15</w:t>
            </w:r>
          </w:p>
        </w:tc>
        <w:tc>
          <w:tcPr>
            <w:tcW w:w="340" w:type="pct"/>
            <w:shd w:val="clear" w:color="auto" w:fill="C9DED4"/>
            <w:vAlign w:val="center"/>
          </w:tcPr>
          <w:p w:rsidR="00C752B3" w:rsidRPr="006142F3" w:rsidRDefault="00C752B3" w:rsidP="00C752B3">
            <w:pPr>
              <w:spacing w:before="100" w:beforeAutospacing="1" w:after="100" w:afterAutospacing="1"/>
              <w:jc w:val="center"/>
              <w:rPr>
                <w:color w:val="000000"/>
                <w:sz w:val="16"/>
                <w:szCs w:val="16"/>
              </w:rPr>
            </w:pPr>
            <w:r w:rsidRPr="006142F3">
              <w:rPr>
                <w:color w:val="000000"/>
                <w:sz w:val="16"/>
                <w:szCs w:val="16"/>
              </w:rPr>
              <w:t>1</w:t>
            </w:r>
          </w:p>
        </w:tc>
        <w:tc>
          <w:tcPr>
            <w:tcW w:w="385" w:type="pct"/>
            <w:shd w:val="clear" w:color="auto" w:fill="C9DED4"/>
            <w:vAlign w:val="center"/>
          </w:tcPr>
          <w:p w:rsidR="00C752B3" w:rsidRPr="006142F3" w:rsidRDefault="00C752B3" w:rsidP="00C752B3">
            <w:pPr>
              <w:spacing w:before="100" w:beforeAutospacing="1" w:after="100" w:afterAutospacing="1"/>
              <w:jc w:val="center"/>
              <w:rPr>
                <w:color w:val="000000"/>
                <w:sz w:val="16"/>
                <w:szCs w:val="16"/>
              </w:rPr>
            </w:pPr>
            <w:r w:rsidRPr="006142F3">
              <w:rPr>
                <w:color w:val="000000"/>
                <w:sz w:val="16"/>
                <w:szCs w:val="16"/>
              </w:rPr>
              <w:t>7</w:t>
            </w:r>
          </w:p>
        </w:tc>
        <w:tc>
          <w:tcPr>
            <w:tcW w:w="385" w:type="pct"/>
            <w:shd w:val="clear" w:color="auto" w:fill="C9DED4"/>
            <w:vAlign w:val="center"/>
          </w:tcPr>
          <w:p w:rsidR="00C752B3" w:rsidRPr="006142F3" w:rsidRDefault="00C752B3" w:rsidP="00C752B3">
            <w:pPr>
              <w:spacing w:before="100" w:beforeAutospacing="1" w:after="100" w:afterAutospacing="1"/>
              <w:jc w:val="center"/>
              <w:rPr>
                <w:color w:val="000000"/>
                <w:sz w:val="16"/>
                <w:szCs w:val="16"/>
              </w:rPr>
            </w:pPr>
            <w:r w:rsidRPr="006142F3">
              <w:rPr>
                <w:color w:val="000000"/>
                <w:sz w:val="16"/>
                <w:szCs w:val="16"/>
              </w:rPr>
              <w:t>19</w:t>
            </w:r>
          </w:p>
        </w:tc>
        <w:tc>
          <w:tcPr>
            <w:tcW w:w="340" w:type="pct"/>
            <w:shd w:val="clear" w:color="auto" w:fill="C9DED4"/>
            <w:vAlign w:val="center"/>
          </w:tcPr>
          <w:p w:rsidR="00C752B3" w:rsidRPr="006142F3" w:rsidRDefault="00C752B3" w:rsidP="00C752B3">
            <w:pPr>
              <w:spacing w:before="100" w:beforeAutospacing="1" w:after="100" w:afterAutospacing="1"/>
              <w:jc w:val="center"/>
              <w:rPr>
                <w:color w:val="000000"/>
                <w:sz w:val="16"/>
                <w:szCs w:val="16"/>
              </w:rPr>
            </w:pPr>
            <w:r w:rsidRPr="006142F3">
              <w:rPr>
                <w:color w:val="000000"/>
                <w:sz w:val="16"/>
                <w:szCs w:val="16"/>
              </w:rPr>
              <w:t>0</w:t>
            </w:r>
          </w:p>
        </w:tc>
        <w:tc>
          <w:tcPr>
            <w:tcW w:w="385" w:type="pct"/>
            <w:shd w:val="clear" w:color="auto" w:fill="C9DED4"/>
            <w:vAlign w:val="center"/>
          </w:tcPr>
          <w:p w:rsidR="00C752B3" w:rsidRPr="006142F3" w:rsidRDefault="00C752B3" w:rsidP="00C752B3">
            <w:pPr>
              <w:spacing w:before="100" w:beforeAutospacing="1" w:after="100" w:afterAutospacing="1"/>
              <w:jc w:val="center"/>
              <w:rPr>
                <w:color w:val="000000"/>
                <w:sz w:val="16"/>
                <w:szCs w:val="16"/>
              </w:rPr>
            </w:pPr>
            <w:r w:rsidRPr="006142F3">
              <w:rPr>
                <w:color w:val="000000"/>
                <w:sz w:val="16"/>
                <w:szCs w:val="16"/>
              </w:rPr>
              <w:t>2</w:t>
            </w:r>
          </w:p>
        </w:tc>
        <w:tc>
          <w:tcPr>
            <w:tcW w:w="385" w:type="pct"/>
            <w:shd w:val="clear" w:color="auto" w:fill="C9DED4"/>
            <w:vAlign w:val="center"/>
          </w:tcPr>
          <w:p w:rsidR="00C752B3" w:rsidRPr="006142F3" w:rsidRDefault="00C752B3" w:rsidP="00C752B3">
            <w:pPr>
              <w:spacing w:before="100" w:beforeAutospacing="1" w:after="100" w:afterAutospacing="1"/>
              <w:jc w:val="center"/>
              <w:rPr>
                <w:color w:val="000000"/>
                <w:sz w:val="16"/>
                <w:szCs w:val="16"/>
              </w:rPr>
            </w:pPr>
            <w:r w:rsidRPr="006142F3">
              <w:rPr>
                <w:color w:val="000000"/>
                <w:sz w:val="16"/>
                <w:szCs w:val="16"/>
              </w:rPr>
              <w:t>3</w:t>
            </w:r>
          </w:p>
        </w:tc>
        <w:tc>
          <w:tcPr>
            <w:tcW w:w="340" w:type="pct"/>
            <w:shd w:val="clear" w:color="auto" w:fill="C9DED4"/>
            <w:vAlign w:val="center"/>
          </w:tcPr>
          <w:p w:rsidR="00C752B3" w:rsidRPr="006142F3" w:rsidRDefault="00C752B3" w:rsidP="00C752B3">
            <w:pPr>
              <w:spacing w:before="100" w:beforeAutospacing="1" w:after="100" w:afterAutospacing="1"/>
              <w:jc w:val="center"/>
              <w:rPr>
                <w:color w:val="000000"/>
                <w:sz w:val="16"/>
                <w:szCs w:val="16"/>
              </w:rPr>
            </w:pPr>
            <w:r w:rsidRPr="006142F3">
              <w:rPr>
                <w:color w:val="000000"/>
                <w:sz w:val="16"/>
                <w:szCs w:val="16"/>
              </w:rPr>
              <w:t>0</w:t>
            </w:r>
          </w:p>
        </w:tc>
        <w:tc>
          <w:tcPr>
            <w:tcW w:w="340" w:type="pct"/>
            <w:shd w:val="clear" w:color="auto" w:fill="C9DED4"/>
            <w:vAlign w:val="center"/>
          </w:tcPr>
          <w:p w:rsidR="00C752B3" w:rsidRPr="006142F3" w:rsidRDefault="00C752B3" w:rsidP="00C752B3">
            <w:pPr>
              <w:spacing w:before="100" w:beforeAutospacing="1" w:after="100" w:afterAutospacing="1"/>
              <w:jc w:val="center"/>
              <w:rPr>
                <w:color w:val="000000"/>
                <w:sz w:val="16"/>
                <w:szCs w:val="16"/>
              </w:rPr>
            </w:pPr>
            <w:r w:rsidRPr="006142F3">
              <w:rPr>
                <w:color w:val="000000"/>
                <w:sz w:val="16"/>
                <w:szCs w:val="16"/>
              </w:rPr>
              <w:t>0</w:t>
            </w:r>
          </w:p>
        </w:tc>
        <w:tc>
          <w:tcPr>
            <w:tcW w:w="385" w:type="pct"/>
            <w:shd w:val="clear" w:color="auto" w:fill="C9DED4"/>
            <w:vAlign w:val="center"/>
          </w:tcPr>
          <w:p w:rsidR="00C752B3" w:rsidRPr="006142F3" w:rsidRDefault="00C752B3" w:rsidP="00C752B3">
            <w:pPr>
              <w:spacing w:before="100" w:beforeAutospacing="1" w:after="100" w:afterAutospacing="1"/>
              <w:jc w:val="center"/>
              <w:rPr>
                <w:color w:val="000000"/>
                <w:sz w:val="16"/>
                <w:szCs w:val="16"/>
              </w:rPr>
            </w:pPr>
            <w:r w:rsidRPr="006142F3">
              <w:rPr>
                <w:color w:val="000000"/>
                <w:sz w:val="16"/>
                <w:szCs w:val="16"/>
              </w:rPr>
              <w:t>2</w:t>
            </w:r>
          </w:p>
        </w:tc>
      </w:tr>
      <w:tr w:rsidR="00C752B3" w:rsidRPr="006142F3" w:rsidTr="00C752B3">
        <w:trPr>
          <w:trHeight w:val="434"/>
        </w:trPr>
        <w:tc>
          <w:tcPr>
            <w:tcW w:w="593" w:type="pct"/>
            <w:shd w:val="clear" w:color="auto" w:fill="auto"/>
            <w:vAlign w:val="center"/>
          </w:tcPr>
          <w:p w:rsidR="00C752B3" w:rsidRPr="006142F3" w:rsidRDefault="00C752B3" w:rsidP="00C752B3">
            <w:pPr>
              <w:autoSpaceDE w:val="0"/>
              <w:autoSpaceDN w:val="0"/>
              <w:adjustRightInd w:val="0"/>
              <w:spacing w:before="100" w:beforeAutospacing="1" w:after="100" w:afterAutospacing="1"/>
              <w:jc w:val="center"/>
              <w:rPr>
                <w:color w:val="000000"/>
                <w:sz w:val="16"/>
                <w:szCs w:val="16"/>
              </w:rPr>
            </w:pPr>
            <w:r w:rsidRPr="006142F3">
              <w:rPr>
                <w:color w:val="000000"/>
                <w:sz w:val="16"/>
                <w:szCs w:val="16"/>
              </w:rPr>
              <w:t>Boeing Market Share</w:t>
            </w:r>
          </w:p>
        </w:tc>
        <w:tc>
          <w:tcPr>
            <w:tcW w:w="353" w:type="pct"/>
            <w:shd w:val="clear" w:color="auto" w:fill="auto"/>
            <w:vAlign w:val="center"/>
          </w:tcPr>
          <w:p w:rsidR="00C752B3" w:rsidRPr="006142F3" w:rsidRDefault="00C752B3" w:rsidP="00C752B3">
            <w:pPr>
              <w:spacing w:before="100" w:beforeAutospacing="1" w:after="100" w:afterAutospacing="1"/>
              <w:jc w:val="center"/>
              <w:rPr>
                <w:color w:val="000000"/>
                <w:sz w:val="16"/>
                <w:szCs w:val="16"/>
              </w:rPr>
            </w:pPr>
            <w:r w:rsidRPr="006142F3">
              <w:rPr>
                <w:color w:val="000000"/>
                <w:sz w:val="16"/>
                <w:szCs w:val="16"/>
              </w:rPr>
              <w:t>100%</w:t>
            </w:r>
          </w:p>
        </w:tc>
        <w:tc>
          <w:tcPr>
            <w:tcW w:w="385" w:type="pct"/>
            <w:shd w:val="clear" w:color="auto" w:fill="auto"/>
            <w:vAlign w:val="center"/>
          </w:tcPr>
          <w:p w:rsidR="00C752B3" w:rsidRPr="006142F3" w:rsidRDefault="00C752B3" w:rsidP="00C752B3">
            <w:pPr>
              <w:spacing w:before="100" w:beforeAutospacing="1" w:after="100" w:afterAutospacing="1"/>
              <w:jc w:val="center"/>
              <w:rPr>
                <w:color w:val="000000"/>
                <w:sz w:val="16"/>
                <w:szCs w:val="16"/>
              </w:rPr>
            </w:pPr>
            <w:r w:rsidRPr="006142F3">
              <w:rPr>
                <w:color w:val="000000"/>
                <w:sz w:val="16"/>
                <w:szCs w:val="16"/>
              </w:rPr>
              <w:t>30.8%</w:t>
            </w:r>
          </w:p>
        </w:tc>
        <w:tc>
          <w:tcPr>
            <w:tcW w:w="385" w:type="pct"/>
            <w:shd w:val="clear" w:color="auto" w:fill="auto"/>
            <w:vAlign w:val="center"/>
          </w:tcPr>
          <w:p w:rsidR="00C752B3" w:rsidRPr="006142F3" w:rsidRDefault="00C752B3" w:rsidP="00C752B3">
            <w:pPr>
              <w:spacing w:before="100" w:beforeAutospacing="1" w:after="100" w:afterAutospacing="1"/>
              <w:jc w:val="center"/>
              <w:rPr>
                <w:color w:val="000000"/>
                <w:sz w:val="16"/>
                <w:szCs w:val="16"/>
              </w:rPr>
            </w:pPr>
            <w:r w:rsidRPr="006142F3">
              <w:rPr>
                <w:color w:val="000000"/>
                <w:sz w:val="16"/>
                <w:szCs w:val="16"/>
              </w:rPr>
              <w:t>65.2%</w:t>
            </w:r>
          </w:p>
        </w:tc>
        <w:tc>
          <w:tcPr>
            <w:tcW w:w="340" w:type="pct"/>
            <w:shd w:val="clear" w:color="auto" w:fill="auto"/>
            <w:vAlign w:val="center"/>
          </w:tcPr>
          <w:p w:rsidR="00C752B3" w:rsidRPr="006142F3" w:rsidRDefault="00C752B3" w:rsidP="00C752B3">
            <w:pPr>
              <w:spacing w:before="100" w:beforeAutospacing="1" w:after="100" w:afterAutospacing="1"/>
              <w:jc w:val="center"/>
              <w:rPr>
                <w:color w:val="000000"/>
                <w:sz w:val="16"/>
                <w:szCs w:val="16"/>
              </w:rPr>
            </w:pPr>
            <w:r w:rsidRPr="006142F3">
              <w:rPr>
                <w:color w:val="000000"/>
                <w:sz w:val="16"/>
                <w:szCs w:val="16"/>
              </w:rPr>
              <w:t>50%</w:t>
            </w:r>
          </w:p>
        </w:tc>
        <w:tc>
          <w:tcPr>
            <w:tcW w:w="385" w:type="pct"/>
            <w:shd w:val="clear" w:color="auto" w:fill="auto"/>
            <w:vAlign w:val="center"/>
          </w:tcPr>
          <w:p w:rsidR="00C752B3" w:rsidRPr="006142F3" w:rsidRDefault="00C752B3" w:rsidP="00C752B3">
            <w:pPr>
              <w:spacing w:before="100" w:beforeAutospacing="1" w:after="100" w:afterAutospacing="1"/>
              <w:jc w:val="center"/>
              <w:rPr>
                <w:color w:val="000000"/>
                <w:sz w:val="16"/>
                <w:szCs w:val="16"/>
              </w:rPr>
            </w:pPr>
            <w:r w:rsidRPr="006142F3">
              <w:rPr>
                <w:color w:val="000000"/>
                <w:sz w:val="16"/>
                <w:szCs w:val="16"/>
              </w:rPr>
              <w:t>30.4%</w:t>
            </w:r>
          </w:p>
        </w:tc>
        <w:tc>
          <w:tcPr>
            <w:tcW w:w="385" w:type="pct"/>
            <w:shd w:val="clear" w:color="auto" w:fill="auto"/>
            <w:vAlign w:val="center"/>
          </w:tcPr>
          <w:p w:rsidR="00C752B3" w:rsidRPr="006142F3" w:rsidRDefault="00C752B3" w:rsidP="00C752B3">
            <w:pPr>
              <w:spacing w:before="100" w:beforeAutospacing="1" w:after="100" w:afterAutospacing="1"/>
              <w:jc w:val="center"/>
              <w:rPr>
                <w:color w:val="000000"/>
                <w:sz w:val="16"/>
                <w:szCs w:val="16"/>
              </w:rPr>
            </w:pPr>
            <w:r w:rsidRPr="006142F3">
              <w:rPr>
                <w:color w:val="000000"/>
                <w:sz w:val="16"/>
                <w:szCs w:val="16"/>
              </w:rPr>
              <w:t>47.5%</w:t>
            </w:r>
          </w:p>
        </w:tc>
        <w:tc>
          <w:tcPr>
            <w:tcW w:w="340" w:type="pct"/>
            <w:shd w:val="clear" w:color="auto" w:fill="auto"/>
            <w:vAlign w:val="center"/>
          </w:tcPr>
          <w:p w:rsidR="00C752B3" w:rsidRPr="006142F3" w:rsidRDefault="00C752B3" w:rsidP="00C752B3">
            <w:pPr>
              <w:spacing w:before="100" w:beforeAutospacing="1" w:after="100" w:afterAutospacing="1"/>
              <w:jc w:val="center"/>
              <w:rPr>
                <w:color w:val="000000"/>
                <w:sz w:val="16"/>
                <w:szCs w:val="16"/>
              </w:rPr>
            </w:pPr>
            <w:r w:rsidRPr="006142F3">
              <w:rPr>
                <w:color w:val="000000"/>
                <w:sz w:val="16"/>
                <w:szCs w:val="16"/>
              </w:rPr>
              <w:t>-</w:t>
            </w:r>
          </w:p>
        </w:tc>
        <w:tc>
          <w:tcPr>
            <w:tcW w:w="385" w:type="pct"/>
            <w:shd w:val="clear" w:color="auto" w:fill="auto"/>
            <w:vAlign w:val="center"/>
          </w:tcPr>
          <w:p w:rsidR="00C752B3" w:rsidRPr="006142F3" w:rsidRDefault="00C752B3" w:rsidP="00C752B3">
            <w:pPr>
              <w:spacing w:before="100" w:beforeAutospacing="1" w:after="100" w:afterAutospacing="1"/>
              <w:jc w:val="center"/>
              <w:rPr>
                <w:color w:val="000000"/>
                <w:sz w:val="16"/>
                <w:szCs w:val="16"/>
              </w:rPr>
            </w:pPr>
            <w:r w:rsidRPr="006142F3">
              <w:rPr>
                <w:color w:val="000000"/>
                <w:sz w:val="16"/>
                <w:szCs w:val="16"/>
              </w:rPr>
              <w:t>50.0%</w:t>
            </w:r>
          </w:p>
        </w:tc>
        <w:tc>
          <w:tcPr>
            <w:tcW w:w="385" w:type="pct"/>
            <w:shd w:val="clear" w:color="auto" w:fill="auto"/>
            <w:vAlign w:val="center"/>
          </w:tcPr>
          <w:p w:rsidR="00C752B3" w:rsidRPr="006142F3" w:rsidRDefault="00C752B3" w:rsidP="00C752B3">
            <w:pPr>
              <w:spacing w:before="100" w:beforeAutospacing="1" w:after="100" w:afterAutospacing="1"/>
              <w:jc w:val="center"/>
              <w:rPr>
                <w:color w:val="000000"/>
                <w:sz w:val="16"/>
                <w:szCs w:val="16"/>
              </w:rPr>
            </w:pPr>
            <w:r w:rsidRPr="006142F3">
              <w:rPr>
                <w:color w:val="000000"/>
                <w:sz w:val="16"/>
                <w:szCs w:val="16"/>
              </w:rPr>
              <w:t>50.0%</w:t>
            </w:r>
          </w:p>
        </w:tc>
        <w:tc>
          <w:tcPr>
            <w:tcW w:w="340" w:type="pct"/>
            <w:shd w:val="clear" w:color="auto" w:fill="auto"/>
            <w:vAlign w:val="center"/>
          </w:tcPr>
          <w:p w:rsidR="00C752B3" w:rsidRPr="006142F3" w:rsidRDefault="00C752B3" w:rsidP="00C752B3">
            <w:pPr>
              <w:spacing w:before="100" w:beforeAutospacing="1" w:after="100" w:afterAutospacing="1"/>
              <w:jc w:val="center"/>
              <w:rPr>
                <w:color w:val="000000"/>
                <w:sz w:val="16"/>
                <w:szCs w:val="16"/>
              </w:rPr>
            </w:pPr>
            <w:r w:rsidRPr="006142F3">
              <w:rPr>
                <w:color w:val="000000"/>
                <w:sz w:val="16"/>
                <w:szCs w:val="16"/>
              </w:rPr>
              <w:t>-</w:t>
            </w:r>
          </w:p>
        </w:tc>
        <w:tc>
          <w:tcPr>
            <w:tcW w:w="340" w:type="pct"/>
            <w:shd w:val="clear" w:color="auto" w:fill="auto"/>
            <w:vAlign w:val="center"/>
          </w:tcPr>
          <w:p w:rsidR="00C752B3" w:rsidRPr="006142F3" w:rsidRDefault="00C752B3" w:rsidP="00C752B3">
            <w:pPr>
              <w:spacing w:before="100" w:beforeAutospacing="1" w:after="100" w:afterAutospacing="1"/>
              <w:jc w:val="center"/>
              <w:rPr>
                <w:color w:val="000000"/>
                <w:sz w:val="16"/>
                <w:szCs w:val="16"/>
              </w:rPr>
            </w:pPr>
            <w:r w:rsidRPr="006142F3">
              <w:rPr>
                <w:color w:val="000000"/>
                <w:sz w:val="16"/>
                <w:szCs w:val="16"/>
              </w:rPr>
              <w:t>-</w:t>
            </w:r>
          </w:p>
        </w:tc>
        <w:tc>
          <w:tcPr>
            <w:tcW w:w="385" w:type="pct"/>
            <w:shd w:val="clear" w:color="auto" w:fill="auto"/>
            <w:vAlign w:val="center"/>
          </w:tcPr>
          <w:p w:rsidR="00C752B3" w:rsidRPr="006142F3" w:rsidRDefault="00C752B3" w:rsidP="00C752B3">
            <w:pPr>
              <w:spacing w:before="100" w:beforeAutospacing="1" w:after="100" w:afterAutospacing="1"/>
              <w:jc w:val="center"/>
              <w:rPr>
                <w:color w:val="000000"/>
                <w:sz w:val="16"/>
                <w:szCs w:val="16"/>
              </w:rPr>
            </w:pPr>
            <w:r w:rsidRPr="006142F3">
              <w:rPr>
                <w:color w:val="000000"/>
                <w:sz w:val="16"/>
                <w:szCs w:val="16"/>
              </w:rPr>
              <w:t>25.0%</w:t>
            </w:r>
          </w:p>
        </w:tc>
      </w:tr>
      <w:tr w:rsidR="00C752B3" w:rsidRPr="006142F3" w:rsidTr="00C752B3">
        <w:trPr>
          <w:trHeight w:val="216"/>
        </w:trPr>
        <w:tc>
          <w:tcPr>
            <w:tcW w:w="593" w:type="pct"/>
            <w:shd w:val="clear" w:color="auto" w:fill="C9DED4"/>
            <w:vAlign w:val="center"/>
          </w:tcPr>
          <w:p w:rsidR="00C752B3" w:rsidRPr="006142F3" w:rsidRDefault="00C752B3" w:rsidP="00C752B3">
            <w:pPr>
              <w:autoSpaceDE w:val="0"/>
              <w:autoSpaceDN w:val="0"/>
              <w:adjustRightInd w:val="0"/>
              <w:spacing w:before="100" w:beforeAutospacing="1" w:after="100" w:afterAutospacing="1"/>
              <w:jc w:val="center"/>
              <w:rPr>
                <w:color w:val="000000"/>
                <w:sz w:val="16"/>
                <w:szCs w:val="16"/>
              </w:rPr>
            </w:pPr>
            <w:r w:rsidRPr="006142F3">
              <w:rPr>
                <w:color w:val="000000"/>
                <w:sz w:val="16"/>
                <w:szCs w:val="16"/>
              </w:rPr>
              <w:t>Airbus Volume (Units)</w:t>
            </w:r>
          </w:p>
        </w:tc>
        <w:tc>
          <w:tcPr>
            <w:tcW w:w="353" w:type="pct"/>
            <w:shd w:val="clear" w:color="auto" w:fill="C9DED4"/>
            <w:vAlign w:val="center"/>
          </w:tcPr>
          <w:p w:rsidR="00C752B3" w:rsidRPr="006142F3" w:rsidRDefault="00C752B3" w:rsidP="00C752B3">
            <w:pPr>
              <w:spacing w:before="100" w:beforeAutospacing="1" w:after="100" w:afterAutospacing="1"/>
              <w:jc w:val="center"/>
              <w:rPr>
                <w:color w:val="000000"/>
                <w:sz w:val="16"/>
                <w:szCs w:val="16"/>
              </w:rPr>
            </w:pPr>
            <w:r w:rsidRPr="006142F3">
              <w:rPr>
                <w:color w:val="000000"/>
                <w:sz w:val="16"/>
                <w:szCs w:val="16"/>
              </w:rPr>
              <w:t>0</w:t>
            </w:r>
          </w:p>
        </w:tc>
        <w:tc>
          <w:tcPr>
            <w:tcW w:w="385" w:type="pct"/>
            <w:shd w:val="clear" w:color="auto" w:fill="C9DED4"/>
            <w:vAlign w:val="center"/>
          </w:tcPr>
          <w:p w:rsidR="00C752B3" w:rsidRPr="006142F3" w:rsidRDefault="00C752B3" w:rsidP="00C752B3">
            <w:pPr>
              <w:spacing w:before="100" w:beforeAutospacing="1" w:after="100" w:afterAutospacing="1"/>
              <w:jc w:val="center"/>
              <w:rPr>
                <w:color w:val="000000"/>
                <w:sz w:val="16"/>
                <w:szCs w:val="16"/>
              </w:rPr>
            </w:pPr>
            <w:r w:rsidRPr="006142F3">
              <w:rPr>
                <w:color w:val="000000"/>
                <w:sz w:val="16"/>
                <w:szCs w:val="16"/>
              </w:rPr>
              <w:t>18</w:t>
            </w:r>
          </w:p>
        </w:tc>
        <w:tc>
          <w:tcPr>
            <w:tcW w:w="385" w:type="pct"/>
            <w:shd w:val="clear" w:color="auto" w:fill="C9DED4"/>
            <w:vAlign w:val="center"/>
          </w:tcPr>
          <w:p w:rsidR="00C752B3" w:rsidRPr="006142F3" w:rsidRDefault="00C752B3" w:rsidP="00C752B3">
            <w:pPr>
              <w:spacing w:before="100" w:beforeAutospacing="1" w:after="100" w:afterAutospacing="1"/>
              <w:jc w:val="center"/>
              <w:rPr>
                <w:color w:val="000000"/>
                <w:sz w:val="16"/>
                <w:szCs w:val="16"/>
              </w:rPr>
            </w:pPr>
            <w:r w:rsidRPr="006142F3">
              <w:rPr>
                <w:color w:val="000000"/>
                <w:sz w:val="16"/>
                <w:szCs w:val="16"/>
              </w:rPr>
              <w:t>8</w:t>
            </w:r>
          </w:p>
        </w:tc>
        <w:tc>
          <w:tcPr>
            <w:tcW w:w="340" w:type="pct"/>
            <w:shd w:val="clear" w:color="auto" w:fill="C9DED4"/>
            <w:vAlign w:val="center"/>
          </w:tcPr>
          <w:p w:rsidR="00C752B3" w:rsidRPr="006142F3" w:rsidRDefault="00C752B3" w:rsidP="00C752B3">
            <w:pPr>
              <w:spacing w:before="100" w:beforeAutospacing="1" w:after="100" w:afterAutospacing="1"/>
              <w:jc w:val="center"/>
              <w:rPr>
                <w:color w:val="000000"/>
                <w:sz w:val="16"/>
                <w:szCs w:val="16"/>
              </w:rPr>
            </w:pPr>
            <w:r w:rsidRPr="006142F3">
              <w:rPr>
                <w:color w:val="000000"/>
                <w:sz w:val="16"/>
                <w:szCs w:val="16"/>
              </w:rPr>
              <w:t>1</w:t>
            </w:r>
          </w:p>
        </w:tc>
        <w:tc>
          <w:tcPr>
            <w:tcW w:w="385" w:type="pct"/>
            <w:shd w:val="clear" w:color="auto" w:fill="C9DED4"/>
            <w:vAlign w:val="center"/>
          </w:tcPr>
          <w:p w:rsidR="00C752B3" w:rsidRPr="006142F3" w:rsidRDefault="00C752B3" w:rsidP="00C752B3">
            <w:pPr>
              <w:spacing w:before="100" w:beforeAutospacing="1" w:after="100" w:afterAutospacing="1"/>
              <w:jc w:val="center"/>
              <w:rPr>
                <w:color w:val="000000"/>
                <w:sz w:val="16"/>
                <w:szCs w:val="16"/>
              </w:rPr>
            </w:pPr>
            <w:r w:rsidRPr="006142F3">
              <w:rPr>
                <w:color w:val="000000"/>
                <w:sz w:val="16"/>
                <w:szCs w:val="16"/>
              </w:rPr>
              <w:t>16</w:t>
            </w:r>
          </w:p>
        </w:tc>
        <w:tc>
          <w:tcPr>
            <w:tcW w:w="385" w:type="pct"/>
            <w:shd w:val="clear" w:color="auto" w:fill="C9DED4"/>
            <w:vAlign w:val="center"/>
          </w:tcPr>
          <w:p w:rsidR="00C752B3" w:rsidRPr="006142F3" w:rsidRDefault="00C752B3" w:rsidP="00C752B3">
            <w:pPr>
              <w:spacing w:before="100" w:beforeAutospacing="1" w:after="100" w:afterAutospacing="1"/>
              <w:jc w:val="center"/>
              <w:rPr>
                <w:color w:val="000000"/>
                <w:sz w:val="16"/>
                <w:szCs w:val="16"/>
              </w:rPr>
            </w:pPr>
            <w:r w:rsidRPr="006142F3">
              <w:rPr>
                <w:color w:val="000000"/>
                <w:sz w:val="16"/>
                <w:szCs w:val="16"/>
              </w:rPr>
              <w:t>21</w:t>
            </w:r>
          </w:p>
        </w:tc>
        <w:tc>
          <w:tcPr>
            <w:tcW w:w="340" w:type="pct"/>
            <w:shd w:val="clear" w:color="auto" w:fill="C9DED4"/>
            <w:vAlign w:val="center"/>
          </w:tcPr>
          <w:p w:rsidR="00C752B3" w:rsidRPr="006142F3" w:rsidRDefault="00C752B3" w:rsidP="00C752B3">
            <w:pPr>
              <w:spacing w:before="100" w:beforeAutospacing="1" w:after="100" w:afterAutospacing="1"/>
              <w:jc w:val="center"/>
              <w:rPr>
                <w:color w:val="000000"/>
                <w:sz w:val="16"/>
                <w:szCs w:val="16"/>
              </w:rPr>
            </w:pPr>
            <w:r w:rsidRPr="006142F3">
              <w:rPr>
                <w:color w:val="000000"/>
                <w:sz w:val="16"/>
                <w:szCs w:val="16"/>
              </w:rPr>
              <w:t>0</w:t>
            </w:r>
          </w:p>
        </w:tc>
        <w:tc>
          <w:tcPr>
            <w:tcW w:w="385" w:type="pct"/>
            <w:shd w:val="clear" w:color="auto" w:fill="C9DED4"/>
            <w:vAlign w:val="center"/>
          </w:tcPr>
          <w:p w:rsidR="00C752B3" w:rsidRPr="006142F3" w:rsidRDefault="00C752B3" w:rsidP="00C752B3">
            <w:pPr>
              <w:spacing w:before="100" w:beforeAutospacing="1" w:after="100" w:afterAutospacing="1"/>
              <w:jc w:val="center"/>
              <w:rPr>
                <w:color w:val="000000"/>
                <w:sz w:val="16"/>
                <w:szCs w:val="16"/>
              </w:rPr>
            </w:pPr>
            <w:r w:rsidRPr="006142F3">
              <w:rPr>
                <w:color w:val="000000"/>
                <w:sz w:val="16"/>
                <w:szCs w:val="16"/>
              </w:rPr>
              <w:t>2</w:t>
            </w:r>
          </w:p>
        </w:tc>
        <w:tc>
          <w:tcPr>
            <w:tcW w:w="385" w:type="pct"/>
            <w:shd w:val="clear" w:color="auto" w:fill="C9DED4"/>
            <w:vAlign w:val="center"/>
          </w:tcPr>
          <w:p w:rsidR="00C752B3" w:rsidRPr="006142F3" w:rsidRDefault="00C752B3" w:rsidP="00C752B3">
            <w:pPr>
              <w:spacing w:before="100" w:beforeAutospacing="1" w:after="100" w:afterAutospacing="1"/>
              <w:jc w:val="center"/>
              <w:rPr>
                <w:color w:val="000000"/>
                <w:sz w:val="16"/>
                <w:szCs w:val="16"/>
              </w:rPr>
            </w:pPr>
            <w:r w:rsidRPr="006142F3">
              <w:rPr>
                <w:color w:val="000000"/>
                <w:sz w:val="16"/>
                <w:szCs w:val="16"/>
              </w:rPr>
              <w:t>3</w:t>
            </w:r>
          </w:p>
        </w:tc>
        <w:tc>
          <w:tcPr>
            <w:tcW w:w="340" w:type="pct"/>
            <w:shd w:val="clear" w:color="auto" w:fill="C9DED4"/>
            <w:vAlign w:val="center"/>
          </w:tcPr>
          <w:p w:rsidR="00C752B3" w:rsidRPr="006142F3" w:rsidRDefault="00C752B3" w:rsidP="00C752B3">
            <w:pPr>
              <w:spacing w:before="100" w:beforeAutospacing="1" w:after="100" w:afterAutospacing="1"/>
              <w:jc w:val="center"/>
              <w:rPr>
                <w:color w:val="000000"/>
                <w:sz w:val="16"/>
                <w:szCs w:val="16"/>
              </w:rPr>
            </w:pPr>
            <w:r w:rsidRPr="006142F3">
              <w:rPr>
                <w:color w:val="000000"/>
                <w:sz w:val="16"/>
                <w:szCs w:val="16"/>
              </w:rPr>
              <w:t>0</w:t>
            </w:r>
          </w:p>
        </w:tc>
        <w:tc>
          <w:tcPr>
            <w:tcW w:w="340" w:type="pct"/>
            <w:shd w:val="clear" w:color="auto" w:fill="C9DED4"/>
            <w:vAlign w:val="center"/>
          </w:tcPr>
          <w:p w:rsidR="00C752B3" w:rsidRPr="006142F3" w:rsidRDefault="00C752B3" w:rsidP="00C752B3">
            <w:pPr>
              <w:spacing w:before="100" w:beforeAutospacing="1" w:after="100" w:afterAutospacing="1"/>
              <w:jc w:val="center"/>
              <w:rPr>
                <w:color w:val="000000"/>
                <w:sz w:val="16"/>
                <w:szCs w:val="16"/>
              </w:rPr>
            </w:pPr>
            <w:r w:rsidRPr="006142F3">
              <w:rPr>
                <w:color w:val="000000"/>
                <w:sz w:val="16"/>
                <w:szCs w:val="16"/>
              </w:rPr>
              <w:t>0</w:t>
            </w:r>
          </w:p>
        </w:tc>
        <w:tc>
          <w:tcPr>
            <w:tcW w:w="385" w:type="pct"/>
            <w:shd w:val="clear" w:color="auto" w:fill="C9DED4"/>
            <w:vAlign w:val="center"/>
          </w:tcPr>
          <w:p w:rsidR="00C752B3" w:rsidRPr="006142F3" w:rsidRDefault="00C752B3" w:rsidP="00C752B3">
            <w:pPr>
              <w:spacing w:before="100" w:beforeAutospacing="1" w:after="100" w:afterAutospacing="1"/>
              <w:jc w:val="center"/>
              <w:rPr>
                <w:color w:val="000000"/>
                <w:sz w:val="16"/>
                <w:szCs w:val="16"/>
              </w:rPr>
            </w:pPr>
            <w:r w:rsidRPr="006142F3">
              <w:rPr>
                <w:color w:val="000000"/>
                <w:sz w:val="16"/>
                <w:szCs w:val="16"/>
              </w:rPr>
              <w:t>6</w:t>
            </w:r>
          </w:p>
        </w:tc>
      </w:tr>
      <w:tr w:rsidR="00C752B3" w:rsidRPr="006142F3" w:rsidTr="00C752B3">
        <w:trPr>
          <w:trHeight w:val="216"/>
        </w:trPr>
        <w:tc>
          <w:tcPr>
            <w:tcW w:w="593" w:type="pct"/>
            <w:shd w:val="clear" w:color="auto" w:fill="auto"/>
            <w:vAlign w:val="center"/>
          </w:tcPr>
          <w:p w:rsidR="00C752B3" w:rsidRPr="006142F3" w:rsidRDefault="00C752B3" w:rsidP="00C752B3">
            <w:pPr>
              <w:autoSpaceDE w:val="0"/>
              <w:autoSpaceDN w:val="0"/>
              <w:adjustRightInd w:val="0"/>
              <w:spacing w:before="100" w:beforeAutospacing="1" w:after="100" w:afterAutospacing="1"/>
              <w:jc w:val="center"/>
              <w:rPr>
                <w:color w:val="000000"/>
                <w:sz w:val="16"/>
                <w:szCs w:val="16"/>
              </w:rPr>
            </w:pPr>
            <w:r w:rsidRPr="006142F3">
              <w:rPr>
                <w:color w:val="000000"/>
                <w:sz w:val="16"/>
                <w:szCs w:val="16"/>
              </w:rPr>
              <w:t>Airbus Market Share</w:t>
            </w:r>
          </w:p>
        </w:tc>
        <w:tc>
          <w:tcPr>
            <w:tcW w:w="353" w:type="pct"/>
            <w:shd w:val="clear" w:color="auto" w:fill="auto"/>
            <w:vAlign w:val="center"/>
          </w:tcPr>
          <w:p w:rsidR="00C752B3" w:rsidRPr="006142F3" w:rsidRDefault="00C752B3" w:rsidP="00C752B3">
            <w:pPr>
              <w:spacing w:before="100" w:beforeAutospacing="1" w:after="100" w:afterAutospacing="1"/>
              <w:jc w:val="center"/>
              <w:rPr>
                <w:color w:val="000000"/>
                <w:sz w:val="16"/>
                <w:szCs w:val="16"/>
              </w:rPr>
            </w:pPr>
            <w:r w:rsidRPr="006142F3">
              <w:rPr>
                <w:color w:val="000000"/>
                <w:sz w:val="16"/>
                <w:szCs w:val="16"/>
              </w:rPr>
              <w:t>0.0%</w:t>
            </w:r>
          </w:p>
        </w:tc>
        <w:tc>
          <w:tcPr>
            <w:tcW w:w="385" w:type="pct"/>
            <w:shd w:val="clear" w:color="auto" w:fill="auto"/>
            <w:vAlign w:val="center"/>
          </w:tcPr>
          <w:p w:rsidR="00C752B3" w:rsidRPr="006142F3" w:rsidRDefault="00C752B3" w:rsidP="00C752B3">
            <w:pPr>
              <w:spacing w:before="100" w:beforeAutospacing="1" w:after="100" w:afterAutospacing="1"/>
              <w:jc w:val="center"/>
              <w:rPr>
                <w:color w:val="000000"/>
                <w:sz w:val="16"/>
                <w:szCs w:val="16"/>
              </w:rPr>
            </w:pPr>
            <w:r w:rsidRPr="006142F3">
              <w:rPr>
                <w:color w:val="000000"/>
                <w:sz w:val="16"/>
                <w:szCs w:val="16"/>
              </w:rPr>
              <w:t>69.2%</w:t>
            </w:r>
          </w:p>
        </w:tc>
        <w:tc>
          <w:tcPr>
            <w:tcW w:w="385" w:type="pct"/>
            <w:shd w:val="clear" w:color="auto" w:fill="auto"/>
            <w:vAlign w:val="center"/>
          </w:tcPr>
          <w:p w:rsidR="00C752B3" w:rsidRPr="006142F3" w:rsidRDefault="00C752B3" w:rsidP="00C752B3">
            <w:pPr>
              <w:spacing w:before="100" w:beforeAutospacing="1" w:after="100" w:afterAutospacing="1"/>
              <w:jc w:val="center"/>
              <w:rPr>
                <w:color w:val="000000"/>
                <w:sz w:val="16"/>
                <w:szCs w:val="16"/>
              </w:rPr>
            </w:pPr>
            <w:r w:rsidRPr="006142F3">
              <w:rPr>
                <w:color w:val="000000"/>
                <w:sz w:val="16"/>
                <w:szCs w:val="16"/>
              </w:rPr>
              <w:t>34.8%</w:t>
            </w:r>
          </w:p>
        </w:tc>
        <w:tc>
          <w:tcPr>
            <w:tcW w:w="340" w:type="pct"/>
            <w:shd w:val="clear" w:color="auto" w:fill="auto"/>
            <w:vAlign w:val="center"/>
          </w:tcPr>
          <w:p w:rsidR="00C752B3" w:rsidRPr="006142F3" w:rsidRDefault="00C752B3" w:rsidP="00C752B3">
            <w:pPr>
              <w:spacing w:before="100" w:beforeAutospacing="1" w:after="100" w:afterAutospacing="1"/>
              <w:jc w:val="center"/>
              <w:rPr>
                <w:color w:val="000000"/>
                <w:sz w:val="16"/>
                <w:szCs w:val="16"/>
              </w:rPr>
            </w:pPr>
            <w:r w:rsidRPr="006142F3">
              <w:rPr>
                <w:color w:val="000000"/>
                <w:sz w:val="16"/>
                <w:szCs w:val="16"/>
              </w:rPr>
              <w:t>50%</w:t>
            </w:r>
          </w:p>
        </w:tc>
        <w:tc>
          <w:tcPr>
            <w:tcW w:w="385" w:type="pct"/>
            <w:shd w:val="clear" w:color="auto" w:fill="auto"/>
            <w:vAlign w:val="center"/>
          </w:tcPr>
          <w:p w:rsidR="00C752B3" w:rsidRPr="006142F3" w:rsidRDefault="00C752B3" w:rsidP="00C752B3">
            <w:pPr>
              <w:spacing w:before="100" w:beforeAutospacing="1" w:after="100" w:afterAutospacing="1"/>
              <w:jc w:val="center"/>
              <w:rPr>
                <w:color w:val="000000"/>
                <w:sz w:val="16"/>
                <w:szCs w:val="16"/>
              </w:rPr>
            </w:pPr>
            <w:r w:rsidRPr="006142F3">
              <w:rPr>
                <w:color w:val="000000"/>
                <w:sz w:val="16"/>
                <w:szCs w:val="16"/>
              </w:rPr>
              <w:t>69.6%</w:t>
            </w:r>
          </w:p>
        </w:tc>
        <w:tc>
          <w:tcPr>
            <w:tcW w:w="385" w:type="pct"/>
            <w:shd w:val="clear" w:color="auto" w:fill="auto"/>
            <w:vAlign w:val="center"/>
          </w:tcPr>
          <w:p w:rsidR="00C752B3" w:rsidRPr="006142F3" w:rsidRDefault="00C752B3" w:rsidP="00C752B3">
            <w:pPr>
              <w:spacing w:before="100" w:beforeAutospacing="1" w:after="100" w:afterAutospacing="1"/>
              <w:jc w:val="center"/>
              <w:rPr>
                <w:color w:val="000000"/>
                <w:sz w:val="16"/>
                <w:szCs w:val="16"/>
              </w:rPr>
            </w:pPr>
            <w:r w:rsidRPr="006142F3">
              <w:rPr>
                <w:color w:val="000000"/>
                <w:sz w:val="16"/>
                <w:szCs w:val="16"/>
              </w:rPr>
              <w:t>52.5%</w:t>
            </w:r>
          </w:p>
        </w:tc>
        <w:tc>
          <w:tcPr>
            <w:tcW w:w="340" w:type="pct"/>
            <w:shd w:val="clear" w:color="auto" w:fill="auto"/>
            <w:vAlign w:val="center"/>
          </w:tcPr>
          <w:p w:rsidR="00C752B3" w:rsidRPr="006142F3" w:rsidRDefault="00C752B3" w:rsidP="00C752B3">
            <w:pPr>
              <w:spacing w:before="100" w:beforeAutospacing="1" w:after="100" w:afterAutospacing="1"/>
              <w:jc w:val="center"/>
              <w:rPr>
                <w:color w:val="000000"/>
                <w:sz w:val="16"/>
                <w:szCs w:val="16"/>
              </w:rPr>
            </w:pPr>
            <w:r w:rsidRPr="006142F3">
              <w:rPr>
                <w:color w:val="000000"/>
                <w:sz w:val="16"/>
                <w:szCs w:val="16"/>
              </w:rPr>
              <w:t>-</w:t>
            </w:r>
          </w:p>
        </w:tc>
        <w:tc>
          <w:tcPr>
            <w:tcW w:w="385" w:type="pct"/>
            <w:shd w:val="clear" w:color="auto" w:fill="auto"/>
            <w:vAlign w:val="center"/>
          </w:tcPr>
          <w:p w:rsidR="00C752B3" w:rsidRPr="006142F3" w:rsidRDefault="00C752B3" w:rsidP="00C752B3">
            <w:pPr>
              <w:spacing w:before="100" w:beforeAutospacing="1" w:after="100" w:afterAutospacing="1"/>
              <w:jc w:val="center"/>
              <w:rPr>
                <w:color w:val="000000"/>
                <w:sz w:val="16"/>
                <w:szCs w:val="16"/>
              </w:rPr>
            </w:pPr>
            <w:r w:rsidRPr="006142F3">
              <w:rPr>
                <w:color w:val="000000"/>
                <w:sz w:val="16"/>
                <w:szCs w:val="16"/>
              </w:rPr>
              <w:t>50.0%</w:t>
            </w:r>
          </w:p>
        </w:tc>
        <w:tc>
          <w:tcPr>
            <w:tcW w:w="385" w:type="pct"/>
            <w:shd w:val="clear" w:color="auto" w:fill="auto"/>
            <w:vAlign w:val="center"/>
          </w:tcPr>
          <w:p w:rsidR="00C752B3" w:rsidRPr="006142F3" w:rsidRDefault="00C752B3" w:rsidP="00C752B3">
            <w:pPr>
              <w:spacing w:before="100" w:beforeAutospacing="1" w:after="100" w:afterAutospacing="1"/>
              <w:jc w:val="center"/>
              <w:rPr>
                <w:color w:val="000000"/>
                <w:sz w:val="16"/>
                <w:szCs w:val="16"/>
              </w:rPr>
            </w:pPr>
            <w:r w:rsidRPr="006142F3">
              <w:rPr>
                <w:color w:val="000000"/>
                <w:sz w:val="16"/>
                <w:szCs w:val="16"/>
              </w:rPr>
              <w:t>50.0%</w:t>
            </w:r>
          </w:p>
        </w:tc>
        <w:tc>
          <w:tcPr>
            <w:tcW w:w="340" w:type="pct"/>
            <w:shd w:val="clear" w:color="auto" w:fill="auto"/>
            <w:vAlign w:val="center"/>
          </w:tcPr>
          <w:p w:rsidR="00C752B3" w:rsidRPr="006142F3" w:rsidRDefault="00C752B3" w:rsidP="00C752B3">
            <w:pPr>
              <w:spacing w:before="100" w:beforeAutospacing="1" w:after="100" w:afterAutospacing="1"/>
              <w:jc w:val="center"/>
              <w:rPr>
                <w:color w:val="000000"/>
                <w:sz w:val="16"/>
                <w:szCs w:val="16"/>
              </w:rPr>
            </w:pPr>
            <w:r w:rsidRPr="006142F3">
              <w:rPr>
                <w:color w:val="000000"/>
                <w:sz w:val="16"/>
                <w:szCs w:val="16"/>
              </w:rPr>
              <w:t>-</w:t>
            </w:r>
          </w:p>
        </w:tc>
        <w:tc>
          <w:tcPr>
            <w:tcW w:w="340" w:type="pct"/>
            <w:shd w:val="clear" w:color="auto" w:fill="auto"/>
            <w:vAlign w:val="center"/>
          </w:tcPr>
          <w:p w:rsidR="00C752B3" w:rsidRPr="006142F3" w:rsidRDefault="00C752B3" w:rsidP="00C752B3">
            <w:pPr>
              <w:spacing w:before="100" w:beforeAutospacing="1" w:after="100" w:afterAutospacing="1"/>
              <w:jc w:val="center"/>
              <w:rPr>
                <w:color w:val="000000"/>
                <w:sz w:val="16"/>
                <w:szCs w:val="16"/>
              </w:rPr>
            </w:pPr>
            <w:r w:rsidRPr="006142F3">
              <w:rPr>
                <w:color w:val="000000"/>
                <w:sz w:val="16"/>
                <w:szCs w:val="16"/>
              </w:rPr>
              <w:t>-</w:t>
            </w:r>
          </w:p>
        </w:tc>
        <w:tc>
          <w:tcPr>
            <w:tcW w:w="385" w:type="pct"/>
            <w:shd w:val="clear" w:color="auto" w:fill="auto"/>
            <w:vAlign w:val="center"/>
          </w:tcPr>
          <w:p w:rsidR="00C752B3" w:rsidRPr="006142F3" w:rsidRDefault="00C752B3" w:rsidP="00C752B3">
            <w:pPr>
              <w:spacing w:before="100" w:beforeAutospacing="1" w:after="100" w:afterAutospacing="1"/>
              <w:jc w:val="center"/>
              <w:rPr>
                <w:color w:val="000000"/>
                <w:sz w:val="16"/>
                <w:szCs w:val="16"/>
              </w:rPr>
            </w:pPr>
            <w:r w:rsidRPr="006142F3">
              <w:rPr>
                <w:color w:val="000000"/>
                <w:sz w:val="16"/>
                <w:szCs w:val="16"/>
              </w:rPr>
              <w:t>75.0%</w:t>
            </w:r>
          </w:p>
        </w:tc>
      </w:tr>
    </w:tbl>
    <w:p w:rsidR="00C752B3" w:rsidRDefault="00C752B3" w:rsidP="00526697">
      <w:pPr>
        <w:pStyle w:val="BodyText"/>
        <w:spacing w:before="240"/>
      </w:pPr>
      <w:r>
        <w:t>T</w:t>
      </w:r>
      <w:r w:rsidRPr="00FB52DD">
        <w:t>he Panel</w:t>
      </w:r>
      <w:r>
        <w:t xml:space="preserve"> found</w:t>
      </w:r>
      <w:r w:rsidRPr="00FB52DD">
        <w:t xml:space="preserve"> that "in the absence of the effects of the challenged LA/MSF subsidies, the volume of deliveries and market shares that would have been achieved by the </w:t>
      </w:r>
      <w:r>
        <w:t>United States</w:t>
      </w:r>
      <w:r w:rsidRPr="00FB52DD">
        <w:t>' LCA industry would have been higher than its actual level."</w:t>
      </w:r>
      <w:r>
        <w:rPr>
          <w:rStyle w:val="FootnoteReference"/>
        </w:rPr>
        <w:footnoteReference w:id="2048"/>
      </w:r>
      <w:r>
        <w:t xml:space="preserve"> The Panel also recalled that "any new non</w:t>
      </w:r>
      <w:r w:rsidR="00F663EB">
        <w:t>-US</w:t>
      </w:r>
      <w:r>
        <w:t xml:space="preserve"> LCA competitor would have only entered the market with a </w:t>
      </w:r>
      <w:r w:rsidRPr="00FF1649">
        <w:rPr>
          <w:i/>
        </w:rPr>
        <w:t>single-aisle</w:t>
      </w:r>
      <w:r>
        <w:t xml:space="preserve"> LCA, implying that the twin-aisle … market{} would have been supplied by the United States' industry alone".</w:t>
      </w:r>
      <w:r>
        <w:rPr>
          <w:rStyle w:val="FootnoteReference"/>
        </w:rPr>
        <w:footnoteReference w:id="2049"/>
      </w:r>
    </w:p>
    <w:p w:rsidR="00C752B3" w:rsidRDefault="00C752B3" w:rsidP="00526697">
      <w:pPr>
        <w:pStyle w:val="BodyText"/>
      </w:pPr>
      <w:r>
        <w:t xml:space="preserve"> As noted, the Panel's task was to assess how the LA/MSF subsidies existing in the post</w:t>
      </w:r>
      <w:r>
        <w:noBreakHyphen/>
        <w:t>implementation period, in the aggregate, contributed to Airbus' competitiveness in respect of its twin-aisle LCA offerings in the post</w:t>
      </w:r>
      <w:r>
        <w:noBreakHyphen/>
        <w:t xml:space="preserve">implementation period, such that these subsidies had the effect of substituting and/or hindering like Boeing LCA in the markets at issue. We note that, according to the Panel, </w:t>
      </w:r>
      <w:r w:rsidRPr="007529AA">
        <w:t>the LA/MSF subsid</w:t>
      </w:r>
      <w:r w:rsidR="00F663EB">
        <w:t>ies</w:t>
      </w:r>
      <w:r w:rsidRPr="007529AA">
        <w:t xml:space="preserve"> for the A330-200 expired no later than </w:t>
      </w:r>
      <w:r w:rsidRPr="007529AA">
        <w:rPr>
          <w:b/>
        </w:rPr>
        <w:t>[</w:t>
      </w:r>
      <w:r w:rsidR="00E8168B" w:rsidRPr="00C8434D">
        <w:rPr>
          <w:b/>
          <w:szCs w:val="16"/>
        </w:rPr>
        <w:t>BCI</w:t>
      </w:r>
      <w:r w:rsidRPr="007529AA">
        <w:rPr>
          <w:b/>
        </w:rPr>
        <w:t>]</w:t>
      </w:r>
      <w:r w:rsidRPr="007529AA">
        <w:rPr>
          <w:rStyle w:val="FootnoteReference"/>
        </w:rPr>
        <w:footnoteReference w:id="2050"/>
      </w:r>
      <w:r w:rsidR="00E8168B">
        <w:t>, i.e. </w:t>
      </w:r>
      <w:r w:rsidRPr="007529AA">
        <w:t>in the post-implementation period. We recall, however, that findings from the original proceedings establish</w:t>
      </w:r>
      <w:r w:rsidR="00F663EB">
        <w:t>ed</w:t>
      </w:r>
      <w:r w:rsidRPr="007529AA">
        <w:t xml:space="preserve"> that the A330-200 – a derivative of the A330</w:t>
      </w:r>
      <w:r>
        <w:t xml:space="preserve"> – was launched in 1995, and that the LA/MSF for this programme granted by the French </w:t>
      </w:r>
      <w:r w:rsidR="00F663EB">
        <w:t>G</w:t>
      </w:r>
      <w:r>
        <w:t>overnment had been fully disbursed as of the date of the establishment of the original panel.</w:t>
      </w:r>
      <w:r>
        <w:rPr>
          <w:rStyle w:val="FootnoteReference"/>
        </w:rPr>
        <w:footnoteReference w:id="2051"/>
      </w:r>
      <w:r w:rsidRPr="00404214">
        <w:t xml:space="preserve"> </w:t>
      </w:r>
      <w:r w:rsidRPr="00721240">
        <w:t xml:space="preserve">We </w:t>
      </w:r>
      <w:r>
        <w:t>also note</w:t>
      </w:r>
      <w:r w:rsidRPr="00721240">
        <w:t xml:space="preserve"> the original panel</w:t>
      </w:r>
      <w:r w:rsidR="007653D5">
        <w:t xml:space="preserve">'s finding </w:t>
      </w:r>
      <w:r w:rsidRPr="00721240">
        <w:t>that it was likely that "the A330-200 could have been launched even in the absence of the specific LA/MSF granted in respect of that programme" because it was a derivative of the A330 and, therefore, required a comparatively small amount of funding to develop.</w:t>
      </w:r>
      <w:r>
        <w:rPr>
          <w:rStyle w:val="FootnoteReference"/>
        </w:rPr>
        <w:footnoteReference w:id="2052"/>
      </w:r>
      <w:r>
        <w:t xml:space="preserve"> Moreover,</w:t>
      </w:r>
      <w:r w:rsidRPr="00764D27">
        <w:t xml:space="preserve"> unlike for the A380 and A350XWB LA/MSF subsidies, there are no </w:t>
      </w:r>
      <w:r w:rsidRPr="007653D5">
        <w:rPr>
          <w:i/>
        </w:rPr>
        <w:t xml:space="preserve">specific </w:t>
      </w:r>
      <w:r w:rsidRPr="00764D27">
        <w:t xml:space="preserve">findings by the Panel </w:t>
      </w:r>
      <w:r>
        <w:t>relating to the issue of</w:t>
      </w:r>
      <w:r w:rsidRPr="00764D27">
        <w:t xml:space="preserve"> </w:t>
      </w:r>
      <w:r>
        <w:t>whether and how the</w:t>
      </w:r>
      <w:r w:rsidRPr="00764D27">
        <w:t xml:space="preserve"> "product effects"</w:t>
      </w:r>
      <w:r w:rsidR="007653D5">
        <w:t xml:space="preserve"> </w:t>
      </w:r>
      <w:r w:rsidRPr="00764D27">
        <w:t>of the A330-200 LA/MSF</w:t>
      </w:r>
      <w:r w:rsidR="00F663EB">
        <w:t xml:space="preserve"> subsidies</w:t>
      </w:r>
      <w:r>
        <w:t xml:space="preserve"> continued</w:t>
      </w:r>
      <w:r w:rsidRPr="00764D27">
        <w:t xml:space="preserve"> beyond 2006 and into the post-implementation period</w:t>
      </w:r>
      <w:r>
        <w:t>.</w:t>
      </w:r>
    </w:p>
    <w:p w:rsidR="00C752B3" w:rsidRDefault="00C752B3" w:rsidP="00526697">
      <w:pPr>
        <w:pStyle w:val="BodyText"/>
      </w:pPr>
      <w:r w:rsidRPr="00F3419A">
        <w:t>As we have explained above, our review of the Panel's finding</w:t>
      </w:r>
      <w:r w:rsidR="00F663EB">
        <w:t>s</w:t>
      </w:r>
      <w:r w:rsidRPr="00F3419A">
        <w:t xml:space="preserve"> on the "product effects" of LA/MSF subsidies on the A350XWB indicates that, in the absence of the LA/MSF subsidies </w:t>
      </w:r>
      <w:r>
        <w:t xml:space="preserve">for the A380 and A350XWB </w:t>
      </w:r>
      <w:r w:rsidRPr="00F3419A">
        <w:t>existing in the post</w:t>
      </w:r>
      <w:r w:rsidRPr="00F3419A">
        <w:noBreakHyphen/>
        <w:t xml:space="preserve">implementation period, Airbus would not have been able to offer the A350XWB at the time it did and with the features that the A350XWB </w:t>
      </w:r>
      <w:r w:rsidRPr="00E44F37">
        <w:t xml:space="preserve">contained. </w:t>
      </w:r>
      <w:r>
        <w:t>As also discussed above, the Panel's analysis concerning the relevant product markets establishe</w:t>
      </w:r>
      <w:r w:rsidR="00F663EB">
        <w:t>d</w:t>
      </w:r>
      <w:r>
        <w:t xml:space="preserve"> that Airbus' A350XWB product offering was in direct</w:t>
      </w:r>
      <w:r w:rsidR="00F663EB">
        <w:t xml:space="preserve"> competition with Boeing's twin</w:t>
      </w:r>
      <w:r w:rsidR="00F663EB">
        <w:noBreakHyphen/>
      </w:r>
      <w:r w:rsidR="00E01DBF">
        <w:t>aisle LCA. The </w:t>
      </w:r>
      <w:r>
        <w:t xml:space="preserve">Panel's analysis in that section </w:t>
      </w:r>
      <w:r w:rsidR="00F663EB">
        <w:t xml:space="preserve">of its Report </w:t>
      </w:r>
      <w:r>
        <w:t xml:space="preserve">focuses, however, on the degree of substitutability of various Airbus and Boeing models in the twin-aisle LCA market; it does not, and is not meant to, address the role of the LA/MSF </w:t>
      </w:r>
      <w:r w:rsidR="00F663EB">
        <w:t xml:space="preserve">subsidies </w:t>
      </w:r>
      <w:r>
        <w:t>existing in the post-implementation period in causing displacement or impedance to the Boeing LCA models at issue. Nevertheless, given Airbus' competitiveness in the twin-aisle LCA market brought about by the existing subsidies, and in light of the competitive dynamics between Boeing and Airbus models or variants in the twin-aisle LCA market, we do not exclude the possibility that</w:t>
      </w:r>
      <w:r w:rsidRPr="00E74A9B">
        <w:t xml:space="preserve"> </w:t>
      </w:r>
      <w:r>
        <w:t>sales of Boeing's twin-aisle LCA may have been substituted or hindered by sales of the subsidized A350XWB, i.e. a newer model of twin-aisle LCA by Airbus.</w:t>
      </w:r>
      <w:r>
        <w:rPr>
          <w:rStyle w:val="FootnoteReference"/>
        </w:rPr>
        <w:footnoteReference w:id="2053"/>
      </w:r>
    </w:p>
    <w:p w:rsidR="00C752B3" w:rsidRDefault="00C752B3" w:rsidP="00526697">
      <w:pPr>
        <w:pStyle w:val="BodyText"/>
      </w:pPr>
      <w:r w:rsidRPr="00401EA6">
        <w:t>We note, however, that the United States framed its claim of displacement and</w:t>
      </w:r>
      <w:r>
        <w:t>/or</w:t>
      </w:r>
      <w:r w:rsidRPr="00401EA6">
        <w:t xml:space="preserve"> impedance</w:t>
      </w:r>
      <w:r>
        <w:t xml:space="preserve"> </w:t>
      </w:r>
      <w:r w:rsidRPr="00401EA6">
        <w:t xml:space="preserve">in the twin-aisle </w:t>
      </w:r>
      <w:r>
        <w:t xml:space="preserve">LCA </w:t>
      </w:r>
      <w:r w:rsidRPr="00401EA6">
        <w:t>market</w:t>
      </w:r>
      <w:r>
        <w:t xml:space="preserve"> </w:t>
      </w:r>
      <w:r w:rsidRPr="00401EA6">
        <w:t xml:space="preserve">on the basis of data concerning market shares and </w:t>
      </w:r>
      <w:r w:rsidRPr="00401EA6">
        <w:rPr>
          <w:i/>
        </w:rPr>
        <w:t>deliveries</w:t>
      </w:r>
      <w:r w:rsidRPr="00401EA6">
        <w:t xml:space="preserve"> of </w:t>
      </w:r>
      <w:r>
        <w:t xml:space="preserve">the A330 </w:t>
      </w:r>
      <w:r w:rsidRPr="00401EA6">
        <w:t xml:space="preserve">and </w:t>
      </w:r>
      <w:r>
        <w:t xml:space="preserve">relevant </w:t>
      </w:r>
      <w:r w:rsidRPr="00401EA6">
        <w:t xml:space="preserve">Boeing LCA </w:t>
      </w:r>
      <w:r w:rsidR="00F663EB">
        <w:t>during</w:t>
      </w:r>
      <w:r w:rsidRPr="00401EA6">
        <w:t xml:space="preserve"> the </w:t>
      </w:r>
      <w:r w:rsidR="00F663EB">
        <w:t>p</w:t>
      </w:r>
      <w:r w:rsidRPr="00401EA6">
        <w:t>eriod</w:t>
      </w:r>
      <w:r w:rsidR="00F663EB">
        <w:t xml:space="preserve"> 2001-2013</w:t>
      </w:r>
      <w:r w:rsidRPr="00401EA6">
        <w:t>.</w:t>
      </w:r>
      <w:r>
        <w:rPr>
          <w:rStyle w:val="FootnoteReference"/>
        </w:rPr>
        <w:footnoteReference w:id="2054"/>
      </w:r>
      <w:r w:rsidRPr="00401EA6">
        <w:t xml:space="preserve"> There were no deliveries of the A350XWB during that period.</w:t>
      </w:r>
      <w:r>
        <w:rPr>
          <w:rStyle w:val="FootnoteReference"/>
        </w:rPr>
        <w:footnoteReference w:id="2055"/>
      </w:r>
      <w:r w:rsidRPr="00401EA6">
        <w:t xml:space="preserve"> </w:t>
      </w:r>
      <w:r>
        <w:t>Thus</w:t>
      </w:r>
      <w:r w:rsidRPr="00401EA6">
        <w:t xml:space="preserve">, </w:t>
      </w:r>
      <w:r>
        <w:t>for purposes of</w:t>
      </w:r>
      <w:r w:rsidRPr="00401EA6">
        <w:t xml:space="preserve"> </w:t>
      </w:r>
      <w:r>
        <w:t xml:space="preserve">the claim of </w:t>
      </w:r>
      <w:r w:rsidRPr="00401EA6">
        <w:t>displacement</w:t>
      </w:r>
      <w:r>
        <w:t xml:space="preserve"> and/or</w:t>
      </w:r>
      <w:r w:rsidRPr="00401EA6">
        <w:t xml:space="preserve"> impedance</w:t>
      </w:r>
      <w:r>
        <w:t xml:space="preserve"> in the twin-aisle LCA market</w:t>
      </w:r>
      <w:r w:rsidRPr="00401EA6">
        <w:t xml:space="preserve">, </w:t>
      </w:r>
      <w:r>
        <w:t>the Panel relied on</w:t>
      </w:r>
      <w:r w:rsidRPr="00401EA6">
        <w:t xml:space="preserve"> market shares and delivery data relating to the A330, rather than </w:t>
      </w:r>
      <w:r>
        <w:t xml:space="preserve">on orders </w:t>
      </w:r>
      <w:r w:rsidRPr="00401EA6">
        <w:t>of the A350XWB</w:t>
      </w:r>
      <w:r>
        <w:t>, in its analysis</w:t>
      </w:r>
      <w:r w:rsidRPr="00401EA6">
        <w:t xml:space="preserve">. </w:t>
      </w:r>
      <w:r>
        <w:t xml:space="preserve">The Panel made no specific findings based on order data in this connection. </w:t>
      </w:r>
      <w:r w:rsidRPr="00401EA6">
        <w:t xml:space="preserve">We recall, in this regard, that the Panel's findings regarding the "product effects" of LA/MSF subsidies on the A330 concerned </w:t>
      </w:r>
      <w:r w:rsidR="00F663EB">
        <w:t xml:space="preserve">primarily </w:t>
      </w:r>
      <w:r w:rsidRPr="00401EA6">
        <w:t>the effects of subsidies that had expired.</w:t>
      </w:r>
      <w:r>
        <w:rPr>
          <w:rStyle w:val="FootnoteReference"/>
        </w:rPr>
        <w:footnoteReference w:id="2056"/>
      </w:r>
      <w:r w:rsidRPr="00410588">
        <w:t xml:space="preserve"> </w:t>
      </w:r>
      <w:r>
        <w:t>We have fo</w:t>
      </w:r>
      <w:r w:rsidR="002D336E">
        <w:t>und, however, that the European </w:t>
      </w:r>
      <w:r>
        <w:t>Union has no compliance obligation in respect of those expired subsidies.</w:t>
      </w:r>
      <w:r w:rsidRPr="00401EA6">
        <w:t xml:space="preserve"> </w:t>
      </w:r>
      <w:r w:rsidR="00E01DBF">
        <w:t>Rather, the </w:t>
      </w:r>
      <w:r>
        <w:t>pertinent question is whether the subsidies existing in the post-implementation period cause adverse effects, such that the European Union has failed to comply with its obligation under Article 7.8 of the SCM Agreement to "take appropriate steps to remove the adverse effects". However, given the way the claims of displacement and/or impedance were raised before the Panel and the P</w:t>
      </w:r>
      <w:r w:rsidR="00F663EB">
        <w:t>anel's approach to assessing tho</w:t>
      </w:r>
      <w:r>
        <w:t>se claims, the Panel did not explore, and made no fi</w:t>
      </w:r>
      <w:r w:rsidR="00F663EB">
        <w:t>ndings on, the issue of whether</w:t>
      </w:r>
      <w:r>
        <w:t xml:space="preserve"> and</w:t>
      </w:r>
      <w:r w:rsidR="002D336E">
        <w:t>,</w:t>
      </w:r>
      <w:r>
        <w:t xml:space="preserve"> if so, how the A380 and A350XWB LA/MSF subsidies existing in the post</w:t>
      </w:r>
      <w:r>
        <w:noBreakHyphen/>
        <w:t xml:space="preserve">implementation period may have contributed to the deliveries of the A330 occurring during that period. </w:t>
      </w:r>
    </w:p>
    <w:p w:rsidR="00C752B3" w:rsidRPr="00145239" w:rsidRDefault="00C752B3" w:rsidP="00526697">
      <w:pPr>
        <w:pStyle w:val="BodyText"/>
      </w:pPr>
      <w:r>
        <w:t>In these circumstances</w:t>
      </w:r>
      <w:r w:rsidRPr="00401EA6">
        <w:t>, we are not convinced that the Panel's analysis provide</w:t>
      </w:r>
      <w:r>
        <w:t>s</w:t>
      </w:r>
      <w:r w:rsidRPr="00401EA6">
        <w:t xml:space="preserve"> a sufficient basis to sustain the conclusion that the effect of the LA/MSF subsidies existing in the post</w:t>
      </w:r>
      <w:r w:rsidRPr="00401EA6">
        <w:noBreakHyphen/>
        <w:t xml:space="preserve">implementation period was to displace or impede </w:t>
      </w:r>
      <w:r w:rsidR="00F663EB">
        <w:t>US</w:t>
      </w:r>
      <w:r w:rsidRPr="00401EA6">
        <w:t xml:space="preserve"> LCA in the twin-aisle </w:t>
      </w:r>
      <w:r>
        <w:t xml:space="preserve">LCA </w:t>
      </w:r>
      <w:r w:rsidRPr="00401EA6">
        <w:t xml:space="preserve">market </w:t>
      </w:r>
      <w:r w:rsidR="00F663EB">
        <w:t xml:space="preserve">in the European Union </w:t>
      </w:r>
      <w:r w:rsidRPr="00401EA6">
        <w:t xml:space="preserve">and relevant third country markets. We therefore </w:t>
      </w:r>
      <w:r w:rsidRPr="00F663EB">
        <w:rPr>
          <w:u w:val="single"/>
        </w:rPr>
        <w:t>reverse</w:t>
      </w:r>
      <w:r w:rsidRPr="00401EA6">
        <w:t xml:space="preserve"> the Panel's conclusion</w:t>
      </w:r>
      <w:r w:rsidR="003B220E">
        <w:t>,</w:t>
      </w:r>
      <w:r w:rsidRPr="00401EA6">
        <w:t xml:space="preserve"> in paragraph 6.1817 of </w:t>
      </w:r>
      <w:r w:rsidR="00A576B5">
        <w:t>the Panel Report</w:t>
      </w:r>
      <w:r w:rsidR="003B220E">
        <w:t>,</w:t>
      </w:r>
      <w:r w:rsidRPr="00401EA6">
        <w:t xml:space="preserve"> that "the United States ha{d} established that the 'product' effects of the challenged LA/MSF subsidies are a 'genuine and substantial' cause of displacement and/or impedance of United States LCA in the markets for … twin</w:t>
      </w:r>
      <w:r w:rsidRPr="00401EA6">
        <w:noBreakHyphen/>
        <w:t>aisle LCA in the European Union, China, Korea and Singapore".</w:t>
      </w:r>
      <w:r>
        <w:t xml:space="preserve"> Having done so, we see no</w:t>
      </w:r>
      <w:r w:rsidR="002D336E">
        <w:t xml:space="preserve"> reason to</w:t>
      </w:r>
      <w:r>
        <w:t xml:space="preserve"> further </w:t>
      </w:r>
      <w:r w:rsidRPr="00895891">
        <w:t xml:space="preserve">address the </w:t>
      </w:r>
      <w:r w:rsidRPr="00145239">
        <w:t xml:space="preserve">European Union's additional arguments regarding the Panel's conclusion, as set out in paragraph </w:t>
      </w:r>
      <w:r w:rsidR="00ED691F" w:rsidRPr="00145239">
        <w:t>5.703</w:t>
      </w:r>
      <w:r w:rsidRPr="00145239">
        <w:t xml:space="preserve"> above.</w:t>
      </w:r>
    </w:p>
    <w:p w:rsidR="00C752B3" w:rsidRPr="00145239" w:rsidRDefault="00C752B3" w:rsidP="00526697">
      <w:pPr>
        <w:pStyle w:val="Heading5"/>
      </w:pPr>
      <w:bookmarkStart w:id="200" w:name="_Toc514059302"/>
      <w:r w:rsidRPr="00145239">
        <w:t>The VLA market</w:t>
      </w:r>
      <w:bookmarkEnd w:id="200"/>
      <w:r w:rsidRPr="00145239">
        <w:t xml:space="preserve"> </w:t>
      </w:r>
    </w:p>
    <w:p w:rsidR="00C752B3" w:rsidRPr="00202BF2" w:rsidRDefault="00C752B3" w:rsidP="00526697">
      <w:pPr>
        <w:pStyle w:val="Heading6"/>
      </w:pPr>
      <w:bookmarkStart w:id="201" w:name="_Toc514059303"/>
      <w:r>
        <w:t>Significant lost sales</w:t>
      </w:r>
      <w:bookmarkEnd w:id="201"/>
    </w:p>
    <w:p w:rsidR="00C752B3" w:rsidRDefault="00C752B3" w:rsidP="00526697">
      <w:pPr>
        <w:pStyle w:val="BodyText"/>
      </w:pPr>
      <w:r>
        <w:t xml:space="preserve">In Table 19 of its Report, the Panel identified the following "lost sales" alleged by the United States in the VLA market, all of which involved sales of the </w:t>
      </w:r>
      <w:r w:rsidR="00A576B5">
        <w:t xml:space="preserve">Airbus </w:t>
      </w:r>
      <w:r>
        <w:t>A380.</w:t>
      </w:r>
      <w:r w:rsidRPr="00CB21E9">
        <w:t xml:space="preserve"> </w:t>
      </w:r>
    </w:p>
    <w:p w:rsidR="00C752B3" w:rsidRDefault="00C752B3" w:rsidP="00C752B3">
      <w:pPr>
        <w:pStyle w:val="Caption"/>
      </w:pPr>
      <w:r>
        <w:t xml:space="preserve">Table </w:t>
      </w:r>
      <w:r w:rsidR="009A724D">
        <w:fldChar w:fldCharType="begin"/>
      </w:r>
      <w:r w:rsidR="009A724D">
        <w:instrText xml:space="preserve"> SEQ Table \* ARABIC </w:instrText>
      </w:r>
      <w:r w:rsidR="009A724D">
        <w:fldChar w:fldCharType="separate"/>
      </w:r>
      <w:r w:rsidR="00FD2727">
        <w:rPr>
          <w:noProof/>
        </w:rPr>
        <w:t>12</w:t>
      </w:r>
      <w:r w:rsidR="009A724D">
        <w:rPr>
          <w:noProof/>
        </w:rPr>
        <w:fldChar w:fldCharType="end"/>
      </w:r>
      <w:r>
        <w:t xml:space="preserve">: United States' </w:t>
      </w:r>
      <w:r w:rsidR="002D336E">
        <w:t>"</w:t>
      </w:r>
      <w:r>
        <w:t>Lost Sales</w:t>
      </w:r>
      <w:r w:rsidR="002D336E">
        <w:t>"</w:t>
      </w:r>
      <w:r>
        <w:t xml:space="preserve"> Claims in the Post-Implementation Period</w:t>
      </w:r>
    </w:p>
    <w:tbl>
      <w:tblPr>
        <w:tblW w:w="8374" w:type="dxa"/>
        <w:jc w:val="center"/>
        <w:tblBorders>
          <w:top w:val="single" w:sz="4" w:space="0" w:color="auto"/>
          <w:left w:val="single" w:sz="4" w:space="0" w:color="auto"/>
          <w:bottom w:val="single" w:sz="4" w:space="0" w:color="auto"/>
          <w:right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3229"/>
        <w:gridCol w:w="1761"/>
        <w:gridCol w:w="1692"/>
        <w:gridCol w:w="1692"/>
      </w:tblGrid>
      <w:tr w:rsidR="00C752B3" w:rsidRPr="006142F3" w:rsidTr="00942D44">
        <w:trPr>
          <w:jc w:val="center"/>
        </w:trPr>
        <w:tc>
          <w:tcPr>
            <w:tcW w:w="3229" w:type="dxa"/>
            <w:shd w:val="clear" w:color="auto" w:fill="006283"/>
          </w:tcPr>
          <w:p w:rsidR="00C752B3" w:rsidRPr="006142F3" w:rsidRDefault="00C752B3" w:rsidP="00C752B3">
            <w:pPr>
              <w:keepNext/>
              <w:rPr>
                <w:b/>
                <w:color w:val="FFFFFF"/>
                <w:sz w:val="16"/>
                <w:szCs w:val="16"/>
              </w:rPr>
            </w:pPr>
            <w:r w:rsidRPr="006142F3">
              <w:rPr>
                <w:b/>
                <w:color w:val="FFFFFF"/>
                <w:sz w:val="16"/>
                <w:szCs w:val="16"/>
              </w:rPr>
              <w:t>Product Market / Customer</w:t>
            </w:r>
          </w:p>
        </w:tc>
        <w:tc>
          <w:tcPr>
            <w:tcW w:w="1761" w:type="dxa"/>
            <w:shd w:val="clear" w:color="auto" w:fill="006283"/>
          </w:tcPr>
          <w:p w:rsidR="00C752B3" w:rsidRPr="006142F3" w:rsidRDefault="00C752B3" w:rsidP="00C752B3">
            <w:pPr>
              <w:keepNext/>
              <w:jc w:val="center"/>
              <w:rPr>
                <w:b/>
                <w:color w:val="FFFFFF"/>
                <w:sz w:val="16"/>
                <w:szCs w:val="16"/>
              </w:rPr>
            </w:pPr>
            <w:r w:rsidRPr="006142F3">
              <w:rPr>
                <w:b/>
                <w:color w:val="FFFFFF"/>
                <w:sz w:val="16"/>
                <w:szCs w:val="16"/>
              </w:rPr>
              <w:t>LCA model</w:t>
            </w:r>
          </w:p>
        </w:tc>
        <w:tc>
          <w:tcPr>
            <w:tcW w:w="1692" w:type="dxa"/>
            <w:shd w:val="clear" w:color="auto" w:fill="006283"/>
          </w:tcPr>
          <w:p w:rsidR="00C752B3" w:rsidRPr="006142F3" w:rsidRDefault="00C752B3" w:rsidP="00C752B3">
            <w:pPr>
              <w:keepNext/>
              <w:jc w:val="center"/>
              <w:rPr>
                <w:b/>
                <w:color w:val="FFFFFF"/>
                <w:sz w:val="16"/>
                <w:szCs w:val="16"/>
              </w:rPr>
            </w:pPr>
            <w:r w:rsidRPr="006142F3">
              <w:rPr>
                <w:b/>
                <w:color w:val="FFFFFF"/>
                <w:sz w:val="16"/>
                <w:szCs w:val="16"/>
              </w:rPr>
              <w:t>No. of Orders</w:t>
            </w:r>
          </w:p>
          <w:p w:rsidR="00C752B3" w:rsidRPr="006142F3" w:rsidRDefault="00C752B3" w:rsidP="00C752B3">
            <w:pPr>
              <w:keepNext/>
              <w:jc w:val="center"/>
              <w:rPr>
                <w:b/>
                <w:color w:val="FFFFFF"/>
                <w:sz w:val="16"/>
                <w:szCs w:val="16"/>
              </w:rPr>
            </w:pPr>
            <w:r w:rsidRPr="006142F3">
              <w:rPr>
                <w:b/>
                <w:color w:val="FFFFFF"/>
                <w:sz w:val="16"/>
                <w:szCs w:val="16"/>
              </w:rPr>
              <w:t>2012</w:t>
            </w:r>
          </w:p>
        </w:tc>
        <w:tc>
          <w:tcPr>
            <w:tcW w:w="1692" w:type="dxa"/>
            <w:shd w:val="clear" w:color="auto" w:fill="006283"/>
          </w:tcPr>
          <w:p w:rsidR="00C752B3" w:rsidRPr="006142F3" w:rsidRDefault="00C752B3" w:rsidP="00C752B3">
            <w:pPr>
              <w:keepNext/>
              <w:jc w:val="center"/>
              <w:rPr>
                <w:b/>
                <w:color w:val="FFFFFF"/>
                <w:sz w:val="16"/>
                <w:szCs w:val="16"/>
              </w:rPr>
            </w:pPr>
            <w:r w:rsidRPr="006142F3">
              <w:rPr>
                <w:b/>
                <w:color w:val="FFFFFF"/>
                <w:sz w:val="16"/>
                <w:szCs w:val="16"/>
              </w:rPr>
              <w:t>No. of Orders</w:t>
            </w:r>
          </w:p>
          <w:p w:rsidR="00C752B3" w:rsidRPr="006142F3" w:rsidRDefault="00C752B3" w:rsidP="00C752B3">
            <w:pPr>
              <w:keepNext/>
              <w:jc w:val="center"/>
              <w:rPr>
                <w:b/>
                <w:color w:val="FFFFFF"/>
                <w:sz w:val="16"/>
                <w:szCs w:val="16"/>
              </w:rPr>
            </w:pPr>
            <w:r w:rsidRPr="006142F3">
              <w:rPr>
                <w:b/>
                <w:color w:val="FFFFFF"/>
                <w:sz w:val="16"/>
                <w:szCs w:val="16"/>
              </w:rPr>
              <w:t>2013</w:t>
            </w:r>
          </w:p>
        </w:tc>
      </w:tr>
      <w:tr w:rsidR="00C752B3" w:rsidRPr="006142F3" w:rsidTr="00942D44">
        <w:trPr>
          <w:jc w:val="center"/>
        </w:trPr>
        <w:tc>
          <w:tcPr>
            <w:tcW w:w="8374" w:type="dxa"/>
            <w:gridSpan w:val="4"/>
            <w:shd w:val="clear" w:color="auto" w:fill="auto"/>
          </w:tcPr>
          <w:p w:rsidR="00C752B3" w:rsidRPr="006142F3" w:rsidRDefault="00C752B3" w:rsidP="00C752B3">
            <w:pPr>
              <w:keepNext/>
              <w:ind w:left="559"/>
              <w:rPr>
                <w:sz w:val="16"/>
                <w:szCs w:val="16"/>
              </w:rPr>
            </w:pPr>
            <w:r w:rsidRPr="006142F3">
              <w:rPr>
                <w:i/>
                <w:sz w:val="16"/>
                <w:szCs w:val="16"/>
              </w:rPr>
              <w:t>Very Large Aircraft</w:t>
            </w:r>
          </w:p>
        </w:tc>
      </w:tr>
      <w:tr w:rsidR="00C752B3" w:rsidRPr="006142F3" w:rsidTr="00942D44">
        <w:trPr>
          <w:jc w:val="center"/>
        </w:trPr>
        <w:tc>
          <w:tcPr>
            <w:tcW w:w="3229" w:type="dxa"/>
            <w:shd w:val="clear" w:color="auto" w:fill="C9DED4"/>
          </w:tcPr>
          <w:p w:rsidR="00C752B3" w:rsidRPr="006142F3" w:rsidRDefault="00C752B3" w:rsidP="00C752B3">
            <w:pPr>
              <w:keepNext/>
              <w:rPr>
                <w:sz w:val="16"/>
                <w:szCs w:val="16"/>
              </w:rPr>
            </w:pPr>
            <w:r w:rsidRPr="006142F3">
              <w:rPr>
                <w:sz w:val="16"/>
                <w:szCs w:val="16"/>
              </w:rPr>
              <w:t>Emirates</w:t>
            </w:r>
          </w:p>
        </w:tc>
        <w:tc>
          <w:tcPr>
            <w:tcW w:w="1761" w:type="dxa"/>
            <w:shd w:val="clear" w:color="auto" w:fill="C9DED4"/>
          </w:tcPr>
          <w:p w:rsidR="00C752B3" w:rsidRPr="006142F3" w:rsidRDefault="00C752B3" w:rsidP="00C752B3">
            <w:pPr>
              <w:keepNext/>
              <w:rPr>
                <w:sz w:val="16"/>
                <w:szCs w:val="16"/>
              </w:rPr>
            </w:pPr>
            <w:r>
              <w:rPr>
                <w:sz w:val="16"/>
                <w:szCs w:val="16"/>
              </w:rPr>
              <w:t>A380</w:t>
            </w:r>
          </w:p>
        </w:tc>
        <w:tc>
          <w:tcPr>
            <w:tcW w:w="1692" w:type="dxa"/>
            <w:shd w:val="clear" w:color="auto" w:fill="C9DED4"/>
          </w:tcPr>
          <w:p w:rsidR="00C752B3" w:rsidRPr="006142F3" w:rsidRDefault="00C752B3" w:rsidP="00C752B3">
            <w:pPr>
              <w:keepNext/>
              <w:jc w:val="center"/>
              <w:rPr>
                <w:sz w:val="16"/>
                <w:szCs w:val="16"/>
              </w:rPr>
            </w:pPr>
          </w:p>
        </w:tc>
        <w:tc>
          <w:tcPr>
            <w:tcW w:w="1692" w:type="dxa"/>
            <w:shd w:val="clear" w:color="auto" w:fill="C9DED4"/>
          </w:tcPr>
          <w:p w:rsidR="00C752B3" w:rsidRPr="006142F3" w:rsidRDefault="00C752B3" w:rsidP="00C752B3">
            <w:pPr>
              <w:keepNext/>
              <w:jc w:val="center"/>
              <w:rPr>
                <w:sz w:val="16"/>
                <w:szCs w:val="16"/>
              </w:rPr>
            </w:pPr>
            <w:r>
              <w:rPr>
                <w:sz w:val="16"/>
                <w:szCs w:val="16"/>
              </w:rPr>
              <w:t>50</w:t>
            </w:r>
          </w:p>
        </w:tc>
      </w:tr>
      <w:tr w:rsidR="00C752B3" w:rsidRPr="006142F3" w:rsidTr="00942D44">
        <w:trPr>
          <w:jc w:val="center"/>
        </w:trPr>
        <w:tc>
          <w:tcPr>
            <w:tcW w:w="3229" w:type="dxa"/>
            <w:shd w:val="clear" w:color="auto" w:fill="auto"/>
          </w:tcPr>
          <w:p w:rsidR="00C752B3" w:rsidRPr="006142F3" w:rsidRDefault="00C752B3" w:rsidP="00C752B3">
            <w:pPr>
              <w:keepNext/>
              <w:rPr>
                <w:sz w:val="16"/>
                <w:szCs w:val="16"/>
              </w:rPr>
            </w:pPr>
            <w:r w:rsidRPr="006142F3">
              <w:rPr>
                <w:sz w:val="16"/>
                <w:szCs w:val="16"/>
              </w:rPr>
              <w:t>Transaero Airlines</w:t>
            </w:r>
          </w:p>
        </w:tc>
        <w:tc>
          <w:tcPr>
            <w:tcW w:w="1761" w:type="dxa"/>
            <w:shd w:val="clear" w:color="auto" w:fill="auto"/>
          </w:tcPr>
          <w:p w:rsidR="00C752B3" w:rsidRPr="006142F3" w:rsidRDefault="00C752B3" w:rsidP="00C752B3">
            <w:pPr>
              <w:keepNext/>
              <w:rPr>
                <w:sz w:val="16"/>
                <w:szCs w:val="16"/>
              </w:rPr>
            </w:pPr>
            <w:r>
              <w:rPr>
                <w:sz w:val="16"/>
                <w:szCs w:val="16"/>
              </w:rPr>
              <w:t>A380</w:t>
            </w:r>
          </w:p>
        </w:tc>
        <w:tc>
          <w:tcPr>
            <w:tcW w:w="1692" w:type="dxa"/>
            <w:shd w:val="clear" w:color="auto" w:fill="auto"/>
          </w:tcPr>
          <w:p w:rsidR="00C752B3" w:rsidRPr="006142F3" w:rsidRDefault="00C752B3" w:rsidP="00C752B3">
            <w:pPr>
              <w:keepNext/>
              <w:jc w:val="center"/>
              <w:rPr>
                <w:sz w:val="16"/>
                <w:szCs w:val="16"/>
              </w:rPr>
            </w:pPr>
            <w:r>
              <w:rPr>
                <w:sz w:val="16"/>
                <w:szCs w:val="16"/>
              </w:rPr>
              <w:t>4</w:t>
            </w:r>
          </w:p>
        </w:tc>
        <w:tc>
          <w:tcPr>
            <w:tcW w:w="1692" w:type="dxa"/>
            <w:shd w:val="clear" w:color="auto" w:fill="auto"/>
          </w:tcPr>
          <w:p w:rsidR="00C752B3" w:rsidRPr="006142F3" w:rsidRDefault="00C752B3" w:rsidP="00C752B3">
            <w:pPr>
              <w:keepNext/>
              <w:jc w:val="center"/>
              <w:rPr>
                <w:sz w:val="16"/>
                <w:szCs w:val="16"/>
              </w:rPr>
            </w:pPr>
          </w:p>
        </w:tc>
      </w:tr>
    </w:tbl>
    <w:p w:rsidR="00C752B3" w:rsidRDefault="00C752B3" w:rsidP="00C752B3">
      <w:pPr>
        <w:pStyle w:val="NoteText"/>
        <w:spacing w:before="120" w:after="240"/>
      </w:pPr>
      <w:r>
        <w:t xml:space="preserve">Source: Panel Report, </w:t>
      </w:r>
      <w:r w:rsidR="00A576B5">
        <w:t xml:space="preserve">para. 6.1781, </w:t>
      </w:r>
      <w:r>
        <w:t>Table 19.</w:t>
      </w:r>
    </w:p>
    <w:p w:rsidR="00C752B3" w:rsidRDefault="00C752B3" w:rsidP="00526697">
      <w:pPr>
        <w:pStyle w:val="BodyText"/>
      </w:pPr>
      <w:r>
        <w:t>Like its finding with regard to lost sales in the twin-aisle LCA market, the Panel first recalled its</w:t>
      </w:r>
      <w:r w:rsidRPr="008C2E6C">
        <w:t xml:space="preserve"> </w:t>
      </w:r>
      <w:r>
        <w:t xml:space="preserve">finding that any market presence of a new entrant operating in the "plausible" counterfactual scenarios would be, if anything, limited to the market for </w:t>
      </w:r>
      <w:r>
        <w:rPr>
          <w:i/>
        </w:rPr>
        <w:t xml:space="preserve">single-aisle LCA </w:t>
      </w:r>
      <w:r>
        <w:t>in the post</w:t>
      </w:r>
      <w:r>
        <w:noBreakHyphen/>
        <w:t xml:space="preserve">implementation period. </w:t>
      </w:r>
      <w:r w:rsidR="002D336E">
        <w:t>For</w:t>
      </w:r>
      <w:r>
        <w:t xml:space="preserve"> the Panel, "it must necessarily follow</w:t>
      </w:r>
      <w:r w:rsidR="00A576B5">
        <w:t>"</w:t>
      </w:r>
      <w:r>
        <w:t xml:space="preserve"> that the sales of the A380 won by Airbus in the VLA market </w:t>
      </w:r>
      <w:r w:rsidR="00A576B5">
        <w:t>"</w:t>
      </w:r>
      <w:r>
        <w:t>were 'lost sales' to the United States' industry".</w:t>
      </w:r>
      <w:r>
        <w:rPr>
          <w:rStyle w:val="FootnoteReference"/>
        </w:rPr>
        <w:footnoteReference w:id="2057"/>
      </w:r>
      <w:r w:rsidRPr="00E06C68">
        <w:t xml:space="preserve"> </w:t>
      </w:r>
      <w:r>
        <w:t>As with its finding regarding lost sales in the twin-aisle LCA market, the Panel rejected the "non</w:t>
      </w:r>
      <w:r>
        <w:noBreakHyphen/>
        <w:t>subsidy" reasons alleged by the European Union to explain why Airbus won the sales in the VLA market, because</w:t>
      </w:r>
      <w:r w:rsidR="00A576B5">
        <w:t>, for the Panel it was apparent that</w:t>
      </w:r>
      <w:r>
        <w:t xml:space="preserve"> "almost all of those reasons</w:t>
      </w:r>
      <w:r w:rsidR="00A576B5">
        <w:t>"</w:t>
      </w:r>
      <w:r>
        <w:t xml:space="preserve"> </w:t>
      </w:r>
      <w:r w:rsidR="00A576B5">
        <w:t>were</w:t>
      </w:r>
      <w:r>
        <w:t xml:space="preserve">, in fact, </w:t>
      </w:r>
      <w:r w:rsidR="00A576B5">
        <w:t>"</w:t>
      </w:r>
      <w:r>
        <w:t xml:space="preserve">based on the effects of the LA/MSF subsidies because they </w:t>
      </w:r>
      <w:r w:rsidR="00A576B5">
        <w:t>{were}</w:t>
      </w:r>
      <w:r>
        <w:t xml:space="preserve"> premised on Airbus being present in {both} of the relevant sales campaigns {in the VLA market} as exactly the same competitor selling identical aircraft to those it markets today".</w:t>
      </w:r>
      <w:r>
        <w:rPr>
          <w:rStyle w:val="FootnoteReference"/>
        </w:rPr>
        <w:footnoteReference w:id="2058"/>
      </w:r>
      <w:r>
        <w:t xml:space="preserve"> In other words, a key basis for the Panel's finding on lost sales in the VLA market was its finding that, in the absence of the "product effects</w:t>
      </w:r>
      <w:r w:rsidR="00A576B5">
        <w:t>"</w:t>
      </w:r>
      <w:r>
        <w:t xml:space="preserve"> of LA/MSF subsidies, Airbus would not have been in a position t</w:t>
      </w:r>
      <w:r w:rsidR="00E01DBF">
        <w:t>o offer the A380 as and when </w:t>
      </w:r>
      <w:r w:rsidR="00E01DBF" w:rsidRPr="00E01DBF">
        <w:t>it</w:t>
      </w:r>
      <w:r w:rsidR="00E01DBF">
        <w:t> </w:t>
      </w:r>
      <w:r w:rsidRPr="00E01DBF">
        <w:t>did</w:t>
      </w:r>
      <w:r>
        <w:t>.</w:t>
      </w:r>
    </w:p>
    <w:p w:rsidR="00C752B3" w:rsidRPr="00F3419A" w:rsidRDefault="00C752B3" w:rsidP="00526697">
      <w:pPr>
        <w:pStyle w:val="BodyText"/>
      </w:pPr>
      <w:r w:rsidRPr="00F3419A">
        <w:t xml:space="preserve">As discussed in </w:t>
      </w:r>
      <w:r w:rsidRPr="00145239">
        <w:t xml:space="preserve">section </w:t>
      </w:r>
      <w:r w:rsidR="006A3819">
        <w:t xml:space="preserve">5.6.3 </w:t>
      </w:r>
      <w:r w:rsidRPr="00145239">
        <w:t>above, findings from the original proceedings indicate that, in launching the A380</w:t>
      </w:r>
      <w:r w:rsidR="00A576B5" w:rsidRPr="00145239">
        <w:t xml:space="preserve"> – </w:t>
      </w:r>
      <w:r w:rsidRPr="00145239">
        <w:t>which was financed in part by LA/MSF for the A380</w:t>
      </w:r>
      <w:r w:rsidR="00A576B5" w:rsidRPr="00145239">
        <w:t xml:space="preserve"> – </w:t>
      </w:r>
      <w:r w:rsidRPr="00145239">
        <w:t>Airbus was able to utilize technical experience and financial advantage gained through past subsidies, and to acquire competitiveness in the VLA market. Moreover, we have found that the Panel's findings with respect to the A380 and A350XWB programmes indicate that Airbus' competitiveness in the VLA market, gained through earlier LA/MSF subsidies, was renewed and sustained beyond the original reference period and into the post</w:t>
      </w:r>
      <w:r w:rsidRPr="00145239">
        <w:noBreakHyphen/>
        <w:t xml:space="preserve">implementation </w:t>
      </w:r>
      <w:r w:rsidR="00A576B5" w:rsidRPr="00145239">
        <w:t>period</w:t>
      </w:r>
      <w:r w:rsidRPr="00145239">
        <w:t xml:space="preserve"> due to the subsidies it continued to receive after the original reference period and into the post</w:t>
      </w:r>
      <w:r w:rsidRPr="00145239">
        <w:noBreakHyphen/>
        <w:t xml:space="preserve">implementation period. We reiterate that, pursuant to our interpretation of Article 7.8 of the SCM Agreement, we disagree with the Panel to the extent that it considered the effects of the expired LA/MSF subsidies to be a part of its aggregated assessment. Instead, our review in section </w:t>
      </w:r>
      <w:r w:rsidR="00ED691F" w:rsidRPr="00145239">
        <w:t>5.6.3</w:t>
      </w:r>
      <w:r w:rsidRPr="00145239">
        <w:t xml:space="preserve"> </w:t>
      </w:r>
      <w:r w:rsidR="00A576B5" w:rsidRPr="00145239">
        <w:t xml:space="preserve">above </w:t>
      </w:r>
      <w:r w:rsidRPr="00145239">
        <w:t>focuses on findings from the original proceedings and by the Panel in relation to subsidies exist</w:t>
      </w:r>
      <w:r w:rsidR="00A576B5" w:rsidRPr="00145239">
        <w:t>ing</w:t>
      </w:r>
      <w:r w:rsidRPr="00145239">
        <w:t xml:space="preserve"> in the p</w:t>
      </w:r>
      <w:r>
        <w:t>ost</w:t>
      </w:r>
      <w:r>
        <w:noBreakHyphen/>
        <w:t>implementation period</w:t>
      </w:r>
      <w:r w:rsidRPr="00CD2B96">
        <w:t>.</w:t>
      </w:r>
      <w:r>
        <w:t xml:space="preserve"> </w:t>
      </w:r>
      <w:r w:rsidRPr="00F3419A">
        <w:t xml:space="preserve">As noted, such subsidies </w:t>
      </w:r>
      <w:r>
        <w:t xml:space="preserve">enabled Airbus to bring the A380 to market and continue its development </w:t>
      </w:r>
      <w:r w:rsidR="002D336E">
        <w:t>in the face of</w:t>
      </w:r>
      <w:r>
        <w:t xml:space="preserve"> extensive production delays. We a</w:t>
      </w:r>
      <w:r w:rsidR="002D336E">
        <w:t>lso recall, in particular, that</w:t>
      </w:r>
      <w:r w:rsidRPr="00B7646D">
        <w:t xml:space="preserve"> the disbursements of </w:t>
      </w:r>
      <w:r w:rsidR="00A576B5">
        <w:t xml:space="preserve">the </w:t>
      </w:r>
      <w:r w:rsidRPr="00B7646D">
        <w:t xml:space="preserve">A380 LA/MSF </w:t>
      </w:r>
      <w:r w:rsidRPr="00F3419A">
        <w:t xml:space="preserve">subsidies were anticipated to continue until </w:t>
      </w:r>
      <w:r w:rsidRPr="00F3419A">
        <w:rPr>
          <w:b/>
        </w:rPr>
        <w:t>[</w:t>
      </w:r>
      <w:r w:rsidR="00E8168B" w:rsidRPr="00C8434D">
        <w:rPr>
          <w:b/>
          <w:szCs w:val="16"/>
        </w:rPr>
        <w:t>BCI</w:t>
      </w:r>
      <w:r w:rsidRPr="00F3419A">
        <w:rPr>
          <w:b/>
        </w:rPr>
        <w:t>]</w:t>
      </w:r>
      <w:r w:rsidRPr="00F3419A">
        <w:t xml:space="preserve"> in the case of French LA/MSF </w:t>
      </w:r>
      <w:r w:rsidR="002D336E">
        <w:t xml:space="preserve">subsidy </w:t>
      </w:r>
      <w:r w:rsidRPr="00F3419A">
        <w:t xml:space="preserve">and until </w:t>
      </w:r>
      <w:r w:rsidRPr="00F3419A">
        <w:rPr>
          <w:b/>
        </w:rPr>
        <w:t>[</w:t>
      </w:r>
      <w:r w:rsidR="00E8168B" w:rsidRPr="00C8434D">
        <w:rPr>
          <w:b/>
          <w:szCs w:val="16"/>
        </w:rPr>
        <w:t>BCI</w:t>
      </w:r>
      <w:r w:rsidRPr="00F3419A">
        <w:rPr>
          <w:b/>
        </w:rPr>
        <w:t xml:space="preserve">] </w:t>
      </w:r>
      <w:r w:rsidRPr="00F3419A">
        <w:t>in the case of German and Spanish LA/MSF</w:t>
      </w:r>
      <w:r w:rsidR="002D336E">
        <w:t xml:space="preserve"> subsidies</w:t>
      </w:r>
      <w:r w:rsidRPr="00F3419A">
        <w:t>.</w:t>
      </w:r>
      <w:r>
        <w:rPr>
          <w:rStyle w:val="FootnoteReference"/>
        </w:rPr>
        <w:footnoteReference w:id="2059"/>
      </w:r>
      <w:r w:rsidRPr="00F3419A">
        <w:t xml:space="preserve"> </w:t>
      </w:r>
    </w:p>
    <w:p w:rsidR="00C752B3" w:rsidRPr="00F3419A" w:rsidRDefault="00C752B3" w:rsidP="00526697">
      <w:pPr>
        <w:pStyle w:val="BodyText"/>
      </w:pPr>
      <w:r w:rsidRPr="00F3419A">
        <w:t xml:space="preserve">Our review of the Panel's findings, as well as </w:t>
      </w:r>
      <w:r w:rsidR="002D336E">
        <w:t xml:space="preserve">the </w:t>
      </w:r>
      <w:r w:rsidRPr="00F3419A">
        <w:t>relevant findings from the original proceedings</w:t>
      </w:r>
      <w:r w:rsidR="00A576B5">
        <w:t>,</w:t>
      </w:r>
      <w:r w:rsidRPr="00F3419A">
        <w:t xml:space="preserve"> indicates that, in the absence of the LA/MSF subsidies existing in the post</w:t>
      </w:r>
      <w:r w:rsidRPr="00F3419A">
        <w:noBreakHyphen/>
        <w:t>implementation period, Airbus would not have been able to offer the A380 at the time it did. In other words, in the absence of these subsidies, Airbus would no</w:t>
      </w:r>
      <w:r w:rsidR="00E01DBF">
        <w:t>t have been able to be "present </w:t>
      </w:r>
      <w:r w:rsidRPr="00F3419A">
        <w:t>in {both} of the relevant sales campaigns as exactly the sa</w:t>
      </w:r>
      <w:r w:rsidR="00E01DBF">
        <w:t>me competitor selling identical </w:t>
      </w:r>
      <w:r w:rsidRPr="00F3419A">
        <w:t>aircraft" in the post-implementation period</w:t>
      </w:r>
      <w:r>
        <w:t>.</w:t>
      </w:r>
      <w:r>
        <w:rPr>
          <w:rStyle w:val="FootnoteReference"/>
        </w:rPr>
        <w:footnoteReference w:id="2060"/>
      </w:r>
      <w:r w:rsidRPr="00F3419A">
        <w:t xml:space="preserve"> </w:t>
      </w:r>
    </w:p>
    <w:p w:rsidR="00C752B3" w:rsidRDefault="00C752B3" w:rsidP="00526697">
      <w:pPr>
        <w:pStyle w:val="BodyText"/>
      </w:pPr>
      <w:r>
        <w:t xml:space="preserve">We </w:t>
      </w:r>
      <w:r w:rsidR="00A576B5">
        <w:t xml:space="preserve">now </w:t>
      </w:r>
      <w:r>
        <w:t>turn to examine whether the Panel's finding that the sales of the A380 in the post</w:t>
      </w:r>
      <w:r>
        <w:noBreakHyphen/>
        <w:t xml:space="preserve">implementation period constituted "lost sales" to the </w:t>
      </w:r>
      <w:r w:rsidR="00A576B5">
        <w:t>US LCA</w:t>
      </w:r>
      <w:r>
        <w:t xml:space="preserve"> industry within the meaning of Article 6.3(c) of the SCM Agreement is supported by relevant Panel findings regarding the competitive dynamics between Boeing's and Airbus' respective product offerings in the VLA market.</w:t>
      </w:r>
      <w:r w:rsidRPr="00540CB8">
        <w:t xml:space="preserve"> </w:t>
      </w:r>
      <w:r>
        <w:t xml:space="preserve">The VLA market, as the Panel found, comprises the Boeing 747-8 and the Airbus A380. </w:t>
      </w:r>
      <w:r w:rsidRPr="00D44E62">
        <w:t xml:space="preserve">The Panel </w:t>
      </w:r>
      <w:r>
        <w:t>noted in particular that,</w:t>
      </w:r>
      <w:r w:rsidRPr="00D44E62">
        <w:t xml:space="preserve"> as the only two aircraft capable of flying well over 400 passengers on long-haul routes, "it {was} difficult to believe that airlines interested in purchasing LCA with capabilities such as those of the A380 and the 747-8I would not try to negotiate and obtain price discounts from Airbus and Boeing on the basis of the strength of each company's respective sales offer, even when the superiority of one aircraft over the other may be relatively apparent".</w:t>
      </w:r>
      <w:r>
        <w:rPr>
          <w:rStyle w:val="FootnoteReference"/>
        </w:rPr>
        <w:footnoteReference w:id="2061"/>
      </w:r>
      <w:r w:rsidRPr="00B170C7">
        <w:t xml:space="preserve"> </w:t>
      </w:r>
      <w:r>
        <w:t>Indeed, as noted by the Panel,</w:t>
      </w:r>
      <w:r w:rsidRPr="00D44E62">
        <w:t xml:space="preserve"> </w:t>
      </w:r>
      <w:r>
        <w:t>"</w:t>
      </w:r>
      <w:r w:rsidRPr="00D44E62">
        <w:t>Airbus ha{d} consistently maintained the view that the potential customers of the A380 {would} also be likel</w:t>
      </w:r>
      <w:r>
        <w:t>y to seriously consider the 747</w:t>
      </w:r>
      <w:r>
        <w:noBreakHyphen/>
      </w:r>
      <w:r w:rsidRPr="00D44E62">
        <w:t>8I in a segment of the LCA market that {was} covered by no other aircraft</w:t>
      </w:r>
      <w:r>
        <w:t>.</w:t>
      </w:r>
      <w:r w:rsidRPr="00D44E62">
        <w:t>"</w:t>
      </w:r>
      <w:r>
        <w:rPr>
          <w:rStyle w:val="FootnoteReference"/>
        </w:rPr>
        <w:footnoteReference w:id="2062"/>
      </w:r>
      <w:r w:rsidRPr="00D44E62">
        <w:t xml:space="preserve"> </w:t>
      </w:r>
      <w:r>
        <w:t>Moreover</w:t>
      </w:r>
      <w:r w:rsidRPr="00D44E62">
        <w:t>, "given that there {would} be a range of customer demands for LCA with a passeng</w:t>
      </w:r>
      <w:r w:rsidR="002D336E">
        <w:t>er capacity exceeding 400 seats</w:t>
      </w:r>
      <w:r w:rsidRPr="00D44E62">
        <w:t>, one would expect to find differing degrees of reciprocal pricing constraints between the A380 and the 747-8I, depending upon how close a particular customer's needs reflect the relative advantage of one aircraft over the other</w:t>
      </w:r>
      <w:r>
        <w:t>.</w:t>
      </w:r>
      <w:r w:rsidRPr="00D44E62">
        <w:t>"</w:t>
      </w:r>
      <w:r>
        <w:rPr>
          <w:rStyle w:val="FootnoteReference"/>
        </w:rPr>
        <w:footnoteReference w:id="2063"/>
      </w:r>
      <w:r w:rsidRPr="00B170C7">
        <w:t xml:space="preserve"> </w:t>
      </w:r>
    </w:p>
    <w:p w:rsidR="00C752B3" w:rsidRPr="00F3419A" w:rsidRDefault="00C752B3" w:rsidP="00526697">
      <w:pPr>
        <w:pStyle w:val="BodyText"/>
      </w:pPr>
      <w:r w:rsidRPr="00D44E62">
        <w:t xml:space="preserve">Turning to </w:t>
      </w:r>
      <w:r>
        <w:t>specific sales campaigns</w:t>
      </w:r>
      <w:r w:rsidRPr="00D44E62">
        <w:t xml:space="preserve">, the Panel considered that the </w:t>
      </w:r>
      <w:r>
        <w:t>United States</w:t>
      </w:r>
      <w:r w:rsidRPr="00D44E62">
        <w:t>' "HSBI</w:t>
      </w:r>
      <w:r w:rsidR="00E01DBF">
        <w:t> </w:t>
      </w:r>
      <w:r w:rsidRPr="00D44E62">
        <w:t>evidence of Boeing's analysis of the competitive interaction between the two aircraft in the 2007 Emirates and 2006 British Airways sales campaigns</w:t>
      </w:r>
      <w:r>
        <w:t>"</w:t>
      </w:r>
      <w:r w:rsidRPr="00D44E62">
        <w:t xml:space="preserve"> suggested </w:t>
      </w:r>
      <w:r w:rsidR="00A576B5">
        <w:t xml:space="preserve">that </w:t>
      </w:r>
      <w:r>
        <w:t>"</w:t>
      </w:r>
      <w:r w:rsidRPr="003F6F9E">
        <w:rPr>
          <w:b/>
        </w:rPr>
        <w:t>[</w:t>
      </w:r>
      <w:r w:rsidR="00E8168B" w:rsidRPr="00C8434D">
        <w:rPr>
          <w:b/>
          <w:szCs w:val="16"/>
        </w:rPr>
        <w:t>BCI</w:t>
      </w:r>
      <w:r w:rsidRPr="003F6F9E">
        <w:rPr>
          <w:b/>
        </w:rPr>
        <w:t>]</w:t>
      </w:r>
      <w:r w:rsidRPr="003C348C">
        <w:t>"</w:t>
      </w:r>
      <w:r w:rsidRPr="00D44E62">
        <w:t>.</w:t>
      </w:r>
      <w:r>
        <w:rPr>
          <w:rStyle w:val="FootnoteReference"/>
        </w:rPr>
        <w:footnoteReference w:id="2064"/>
      </w:r>
      <w:r w:rsidRPr="00D44E62">
        <w:t xml:space="preserve"> The Panel found this to be consistent with "not only the evidence showing that Airbus considered competition for the British Airways' sales to be 'intense'", but also the evidence it had reviewed from four other sales campaigns (Asiana Airlines, Hong Kong Airlines, Skymark</w:t>
      </w:r>
      <w:r w:rsidR="003C1ECC">
        <w:t>,</w:t>
      </w:r>
      <w:r w:rsidRPr="00D44E62">
        <w:t xml:space="preserve"> and Qantas), </w:t>
      </w:r>
      <w:r w:rsidR="002D336E">
        <w:t xml:space="preserve">in which </w:t>
      </w:r>
      <w:r w:rsidRPr="00D44E62">
        <w:t>it was "apparent that Boeing presented the 747-8I as an alternative to the A380 with a view to winning sales from the relevant customers".</w:t>
      </w:r>
      <w:r>
        <w:rPr>
          <w:rStyle w:val="FootnoteReference"/>
        </w:rPr>
        <w:footnoteReference w:id="2065"/>
      </w:r>
      <w:r w:rsidRPr="00D44E62">
        <w:t xml:space="preserve"> Moreover, in its analysis of</w:t>
      </w:r>
      <w:r>
        <w:t xml:space="preserve"> </w:t>
      </w:r>
      <w:r w:rsidRPr="00D44E62">
        <w:t xml:space="preserve">the </w:t>
      </w:r>
      <w:r>
        <w:t xml:space="preserve">2011 </w:t>
      </w:r>
      <w:r w:rsidRPr="00D44E62">
        <w:t xml:space="preserve">sales campaigns </w:t>
      </w:r>
      <w:r>
        <w:t>to</w:t>
      </w:r>
      <w:r w:rsidRPr="00D44E62">
        <w:t xml:space="preserve"> Transaero</w:t>
      </w:r>
      <w:r w:rsidR="00A576B5">
        <w:t xml:space="preserve"> Airlines</w:t>
      </w:r>
      <w:r w:rsidRPr="00D44E62">
        <w:t xml:space="preserve">, the Panel </w:t>
      </w:r>
      <w:r>
        <w:t>considered that, notwithstanding the</w:t>
      </w:r>
      <w:r w:rsidRPr="00D44E62">
        <w:t xml:space="preserve"> evidence suggest</w:t>
      </w:r>
      <w:r>
        <w:t xml:space="preserve">ing </w:t>
      </w:r>
      <w:r w:rsidRPr="00D44E62">
        <w:t xml:space="preserve">that </w:t>
      </w:r>
      <w:r>
        <w:t>the airline</w:t>
      </w:r>
      <w:r w:rsidRPr="00D44E62">
        <w:t xml:space="preserve"> purchased the A380 and the 747-8I to fill different capacity segments of </w:t>
      </w:r>
      <w:r>
        <w:t>its</w:t>
      </w:r>
      <w:r w:rsidRPr="00D44E62">
        <w:t xml:space="preserve"> </w:t>
      </w:r>
      <w:r>
        <w:t>operations</w:t>
      </w:r>
      <w:r w:rsidRPr="00D44E62">
        <w:t xml:space="preserve">, </w:t>
      </w:r>
      <w:r>
        <w:t xml:space="preserve">this alone did not imply </w:t>
      </w:r>
      <w:r w:rsidRPr="00793859">
        <w:t xml:space="preserve">the </w:t>
      </w:r>
      <w:r w:rsidRPr="00E319C3">
        <w:t>absence of effective competition</w:t>
      </w:r>
      <w:r>
        <w:t>.</w:t>
      </w:r>
      <w:r>
        <w:rPr>
          <w:rStyle w:val="FootnoteReference"/>
        </w:rPr>
        <w:footnoteReference w:id="2066"/>
      </w:r>
      <w:r w:rsidRPr="00793859">
        <w:t xml:space="preserve"> </w:t>
      </w:r>
      <w:r>
        <w:t>The Panel's analysis regarding the conditions of competition in the VLA market thus confirms that Airbus' and Boeing'</w:t>
      </w:r>
      <w:r w:rsidR="00A576B5">
        <w:t>s</w:t>
      </w:r>
      <w:r>
        <w:t xml:space="preserve"> respective VLA products – the A380 and </w:t>
      </w:r>
      <w:r w:rsidR="00A576B5">
        <w:t xml:space="preserve">the </w:t>
      </w:r>
      <w:r>
        <w:t xml:space="preserve">747 – are sufficiently substitutable. Such competitive dynamics, in our view, provide further support to the proposition that the sales won by Airbus in the VLA market </w:t>
      </w:r>
      <w:r w:rsidRPr="00F3419A">
        <w:t xml:space="preserve">were at the expense of the </w:t>
      </w:r>
      <w:r w:rsidR="00A576B5">
        <w:t>US</w:t>
      </w:r>
      <w:r w:rsidRPr="00F3419A">
        <w:t xml:space="preserve"> LCA producer.</w:t>
      </w:r>
    </w:p>
    <w:p w:rsidR="00C752B3" w:rsidRPr="00F3419A" w:rsidRDefault="00C752B3" w:rsidP="00526697">
      <w:pPr>
        <w:pStyle w:val="BodyText"/>
      </w:pPr>
      <w:r w:rsidRPr="00F3419A">
        <w:t>As with the Panel's finding of lost</w:t>
      </w:r>
      <w:r>
        <w:t xml:space="preserve"> </w:t>
      </w:r>
      <w:r w:rsidRPr="00F3419A">
        <w:t xml:space="preserve">sales in the other market segments, the European Union alleges that the Panel failed to take into account several </w:t>
      </w:r>
      <w:r>
        <w:t>non</w:t>
      </w:r>
      <w:r>
        <w:noBreakHyphen/>
      </w:r>
      <w:r w:rsidR="00E01DBF">
        <w:t>attribution factors. The </w:t>
      </w:r>
      <w:r w:rsidRPr="00F3419A">
        <w:t>European Union argued before the Panel that Transaero</w:t>
      </w:r>
      <w:r w:rsidR="00A576B5">
        <w:t xml:space="preserve"> Airlines</w:t>
      </w:r>
      <w:r w:rsidRPr="00F3419A">
        <w:t xml:space="preserve"> and Emirates</w:t>
      </w:r>
      <w:r w:rsidR="00A576B5">
        <w:t xml:space="preserve"> Airlines</w:t>
      </w:r>
      <w:r w:rsidRPr="00F3419A">
        <w:t xml:space="preserve"> chose the A380 over the 747-8 in the orders they placed in 2012 and 2013 because of</w:t>
      </w:r>
      <w:r w:rsidR="00A576B5">
        <w:t>,</w:t>
      </w:r>
      <w:r w:rsidRPr="00F3419A">
        <w:t xml:space="preserve"> </w:t>
      </w:r>
      <w:r w:rsidRPr="00F3419A">
        <w:rPr>
          <w:i/>
        </w:rPr>
        <w:t>inter alia</w:t>
      </w:r>
      <w:r w:rsidR="00E01DBF">
        <w:t>, the </w:t>
      </w:r>
      <w:r w:rsidRPr="00F3419A">
        <w:t>A380's more advanced technologies and greater size compared with the 747-8, which enabled it to satisfy both customers' very specific requirements.</w:t>
      </w:r>
      <w:r>
        <w:rPr>
          <w:rStyle w:val="FootnoteReference"/>
        </w:rPr>
        <w:footnoteReference w:id="2067"/>
      </w:r>
      <w:r w:rsidRPr="00F3419A">
        <w:t xml:space="preserve"> However, similar to our analysis in the context of lost sales in the twin-aisle</w:t>
      </w:r>
      <w:r>
        <w:t xml:space="preserve"> LCA</w:t>
      </w:r>
      <w:r w:rsidRPr="00F3419A">
        <w:t xml:space="preserve"> market, we do not view these factors as unrelated to the effects of the subsidies. Rather, our review of findings from the original proceedings and the Panel's findings shows that, absent </w:t>
      </w:r>
      <w:r w:rsidR="00A576B5">
        <w:t xml:space="preserve">the </w:t>
      </w:r>
      <w:r w:rsidRPr="00F3419A">
        <w:t>LA/MSF subsidies existing in the post-implementation period, Airbus would not have been able to launch and bring to market the A380 at the time it did. Therefore, like the Panel, we have doubts as to whether Airbus' pre</w:t>
      </w:r>
      <w:r w:rsidRPr="00F3419A">
        <w:noBreakHyphen/>
        <w:t xml:space="preserve">existing commonality advantages and other product-related advantages over Boeing could be characterized as </w:t>
      </w:r>
      <w:r>
        <w:t>non</w:t>
      </w:r>
      <w:r>
        <w:noBreakHyphen/>
      </w:r>
      <w:r w:rsidRPr="00F3419A">
        <w:t xml:space="preserve">attribution factors that could be said to "dilute" the causal link between the LA/MSF </w:t>
      </w:r>
      <w:r>
        <w:t>subsidies existing in the post-implementation period</w:t>
      </w:r>
      <w:r w:rsidRPr="00F3419A">
        <w:t xml:space="preserve"> and the relevant market phenomena.</w:t>
      </w:r>
    </w:p>
    <w:p w:rsidR="00C752B3" w:rsidRDefault="00C752B3" w:rsidP="00526697">
      <w:pPr>
        <w:pStyle w:val="BodyText"/>
      </w:pPr>
      <w:r w:rsidRPr="00DA6A2E">
        <w:t xml:space="preserve">Thus, </w:t>
      </w:r>
      <w:r>
        <w:t>the Panel's findings reviewed above support the conclusion that</w:t>
      </w:r>
      <w:r w:rsidRPr="008A43A0">
        <w:t xml:space="preserve"> </w:t>
      </w:r>
      <w:r>
        <w:t xml:space="preserve">the sales of the A380 identified in Table 19 </w:t>
      </w:r>
      <w:r w:rsidR="00A576B5">
        <w:t xml:space="preserve">of the Panel Report </w:t>
      </w:r>
      <w:r>
        <w:t xml:space="preserve">represent "significant" "lost sales" to the </w:t>
      </w:r>
      <w:r w:rsidR="00A576B5">
        <w:t>US</w:t>
      </w:r>
      <w:r>
        <w:t xml:space="preserve"> LCA industry</w:t>
      </w:r>
      <w:r w:rsidRPr="00613507">
        <w:t xml:space="preserve"> </w:t>
      </w:r>
      <w:r w:rsidRPr="008A43A0">
        <w:t xml:space="preserve">within the meaning of </w:t>
      </w:r>
      <w:r>
        <w:t>Article </w:t>
      </w:r>
      <w:r w:rsidRPr="008A43A0">
        <w:t xml:space="preserve">6.3(c) of the </w:t>
      </w:r>
      <w:r>
        <w:t>SCM Agreement, and that such lost sales were the effect of the</w:t>
      </w:r>
      <w:r w:rsidRPr="008A43A0">
        <w:t xml:space="preserve"> LA/MSF</w:t>
      </w:r>
      <w:r>
        <w:t xml:space="preserve"> subsidies existing in the post</w:t>
      </w:r>
      <w:r>
        <w:noBreakHyphen/>
        <w:t xml:space="preserve">implementation period. This conclusion also </w:t>
      </w:r>
      <w:r w:rsidRPr="008A43A0">
        <w:t xml:space="preserve">finds support in the analytical framework adopted by the panel and the </w:t>
      </w:r>
      <w:r>
        <w:t>Appellate Body</w:t>
      </w:r>
      <w:r w:rsidRPr="008A43A0">
        <w:t xml:space="preserve"> in the original proceedings, as well as in a number of </w:t>
      </w:r>
      <w:r w:rsidR="00A576B5">
        <w:t xml:space="preserve">the </w:t>
      </w:r>
      <w:r w:rsidRPr="008A43A0">
        <w:t>Panel</w:t>
      </w:r>
      <w:r w:rsidR="00A576B5">
        <w:t>'s</w:t>
      </w:r>
      <w:r w:rsidRPr="008A43A0">
        <w:t xml:space="preserve"> findings, including its finding concerning the </w:t>
      </w:r>
      <w:r>
        <w:t>"product effects" of the LA/MSF</w:t>
      </w:r>
      <w:r w:rsidR="00A576B5">
        <w:t xml:space="preserve"> subsidies existing in the post</w:t>
      </w:r>
      <w:r w:rsidR="00A576B5">
        <w:noBreakHyphen/>
      </w:r>
      <w:r>
        <w:t>implementation period on</w:t>
      </w:r>
      <w:r w:rsidRPr="008A43A0">
        <w:t xml:space="preserve"> </w:t>
      </w:r>
      <w:r>
        <w:t>Airbus'</w:t>
      </w:r>
      <w:r w:rsidRPr="008A43A0">
        <w:t xml:space="preserve"> </w:t>
      </w:r>
      <w:r>
        <w:t>continued offering of the A380</w:t>
      </w:r>
      <w:r w:rsidRPr="008A43A0">
        <w:t xml:space="preserve">, </w:t>
      </w:r>
      <w:r>
        <w:t xml:space="preserve">and </w:t>
      </w:r>
      <w:r w:rsidRPr="008A43A0">
        <w:t>the existence of sufficient substitutability between Boeing'</w:t>
      </w:r>
      <w:r w:rsidR="00A576B5">
        <w:t>s</w:t>
      </w:r>
      <w:r w:rsidRPr="008A43A0">
        <w:t xml:space="preserve"> and Airbus' </w:t>
      </w:r>
      <w:r>
        <w:t>VLA</w:t>
      </w:r>
      <w:r w:rsidRPr="008A43A0">
        <w:t xml:space="preserve"> product offerings.</w:t>
      </w:r>
      <w:r>
        <w:t xml:space="preserve"> </w:t>
      </w:r>
    </w:p>
    <w:p w:rsidR="00C752B3" w:rsidRPr="00DA6A2E" w:rsidRDefault="00C752B3" w:rsidP="00526697">
      <w:pPr>
        <w:pStyle w:val="BodyText"/>
      </w:pPr>
      <w:r>
        <w:t>In light of our interpretation of Article 7.8 of the SCM Agreement</w:t>
      </w:r>
      <w:r>
        <w:rPr>
          <w:rStyle w:val="FootnoteReference"/>
        </w:rPr>
        <w:footnoteReference w:id="2068"/>
      </w:r>
      <w:r>
        <w:t>, however, we disagree with the Pan</w:t>
      </w:r>
      <w:r w:rsidR="00A576B5">
        <w:t>el's conclusion on "significant</w:t>
      </w:r>
      <w:r>
        <w:t xml:space="preserve"> lost sales" in the VLA market to the extent that </w:t>
      </w:r>
      <w:r w:rsidR="00A576B5">
        <w:t xml:space="preserve">its </w:t>
      </w:r>
      <w:r>
        <w:t xml:space="preserve">conclusion </w:t>
      </w:r>
      <w:r w:rsidR="00A576B5">
        <w:t>was</w:t>
      </w:r>
      <w:r>
        <w:t xml:space="preserve"> based on </w:t>
      </w:r>
      <w:r w:rsidR="00A576B5">
        <w:t xml:space="preserve">the </w:t>
      </w:r>
      <w:r>
        <w:t xml:space="preserve">effects of </w:t>
      </w:r>
      <w:r w:rsidR="00A576B5">
        <w:t xml:space="preserve">the </w:t>
      </w:r>
      <w:r>
        <w:t xml:space="preserve">challenged LA/MSF subsidies that the Panel found to have expired. We therefore </w:t>
      </w:r>
      <w:r w:rsidRPr="00721240">
        <w:rPr>
          <w:u w:val="single"/>
        </w:rPr>
        <w:t>modify</w:t>
      </w:r>
      <w:r>
        <w:t xml:space="preserve"> the Panel's conclusion in paragraph 6.1798 of </w:t>
      </w:r>
      <w:r w:rsidR="00234B93">
        <w:t>the Panel</w:t>
      </w:r>
      <w:r>
        <w:t xml:space="preserve"> Report, and </w:t>
      </w:r>
      <w:r w:rsidRPr="00721240">
        <w:rPr>
          <w:u w:val="single"/>
        </w:rPr>
        <w:t>find</w:t>
      </w:r>
      <w:r>
        <w:t xml:space="preserve"> instead</w:t>
      </w:r>
      <w:r w:rsidR="00234B93">
        <w:t xml:space="preserve"> that t</w:t>
      </w:r>
      <w:r>
        <w:t>he orders identified in Table 19</w:t>
      </w:r>
      <w:r w:rsidR="00234B93">
        <w:t xml:space="preserve"> of the Panel Report</w:t>
      </w:r>
      <w:r>
        <w:t xml:space="preserve"> in the VLA market represent </w:t>
      </w:r>
      <w:r w:rsidR="00234B93">
        <w:t>"</w:t>
      </w:r>
      <w:r>
        <w:t>significant lost sales</w:t>
      </w:r>
      <w:r w:rsidR="00234B93">
        <w:t>"</w:t>
      </w:r>
      <w:r>
        <w:t xml:space="preserve"> to the </w:t>
      </w:r>
      <w:r w:rsidR="00234B93">
        <w:t>US</w:t>
      </w:r>
      <w:r>
        <w:t xml:space="preserve"> LCA industry and, therefore, that the LA/MSF subsidies existing in the pos</w:t>
      </w:r>
      <w:r w:rsidR="00234B93">
        <w:t>t-implementation period are a genuine and substantial</w:t>
      </w:r>
      <w:r>
        <w:t xml:space="preserve"> cause of serious prejudice to the United States within the meaning of Article 6.3(c) of the SCM Agreement. </w:t>
      </w:r>
    </w:p>
    <w:p w:rsidR="00C752B3" w:rsidRDefault="00C752B3" w:rsidP="00526697">
      <w:pPr>
        <w:pStyle w:val="Heading6"/>
      </w:pPr>
      <w:bookmarkStart w:id="202" w:name="_Toc514059304"/>
      <w:r>
        <w:t>Displacement and/or impedance</w:t>
      </w:r>
      <w:bookmarkEnd w:id="202"/>
    </w:p>
    <w:p w:rsidR="00C752B3" w:rsidRPr="00DA6A2E" w:rsidRDefault="00C752B3" w:rsidP="00526697">
      <w:pPr>
        <w:pStyle w:val="BodyText"/>
      </w:pPr>
      <w:r>
        <w:t xml:space="preserve">We recall that the United States </w:t>
      </w:r>
      <w:r w:rsidR="00234B93">
        <w:t xml:space="preserve">has </w:t>
      </w:r>
      <w:r>
        <w:t>claimed the existence of displacement and/or impedance in the VLA markets in the European Union, Australia, Korea, and Singapore.</w:t>
      </w:r>
      <w:r>
        <w:rPr>
          <w:rStyle w:val="FootnoteReference"/>
        </w:rPr>
        <w:footnoteReference w:id="2069"/>
      </w:r>
      <w:r>
        <w:t xml:space="preserve"> For the VLA markets in China and the </w:t>
      </w:r>
      <w:r w:rsidRPr="00DA6A2E">
        <w:t xml:space="preserve">United Arab Emirates, the </w:t>
      </w:r>
      <w:r>
        <w:t>United States</w:t>
      </w:r>
      <w:r w:rsidRPr="00DA6A2E">
        <w:t xml:space="preserve"> </w:t>
      </w:r>
      <w:r w:rsidR="00234B93">
        <w:t xml:space="preserve">has </w:t>
      </w:r>
      <w:r w:rsidRPr="00DA6A2E">
        <w:t xml:space="preserve">claimed the existence </w:t>
      </w:r>
      <w:r w:rsidR="00234B93">
        <w:t xml:space="preserve">only </w:t>
      </w:r>
      <w:r w:rsidRPr="00DA6A2E">
        <w:t>of impedance.</w:t>
      </w:r>
      <w:r>
        <w:rPr>
          <w:rStyle w:val="FootnoteReference"/>
        </w:rPr>
        <w:footnoteReference w:id="2070"/>
      </w:r>
      <w:r w:rsidRPr="00DA6A2E">
        <w:t xml:space="preserve"> The Panel identified the volume of deliveries and market share </w:t>
      </w:r>
      <w:r w:rsidR="00234B93">
        <w:t>data</w:t>
      </w:r>
      <w:r w:rsidRPr="00DA6A2E">
        <w:t xml:space="preserve"> for each of these VLA markets in Table 22 of its </w:t>
      </w:r>
      <w:r>
        <w:t>R</w:t>
      </w:r>
      <w:r w:rsidRPr="00DA6A2E">
        <w:t xml:space="preserve">eport (reproduced </w:t>
      </w:r>
      <w:r w:rsidR="00234B93">
        <w:t xml:space="preserve">in Table 13 </w:t>
      </w:r>
      <w:r w:rsidRPr="00DA6A2E">
        <w:t>below).</w:t>
      </w:r>
      <w:r w:rsidR="006516E7">
        <w:t xml:space="preserve"> All of the </w:t>
      </w:r>
      <w:r w:rsidR="00D111A4">
        <w:t>deliveries</w:t>
      </w:r>
      <w:r w:rsidR="006516E7">
        <w:t xml:space="preserve"> by Airbus reflected in Table 13 involved deliveries of the A380 family of LCA.</w:t>
      </w:r>
      <w:r w:rsidR="006516E7">
        <w:rPr>
          <w:rStyle w:val="FootnoteReference"/>
        </w:rPr>
        <w:footnoteReference w:id="2071"/>
      </w:r>
    </w:p>
    <w:p w:rsidR="00C752B3" w:rsidRDefault="00C752B3" w:rsidP="00C752B3">
      <w:pPr>
        <w:pStyle w:val="Caption"/>
      </w:pPr>
      <w:r>
        <w:t xml:space="preserve">Table </w:t>
      </w:r>
      <w:r w:rsidR="009A724D">
        <w:fldChar w:fldCharType="begin"/>
      </w:r>
      <w:r w:rsidR="009A724D">
        <w:instrText xml:space="preserve"> SEQ Table \* ARABIC </w:instrText>
      </w:r>
      <w:r w:rsidR="009A724D">
        <w:fldChar w:fldCharType="separate"/>
      </w:r>
      <w:r w:rsidR="00FD2727">
        <w:rPr>
          <w:noProof/>
        </w:rPr>
        <w:t>13</w:t>
      </w:r>
      <w:r w:rsidR="009A724D">
        <w:rPr>
          <w:noProof/>
        </w:rPr>
        <w:fldChar w:fldCharType="end"/>
      </w:r>
      <w:r>
        <w:t>: Market for very large LCA</w:t>
      </w:r>
    </w:p>
    <w:tbl>
      <w:tblPr>
        <w:tblW w:w="4966" w:type="pct"/>
        <w:tblBorders>
          <w:top w:val="single" w:sz="4" w:space="0" w:color="auto"/>
          <w:left w:val="single" w:sz="4" w:space="0" w:color="auto"/>
          <w:bottom w:val="single" w:sz="4" w:space="0" w:color="auto"/>
          <w:right w:val="single" w:sz="4" w:space="0" w:color="auto"/>
          <w:insideV w:val="single" w:sz="4" w:space="0" w:color="auto"/>
        </w:tblBorders>
        <w:tblLayout w:type="fixed"/>
        <w:tblCellMar>
          <w:top w:w="57" w:type="dxa"/>
          <w:left w:w="85" w:type="dxa"/>
          <w:bottom w:w="57" w:type="dxa"/>
          <w:right w:w="85" w:type="dxa"/>
        </w:tblCellMar>
        <w:tblLook w:val="0020" w:firstRow="1" w:lastRow="0" w:firstColumn="0" w:lastColumn="0" w:noHBand="0" w:noVBand="0"/>
      </w:tblPr>
      <w:tblGrid>
        <w:gridCol w:w="2637"/>
        <w:gridCol w:w="709"/>
        <w:gridCol w:w="707"/>
        <w:gridCol w:w="848"/>
        <w:gridCol w:w="703"/>
        <w:gridCol w:w="705"/>
        <w:gridCol w:w="707"/>
        <w:gridCol w:w="705"/>
        <w:gridCol w:w="705"/>
        <w:gridCol w:w="707"/>
      </w:tblGrid>
      <w:tr w:rsidR="00C752B3" w:rsidRPr="006142F3" w:rsidTr="00C752B3">
        <w:trPr>
          <w:trHeight w:val="216"/>
        </w:trPr>
        <w:tc>
          <w:tcPr>
            <w:tcW w:w="1444" w:type="pct"/>
            <w:shd w:val="clear" w:color="auto" w:fill="006283"/>
          </w:tcPr>
          <w:p w:rsidR="00C752B3" w:rsidRPr="006142F3" w:rsidRDefault="00C752B3" w:rsidP="00C752B3">
            <w:pPr>
              <w:keepNext/>
              <w:keepLines/>
              <w:autoSpaceDE w:val="0"/>
              <w:autoSpaceDN w:val="0"/>
              <w:adjustRightInd w:val="0"/>
              <w:spacing w:before="100" w:beforeAutospacing="1" w:after="100" w:afterAutospacing="1"/>
              <w:jc w:val="center"/>
              <w:rPr>
                <w:b/>
                <w:bCs/>
                <w:color w:val="FFFFFF"/>
                <w:sz w:val="16"/>
                <w:szCs w:val="16"/>
                <w:lang w:eastAsia="en-GB"/>
              </w:rPr>
            </w:pPr>
          </w:p>
        </w:tc>
        <w:tc>
          <w:tcPr>
            <w:tcW w:w="1239" w:type="pct"/>
            <w:gridSpan w:val="3"/>
            <w:shd w:val="clear" w:color="auto" w:fill="006283"/>
          </w:tcPr>
          <w:p w:rsidR="00C752B3" w:rsidRPr="006142F3" w:rsidRDefault="00C752B3" w:rsidP="00C752B3">
            <w:pPr>
              <w:keepNext/>
              <w:keepLines/>
              <w:autoSpaceDE w:val="0"/>
              <w:autoSpaceDN w:val="0"/>
              <w:adjustRightInd w:val="0"/>
              <w:spacing w:before="100" w:beforeAutospacing="1" w:after="100" w:afterAutospacing="1"/>
              <w:jc w:val="center"/>
              <w:rPr>
                <w:b/>
                <w:bCs/>
                <w:color w:val="FFFFFF"/>
                <w:sz w:val="16"/>
                <w:szCs w:val="16"/>
                <w:lang w:eastAsia="en-GB"/>
              </w:rPr>
            </w:pPr>
            <w:r>
              <w:rPr>
                <w:b/>
                <w:bCs/>
                <w:color w:val="FFFFFF"/>
                <w:sz w:val="16"/>
                <w:szCs w:val="16"/>
                <w:lang w:eastAsia="en-GB"/>
              </w:rPr>
              <w:t>European Union</w:t>
            </w:r>
          </w:p>
        </w:tc>
        <w:tc>
          <w:tcPr>
            <w:tcW w:w="1158" w:type="pct"/>
            <w:gridSpan w:val="3"/>
            <w:shd w:val="clear" w:color="auto" w:fill="006283"/>
          </w:tcPr>
          <w:p w:rsidR="00C752B3" w:rsidRPr="006142F3" w:rsidRDefault="00C752B3" w:rsidP="00C752B3">
            <w:pPr>
              <w:keepNext/>
              <w:keepLines/>
              <w:autoSpaceDE w:val="0"/>
              <w:autoSpaceDN w:val="0"/>
              <w:adjustRightInd w:val="0"/>
              <w:spacing w:before="100" w:beforeAutospacing="1" w:after="100" w:afterAutospacing="1"/>
              <w:jc w:val="center"/>
              <w:rPr>
                <w:b/>
                <w:bCs/>
                <w:color w:val="FFFFFF"/>
                <w:sz w:val="16"/>
                <w:szCs w:val="16"/>
                <w:lang w:eastAsia="en-GB"/>
              </w:rPr>
            </w:pPr>
            <w:r w:rsidRPr="006142F3">
              <w:rPr>
                <w:b/>
                <w:bCs/>
                <w:color w:val="FFFFFF"/>
                <w:sz w:val="16"/>
                <w:szCs w:val="16"/>
                <w:lang w:eastAsia="en-GB"/>
              </w:rPr>
              <w:t>Australia</w:t>
            </w:r>
          </w:p>
        </w:tc>
        <w:tc>
          <w:tcPr>
            <w:tcW w:w="1159" w:type="pct"/>
            <w:gridSpan w:val="3"/>
            <w:shd w:val="clear" w:color="auto" w:fill="006283"/>
          </w:tcPr>
          <w:p w:rsidR="00C752B3" w:rsidRPr="006142F3" w:rsidRDefault="00C752B3" w:rsidP="00C752B3">
            <w:pPr>
              <w:keepNext/>
              <w:keepLines/>
              <w:autoSpaceDE w:val="0"/>
              <w:autoSpaceDN w:val="0"/>
              <w:adjustRightInd w:val="0"/>
              <w:spacing w:before="100" w:beforeAutospacing="1" w:after="100" w:afterAutospacing="1"/>
              <w:jc w:val="center"/>
              <w:rPr>
                <w:b/>
                <w:bCs/>
                <w:color w:val="FFFFFF"/>
                <w:sz w:val="16"/>
                <w:szCs w:val="16"/>
                <w:lang w:eastAsia="en-GB"/>
              </w:rPr>
            </w:pPr>
            <w:r w:rsidRPr="006142F3">
              <w:rPr>
                <w:b/>
                <w:bCs/>
                <w:color w:val="FFFFFF"/>
                <w:sz w:val="16"/>
                <w:szCs w:val="16"/>
                <w:lang w:eastAsia="en-GB"/>
              </w:rPr>
              <w:t>China</w:t>
            </w:r>
          </w:p>
        </w:tc>
      </w:tr>
      <w:tr w:rsidR="00C752B3" w:rsidRPr="006142F3" w:rsidTr="00C752B3">
        <w:trPr>
          <w:trHeight w:val="174"/>
        </w:trPr>
        <w:tc>
          <w:tcPr>
            <w:tcW w:w="1444" w:type="pct"/>
            <w:shd w:val="clear" w:color="auto" w:fill="auto"/>
            <w:vAlign w:val="center"/>
          </w:tcPr>
          <w:p w:rsidR="00C752B3" w:rsidRPr="006142F3" w:rsidRDefault="00C752B3" w:rsidP="00C752B3">
            <w:pPr>
              <w:keepNext/>
              <w:keepLines/>
              <w:autoSpaceDE w:val="0"/>
              <w:autoSpaceDN w:val="0"/>
              <w:adjustRightInd w:val="0"/>
              <w:spacing w:before="100" w:beforeAutospacing="1" w:after="100" w:afterAutospacing="1"/>
              <w:jc w:val="center"/>
              <w:rPr>
                <w:color w:val="000000"/>
                <w:sz w:val="16"/>
                <w:szCs w:val="16"/>
                <w:lang w:eastAsia="en-GB"/>
              </w:rPr>
            </w:pPr>
            <w:r w:rsidRPr="006142F3">
              <w:rPr>
                <w:b/>
                <w:bCs/>
                <w:color w:val="000000"/>
                <w:sz w:val="16"/>
                <w:szCs w:val="16"/>
                <w:lang w:eastAsia="en-GB"/>
              </w:rPr>
              <w:t>Delivery Data</w:t>
            </w:r>
          </w:p>
        </w:tc>
        <w:tc>
          <w:tcPr>
            <w:tcW w:w="388" w:type="pct"/>
            <w:shd w:val="clear" w:color="auto" w:fill="auto"/>
            <w:vAlign w:val="center"/>
          </w:tcPr>
          <w:p w:rsidR="00C752B3" w:rsidRPr="006142F3" w:rsidRDefault="00C752B3" w:rsidP="00C752B3">
            <w:pPr>
              <w:keepNext/>
              <w:keepLines/>
              <w:autoSpaceDE w:val="0"/>
              <w:autoSpaceDN w:val="0"/>
              <w:adjustRightInd w:val="0"/>
              <w:spacing w:before="100" w:beforeAutospacing="1" w:after="100" w:afterAutospacing="1"/>
              <w:jc w:val="center"/>
              <w:rPr>
                <w:b/>
                <w:bCs/>
                <w:color w:val="000000"/>
                <w:sz w:val="16"/>
                <w:szCs w:val="16"/>
                <w:lang w:eastAsia="en-GB"/>
              </w:rPr>
            </w:pPr>
            <w:r w:rsidRPr="006142F3">
              <w:rPr>
                <w:b/>
                <w:bCs/>
                <w:color w:val="000000"/>
                <w:sz w:val="16"/>
                <w:szCs w:val="16"/>
                <w:lang w:eastAsia="en-GB"/>
              </w:rPr>
              <w:t>Dec. 2011</w:t>
            </w:r>
          </w:p>
        </w:tc>
        <w:tc>
          <w:tcPr>
            <w:tcW w:w="387" w:type="pct"/>
            <w:shd w:val="clear" w:color="auto" w:fill="auto"/>
            <w:vAlign w:val="center"/>
          </w:tcPr>
          <w:p w:rsidR="00C752B3" w:rsidRPr="006142F3" w:rsidRDefault="00C752B3" w:rsidP="00C752B3">
            <w:pPr>
              <w:keepNext/>
              <w:keepLines/>
              <w:autoSpaceDE w:val="0"/>
              <w:autoSpaceDN w:val="0"/>
              <w:adjustRightInd w:val="0"/>
              <w:spacing w:before="100" w:beforeAutospacing="1" w:after="100" w:afterAutospacing="1"/>
              <w:jc w:val="center"/>
              <w:rPr>
                <w:b/>
                <w:bCs/>
                <w:color w:val="000000"/>
                <w:sz w:val="16"/>
                <w:szCs w:val="16"/>
                <w:lang w:eastAsia="en-GB"/>
              </w:rPr>
            </w:pPr>
            <w:r w:rsidRPr="006142F3">
              <w:rPr>
                <w:b/>
                <w:bCs/>
                <w:color w:val="000000"/>
                <w:sz w:val="16"/>
                <w:szCs w:val="16"/>
                <w:lang w:eastAsia="en-GB"/>
              </w:rPr>
              <w:t>2012</w:t>
            </w:r>
          </w:p>
        </w:tc>
        <w:tc>
          <w:tcPr>
            <w:tcW w:w="464" w:type="pct"/>
            <w:shd w:val="clear" w:color="auto" w:fill="auto"/>
            <w:vAlign w:val="center"/>
          </w:tcPr>
          <w:p w:rsidR="00C752B3" w:rsidRPr="006142F3" w:rsidRDefault="00C752B3" w:rsidP="00C752B3">
            <w:pPr>
              <w:keepNext/>
              <w:keepLines/>
              <w:autoSpaceDE w:val="0"/>
              <w:autoSpaceDN w:val="0"/>
              <w:adjustRightInd w:val="0"/>
              <w:spacing w:before="100" w:beforeAutospacing="1" w:after="100" w:afterAutospacing="1"/>
              <w:jc w:val="center"/>
              <w:rPr>
                <w:b/>
                <w:bCs/>
                <w:color w:val="000000"/>
                <w:sz w:val="16"/>
                <w:szCs w:val="16"/>
                <w:lang w:eastAsia="en-GB"/>
              </w:rPr>
            </w:pPr>
            <w:r w:rsidRPr="006142F3">
              <w:rPr>
                <w:b/>
                <w:bCs/>
                <w:color w:val="000000"/>
                <w:sz w:val="16"/>
                <w:szCs w:val="16"/>
                <w:lang w:eastAsia="en-GB"/>
              </w:rPr>
              <w:t>2013</w:t>
            </w:r>
          </w:p>
        </w:tc>
        <w:tc>
          <w:tcPr>
            <w:tcW w:w="385" w:type="pct"/>
            <w:shd w:val="clear" w:color="auto" w:fill="auto"/>
            <w:vAlign w:val="center"/>
          </w:tcPr>
          <w:p w:rsidR="00C752B3" w:rsidRPr="006142F3" w:rsidRDefault="00C752B3" w:rsidP="00C752B3">
            <w:pPr>
              <w:keepNext/>
              <w:keepLines/>
              <w:autoSpaceDE w:val="0"/>
              <w:autoSpaceDN w:val="0"/>
              <w:adjustRightInd w:val="0"/>
              <w:spacing w:before="100" w:beforeAutospacing="1" w:after="100" w:afterAutospacing="1"/>
              <w:jc w:val="center"/>
              <w:rPr>
                <w:b/>
                <w:bCs/>
                <w:color w:val="000000"/>
                <w:sz w:val="16"/>
                <w:szCs w:val="16"/>
                <w:lang w:eastAsia="en-GB"/>
              </w:rPr>
            </w:pPr>
            <w:r w:rsidRPr="006142F3">
              <w:rPr>
                <w:b/>
                <w:bCs/>
                <w:color w:val="000000"/>
                <w:sz w:val="16"/>
                <w:szCs w:val="16"/>
                <w:lang w:eastAsia="en-GB"/>
              </w:rPr>
              <w:t>Dec. 2011</w:t>
            </w:r>
          </w:p>
        </w:tc>
        <w:tc>
          <w:tcPr>
            <w:tcW w:w="386" w:type="pct"/>
            <w:shd w:val="clear" w:color="auto" w:fill="auto"/>
            <w:vAlign w:val="center"/>
          </w:tcPr>
          <w:p w:rsidR="00C752B3" w:rsidRPr="006142F3" w:rsidRDefault="00C752B3" w:rsidP="00C752B3">
            <w:pPr>
              <w:keepNext/>
              <w:keepLines/>
              <w:autoSpaceDE w:val="0"/>
              <w:autoSpaceDN w:val="0"/>
              <w:adjustRightInd w:val="0"/>
              <w:spacing w:before="100" w:beforeAutospacing="1" w:after="100" w:afterAutospacing="1"/>
              <w:jc w:val="center"/>
              <w:rPr>
                <w:b/>
                <w:bCs/>
                <w:color w:val="000000"/>
                <w:sz w:val="16"/>
                <w:szCs w:val="16"/>
                <w:lang w:eastAsia="en-GB"/>
              </w:rPr>
            </w:pPr>
            <w:r w:rsidRPr="006142F3">
              <w:rPr>
                <w:b/>
                <w:bCs/>
                <w:color w:val="000000"/>
                <w:sz w:val="16"/>
                <w:szCs w:val="16"/>
                <w:lang w:eastAsia="en-GB"/>
              </w:rPr>
              <w:t>2012</w:t>
            </w:r>
          </w:p>
        </w:tc>
        <w:tc>
          <w:tcPr>
            <w:tcW w:w="387" w:type="pct"/>
            <w:shd w:val="clear" w:color="auto" w:fill="auto"/>
            <w:vAlign w:val="center"/>
          </w:tcPr>
          <w:p w:rsidR="00C752B3" w:rsidRPr="006142F3" w:rsidRDefault="00C752B3" w:rsidP="00C752B3">
            <w:pPr>
              <w:keepNext/>
              <w:keepLines/>
              <w:autoSpaceDE w:val="0"/>
              <w:autoSpaceDN w:val="0"/>
              <w:adjustRightInd w:val="0"/>
              <w:spacing w:before="100" w:beforeAutospacing="1" w:after="100" w:afterAutospacing="1"/>
              <w:jc w:val="center"/>
              <w:rPr>
                <w:b/>
                <w:bCs/>
                <w:color w:val="000000"/>
                <w:sz w:val="16"/>
                <w:szCs w:val="16"/>
                <w:lang w:eastAsia="en-GB"/>
              </w:rPr>
            </w:pPr>
            <w:r w:rsidRPr="006142F3">
              <w:rPr>
                <w:b/>
                <w:bCs/>
                <w:color w:val="000000"/>
                <w:sz w:val="16"/>
                <w:szCs w:val="16"/>
                <w:lang w:eastAsia="en-GB"/>
              </w:rPr>
              <w:t>2013</w:t>
            </w:r>
          </w:p>
        </w:tc>
        <w:tc>
          <w:tcPr>
            <w:tcW w:w="386" w:type="pct"/>
            <w:shd w:val="clear" w:color="auto" w:fill="auto"/>
            <w:vAlign w:val="center"/>
          </w:tcPr>
          <w:p w:rsidR="00C752B3" w:rsidRPr="006142F3" w:rsidRDefault="00C752B3" w:rsidP="00C752B3">
            <w:pPr>
              <w:keepNext/>
              <w:keepLines/>
              <w:autoSpaceDE w:val="0"/>
              <w:autoSpaceDN w:val="0"/>
              <w:adjustRightInd w:val="0"/>
              <w:spacing w:before="100" w:beforeAutospacing="1" w:after="100" w:afterAutospacing="1"/>
              <w:jc w:val="center"/>
              <w:rPr>
                <w:b/>
                <w:bCs/>
                <w:color w:val="000000"/>
                <w:sz w:val="16"/>
                <w:szCs w:val="16"/>
                <w:lang w:eastAsia="en-GB"/>
              </w:rPr>
            </w:pPr>
            <w:r w:rsidRPr="006142F3">
              <w:rPr>
                <w:b/>
                <w:bCs/>
                <w:color w:val="000000"/>
                <w:sz w:val="16"/>
                <w:szCs w:val="16"/>
                <w:lang w:eastAsia="en-GB"/>
              </w:rPr>
              <w:t>Dec. 2011</w:t>
            </w:r>
          </w:p>
        </w:tc>
        <w:tc>
          <w:tcPr>
            <w:tcW w:w="386" w:type="pct"/>
            <w:shd w:val="clear" w:color="auto" w:fill="auto"/>
            <w:vAlign w:val="center"/>
          </w:tcPr>
          <w:p w:rsidR="00C752B3" w:rsidRPr="006142F3" w:rsidRDefault="00C752B3" w:rsidP="00C752B3">
            <w:pPr>
              <w:keepNext/>
              <w:keepLines/>
              <w:autoSpaceDE w:val="0"/>
              <w:autoSpaceDN w:val="0"/>
              <w:adjustRightInd w:val="0"/>
              <w:spacing w:before="100" w:beforeAutospacing="1" w:after="100" w:afterAutospacing="1"/>
              <w:jc w:val="center"/>
              <w:rPr>
                <w:b/>
                <w:bCs/>
                <w:color w:val="000000"/>
                <w:sz w:val="16"/>
                <w:szCs w:val="16"/>
                <w:lang w:eastAsia="en-GB"/>
              </w:rPr>
            </w:pPr>
            <w:r w:rsidRPr="006142F3">
              <w:rPr>
                <w:b/>
                <w:bCs/>
                <w:color w:val="000000"/>
                <w:sz w:val="16"/>
                <w:szCs w:val="16"/>
                <w:lang w:eastAsia="en-GB"/>
              </w:rPr>
              <w:t>2012</w:t>
            </w:r>
          </w:p>
        </w:tc>
        <w:tc>
          <w:tcPr>
            <w:tcW w:w="387" w:type="pct"/>
            <w:shd w:val="clear" w:color="auto" w:fill="auto"/>
            <w:vAlign w:val="center"/>
          </w:tcPr>
          <w:p w:rsidR="00C752B3" w:rsidRPr="006142F3" w:rsidRDefault="00C752B3" w:rsidP="00C752B3">
            <w:pPr>
              <w:keepNext/>
              <w:keepLines/>
              <w:autoSpaceDE w:val="0"/>
              <w:autoSpaceDN w:val="0"/>
              <w:adjustRightInd w:val="0"/>
              <w:spacing w:before="100" w:beforeAutospacing="1" w:after="100" w:afterAutospacing="1"/>
              <w:jc w:val="center"/>
              <w:rPr>
                <w:b/>
                <w:bCs/>
                <w:color w:val="000000"/>
                <w:sz w:val="16"/>
                <w:szCs w:val="16"/>
                <w:lang w:eastAsia="en-GB"/>
              </w:rPr>
            </w:pPr>
            <w:r w:rsidRPr="006142F3">
              <w:rPr>
                <w:b/>
                <w:bCs/>
                <w:color w:val="000000"/>
                <w:sz w:val="16"/>
                <w:szCs w:val="16"/>
                <w:lang w:eastAsia="en-GB"/>
              </w:rPr>
              <w:t>2013</w:t>
            </w:r>
          </w:p>
        </w:tc>
      </w:tr>
      <w:tr w:rsidR="00C752B3" w:rsidRPr="006142F3" w:rsidTr="00C752B3">
        <w:trPr>
          <w:trHeight w:val="17"/>
        </w:trPr>
        <w:tc>
          <w:tcPr>
            <w:tcW w:w="1444" w:type="pct"/>
            <w:shd w:val="clear" w:color="auto" w:fill="C9DED4"/>
          </w:tcPr>
          <w:p w:rsidR="00C752B3" w:rsidRPr="006142F3" w:rsidRDefault="00C752B3" w:rsidP="001806FB">
            <w:pPr>
              <w:keepNext/>
              <w:keepLines/>
              <w:autoSpaceDE w:val="0"/>
              <w:autoSpaceDN w:val="0"/>
              <w:adjustRightInd w:val="0"/>
              <w:spacing w:before="100" w:beforeAutospacing="1" w:after="100" w:afterAutospacing="1"/>
              <w:jc w:val="center"/>
              <w:rPr>
                <w:color w:val="000000"/>
                <w:sz w:val="16"/>
                <w:szCs w:val="16"/>
                <w:lang w:eastAsia="en-GB"/>
              </w:rPr>
            </w:pPr>
            <w:r w:rsidRPr="006142F3">
              <w:rPr>
                <w:color w:val="000000"/>
                <w:sz w:val="16"/>
                <w:szCs w:val="16"/>
                <w:lang w:eastAsia="en-GB"/>
              </w:rPr>
              <w:t>Boeing Volume (Units)</w:t>
            </w:r>
          </w:p>
        </w:tc>
        <w:tc>
          <w:tcPr>
            <w:tcW w:w="388" w:type="pct"/>
            <w:shd w:val="clear" w:color="auto" w:fill="C9DED4"/>
          </w:tcPr>
          <w:p w:rsidR="00C752B3" w:rsidRPr="006142F3" w:rsidRDefault="00C752B3" w:rsidP="00C752B3">
            <w:pPr>
              <w:keepNext/>
              <w:keepLines/>
              <w:spacing w:before="100" w:beforeAutospacing="1" w:after="100" w:afterAutospacing="1"/>
              <w:jc w:val="center"/>
              <w:rPr>
                <w:color w:val="000000"/>
                <w:sz w:val="16"/>
                <w:szCs w:val="16"/>
                <w:lang w:eastAsia="en-GB"/>
              </w:rPr>
            </w:pPr>
            <w:r w:rsidRPr="006142F3">
              <w:rPr>
                <w:color w:val="000000"/>
                <w:sz w:val="16"/>
                <w:szCs w:val="16"/>
                <w:lang w:eastAsia="en-GB"/>
              </w:rPr>
              <w:t>0</w:t>
            </w:r>
          </w:p>
        </w:tc>
        <w:tc>
          <w:tcPr>
            <w:tcW w:w="387" w:type="pct"/>
            <w:shd w:val="clear" w:color="auto" w:fill="C9DED4"/>
          </w:tcPr>
          <w:p w:rsidR="00C752B3" w:rsidRPr="006142F3" w:rsidRDefault="00C752B3" w:rsidP="00C752B3">
            <w:pPr>
              <w:keepNext/>
              <w:keepLines/>
              <w:spacing w:before="100" w:beforeAutospacing="1" w:after="100" w:afterAutospacing="1"/>
              <w:jc w:val="center"/>
              <w:rPr>
                <w:color w:val="000000"/>
                <w:sz w:val="16"/>
                <w:szCs w:val="16"/>
                <w:lang w:eastAsia="en-GB"/>
              </w:rPr>
            </w:pPr>
            <w:r w:rsidRPr="006142F3">
              <w:rPr>
                <w:color w:val="000000"/>
                <w:sz w:val="16"/>
                <w:szCs w:val="16"/>
                <w:lang w:eastAsia="en-GB"/>
              </w:rPr>
              <w:t>5</w:t>
            </w:r>
          </w:p>
        </w:tc>
        <w:tc>
          <w:tcPr>
            <w:tcW w:w="464" w:type="pct"/>
            <w:shd w:val="clear" w:color="auto" w:fill="C9DED4"/>
          </w:tcPr>
          <w:p w:rsidR="00C752B3" w:rsidRPr="006142F3" w:rsidRDefault="00C752B3" w:rsidP="00C752B3">
            <w:pPr>
              <w:keepNext/>
              <w:keepLines/>
              <w:spacing w:before="100" w:beforeAutospacing="1" w:after="100" w:afterAutospacing="1"/>
              <w:jc w:val="center"/>
              <w:rPr>
                <w:color w:val="000000"/>
                <w:sz w:val="16"/>
                <w:szCs w:val="16"/>
                <w:lang w:eastAsia="en-GB"/>
              </w:rPr>
            </w:pPr>
            <w:r w:rsidRPr="006142F3">
              <w:rPr>
                <w:color w:val="000000"/>
                <w:sz w:val="16"/>
                <w:szCs w:val="16"/>
                <w:lang w:eastAsia="en-GB"/>
              </w:rPr>
              <w:t>5</w:t>
            </w:r>
          </w:p>
        </w:tc>
        <w:tc>
          <w:tcPr>
            <w:tcW w:w="385" w:type="pct"/>
            <w:shd w:val="clear" w:color="auto" w:fill="C9DED4"/>
          </w:tcPr>
          <w:p w:rsidR="00C752B3" w:rsidRPr="006142F3" w:rsidRDefault="00C752B3" w:rsidP="00C752B3">
            <w:pPr>
              <w:keepNext/>
              <w:keepLines/>
              <w:spacing w:before="100" w:beforeAutospacing="1" w:after="100" w:afterAutospacing="1"/>
              <w:jc w:val="center"/>
              <w:rPr>
                <w:color w:val="000000"/>
                <w:sz w:val="16"/>
                <w:szCs w:val="16"/>
                <w:lang w:eastAsia="en-GB"/>
              </w:rPr>
            </w:pPr>
            <w:r w:rsidRPr="006142F3">
              <w:rPr>
                <w:color w:val="000000"/>
                <w:sz w:val="16"/>
                <w:szCs w:val="16"/>
                <w:lang w:eastAsia="en-GB"/>
              </w:rPr>
              <w:t>0</w:t>
            </w:r>
          </w:p>
        </w:tc>
        <w:tc>
          <w:tcPr>
            <w:tcW w:w="386" w:type="pct"/>
            <w:shd w:val="clear" w:color="auto" w:fill="C9DED4"/>
          </w:tcPr>
          <w:p w:rsidR="00C752B3" w:rsidRPr="006142F3" w:rsidRDefault="00C752B3" w:rsidP="00C752B3">
            <w:pPr>
              <w:keepNext/>
              <w:keepLines/>
              <w:spacing w:before="100" w:beforeAutospacing="1" w:after="100" w:afterAutospacing="1"/>
              <w:jc w:val="center"/>
              <w:rPr>
                <w:color w:val="000000"/>
                <w:sz w:val="16"/>
                <w:szCs w:val="16"/>
                <w:lang w:eastAsia="en-GB"/>
              </w:rPr>
            </w:pPr>
            <w:r w:rsidRPr="006142F3">
              <w:rPr>
                <w:color w:val="000000"/>
                <w:sz w:val="16"/>
                <w:szCs w:val="16"/>
                <w:lang w:eastAsia="en-GB"/>
              </w:rPr>
              <w:t>0</w:t>
            </w:r>
          </w:p>
        </w:tc>
        <w:tc>
          <w:tcPr>
            <w:tcW w:w="387" w:type="pct"/>
            <w:shd w:val="clear" w:color="auto" w:fill="C9DED4"/>
          </w:tcPr>
          <w:p w:rsidR="00C752B3" w:rsidRPr="006142F3" w:rsidRDefault="00C752B3" w:rsidP="00C752B3">
            <w:pPr>
              <w:keepNext/>
              <w:keepLines/>
              <w:spacing w:before="100" w:beforeAutospacing="1" w:after="100" w:afterAutospacing="1"/>
              <w:jc w:val="center"/>
              <w:rPr>
                <w:color w:val="000000"/>
                <w:sz w:val="16"/>
                <w:szCs w:val="16"/>
                <w:lang w:eastAsia="en-GB"/>
              </w:rPr>
            </w:pPr>
            <w:r w:rsidRPr="006142F3">
              <w:rPr>
                <w:color w:val="000000"/>
                <w:sz w:val="16"/>
                <w:szCs w:val="16"/>
                <w:lang w:eastAsia="en-GB"/>
              </w:rPr>
              <w:t>0</w:t>
            </w:r>
          </w:p>
        </w:tc>
        <w:tc>
          <w:tcPr>
            <w:tcW w:w="386" w:type="pct"/>
            <w:shd w:val="clear" w:color="auto" w:fill="C9DED4"/>
          </w:tcPr>
          <w:p w:rsidR="00C752B3" w:rsidRPr="006142F3" w:rsidRDefault="00C752B3" w:rsidP="00C752B3">
            <w:pPr>
              <w:keepNext/>
              <w:keepLines/>
              <w:spacing w:before="100" w:beforeAutospacing="1" w:after="100" w:afterAutospacing="1"/>
              <w:jc w:val="center"/>
              <w:rPr>
                <w:color w:val="000000"/>
                <w:sz w:val="16"/>
                <w:szCs w:val="16"/>
                <w:lang w:eastAsia="en-GB"/>
              </w:rPr>
            </w:pPr>
            <w:r w:rsidRPr="006142F3">
              <w:rPr>
                <w:color w:val="000000"/>
                <w:sz w:val="16"/>
                <w:szCs w:val="16"/>
                <w:lang w:eastAsia="en-GB"/>
              </w:rPr>
              <w:t>0</w:t>
            </w:r>
          </w:p>
        </w:tc>
        <w:tc>
          <w:tcPr>
            <w:tcW w:w="386" w:type="pct"/>
            <w:shd w:val="clear" w:color="auto" w:fill="C9DED4"/>
          </w:tcPr>
          <w:p w:rsidR="00C752B3" w:rsidRPr="006142F3" w:rsidRDefault="00C752B3" w:rsidP="00C752B3">
            <w:pPr>
              <w:keepNext/>
              <w:keepLines/>
              <w:spacing w:before="100" w:beforeAutospacing="1" w:after="100" w:afterAutospacing="1"/>
              <w:jc w:val="center"/>
              <w:rPr>
                <w:color w:val="000000"/>
                <w:sz w:val="16"/>
                <w:szCs w:val="16"/>
                <w:lang w:eastAsia="en-GB"/>
              </w:rPr>
            </w:pPr>
            <w:r w:rsidRPr="006142F3">
              <w:rPr>
                <w:color w:val="000000"/>
                <w:sz w:val="16"/>
                <w:szCs w:val="16"/>
                <w:lang w:eastAsia="en-GB"/>
              </w:rPr>
              <w:t>0</w:t>
            </w:r>
          </w:p>
        </w:tc>
        <w:tc>
          <w:tcPr>
            <w:tcW w:w="387" w:type="pct"/>
            <w:shd w:val="clear" w:color="auto" w:fill="C9DED4"/>
          </w:tcPr>
          <w:p w:rsidR="00C752B3" w:rsidRPr="006142F3" w:rsidRDefault="00C752B3" w:rsidP="00C752B3">
            <w:pPr>
              <w:keepNext/>
              <w:keepLines/>
              <w:spacing w:before="100" w:beforeAutospacing="1" w:after="100" w:afterAutospacing="1"/>
              <w:jc w:val="center"/>
              <w:rPr>
                <w:color w:val="000000"/>
                <w:sz w:val="16"/>
                <w:szCs w:val="16"/>
                <w:lang w:eastAsia="en-GB"/>
              </w:rPr>
            </w:pPr>
            <w:r w:rsidRPr="006142F3">
              <w:rPr>
                <w:color w:val="000000"/>
                <w:sz w:val="16"/>
                <w:szCs w:val="16"/>
                <w:lang w:eastAsia="en-GB"/>
              </w:rPr>
              <w:t>0</w:t>
            </w:r>
          </w:p>
        </w:tc>
      </w:tr>
      <w:tr w:rsidR="00C752B3" w:rsidRPr="006142F3" w:rsidTr="00C752B3">
        <w:trPr>
          <w:trHeight w:val="17"/>
        </w:trPr>
        <w:tc>
          <w:tcPr>
            <w:tcW w:w="1444" w:type="pct"/>
            <w:shd w:val="clear" w:color="auto" w:fill="auto"/>
          </w:tcPr>
          <w:p w:rsidR="00C752B3" w:rsidRPr="006142F3" w:rsidRDefault="00C752B3" w:rsidP="00C752B3">
            <w:pPr>
              <w:keepNext/>
              <w:keepLines/>
              <w:autoSpaceDE w:val="0"/>
              <w:autoSpaceDN w:val="0"/>
              <w:adjustRightInd w:val="0"/>
              <w:spacing w:before="100" w:beforeAutospacing="1" w:after="100" w:afterAutospacing="1"/>
              <w:jc w:val="center"/>
              <w:rPr>
                <w:color w:val="000000"/>
                <w:sz w:val="16"/>
                <w:szCs w:val="16"/>
                <w:lang w:eastAsia="en-GB"/>
              </w:rPr>
            </w:pPr>
            <w:r w:rsidRPr="006142F3">
              <w:rPr>
                <w:color w:val="000000"/>
                <w:sz w:val="16"/>
                <w:szCs w:val="16"/>
                <w:lang w:eastAsia="en-GB"/>
              </w:rPr>
              <w:t>Boeing Market Share</w:t>
            </w:r>
          </w:p>
        </w:tc>
        <w:tc>
          <w:tcPr>
            <w:tcW w:w="388" w:type="pct"/>
            <w:shd w:val="clear" w:color="auto" w:fill="auto"/>
          </w:tcPr>
          <w:p w:rsidR="00C752B3" w:rsidRPr="006142F3" w:rsidRDefault="00C752B3" w:rsidP="00C752B3">
            <w:pPr>
              <w:keepNext/>
              <w:keepLines/>
              <w:spacing w:before="100" w:beforeAutospacing="1" w:after="100" w:afterAutospacing="1"/>
              <w:jc w:val="center"/>
              <w:rPr>
                <w:color w:val="000000"/>
                <w:sz w:val="16"/>
                <w:szCs w:val="16"/>
                <w:lang w:eastAsia="en-GB"/>
              </w:rPr>
            </w:pPr>
            <w:r w:rsidRPr="006142F3">
              <w:rPr>
                <w:color w:val="000000"/>
                <w:sz w:val="16"/>
                <w:szCs w:val="16"/>
                <w:lang w:eastAsia="en-GB"/>
              </w:rPr>
              <w:t>-</w:t>
            </w:r>
          </w:p>
        </w:tc>
        <w:tc>
          <w:tcPr>
            <w:tcW w:w="387" w:type="pct"/>
            <w:shd w:val="clear" w:color="auto" w:fill="auto"/>
          </w:tcPr>
          <w:p w:rsidR="00C752B3" w:rsidRPr="006142F3" w:rsidRDefault="00C752B3" w:rsidP="00C752B3">
            <w:pPr>
              <w:keepNext/>
              <w:keepLines/>
              <w:spacing w:before="100" w:beforeAutospacing="1" w:after="100" w:afterAutospacing="1"/>
              <w:jc w:val="center"/>
              <w:rPr>
                <w:color w:val="000000"/>
                <w:sz w:val="16"/>
                <w:szCs w:val="16"/>
                <w:lang w:eastAsia="en-GB"/>
              </w:rPr>
            </w:pPr>
            <w:r w:rsidRPr="006142F3">
              <w:rPr>
                <w:color w:val="000000"/>
                <w:sz w:val="16"/>
                <w:szCs w:val="16"/>
                <w:lang w:eastAsia="en-GB"/>
              </w:rPr>
              <w:t>55.6%</w:t>
            </w:r>
          </w:p>
        </w:tc>
        <w:tc>
          <w:tcPr>
            <w:tcW w:w="464" w:type="pct"/>
            <w:shd w:val="clear" w:color="auto" w:fill="auto"/>
          </w:tcPr>
          <w:p w:rsidR="00C752B3" w:rsidRPr="006142F3" w:rsidRDefault="00C752B3" w:rsidP="00C752B3">
            <w:pPr>
              <w:keepNext/>
              <w:keepLines/>
              <w:spacing w:before="100" w:beforeAutospacing="1" w:after="100" w:afterAutospacing="1"/>
              <w:jc w:val="center"/>
              <w:rPr>
                <w:color w:val="000000"/>
                <w:sz w:val="16"/>
                <w:szCs w:val="16"/>
                <w:lang w:eastAsia="en-GB"/>
              </w:rPr>
            </w:pPr>
            <w:r w:rsidRPr="006142F3">
              <w:rPr>
                <w:color w:val="000000"/>
                <w:sz w:val="16"/>
                <w:szCs w:val="16"/>
                <w:lang w:eastAsia="en-GB"/>
              </w:rPr>
              <w:t>55.6%</w:t>
            </w:r>
          </w:p>
        </w:tc>
        <w:tc>
          <w:tcPr>
            <w:tcW w:w="385" w:type="pct"/>
            <w:shd w:val="clear" w:color="auto" w:fill="auto"/>
          </w:tcPr>
          <w:p w:rsidR="00C752B3" w:rsidRPr="006142F3" w:rsidRDefault="00C752B3" w:rsidP="00C752B3">
            <w:pPr>
              <w:keepNext/>
              <w:keepLines/>
              <w:spacing w:before="100" w:beforeAutospacing="1" w:after="100" w:afterAutospacing="1"/>
              <w:jc w:val="center"/>
              <w:rPr>
                <w:color w:val="000000"/>
                <w:sz w:val="16"/>
                <w:szCs w:val="16"/>
                <w:lang w:eastAsia="en-GB"/>
              </w:rPr>
            </w:pPr>
            <w:r w:rsidRPr="006142F3">
              <w:rPr>
                <w:color w:val="000000"/>
                <w:sz w:val="16"/>
                <w:szCs w:val="16"/>
                <w:lang w:eastAsia="en-GB"/>
              </w:rPr>
              <w:t>0.0%</w:t>
            </w:r>
          </w:p>
        </w:tc>
        <w:tc>
          <w:tcPr>
            <w:tcW w:w="386" w:type="pct"/>
            <w:shd w:val="clear" w:color="auto" w:fill="auto"/>
          </w:tcPr>
          <w:p w:rsidR="00C752B3" w:rsidRPr="006142F3" w:rsidRDefault="00C752B3" w:rsidP="00C752B3">
            <w:pPr>
              <w:keepNext/>
              <w:keepLines/>
              <w:spacing w:before="100" w:beforeAutospacing="1" w:after="100" w:afterAutospacing="1"/>
              <w:jc w:val="center"/>
              <w:rPr>
                <w:color w:val="000000"/>
                <w:sz w:val="16"/>
                <w:szCs w:val="16"/>
                <w:lang w:eastAsia="en-GB"/>
              </w:rPr>
            </w:pPr>
            <w:r w:rsidRPr="006142F3">
              <w:rPr>
                <w:color w:val="000000"/>
                <w:sz w:val="16"/>
                <w:szCs w:val="16"/>
                <w:lang w:eastAsia="en-GB"/>
              </w:rPr>
              <w:t>-</w:t>
            </w:r>
          </w:p>
        </w:tc>
        <w:tc>
          <w:tcPr>
            <w:tcW w:w="387" w:type="pct"/>
            <w:shd w:val="clear" w:color="auto" w:fill="auto"/>
          </w:tcPr>
          <w:p w:rsidR="00C752B3" w:rsidRPr="006142F3" w:rsidRDefault="00C752B3" w:rsidP="00C752B3">
            <w:pPr>
              <w:keepNext/>
              <w:keepLines/>
              <w:spacing w:before="100" w:beforeAutospacing="1" w:after="100" w:afterAutospacing="1"/>
              <w:jc w:val="center"/>
              <w:rPr>
                <w:color w:val="000000"/>
                <w:sz w:val="16"/>
                <w:szCs w:val="16"/>
                <w:lang w:eastAsia="en-GB"/>
              </w:rPr>
            </w:pPr>
            <w:r w:rsidRPr="006142F3">
              <w:rPr>
                <w:color w:val="000000"/>
                <w:sz w:val="16"/>
                <w:szCs w:val="16"/>
                <w:lang w:eastAsia="en-GB"/>
              </w:rPr>
              <w:t>-</w:t>
            </w:r>
          </w:p>
        </w:tc>
        <w:tc>
          <w:tcPr>
            <w:tcW w:w="386" w:type="pct"/>
            <w:shd w:val="clear" w:color="auto" w:fill="auto"/>
          </w:tcPr>
          <w:p w:rsidR="00C752B3" w:rsidRPr="006142F3" w:rsidRDefault="00C752B3" w:rsidP="00C752B3">
            <w:pPr>
              <w:keepNext/>
              <w:keepLines/>
              <w:spacing w:before="100" w:beforeAutospacing="1" w:after="100" w:afterAutospacing="1"/>
              <w:jc w:val="center"/>
              <w:rPr>
                <w:color w:val="000000"/>
                <w:sz w:val="16"/>
                <w:szCs w:val="16"/>
                <w:lang w:eastAsia="en-GB"/>
              </w:rPr>
            </w:pPr>
            <w:r w:rsidRPr="006142F3">
              <w:rPr>
                <w:color w:val="000000"/>
                <w:sz w:val="16"/>
                <w:szCs w:val="16"/>
                <w:lang w:eastAsia="en-GB"/>
              </w:rPr>
              <w:t>0.0%</w:t>
            </w:r>
          </w:p>
        </w:tc>
        <w:tc>
          <w:tcPr>
            <w:tcW w:w="386" w:type="pct"/>
            <w:shd w:val="clear" w:color="auto" w:fill="auto"/>
          </w:tcPr>
          <w:p w:rsidR="00C752B3" w:rsidRPr="006142F3" w:rsidRDefault="00C752B3" w:rsidP="00C752B3">
            <w:pPr>
              <w:keepNext/>
              <w:keepLines/>
              <w:spacing w:before="100" w:beforeAutospacing="1" w:after="100" w:afterAutospacing="1"/>
              <w:jc w:val="center"/>
              <w:rPr>
                <w:color w:val="000000"/>
                <w:sz w:val="16"/>
                <w:szCs w:val="16"/>
                <w:lang w:eastAsia="en-GB"/>
              </w:rPr>
            </w:pPr>
            <w:r w:rsidRPr="006142F3">
              <w:rPr>
                <w:color w:val="000000"/>
                <w:sz w:val="16"/>
                <w:szCs w:val="16"/>
                <w:lang w:eastAsia="en-GB"/>
              </w:rPr>
              <w:t>0.0%</w:t>
            </w:r>
          </w:p>
        </w:tc>
        <w:tc>
          <w:tcPr>
            <w:tcW w:w="387" w:type="pct"/>
            <w:shd w:val="clear" w:color="auto" w:fill="auto"/>
          </w:tcPr>
          <w:p w:rsidR="00C752B3" w:rsidRPr="006142F3" w:rsidRDefault="00C752B3" w:rsidP="00C752B3">
            <w:pPr>
              <w:keepNext/>
              <w:keepLines/>
              <w:spacing w:before="100" w:beforeAutospacing="1" w:after="100" w:afterAutospacing="1"/>
              <w:jc w:val="center"/>
              <w:rPr>
                <w:color w:val="000000"/>
                <w:sz w:val="16"/>
                <w:szCs w:val="16"/>
                <w:lang w:eastAsia="en-GB"/>
              </w:rPr>
            </w:pPr>
            <w:r w:rsidRPr="006142F3">
              <w:rPr>
                <w:color w:val="000000"/>
                <w:sz w:val="16"/>
                <w:szCs w:val="16"/>
                <w:lang w:eastAsia="en-GB"/>
              </w:rPr>
              <w:t>0.0%</w:t>
            </w:r>
          </w:p>
        </w:tc>
      </w:tr>
      <w:tr w:rsidR="00C752B3" w:rsidRPr="006142F3" w:rsidTr="00C752B3">
        <w:trPr>
          <w:trHeight w:val="216"/>
        </w:trPr>
        <w:tc>
          <w:tcPr>
            <w:tcW w:w="1444" w:type="pct"/>
            <w:shd w:val="clear" w:color="auto" w:fill="C9DED4"/>
          </w:tcPr>
          <w:p w:rsidR="00C752B3" w:rsidRPr="006142F3" w:rsidRDefault="00C752B3" w:rsidP="00C752B3">
            <w:pPr>
              <w:keepNext/>
              <w:keepLines/>
              <w:autoSpaceDE w:val="0"/>
              <w:autoSpaceDN w:val="0"/>
              <w:adjustRightInd w:val="0"/>
              <w:spacing w:before="100" w:beforeAutospacing="1" w:after="100" w:afterAutospacing="1"/>
              <w:jc w:val="center"/>
              <w:rPr>
                <w:color w:val="000000"/>
                <w:sz w:val="16"/>
                <w:szCs w:val="16"/>
                <w:lang w:eastAsia="en-GB"/>
              </w:rPr>
            </w:pPr>
            <w:r w:rsidRPr="006142F3">
              <w:rPr>
                <w:color w:val="000000"/>
                <w:sz w:val="16"/>
                <w:szCs w:val="16"/>
                <w:lang w:eastAsia="en-GB"/>
              </w:rPr>
              <w:t>Airbus Volume (Units)</w:t>
            </w:r>
          </w:p>
        </w:tc>
        <w:tc>
          <w:tcPr>
            <w:tcW w:w="388" w:type="pct"/>
            <w:shd w:val="clear" w:color="auto" w:fill="C9DED4"/>
          </w:tcPr>
          <w:p w:rsidR="00C752B3" w:rsidRPr="006142F3" w:rsidRDefault="00C752B3" w:rsidP="00C752B3">
            <w:pPr>
              <w:keepNext/>
              <w:keepLines/>
              <w:spacing w:before="100" w:beforeAutospacing="1" w:after="100" w:afterAutospacing="1"/>
              <w:jc w:val="center"/>
              <w:rPr>
                <w:color w:val="000000"/>
                <w:sz w:val="16"/>
                <w:szCs w:val="16"/>
                <w:lang w:eastAsia="en-GB"/>
              </w:rPr>
            </w:pPr>
            <w:r w:rsidRPr="006142F3">
              <w:rPr>
                <w:color w:val="000000"/>
                <w:sz w:val="16"/>
                <w:szCs w:val="16"/>
                <w:lang w:eastAsia="en-GB"/>
              </w:rPr>
              <w:t>0</w:t>
            </w:r>
          </w:p>
        </w:tc>
        <w:tc>
          <w:tcPr>
            <w:tcW w:w="387" w:type="pct"/>
            <w:shd w:val="clear" w:color="auto" w:fill="C9DED4"/>
          </w:tcPr>
          <w:p w:rsidR="00C752B3" w:rsidRPr="006142F3" w:rsidRDefault="00C752B3" w:rsidP="00C752B3">
            <w:pPr>
              <w:keepNext/>
              <w:keepLines/>
              <w:spacing w:before="100" w:beforeAutospacing="1" w:after="100" w:afterAutospacing="1"/>
              <w:jc w:val="center"/>
              <w:rPr>
                <w:color w:val="000000"/>
                <w:sz w:val="16"/>
                <w:szCs w:val="16"/>
                <w:lang w:eastAsia="en-GB"/>
              </w:rPr>
            </w:pPr>
            <w:r w:rsidRPr="006142F3">
              <w:rPr>
                <w:color w:val="000000"/>
                <w:sz w:val="16"/>
                <w:szCs w:val="16"/>
                <w:lang w:eastAsia="en-GB"/>
              </w:rPr>
              <w:t>4</w:t>
            </w:r>
          </w:p>
        </w:tc>
        <w:tc>
          <w:tcPr>
            <w:tcW w:w="464" w:type="pct"/>
            <w:shd w:val="clear" w:color="auto" w:fill="C9DED4"/>
          </w:tcPr>
          <w:p w:rsidR="00C752B3" w:rsidRPr="006142F3" w:rsidRDefault="00C752B3" w:rsidP="00C752B3">
            <w:pPr>
              <w:keepNext/>
              <w:keepLines/>
              <w:spacing w:before="100" w:beforeAutospacing="1" w:after="100" w:afterAutospacing="1"/>
              <w:jc w:val="center"/>
              <w:rPr>
                <w:color w:val="000000"/>
                <w:sz w:val="16"/>
                <w:szCs w:val="16"/>
                <w:lang w:eastAsia="en-GB"/>
              </w:rPr>
            </w:pPr>
            <w:r w:rsidRPr="006142F3">
              <w:rPr>
                <w:color w:val="000000"/>
                <w:sz w:val="16"/>
                <w:szCs w:val="16"/>
                <w:lang w:eastAsia="en-GB"/>
              </w:rPr>
              <w:t>4</w:t>
            </w:r>
          </w:p>
        </w:tc>
        <w:tc>
          <w:tcPr>
            <w:tcW w:w="385" w:type="pct"/>
            <w:shd w:val="clear" w:color="auto" w:fill="C9DED4"/>
          </w:tcPr>
          <w:p w:rsidR="00C752B3" w:rsidRPr="006142F3" w:rsidRDefault="00C752B3" w:rsidP="00C752B3">
            <w:pPr>
              <w:keepNext/>
              <w:keepLines/>
              <w:spacing w:before="100" w:beforeAutospacing="1" w:after="100" w:afterAutospacing="1"/>
              <w:jc w:val="center"/>
              <w:rPr>
                <w:color w:val="000000"/>
                <w:sz w:val="16"/>
                <w:szCs w:val="16"/>
                <w:lang w:eastAsia="en-GB"/>
              </w:rPr>
            </w:pPr>
            <w:r w:rsidRPr="006142F3">
              <w:rPr>
                <w:color w:val="000000"/>
                <w:sz w:val="16"/>
                <w:szCs w:val="16"/>
                <w:lang w:eastAsia="en-GB"/>
              </w:rPr>
              <w:t>1</w:t>
            </w:r>
          </w:p>
        </w:tc>
        <w:tc>
          <w:tcPr>
            <w:tcW w:w="386" w:type="pct"/>
            <w:shd w:val="clear" w:color="auto" w:fill="C9DED4"/>
          </w:tcPr>
          <w:p w:rsidR="00C752B3" w:rsidRPr="006142F3" w:rsidRDefault="00C752B3" w:rsidP="00C752B3">
            <w:pPr>
              <w:keepNext/>
              <w:keepLines/>
              <w:spacing w:before="100" w:beforeAutospacing="1" w:after="100" w:afterAutospacing="1"/>
              <w:jc w:val="center"/>
              <w:rPr>
                <w:color w:val="000000"/>
                <w:sz w:val="16"/>
                <w:szCs w:val="16"/>
                <w:lang w:eastAsia="en-GB"/>
              </w:rPr>
            </w:pPr>
            <w:r w:rsidRPr="006142F3">
              <w:rPr>
                <w:color w:val="000000"/>
                <w:sz w:val="16"/>
                <w:szCs w:val="16"/>
                <w:lang w:eastAsia="en-GB"/>
              </w:rPr>
              <w:t>0</w:t>
            </w:r>
          </w:p>
        </w:tc>
        <w:tc>
          <w:tcPr>
            <w:tcW w:w="387" w:type="pct"/>
            <w:shd w:val="clear" w:color="auto" w:fill="C9DED4"/>
          </w:tcPr>
          <w:p w:rsidR="00C752B3" w:rsidRPr="006142F3" w:rsidRDefault="00C752B3" w:rsidP="00C752B3">
            <w:pPr>
              <w:keepNext/>
              <w:keepLines/>
              <w:spacing w:before="100" w:beforeAutospacing="1" w:after="100" w:afterAutospacing="1"/>
              <w:jc w:val="center"/>
              <w:rPr>
                <w:color w:val="000000"/>
                <w:sz w:val="16"/>
                <w:szCs w:val="16"/>
                <w:lang w:eastAsia="en-GB"/>
              </w:rPr>
            </w:pPr>
            <w:r w:rsidRPr="006142F3">
              <w:rPr>
                <w:color w:val="000000"/>
                <w:sz w:val="16"/>
                <w:szCs w:val="16"/>
                <w:lang w:eastAsia="en-GB"/>
              </w:rPr>
              <w:t>0</w:t>
            </w:r>
          </w:p>
        </w:tc>
        <w:tc>
          <w:tcPr>
            <w:tcW w:w="386" w:type="pct"/>
            <w:shd w:val="clear" w:color="auto" w:fill="C9DED4"/>
          </w:tcPr>
          <w:p w:rsidR="00C752B3" w:rsidRPr="006142F3" w:rsidRDefault="00C752B3" w:rsidP="00C752B3">
            <w:pPr>
              <w:keepNext/>
              <w:keepLines/>
              <w:spacing w:before="100" w:beforeAutospacing="1" w:after="100" w:afterAutospacing="1"/>
              <w:jc w:val="center"/>
              <w:rPr>
                <w:color w:val="000000"/>
                <w:sz w:val="16"/>
                <w:szCs w:val="16"/>
                <w:lang w:eastAsia="en-GB"/>
              </w:rPr>
            </w:pPr>
            <w:r w:rsidRPr="006142F3">
              <w:rPr>
                <w:color w:val="000000"/>
                <w:sz w:val="16"/>
                <w:szCs w:val="16"/>
                <w:lang w:eastAsia="en-GB"/>
              </w:rPr>
              <w:t>1</w:t>
            </w:r>
          </w:p>
        </w:tc>
        <w:tc>
          <w:tcPr>
            <w:tcW w:w="386" w:type="pct"/>
            <w:shd w:val="clear" w:color="auto" w:fill="C9DED4"/>
          </w:tcPr>
          <w:p w:rsidR="00C752B3" w:rsidRPr="006142F3" w:rsidRDefault="00C752B3" w:rsidP="00C752B3">
            <w:pPr>
              <w:keepNext/>
              <w:keepLines/>
              <w:spacing w:before="100" w:beforeAutospacing="1" w:after="100" w:afterAutospacing="1"/>
              <w:jc w:val="center"/>
              <w:rPr>
                <w:color w:val="000000"/>
                <w:sz w:val="16"/>
                <w:szCs w:val="16"/>
                <w:lang w:eastAsia="en-GB"/>
              </w:rPr>
            </w:pPr>
            <w:r w:rsidRPr="006142F3">
              <w:rPr>
                <w:color w:val="000000"/>
                <w:sz w:val="16"/>
                <w:szCs w:val="16"/>
                <w:lang w:eastAsia="en-GB"/>
              </w:rPr>
              <w:t>2</w:t>
            </w:r>
          </w:p>
        </w:tc>
        <w:tc>
          <w:tcPr>
            <w:tcW w:w="387" w:type="pct"/>
            <w:shd w:val="clear" w:color="auto" w:fill="C9DED4"/>
          </w:tcPr>
          <w:p w:rsidR="00C752B3" w:rsidRPr="006142F3" w:rsidRDefault="00C752B3" w:rsidP="00C752B3">
            <w:pPr>
              <w:keepNext/>
              <w:keepLines/>
              <w:spacing w:before="100" w:beforeAutospacing="1" w:after="100" w:afterAutospacing="1"/>
              <w:jc w:val="center"/>
              <w:rPr>
                <w:color w:val="000000"/>
                <w:sz w:val="16"/>
                <w:szCs w:val="16"/>
                <w:lang w:eastAsia="en-GB"/>
              </w:rPr>
            </w:pPr>
            <w:r w:rsidRPr="006142F3">
              <w:rPr>
                <w:color w:val="000000"/>
                <w:sz w:val="16"/>
                <w:szCs w:val="16"/>
                <w:lang w:eastAsia="en-GB"/>
              </w:rPr>
              <w:t>1</w:t>
            </w:r>
          </w:p>
        </w:tc>
      </w:tr>
      <w:tr w:rsidR="00C752B3" w:rsidRPr="006142F3" w:rsidTr="00C752B3">
        <w:trPr>
          <w:trHeight w:val="97"/>
        </w:trPr>
        <w:tc>
          <w:tcPr>
            <w:tcW w:w="1444" w:type="pct"/>
            <w:shd w:val="clear" w:color="auto" w:fill="auto"/>
          </w:tcPr>
          <w:p w:rsidR="00C752B3" w:rsidRPr="006142F3" w:rsidRDefault="00C752B3" w:rsidP="00C752B3">
            <w:pPr>
              <w:keepNext/>
              <w:keepLines/>
              <w:autoSpaceDE w:val="0"/>
              <w:autoSpaceDN w:val="0"/>
              <w:adjustRightInd w:val="0"/>
              <w:spacing w:before="100" w:beforeAutospacing="1" w:after="100" w:afterAutospacing="1"/>
              <w:jc w:val="center"/>
              <w:rPr>
                <w:color w:val="000000"/>
                <w:sz w:val="16"/>
                <w:szCs w:val="16"/>
                <w:lang w:eastAsia="en-GB"/>
              </w:rPr>
            </w:pPr>
            <w:r w:rsidRPr="006142F3">
              <w:rPr>
                <w:color w:val="000000"/>
                <w:sz w:val="16"/>
                <w:szCs w:val="16"/>
                <w:lang w:eastAsia="en-GB"/>
              </w:rPr>
              <w:t>Airbus Market Share</w:t>
            </w:r>
          </w:p>
        </w:tc>
        <w:tc>
          <w:tcPr>
            <w:tcW w:w="388" w:type="pct"/>
            <w:shd w:val="clear" w:color="auto" w:fill="auto"/>
          </w:tcPr>
          <w:p w:rsidR="00C752B3" w:rsidRPr="006142F3" w:rsidRDefault="00C752B3" w:rsidP="00C752B3">
            <w:pPr>
              <w:keepNext/>
              <w:keepLines/>
              <w:spacing w:before="100" w:beforeAutospacing="1" w:after="100" w:afterAutospacing="1"/>
              <w:jc w:val="center"/>
              <w:rPr>
                <w:color w:val="000000"/>
                <w:sz w:val="16"/>
                <w:szCs w:val="16"/>
                <w:lang w:eastAsia="en-GB"/>
              </w:rPr>
            </w:pPr>
            <w:r w:rsidRPr="006142F3">
              <w:rPr>
                <w:color w:val="000000"/>
                <w:sz w:val="16"/>
                <w:szCs w:val="16"/>
                <w:lang w:eastAsia="en-GB"/>
              </w:rPr>
              <w:t>-</w:t>
            </w:r>
          </w:p>
        </w:tc>
        <w:tc>
          <w:tcPr>
            <w:tcW w:w="387" w:type="pct"/>
            <w:shd w:val="clear" w:color="auto" w:fill="auto"/>
          </w:tcPr>
          <w:p w:rsidR="00C752B3" w:rsidRPr="006142F3" w:rsidRDefault="00C752B3" w:rsidP="00C752B3">
            <w:pPr>
              <w:keepNext/>
              <w:keepLines/>
              <w:spacing w:before="100" w:beforeAutospacing="1" w:after="100" w:afterAutospacing="1"/>
              <w:jc w:val="center"/>
              <w:rPr>
                <w:color w:val="000000"/>
                <w:sz w:val="16"/>
                <w:szCs w:val="16"/>
                <w:lang w:eastAsia="en-GB"/>
              </w:rPr>
            </w:pPr>
            <w:r w:rsidRPr="006142F3">
              <w:rPr>
                <w:color w:val="000000"/>
                <w:sz w:val="16"/>
                <w:szCs w:val="16"/>
                <w:lang w:eastAsia="en-GB"/>
              </w:rPr>
              <w:t>44.4%</w:t>
            </w:r>
          </w:p>
        </w:tc>
        <w:tc>
          <w:tcPr>
            <w:tcW w:w="464" w:type="pct"/>
            <w:shd w:val="clear" w:color="auto" w:fill="auto"/>
          </w:tcPr>
          <w:p w:rsidR="00C752B3" w:rsidRPr="006142F3" w:rsidRDefault="00C752B3" w:rsidP="00C752B3">
            <w:pPr>
              <w:keepNext/>
              <w:keepLines/>
              <w:spacing w:before="100" w:beforeAutospacing="1" w:after="100" w:afterAutospacing="1"/>
              <w:jc w:val="center"/>
              <w:rPr>
                <w:color w:val="000000"/>
                <w:sz w:val="16"/>
                <w:szCs w:val="16"/>
                <w:lang w:eastAsia="en-GB"/>
              </w:rPr>
            </w:pPr>
            <w:r w:rsidRPr="006142F3">
              <w:rPr>
                <w:color w:val="000000"/>
                <w:sz w:val="16"/>
                <w:szCs w:val="16"/>
                <w:lang w:eastAsia="en-GB"/>
              </w:rPr>
              <w:t>44.4%</w:t>
            </w:r>
          </w:p>
        </w:tc>
        <w:tc>
          <w:tcPr>
            <w:tcW w:w="385" w:type="pct"/>
            <w:shd w:val="clear" w:color="auto" w:fill="auto"/>
          </w:tcPr>
          <w:p w:rsidR="00C752B3" w:rsidRPr="006142F3" w:rsidRDefault="00C752B3" w:rsidP="00C752B3">
            <w:pPr>
              <w:keepNext/>
              <w:keepLines/>
              <w:spacing w:before="100" w:beforeAutospacing="1" w:after="100" w:afterAutospacing="1"/>
              <w:jc w:val="center"/>
              <w:rPr>
                <w:color w:val="000000"/>
                <w:sz w:val="16"/>
                <w:szCs w:val="16"/>
                <w:lang w:eastAsia="en-GB"/>
              </w:rPr>
            </w:pPr>
            <w:r w:rsidRPr="006142F3">
              <w:rPr>
                <w:color w:val="000000"/>
                <w:sz w:val="16"/>
                <w:szCs w:val="16"/>
                <w:lang w:eastAsia="en-GB"/>
              </w:rPr>
              <w:t>100%</w:t>
            </w:r>
          </w:p>
        </w:tc>
        <w:tc>
          <w:tcPr>
            <w:tcW w:w="386" w:type="pct"/>
            <w:shd w:val="clear" w:color="auto" w:fill="auto"/>
          </w:tcPr>
          <w:p w:rsidR="00C752B3" w:rsidRPr="006142F3" w:rsidRDefault="00C752B3" w:rsidP="00C752B3">
            <w:pPr>
              <w:keepNext/>
              <w:keepLines/>
              <w:spacing w:before="100" w:beforeAutospacing="1" w:after="100" w:afterAutospacing="1"/>
              <w:jc w:val="center"/>
              <w:rPr>
                <w:color w:val="000000"/>
                <w:sz w:val="16"/>
                <w:szCs w:val="16"/>
                <w:lang w:eastAsia="en-GB"/>
              </w:rPr>
            </w:pPr>
            <w:r w:rsidRPr="006142F3">
              <w:rPr>
                <w:color w:val="000000"/>
                <w:sz w:val="16"/>
                <w:szCs w:val="16"/>
                <w:lang w:eastAsia="en-GB"/>
              </w:rPr>
              <w:t>-</w:t>
            </w:r>
          </w:p>
        </w:tc>
        <w:tc>
          <w:tcPr>
            <w:tcW w:w="387" w:type="pct"/>
            <w:shd w:val="clear" w:color="auto" w:fill="auto"/>
          </w:tcPr>
          <w:p w:rsidR="00C752B3" w:rsidRPr="006142F3" w:rsidRDefault="00C752B3" w:rsidP="00C752B3">
            <w:pPr>
              <w:keepNext/>
              <w:keepLines/>
              <w:spacing w:before="100" w:beforeAutospacing="1" w:after="100" w:afterAutospacing="1"/>
              <w:jc w:val="center"/>
              <w:rPr>
                <w:color w:val="000000"/>
                <w:sz w:val="16"/>
                <w:szCs w:val="16"/>
                <w:lang w:eastAsia="en-GB"/>
              </w:rPr>
            </w:pPr>
            <w:r w:rsidRPr="006142F3">
              <w:rPr>
                <w:color w:val="000000"/>
                <w:sz w:val="16"/>
                <w:szCs w:val="16"/>
                <w:lang w:eastAsia="en-GB"/>
              </w:rPr>
              <w:t>-</w:t>
            </w:r>
          </w:p>
        </w:tc>
        <w:tc>
          <w:tcPr>
            <w:tcW w:w="386" w:type="pct"/>
            <w:shd w:val="clear" w:color="auto" w:fill="auto"/>
          </w:tcPr>
          <w:p w:rsidR="00C752B3" w:rsidRPr="006142F3" w:rsidRDefault="00C752B3" w:rsidP="00C752B3">
            <w:pPr>
              <w:keepNext/>
              <w:keepLines/>
              <w:spacing w:before="100" w:beforeAutospacing="1" w:after="100" w:afterAutospacing="1"/>
              <w:jc w:val="center"/>
              <w:rPr>
                <w:color w:val="000000"/>
                <w:sz w:val="16"/>
                <w:szCs w:val="16"/>
                <w:lang w:eastAsia="en-GB"/>
              </w:rPr>
            </w:pPr>
            <w:r w:rsidRPr="006142F3">
              <w:rPr>
                <w:color w:val="000000"/>
                <w:sz w:val="16"/>
                <w:szCs w:val="16"/>
                <w:lang w:eastAsia="en-GB"/>
              </w:rPr>
              <w:t>100%</w:t>
            </w:r>
          </w:p>
        </w:tc>
        <w:tc>
          <w:tcPr>
            <w:tcW w:w="386" w:type="pct"/>
            <w:shd w:val="clear" w:color="auto" w:fill="auto"/>
          </w:tcPr>
          <w:p w:rsidR="00C752B3" w:rsidRPr="006142F3" w:rsidRDefault="00C752B3" w:rsidP="00C752B3">
            <w:pPr>
              <w:keepNext/>
              <w:keepLines/>
              <w:spacing w:before="100" w:beforeAutospacing="1" w:after="100" w:afterAutospacing="1"/>
              <w:jc w:val="center"/>
              <w:rPr>
                <w:color w:val="000000"/>
                <w:sz w:val="16"/>
                <w:szCs w:val="16"/>
                <w:lang w:eastAsia="en-GB"/>
              </w:rPr>
            </w:pPr>
            <w:r w:rsidRPr="006142F3">
              <w:rPr>
                <w:color w:val="000000"/>
                <w:sz w:val="16"/>
                <w:szCs w:val="16"/>
                <w:lang w:eastAsia="en-GB"/>
              </w:rPr>
              <w:t>100%</w:t>
            </w:r>
          </w:p>
        </w:tc>
        <w:tc>
          <w:tcPr>
            <w:tcW w:w="387" w:type="pct"/>
            <w:shd w:val="clear" w:color="auto" w:fill="auto"/>
          </w:tcPr>
          <w:p w:rsidR="00C752B3" w:rsidRPr="006142F3" w:rsidRDefault="00C752B3" w:rsidP="00C752B3">
            <w:pPr>
              <w:keepNext/>
              <w:keepLines/>
              <w:spacing w:before="100" w:beforeAutospacing="1" w:after="100" w:afterAutospacing="1"/>
              <w:jc w:val="center"/>
              <w:rPr>
                <w:color w:val="000000"/>
                <w:sz w:val="16"/>
                <w:szCs w:val="16"/>
                <w:lang w:eastAsia="en-GB"/>
              </w:rPr>
            </w:pPr>
            <w:r w:rsidRPr="006142F3">
              <w:rPr>
                <w:color w:val="000000"/>
                <w:sz w:val="16"/>
                <w:szCs w:val="16"/>
                <w:lang w:eastAsia="en-GB"/>
              </w:rPr>
              <w:t>100%</w:t>
            </w:r>
          </w:p>
        </w:tc>
      </w:tr>
    </w:tbl>
    <w:p w:rsidR="00C752B3" w:rsidRDefault="00C752B3" w:rsidP="00C752B3"/>
    <w:tbl>
      <w:tblPr>
        <w:tblW w:w="5000" w:type="pct"/>
        <w:tblBorders>
          <w:top w:val="single" w:sz="4" w:space="0" w:color="auto"/>
          <w:left w:val="single" w:sz="4" w:space="0" w:color="auto"/>
          <w:bottom w:val="single" w:sz="4" w:space="0" w:color="auto"/>
          <w:right w:val="single" w:sz="4" w:space="0" w:color="auto"/>
          <w:insideV w:val="single" w:sz="4" w:space="0" w:color="auto"/>
        </w:tblBorders>
        <w:tblLayout w:type="fixed"/>
        <w:tblCellMar>
          <w:top w:w="57" w:type="dxa"/>
          <w:left w:w="85" w:type="dxa"/>
          <w:bottom w:w="57" w:type="dxa"/>
          <w:right w:w="85" w:type="dxa"/>
        </w:tblCellMar>
        <w:tblLook w:val="0020" w:firstRow="1" w:lastRow="0" w:firstColumn="0" w:lastColumn="0" w:noHBand="0" w:noVBand="0"/>
      </w:tblPr>
      <w:tblGrid>
        <w:gridCol w:w="2638"/>
        <w:gridCol w:w="709"/>
        <w:gridCol w:w="706"/>
        <w:gridCol w:w="857"/>
        <w:gridCol w:w="706"/>
        <w:gridCol w:w="704"/>
        <w:gridCol w:w="704"/>
        <w:gridCol w:w="706"/>
        <w:gridCol w:w="706"/>
        <w:gridCol w:w="760"/>
      </w:tblGrid>
      <w:tr w:rsidR="00C752B3" w:rsidRPr="006142F3" w:rsidTr="00C752B3">
        <w:trPr>
          <w:trHeight w:val="216"/>
        </w:trPr>
        <w:tc>
          <w:tcPr>
            <w:tcW w:w="1434" w:type="pct"/>
            <w:shd w:val="clear" w:color="auto" w:fill="006283"/>
          </w:tcPr>
          <w:p w:rsidR="00C752B3" w:rsidRPr="006142F3" w:rsidRDefault="00C752B3" w:rsidP="00C752B3">
            <w:pPr>
              <w:keepNext/>
              <w:autoSpaceDE w:val="0"/>
              <w:autoSpaceDN w:val="0"/>
              <w:adjustRightInd w:val="0"/>
              <w:spacing w:before="100" w:beforeAutospacing="1" w:after="100" w:afterAutospacing="1"/>
              <w:jc w:val="center"/>
              <w:rPr>
                <w:b/>
                <w:bCs/>
                <w:color w:val="000000"/>
                <w:sz w:val="16"/>
                <w:szCs w:val="16"/>
                <w:lang w:eastAsia="en-GB"/>
              </w:rPr>
            </w:pPr>
          </w:p>
        </w:tc>
        <w:tc>
          <w:tcPr>
            <w:tcW w:w="1235" w:type="pct"/>
            <w:gridSpan w:val="3"/>
            <w:shd w:val="clear" w:color="auto" w:fill="006283"/>
          </w:tcPr>
          <w:p w:rsidR="00C752B3" w:rsidRPr="006142F3" w:rsidRDefault="00C752B3" w:rsidP="00C752B3">
            <w:pPr>
              <w:keepNext/>
              <w:autoSpaceDE w:val="0"/>
              <w:autoSpaceDN w:val="0"/>
              <w:adjustRightInd w:val="0"/>
              <w:spacing w:before="100" w:beforeAutospacing="1" w:after="100" w:afterAutospacing="1"/>
              <w:jc w:val="center"/>
              <w:rPr>
                <w:b/>
                <w:bCs/>
                <w:color w:val="FFFFFF"/>
                <w:sz w:val="16"/>
                <w:szCs w:val="16"/>
                <w:lang w:eastAsia="en-GB"/>
              </w:rPr>
            </w:pPr>
            <w:r w:rsidRPr="006142F3">
              <w:rPr>
                <w:b/>
                <w:bCs/>
                <w:color w:val="FFFFFF"/>
                <w:sz w:val="16"/>
                <w:szCs w:val="16"/>
                <w:lang w:eastAsia="en-GB"/>
              </w:rPr>
              <w:t>Korea</w:t>
            </w:r>
          </w:p>
        </w:tc>
        <w:tc>
          <w:tcPr>
            <w:tcW w:w="1149" w:type="pct"/>
            <w:gridSpan w:val="3"/>
            <w:shd w:val="clear" w:color="auto" w:fill="006283"/>
          </w:tcPr>
          <w:p w:rsidR="00C752B3" w:rsidRPr="006142F3" w:rsidRDefault="00C752B3" w:rsidP="00C752B3">
            <w:pPr>
              <w:keepNext/>
              <w:autoSpaceDE w:val="0"/>
              <w:autoSpaceDN w:val="0"/>
              <w:adjustRightInd w:val="0"/>
              <w:spacing w:before="100" w:beforeAutospacing="1" w:after="100" w:afterAutospacing="1"/>
              <w:jc w:val="center"/>
              <w:rPr>
                <w:b/>
                <w:bCs/>
                <w:color w:val="FFFFFF"/>
                <w:sz w:val="16"/>
                <w:szCs w:val="16"/>
                <w:lang w:eastAsia="en-GB"/>
              </w:rPr>
            </w:pPr>
            <w:r w:rsidRPr="006142F3">
              <w:rPr>
                <w:b/>
                <w:bCs/>
                <w:color w:val="FFFFFF"/>
                <w:sz w:val="16"/>
                <w:szCs w:val="16"/>
                <w:lang w:eastAsia="en-GB"/>
              </w:rPr>
              <w:t>Singapore</w:t>
            </w:r>
          </w:p>
        </w:tc>
        <w:tc>
          <w:tcPr>
            <w:tcW w:w="1181" w:type="pct"/>
            <w:gridSpan w:val="3"/>
            <w:shd w:val="clear" w:color="auto" w:fill="006283"/>
          </w:tcPr>
          <w:p w:rsidR="00C752B3" w:rsidRPr="006142F3" w:rsidRDefault="00C752B3" w:rsidP="00C752B3">
            <w:pPr>
              <w:keepNext/>
              <w:autoSpaceDE w:val="0"/>
              <w:autoSpaceDN w:val="0"/>
              <w:adjustRightInd w:val="0"/>
              <w:spacing w:before="100" w:beforeAutospacing="1" w:after="100" w:afterAutospacing="1"/>
              <w:jc w:val="center"/>
              <w:rPr>
                <w:b/>
                <w:bCs/>
                <w:color w:val="FFFFFF"/>
                <w:sz w:val="16"/>
                <w:szCs w:val="16"/>
                <w:lang w:eastAsia="en-GB"/>
              </w:rPr>
            </w:pPr>
            <w:r w:rsidRPr="006142F3">
              <w:rPr>
                <w:b/>
                <w:bCs/>
                <w:color w:val="FFFFFF"/>
                <w:sz w:val="16"/>
                <w:szCs w:val="16"/>
                <w:lang w:eastAsia="en-GB"/>
              </w:rPr>
              <w:t>United Arab Emirates</w:t>
            </w:r>
          </w:p>
        </w:tc>
      </w:tr>
      <w:tr w:rsidR="00C752B3" w:rsidRPr="006142F3" w:rsidTr="00C752B3">
        <w:trPr>
          <w:trHeight w:val="216"/>
        </w:trPr>
        <w:tc>
          <w:tcPr>
            <w:tcW w:w="1434" w:type="pct"/>
            <w:shd w:val="clear" w:color="auto" w:fill="auto"/>
            <w:vAlign w:val="center"/>
          </w:tcPr>
          <w:p w:rsidR="00C752B3" w:rsidRPr="006142F3" w:rsidRDefault="00C752B3" w:rsidP="00C752B3">
            <w:pPr>
              <w:keepNext/>
              <w:autoSpaceDE w:val="0"/>
              <w:autoSpaceDN w:val="0"/>
              <w:adjustRightInd w:val="0"/>
              <w:spacing w:before="100" w:beforeAutospacing="1" w:after="100" w:afterAutospacing="1"/>
              <w:jc w:val="center"/>
              <w:rPr>
                <w:color w:val="000000"/>
                <w:sz w:val="16"/>
                <w:szCs w:val="16"/>
                <w:lang w:eastAsia="en-GB"/>
              </w:rPr>
            </w:pPr>
            <w:r w:rsidRPr="006142F3">
              <w:rPr>
                <w:b/>
                <w:bCs/>
                <w:color w:val="000000"/>
                <w:sz w:val="16"/>
                <w:szCs w:val="16"/>
                <w:lang w:eastAsia="en-GB"/>
              </w:rPr>
              <w:t>Delivery Data</w:t>
            </w:r>
          </w:p>
        </w:tc>
        <w:tc>
          <w:tcPr>
            <w:tcW w:w="385" w:type="pct"/>
            <w:shd w:val="clear" w:color="auto" w:fill="auto"/>
            <w:vAlign w:val="center"/>
          </w:tcPr>
          <w:p w:rsidR="00C752B3" w:rsidRPr="006142F3" w:rsidRDefault="00C752B3" w:rsidP="00C752B3">
            <w:pPr>
              <w:keepNext/>
              <w:autoSpaceDE w:val="0"/>
              <w:autoSpaceDN w:val="0"/>
              <w:adjustRightInd w:val="0"/>
              <w:spacing w:before="100" w:beforeAutospacing="1" w:after="100" w:afterAutospacing="1"/>
              <w:jc w:val="center"/>
              <w:rPr>
                <w:b/>
                <w:bCs/>
                <w:color w:val="000000"/>
                <w:sz w:val="16"/>
                <w:szCs w:val="16"/>
                <w:lang w:eastAsia="en-GB"/>
              </w:rPr>
            </w:pPr>
            <w:r w:rsidRPr="006142F3">
              <w:rPr>
                <w:b/>
                <w:bCs/>
                <w:color w:val="000000"/>
                <w:sz w:val="16"/>
                <w:szCs w:val="16"/>
                <w:lang w:eastAsia="en-GB"/>
              </w:rPr>
              <w:t>Dec. 2011</w:t>
            </w:r>
          </w:p>
        </w:tc>
        <w:tc>
          <w:tcPr>
            <w:tcW w:w="384" w:type="pct"/>
            <w:shd w:val="clear" w:color="auto" w:fill="auto"/>
            <w:vAlign w:val="center"/>
          </w:tcPr>
          <w:p w:rsidR="00C752B3" w:rsidRPr="006142F3" w:rsidRDefault="00C752B3" w:rsidP="00C752B3">
            <w:pPr>
              <w:keepNext/>
              <w:autoSpaceDE w:val="0"/>
              <w:autoSpaceDN w:val="0"/>
              <w:adjustRightInd w:val="0"/>
              <w:spacing w:before="100" w:beforeAutospacing="1" w:after="100" w:afterAutospacing="1"/>
              <w:jc w:val="center"/>
              <w:rPr>
                <w:b/>
                <w:bCs/>
                <w:color w:val="000000"/>
                <w:sz w:val="16"/>
                <w:szCs w:val="16"/>
                <w:lang w:eastAsia="en-GB"/>
              </w:rPr>
            </w:pPr>
            <w:r w:rsidRPr="006142F3">
              <w:rPr>
                <w:b/>
                <w:bCs/>
                <w:color w:val="000000"/>
                <w:sz w:val="16"/>
                <w:szCs w:val="16"/>
                <w:lang w:eastAsia="en-GB"/>
              </w:rPr>
              <w:t>2012</w:t>
            </w:r>
          </w:p>
        </w:tc>
        <w:tc>
          <w:tcPr>
            <w:tcW w:w="466" w:type="pct"/>
            <w:shd w:val="clear" w:color="auto" w:fill="auto"/>
            <w:vAlign w:val="center"/>
          </w:tcPr>
          <w:p w:rsidR="00C752B3" w:rsidRPr="006142F3" w:rsidRDefault="00C752B3" w:rsidP="00C752B3">
            <w:pPr>
              <w:keepNext/>
              <w:autoSpaceDE w:val="0"/>
              <w:autoSpaceDN w:val="0"/>
              <w:adjustRightInd w:val="0"/>
              <w:spacing w:before="100" w:beforeAutospacing="1" w:after="100" w:afterAutospacing="1"/>
              <w:jc w:val="center"/>
              <w:rPr>
                <w:b/>
                <w:bCs/>
                <w:color w:val="000000"/>
                <w:sz w:val="16"/>
                <w:szCs w:val="16"/>
                <w:lang w:eastAsia="en-GB"/>
              </w:rPr>
            </w:pPr>
            <w:r w:rsidRPr="006142F3">
              <w:rPr>
                <w:b/>
                <w:bCs/>
                <w:color w:val="000000"/>
                <w:sz w:val="16"/>
                <w:szCs w:val="16"/>
                <w:lang w:eastAsia="en-GB"/>
              </w:rPr>
              <w:t>2013</w:t>
            </w:r>
          </w:p>
        </w:tc>
        <w:tc>
          <w:tcPr>
            <w:tcW w:w="384" w:type="pct"/>
            <w:shd w:val="clear" w:color="auto" w:fill="auto"/>
            <w:vAlign w:val="center"/>
          </w:tcPr>
          <w:p w:rsidR="00C752B3" w:rsidRPr="006142F3" w:rsidRDefault="00C752B3" w:rsidP="00C752B3">
            <w:pPr>
              <w:keepNext/>
              <w:autoSpaceDE w:val="0"/>
              <w:autoSpaceDN w:val="0"/>
              <w:adjustRightInd w:val="0"/>
              <w:spacing w:before="100" w:beforeAutospacing="1" w:after="100" w:afterAutospacing="1"/>
              <w:jc w:val="center"/>
              <w:rPr>
                <w:b/>
                <w:bCs/>
                <w:color w:val="000000"/>
                <w:sz w:val="16"/>
                <w:szCs w:val="16"/>
                <w:lang w:eastAsia="en-GB"/>
              </w:rPr>
            </w:pPr>
            <w:r w:rsidRPr="006142F3">
              <w:rPr>
                <w:b/>
                <w:bCs/>
                <w:color w:val="000000"/>
                <w:sz w:val="16"/>
                <w:szCs w:val="16"/>
                <w:lang w:eastAsia="en-GB"/>
              </w:rPr>
              <w:t>Dec. 2011</w:t>
            </w:r>
          </w:p>
        </w:tc>
        <w:tc>
          <w:tcPr>
            <w:tcW w:w="383" w:type="pct"/>
            <w:shd w:val="clear" w:color="auto" w:fill="auto"/>
            <w:vAlign w:val="center"/>
          </w:tcPr>
          <w:p w:rsidR="00C752B3" w:rsidRPr="006142F3" w:rsidRDefault="00C752B3" w:rsidP="00C752B3">
            <w:pPr>
              <w:keepNext/>
              <w:autoSpaceDE w:val="0"/>
              <w:autoSpaceDN w:val="0"/>
              <w:adjustRightInd w:val="0"/>
              <w:spacing w:before="100" w:beforeAutospacing="1" w:after="100" w:afterAutospacing="1"/>
              <w:jc w:val="center"/>
              <w:rPr>
                <w:b/>
                <w:bCs/>
                <w:color w:val="000000"/>
                <w:sz w:val="16"/>
                <w:szCs w:val="16"/>
                <w:lang w:eastAsia="en-GB"/>
              </w:rPr>
            </w:pPr>
            <w:r w:rsidRPr="006142F3">
              <w:rPr>
                <w:b/>
                <w:bCs/>
                <w:color w:val="000000"/>
                <w:sz w:val="16"/>
                <w:szCs w:val="16"/>
                <w:lang w:eastAsia="en-GB"/>
              </w:rPr>
              <w:t>2012</w:t>
            </w:r>
          </w:p>
        </w:tc>
        <w:tc>
          <w:tcPr>
            <w:tcW w:w="383" w:type="pct"/>
            <w:shd w:val="clear" w:color="auto" w:fill="auto"/>
            <w:vAlign w:val="center"/>
          </w:tcPr>
          <w:p w:rsidR="00C752B3" w:rsidRPr="006142F3" w:rsidRDefault="00C752B3" w:rsidP="00C752B3">
            <w:pPr>
              <w:keepNext/>
              <w:autoSpaceDE w:val="0"/>
              <w:autoSpaceDN w:val="0"/>
              <w:adjustRightInd w:val="0"/>
              <w:spacing w:before="100" w:beforeAutospacing="1" w:after="100" w:afterAutospacing="1"/>
              <w:jc w:val="center"/>
              <w:rPr>
                <w:b/>
                <w:bCs/>
                <w:color w:val="000000"/>
                <w:sz w:val="16"/>
                <w:szCs w:val="16"/>
                <w:lang w:eastAsia="en-GB"/>
              </w:rPr>
            </w:pPr>
            <w:r w:rsidRPr="006142F3">
              <w:rPr>
                <w:b/>
                <w:bCs/>
                <w:color w:val="000000"/>
                <w:sz w:val="16"/>
                <w:szCs w:val="16"/>
                <w:lang w:eastAsia="en-GB"/>
              </w:rPr>
              <w:t>2013</w:t>
            </w:r>
          </w:p>
        </w:tc>
        <w:tc>
          <w:tcPr>
            <w:tcW w:w="384" w:type="pct"/>
            <w:shd w:val="clear" w:color="auto" w:fill="auto"/>
            <w:vAlign w:val="center"/>
          </w:tcPr>
          <w:p w:rsidR="00C752B3" w:rsidRPr="006142F3" w:rsidRDefault="00C752B3" w:rsidP="00C752B3">
            <w:pPr>
              <w:keepNext/>
              <w:autoSpaceDE w:val="0"/>
              <w:autoSpaceDN w:val="0"/>
              <w:adjustRightInd w:val="0"/>
              <w:spacing w:before="100" w:beforeAutospacing="1" w:after="100" w:afterAutospacing="1"/>
              <w:jc w:val="center"/>
              <w:rPr>
                <w:b/>
                <w:bCs/>
                <w:color w:val="000000"/>
                <w:sz w:val="16"/>
                <w:szCs w:val="16"/>
                <w:lang w:eastAsia="en-GB"/>
              </w:rPr>
            </w:pPr>
            <w:r w:rsidRPr="006142F3">
              <w:rPr>
                <w:b/>
                <w:bCs/>
                <w:color w:val="000000"/>
                <w:sz w:val="16"/>
                <w:szCs w:val="16"/>
                <w:lang w:eastAsia="en-GB"/>
              </w:rPr>
              <w:t>Dec. 2011</w:t>
            </w:r>
          </w:p>
        </w:tc>
        <w:tc>
          <w:tcPr>
            <w:tcW w:w="384" w:type="pct"/>
            <w:shd w:val="clear" w:color="auto" w:fill="auto"/>
            <w:vAlign w:val="center"/>
          </w:tcPr>
          <w:p w:rsidR="00C752B3" w:rsidRPr="006142F3" w:rsidRDefault="00C752B3" w:rsidP="00C752B3">
            <w:pPr>
              <w:keepNext/>
              <w:autoSpaceDE w:val="0"/>
              <w:autoSpaceDN w:val="0"/>
              <w:adjustRightInd w:val="0"/>
              <w:spacing w:before="100" w:beforeAutospacing="1" w:after="100" w:afterAutospacing="1"/>
              <w:jc w:val="center"/>
              <w:rPr>
                <w:b/>
                <w:bCs/>
                <w:color w:val="000000"/>
                <w:sz w:val="16"/>
                <w:szCs w:val="16"/>
                <w:lang w:eastAsia="en-GB"/>
              </w:rPr>
            </w:pPr>
            <w:r w:rsidRPr="006142F3">
              <w:rPr>
                <w:b/>
                <w:bCs/>
                <w:color w:val="000000"/>
                <w:sz w:val="16"/>
                <w:szCs w:val="16"/>
                <w:lang w:eastAsia="en-GB"/>
              </w:rPr>
              <w:t>2012</w:t>
            </w:r>
          </w:p>
        </w:tc>
        <w:tc>
          <w:tcPr>
            <w:tcW w:w="413" w:type="pct"/>
            <w:shd w:val="clear" w:color="auto" w:fill="auto"/>
            <w:vAlign w:val="center"/>
          </w:tcPr>
          <w:p w:rsidR="00C752B3" w:rsidRPr="006142F3" w:rsidRDefault="00C752B3" w:rsidP="00C752B3">
            <w:pPr>
              <w:keepNext/>
              <w:autoSpaceDE w:val="0"/>
              <w:autoSpaceDN w:val="0"/>
              <w:adjustRightInd w:val="0"/>
              <w:spacing w:before="100" w:beforeAutospacing="1" w:after="100" w:afterAutospacing="1"/>
              <w:jc w:val="center"/>
              <w:rPr>
                <w:b/>
                <w:bCs/>
                <w:color w:val="000000"/>
                <w:sz w:val="16"/>
                <w:szCs w:val="16"/>
                <w:lang w:eastAsia="en-GB"/>
              </w:rPr>
            </w:pPr>
            <w:r w:rsidRPr="006142F3">
              <w:rPr>
                <w:b/>
                <w:bCs/>
                <w:color w:val="000000"/>
                <w:sz w:val="16"/>
                <w:szCs w:val="16"/>
                <w:lang w:eastAsia="en-GB"/>
              </w:rPr>
              <w:t>2013</w:t>
            </w:r>
          </w:p>
        </w:tc>
      </w:tr>
      <w:tr w:rsidR="00C752B3" w:rsidRPr="006142F3" w:rsidTr="00C752B3">
        <w:trPr>
          <w:trHeight w:val="216"/>
        </w:trPr>
        <w:tc>
          <w:tcPr>
            <w:tcW w:w="1434" w:type="pct"/>
            <w:shd w:val="clear" w:color="auto" w:fill="C9DED4"/>
          </w:tcPr>
          <w:p w:rsidR="00C752B3" w:rsidRPr="006142F3" w:rsidRDefault="00C752B3" w:rsidP="00C752B3">
            <w:pPr>
              <w:keepNext/>
              <w:autoSpaceDE w:val="0"/>
              <w:autoSpaceDN w:val="0"/>
              <w:adjustRightInd w:val="0"/>
              <w:spacing w:before="100" w:beforeAutospacing="1" w:after="100" w:afterAutospacing="1"/>
              <w:jc w:val="center"/>
              <w:rPr>
                <w:color w:val="000000"/>
                <w:sz w:val="16"/>
                <w:szCs w:val="16"/>
                <w:lang w:eastAsia="en-GB"/>
              </w:rPr>
            </w:pPr>
            <w:r w:rsidRPr="006142F3">
              <w:rPr>
                <w:color w:val="000000"/>
                <w:sz w:val="16"/>
                <w:szCs w:val="16"/>
                <w:lang w:eastAsia="en-GB"/>
              </w:rPr>
              <w:t>Boeing Volume (Units)</w:t>
            </w:r>
          </w:p>
        </w:tc>
        <w:tc>
          <w:tcPr>
            <w:tcW w:w="385" w:type="pct"/>
            <w:shd w:val="clear" w:color="auto" w:fill="C9DED4"/>
          </w:tcPr>
          <w:p w:rsidR="00C752B3" w:rsidRPr="006142F3" w:rsidRDefault="00C752B3" w:rsidP="00C752B3">
            <w:pPr>
              <w:keepNext/>
              <w:spacing w:before="100" w:beforeAutospacing="1" w:after="100" w:afterAutospacing="1"/>
              <w:jc w:val="center"/>
              <w:rPr>
                <w:color w:val="000000"/>
                <w:sz w:val="16"/>
                <w:szCs w:val="16"/>
                <w:lang w:eastAsia="en-GB"/>
              </w:rPr>
            </w:pPr>
            <w:r w:rsidRPr="006142F3">
              <w:rPr>
                <w:color w:val="000000"/>
                <w:sz w:val="16"/>
                <w:szCs w:val="16"/>
                <w:lang w:eastAsia="en-GB"/>
              </w:rPr>
              <w:t>0</w:t>
            </w:r>
          </w:p>
        </w:tc>
        <w:tc>
          <w:tcPr>
            <w:tcW w:w="384" w:type="pct"/>
            <w:shd w:val="clear" w:color="auto" w:fill="C9DED4"/>
          </w:tcPr>
          <w:p w:rsidR="00C752B3" w:rsidRPr="006142F3" w:rsidRDefault="00C752B3" w:rsidP="00C752B3">
            <w:pPr>
              <w:keepNext/>
              <w:spacing w:before="100" w:beforeAutospacing="1" w:after="100" w:afterAutospacing="1"/>
              <w:jc w:val="center"/>
              <w:rPr>
                <w:color w:val="000000"/>
                <w:sz w:val="16"/>
                <w:szCs w:val="16"/>
                <w:lang w:eastAsia="en-GB"/>
              </w:rPr>
            </w:pPr>
            <w:r w:rsidRPr="006142F3">
              <w:rPr>
                <w:color w:val="000000"/>
                <w:sz w:val="16"/>
                <w:szCs w:val="16"/>
                <w:lang w:eastAsia="en-GB"/>
              </w:rPr>
              <w:t>0</w:t>
            </w:r>
          </w:p>
        </w:tc>
        <w:tc>
          <w:tcPr>
            <w:tcW w:w="466" w:type="pct"/>
            <w:shd w:val="clear" w:color="auto" w:fill="C9DED4"/>
          </w:tcPr>
          <w:p w:rsidR="00C752B3" w:rsidRPr="006142F3" w:rsidRDefault="00C752B3" w:rsidP="00C752B3">
            <w:pPr>
              <w:keepNext/>
              <w:spacing w:before="100" w:beforeAutospacing="1" w:after="100" w:afterAutospacing="1"/>
              <w:jc w:val="center"/>
              <w:rPr>
                <w:color w:val="000000"/>
                <w:sz w:val="16"/>
                <w:szCs w:val="16"/>
                <w:lang w:eastAsia="en-GB"/>
              </w:rPr>
            </w:pPr>
            <w:r w:rsidRPr="006142F3">
              <w:rPr>
                <w:color w:val="000000"/>
                <w:sz w:val="16"/>
                <w:szCs w:val="16"/>
                <w:lang w:eastAsia="en-GB"/>
              </w:rPr>
              <w:t>0</w:t>
            </w:r>
          </w:p>
        </w:tc>
        <w:tc>
          <w:tcPr>
            <w:tcW w:w="384" w:type="pct"/>
            <w:shd w:val="clear" w:color="auto" w:fill="C9DED4"/>
          </w:tcPr>
          <w:p w:rsidR="00C752B3" w:rsidRPr="006142F3" w:rsidRDefault="00C752B3" w:rsidP="00C752B3">
            <w:pPr>
              <w:keepNext/>
              <w:spacing w:before="100" w:beforeAutospacing="1" w:after="100" w:afterAutospacing="1"/>
              <w:jc w:val="center"/>
              <w:rPr>
                <w:color w:val="000000"/>
                <w:sz w:val="16"/>
                <w:szCs w:val="16"/>
                <w:lang w:eastAsia="en-GB"/>
              </w:rPr>
            </w:pPr>
            <w:r w:rsidRPr="006142F3">
              <w:rPr>
                <w:color w:val="000000"/>
                <w:sz w:val="16"/>
                <w:szCs w:val="16"/>
                <w:lang w:eastAsia="en-GB"/>
              </w:rPr>
              <w:t>0</w:t>
            </w:r>
          </w:p>
        </w:tc>
        <w:tc>
          <w:tcPr>
            <w:tcW w:w="383" w:type="pct"/>
            <w:shd w:val="clear" w:color="auto" w:fill="C9DED4"/>
          </w:tcPr>
          <w:p w:rsidR="00C752B3" w:rsidRPr="006142F3" w:rsidRDefault="00C752B3" w:rsidP="00C752B3">
            <w:pPr>
              <w:keepNext/>
              <w:spacing w:before="100" w:beforeAutospacing="1" w:after="100" w:afterAutospacing="1"/>
              <w:jc w:val="center"/>
              <w:rPr>
                <w:color w:val="000000"/>
                <w:sz w:val="16"/>
                <w:szCs w:val="16"/>
                <w:lang w:eastAsia="en-GB"/>
              </w:rPr>
            </w:pPr>
            <w:r w:rsidRPr="006142F3">
              <w:rPr>
                <w:color w:val="000000"/>
                <w:sz w:val="16"/>
                <w:szCs w:val="16"/>
                <w:lang w:eastAsia="en-GB"/>
              </w:rPr>
              <w:t>0</w:t>
            </w:r>
          </w:p>
        </w:tc>
        <w:tc>
          <w:tcPr>
            <w:tcW w:w="383" w:type="pct"/>
            <w:shd w:val="clear" w:color="auto" w:fill="C9DED4"/>
          </w:tcPr>
          <w:p w:rsidR="00C752B3" w:rsidRPr="006142F3" w:rsidRDefault="00C752B3" w:rsidP="00C752B3">
            <w:pPr>
              <w:keepNext/>
              <w:spacing w:before="100" w:beforeAutospacing="1" w:after="100" w:afterAutospacing="1"/>
              <w:jc w:val="center"/>
              <w:rPr>
                <w:color w:val="000000"/>
                <w:sz w:val="16"/>
                <w:szCs w:val="16"/>
                <w:lang w:eastAsia="en-GB"/>
              </w:rPr>
            </w:pPr>
            <w:r w:rsidRPr="006142F3">
              <w:rPr>
                <w:color w:val="000000"/>
                <w:sz w:val="16"/>
                <w:szCs w:val="16"/>
                <w:lang w:eastAsia="en-GB"/>
              </w:rPr>
              <w:t>0</w:t>
            </w:r>
          </w:p>
        </w:tc>
        <w:tc>
          <w:tcPr>
            <w:tcW w:w="384" w:type="pct"/>
            <w:shd w:val="clear" w:color="auto" w:fill="C9DED4"/>
          </w:tcPr>
          <w:p w:rsidR="00C752B3" w:rsidRPr="006142F3" w:rsidRDefault="00C752B3" w:rsidP="00C752B3">
            <w:pPr>
              <w:keepNext/>
              <w:spacing w:before="100" w:beforeAutospacing="1" w:after="100" w:afterAutospacing="1"/>
              <w:jc w:val="center"/>
              <w:rPr>
                <w:color w:val="000000"/>
                <w:sz w:val="16"/>
                <w:szCs w:val="16"/>
                <w:lang w:eastAsia="en-GB"/>
              </w:rPr>
            </w:pPr>
            <w:r w:rsidRPr="006142F3">
              <w:rPr>
                <w:color w:val="000000"/>
                <w:sz w:val="16"/>
                <w:szCs w:val="16"/>
                <w:lang w:eastAsia="en-GB"/>
              </w:rPr>
              <w:t>0</w:t>
            </w:r>
          </w:p>
        </w:tc>
        <w:tc>
          <w:tcPr>
            <w:tcW w:w="384" w:type="pct"/>
            <w:shd w:val="clear" w:color="auto" w:fill="C9DED4"/>
          </w:tcPr>
          <w:p w:rsidR="00C752B3" w:rsidRPr="006142F3" w:rsidRDefault="00C752B3" w:rsidP="00C752B3">
            <w:pPr>
              <w:keepNext/>
              <w:spacing w:before="100" w:beforeAutospacing="1" w:after="100" w:afterAutospacing="1"/>
              <w:jc w:val="center"/>
              <w:rPr>
                <w:color w:val="000000"/>
                <w:sz w:val="16"/>
                <w:szCs w:val="16"/>
                <w:lang w:eastAsia="en-GB"/>
              </w:rPr>
            </w:pPr>
            <w:r w:rsidRPr="006142F3">
              <w:rPr>
                <w:color w:val="000000"/>
                <w:sz w:val="16"/>
                <w:szCs w:val="16"/>
                <w:lang w:eastAsia="en-GB"/>
              </w:rPr>
              <w:t>0</w:t>
            </w:r>
          </w:p>
        </w:tc>
        <w:tc>
          <w:tcPr>
            <w:tcW w:w="413" w:type="pct"/>
            <w:shd w:val="clear" w:color="auto" w:fill="C9DED4"/>
          </w:tcPr>
          <w:p w:rsidR="00C752B3" w:rsidRPr="006142F3" w:rsidRDefault="00C752B3" w:rsidP="00C752B3">
            <w:pPr>
              <w:keepNext/>
              <w:spacing w:before="100" w:beforeAutospacing="1" w:after="100" w:afterAutospacing="1"/>
              <w:jc w:val="center"/>
              <w:rPr>
                <w:color w:val="000000"/>
                <w:sz w:val="16"/>
                <w:szCs w:val="16"/>
                <w:lang w:eastAsia="en-GB"/>
              </w:rPr>
            </w:pPr>
            <w:r w:rsidRPr="006142F3">
              <w:rPr>
                <w:color w:val="000000"/>
                <w:sz w:val="16"/>
                <w:szCs w:val="16"/>
                <w:lang w:eastAsia="en-GB"/>
              </w:rPr>
              <w:t>0</w:t>
            </w:r>
          </w:p>
        </w:tc>
      </w:tr>
      <w:tr w:rsidR="00C752B3" w:rsidRPr="006142F3" w:rsidTr="00C752B3">
        <w:trPr>
          <w:trHeight w:val="17"/>
        </w:trPr>
        <w:tc>
          <w:tcPr>
            <w:tcW w:w="1434" w:type="pct"/>
            <w:shd w:val="clear" w:color="auto" w:fill="auto"/>
          </w:tcPr>
          <w:p w:rsidR="00C752B3" w:rsidRPr="006142F3" w:rsidRDefault="00C752B3" w:rsidP="00C752B3">
            <w:pPr>
              <w:keepNext/>
              <w:autoSpaceDE w:val="0"/>
              <w:autoSpaceDN w:val="0"/>
              <w:adjustRightInd w:val="0"/>
              <w:spacing w:before="100" w:beforeAutospacing="1" w:after="100" w:afterAutospacing="1"/>
              <w:jc w:val="center"/>
              <w:rPr>
                <w:color w:val="000000"/>
                <w:sz w:val="16"/>
                <w:szCs w:val="16"/>
                <w:lang w:eastAsia="en-GB"/>
              </w:rPr>
            </w:pPr>
            <w:r w:rsidRPr="006142F3">
              <w:rPr>
                <w:color w:val="000000"/>
                <w:sz w:val="16"/>
                <w:szCs w:val="16"/>
                <w:lang w:eastAsia="en-GB"/>
              </w:rPr>
              <w:t>Boeing Market Share</w:t>
            </w:r>
          </w:p>
        </w:tc>
        <w:tc>
          <w:tcPr>
            <w:tcW w:w="385" w:type="pct"/>
            <w:shd w:val="clear" w:color="auto" w:fill="auto"/>
          </w:tcPr>
          <w:p w:rsidR="00C752B3" w:rsidRPr="006142F3" w:rsidRDefault="00C752B3" w:rsidP="00C752B3">
            <w:pPr>
              <w:keepNext/>
              <w:spacing w:before="100" w:beforeAutospacing="1" w:after="100" w:afterAutospacing="1"/>
              <w:jc w:val="center"/>
              <w:rPr>
                <w:color w:val="000000"/>
                <w:sz w:val="16"/>
                <w:szCs w:val="16"/>
                <w:lang w:eastAsia="en-GB"/>
              </w:rPr>
            </w:pPr>
            <w:r w:rsidRPr="006142F3">
              <w:rPr>
                <w:color w:val="000000"/>
                <w:sz w:val="16"/>
                <w:szCs w:val="16"/>
                <w:lang w:eastAsia="en-GB"/>
              </w:rPr>
              <w:t>-</w:t>
            </w:r>
          </w:p>
        </w:tc>
        <w:tc>
          <w:tcPr>
            <w:tcW w:w="384" w:type="pct"/>
            <w:shd w:val="clear" w:color="auto" w:fill="auto"/>
          </w:tcPr>
          <w:p w:rsidR="00C752B3" w:rsidRPr="006142F3" w:rsidRDefault="00C752B3" w:rsidP="00C752B3">
            <w:pPr>
              <w:keepNext/>
              <w:spacing w:before="100" w:beforeAutospacing="1" w:after="100" w:afterAutospacing="1"/>
              <w:jc w:val="center"/>
              <w:rPr>
                <w:color w:val="000000"/>
                <w:sz w:val="16"/>
                <w:szCs w:val="16"/>
                <w:lang w:eastAsia="en-GB"/>
              </w:rPr>
            </w:pPr>
            <w:r w:rsidRPr="006142F3">
              <w:rPr>
                <w:color w:val="000000"/>
                <w:sz w:val="16"/>
                <w:szCs w:val="16"/>
                <w:lang w:eastAsia="en-GB"/>
              </w:rPr>
              <w:t>0.0%</w:t>
            </w:r>
          </w:p>
        </w:tc>
        <w:tc>
          <w:tcPr>
            <w:tcW w:w="466" w:type="pct"/>
            <w:shd w:val="clear" w:color="auto" w:fill="auto"/>
          </w:tcPr>
          <w:p w:rsidR="00C752B3" w:rsidRPr="006142F3" w:rsidRDefault="00C752B3" w:rsidP="00C752B3">
            <w:pPr>
              <w:keepNext/>
              <w:spacing w:before="100" w:beforeAutospacing="1" w:after="100" w:afterAutospacing="1"/>
              <w:jc w:val="center"/>
              <w:rPr>
                <w:color w:val="000000"/>
                <w:sz w:val="16"/>
                <w:szCs w:val="16"/>
                <w:lang w:eastAsia="en-GB"/>
              </w:rPr>
            </w:pPr>
            <w:r w:rsidRPr="006142F3">
              <w:rPr>
                <w:color w:val="000000"/>
                <w:sz w:val="16"/>
                <w:szCs w:val="16"/>
                <w:lang w:eastAsia="en-GB"/>
              </w:rPr>
              <w:t>0.0%</w:t>
            </w:r>
          </w:p>
        </w:tc>
        <w:tc>
          <w:tcPr>
            <w:tcW w:w="384" w:type="pct"/>
            <w:shd w:val="clear" w:color="auto" w:fill="auto"/>
          </w:tcPr>
          <w:p w:rsidR="00C752B3" w:rsidRPr="006142F3" w:rsidRDefault="00C752B3" w:rsidP="00C752B3">
            <w:pPr>
              <w:keepNext/>
              <w:spacing w:before="100" w:beforeAutospacing="1" w:after="100" w:afterAutospacing="1"/>
              <w:jc w:val="center"/>
              <w:rPr>
                <w:color w:val="000000"/>
                <w:sz w:val="16"/>
                <w:szCs w:val="16"/>
                <w:lang w:eastAsia="en-GB"/>
              </w:rPr>
            </w:pPr>
            <w:r w:rsidRPr="006142F3">
              <w:rPr>
                <w:color w:val="000000"/>
                <w:sz w:val="16"/>
                <w:szCs w:val="16"/>
                <w:lang w:eastAsia="en-GB"/>
              </w:rPr>
              <w:t>-</w:t>
            </w:r>
          </w:p>
        </w:tc>
        <w:tc>
          <w:tcPr>
            <w:tcW w:w="383" w:type="pct"/>
            <w:shd w:val="clear" w:color="auto" w:fill="auto"/>
          </w:tcPr>
          <w:p w:rsidR="00C752B3" w:rsidRPr="006142F3" w:rsidRDefault="00C752B3" w:rsidP="00C752B3">
            <w:pPr>
              <w:keepNext/>
              <w:spacing w:before="100" w:beforeAutospacing="1" w:after="100" w:afterAutospacing="1"/>
              <w:jc w:val="center"/>
              <w:rPr>
                <w:color w:val="000000"/>
                <w:sz w:val="16"/>
                <w:szCs w:val="16"/>
                <w:lang w:eastAsia="en-GB"/>
              </w:rPr>
            </w:pPr>
            <w:r w:rsidRPr="006142F3">
              <w:rPr>
                <w:color w:val="000000"/>
                <w:sz w:val="16"/>
                <w:szCs w:val="16"/>
                <w:lang w:eastAsia="en-GB"/>
              </w:rPr>
              <w:t>0.0%</w:t>
            </w:r>
          </w:p>
        </w:tc>
        <w:tc>
          <w:tcPr>
            <w:tcW w:w="383" w:type="pct"/>
            <w:shd w:val="clear" w:color="auto" w:fill="auto"/>
          </w:tcPr>
          <w:p w:rsidR="00C752B3" w:rsidRPr="006142F3" w:rsidRDefault="00C752B3" w:rsidP="00C752B3">
            <w:pPr>
              <w:keepNext/>
              <w:spacing w:before="100" w:beforeAutospacing="1" w:after="100" w:afterAutospacing="1"/>
              <w:jc w:val="center"/>
              <w:rPr>
                <w:color w:val="000000"/>
                <w:sz w:val="16"/>
                <w:szCs w:val="16"/>
                <w:lang w:eastAsia="en-GB"/>
              </w:rPr>
            </w:pPr>
            <w:r w:rsidRPr="006142F3">
              <w:rPr>
                <w:color w:val="000000"/>
                <w:sz w:val="16"/>
                <w:szCs w:val="16"/>
                <w:lang w:eastAsia="en-GB"/>
              </w:rPr>
              <w:t>-</w:t>
            </w:r>
          </w:p>
        </w:tc>
        <w:tc>
          <w:tcPr>
            <w:tcW w:w="384" w:type="pct"/>
            <w:shd w:val="clear" w:color="auto" w:fill="auto"/>
          </w:tcPr>
          <w:p w:rsidR="00C752B3" w:rsidRPr="006142F3" w:rsidRDefault="00C752B3" w:rsidP="00C752B3">
            <w:pPr>
              <w:keepNext/>
              <w:spacing w:before="100" w:beforeAutospacing="1" w:after="100" w:afterAutospacing="1"/>
              <w:jc w:val="center"/>
              <w:rPr>
                <w:color w:val="000000"/>
                <w:sz w:val="16"/>
                <w:szCs w:val="16"/>
                <w:lang w:eastAsia="en-GB"/>
              </w:rPr>
            </w:pPr>
            <w:r w:rsidRPr="006142F3">
              <w:rPr>
                <w:color w:val="000000"/>
                <w:sz w:val="16"/>
                <w:szCs w:val="16"/>
                <w:lang w:eastAsia="en-GB"/>
              </w:rPr>
              <w:t>0.0%</w:t>
            </w:r>
          </w:p>
        </w:tc>
        <w:tc>
          <w:tcPr>
            <w:tcW w:w="384" w:type="pct"/>
            <w:shd w:val="clear" w:color="auto" w:fill="auto"/>
          </w:tcPr>
          <w:p w:rsidR="00C752B3" w:rsidRPr="006142F3" w:rsidRDefault="00C752B3" w:rsidP="00C752B3">
            <w:pPr>
              <w:keepNext/>
              <w:spacing w:before="100" w:beforeAutospacing="1" w:after="100" w:afterAutospacing="1"/>
              <w:jc w:val="center"/>
              <w:rPr>
                <w:color w:val="000000"/>
                <w:sz w:val="16"/>
                <w:szCs w:val="16"/>
                <w:lang w:eastAsia="en-GB"/>
              </w:rPr>
            </w:pPr>
            <w:r w:rsidRPr="006142F3">
              <w:rPr>
                <w:color w:val="000000"/>
                <w:sz w:val="16"/>
                <w:szCs w:val="16"/>
                <w:lang w:eastAsia="en-GB"/>
              </w:rPr>
              <w:t>0.0%</w:t>
            </w:r>
          </w:p>
        </w:tc>
        <w:tc>
          <w:tcPr>
            <w:tcW w:w="413" w:type="pct"/>
            <w:shd w:val="clear" w:color="auto" w:fill="auto"/>
          </w:tcPr>
          <w:p w:rsidR="00C752B3" w:rsidRPr="006142F3" w:rsidRDefault="00C752B3" w:rsidP="00C752B3">
            <w:pPr>
              <w:keepNext/>
              <w:spacing w:before="100" w:beforeAutospacing="1" w:after="100" w:afterAutospacing="1"/>
              <w:jc w:val="center"/>
              <w:rPr>
                <w:color w:val="000000"/>
                <w:sz w:val="16"/>
                <w:szCs w:val="16"/>
                <w:lang w:eastAsia="en-GB"/>
              </w:rPr>
            </w:pPr>
            <w:r w:rsidRPr="006142F3">
              <w:rPr>
                <w:color w:val="000000"/>
                <w:sz w:val="16"/>
                <w:szCs w:val="16"/>
                <w:lang w:eastAsia="en-GB"/>
              </w:rPr>
              <w:t>0.0%</w:t>
            </w:r>
          </w:p>
        </w:tc>
      </w:tr>
      <w:tr w:rsidR="00C752B3" w:rsidRPr="006142F3" w:rsidTr="00C752B3">
        <w:trPr>
          <w:trHeight w:val="216"/>
        </w:trPr>
        <w:tc>
          <w:tcPr>
            <w:tcW w:w="1434" w:type="pct"/>
            <w:shd w:val="clear" w:color="auto" w:fill="C9DED4"/>
          </w:tcPr>
          <w:p w:rsidR="00C752B3" w:rsidRPr="006142F3" w:rsidRDefault="00C752B3" w:rsidP="00C752B3">
            <w:pPr>
              <w:autoSpaceDE w:val="0"/>
              <w:autoSpaceDN w:val="0"/>
              <w:adjustRightInd w:val="0"/>
              <w:spacing w:before="100" w:beforeAutospacing="1" w:after="100" w:afterAutospacing="1"/>
              <w:jc w:val="center"/>
              <w:rPr>
                <w:color w:val="000000"/>
                <w:sz w:val="16"/>
                <w:szCs w:val="16"/>
                <w:lang w:eastAsia="en-GB"/>
              </w:rPr>
            </w:pPr>
            <w:r w:rsidRPr="006142F3">
              <w:rPr>
                <w:color w:val="000000"/>
                <w:sz w:val="16"/>
                <w:szCs w:val="16"/>
                <w:lang w:eastAsia="en-GB"/>
              </w:rPr>
              <w:t>Airbus Volume (Units)</w:t>
            </w:r>
          </w:p>
        </w:tc>
        <w:tc>
          <w:tcPr>
            <w:tcW w:w="385" w:type="pct"/>
            <w:shd w:val="clear" w:color="auto" w:fill="C9DED4"/>
          </w:tcPr>
          <w:p w:rsidR="00C752B3" w:rsidRPr="006142F3" w:rsidRDefault="00C752B3" w:rsidP="00C752B3">
            <w:pPr>
              <w:spacing w:before="100" w:beforeAutospacing="1" w:after="100" w:afterAutospacing="1"/>
              <w:jc w:val="center"/>
              <w:rPr>
                <w:color w:val="000000"/>
                <w:sz w:val="16"/>
                <w:szCs w:val="16"/>
                <w:lang w:eastAsia="en-GB"/>
              </w:rPr>
            </w:pPr>
            <w:r w:rsidRPr="006142F3">
              <w:rPr>
                <w:color w:val="000000"/>
                <w:sz w:val="16"/>
                <w:szCs w:val="16"/>
                <w:lang w:eastAsia="en-GB"/>
              </w:rPr>
              <w:t>0</w:t>
            </w:r>
          </w:p>
        </w:tc>
        <w:tc>
          <w:tcPr>
            <w:tcW w:w="384" w:type="pct"/>
            <w:shd w:val="clear" w:color="auto" w:fill="C9DED4"/>
          </w:tcPr>
          <w:p w:rsidR="00C752B3" w:rsidRPr="006142F3" w:rsidRDefault="00C752B3" w:rsidP="00C752B3">
            <w:pPr>
              <w:spacing w:before="100" w:beforeAutospacing="1" w:after="100" w:afterAutospacing="1"/>
              <w:jc w:val="center"/>
              <w:rPr>
                <w:color w:val="000000"/>
                <w:sz w:val="16"/>
                <w:szCs w:val="16"/>
                <w:lang w:eastAsia="en-GB"/>
              </w:rPr>
            </w:pPr>
            <w:r w:rsidRPr="006142F3">
              <w:rPr>
                <w:color w:val="000000"/>
                <w:sz w:val="16"/>
                <w:szCs w:val="16"/>
                <w:lang w:eastAsia="en-GB"/>
              </w:rPr>
              <w:t>1</w:t>
            </w:r>
          </w:p>
        </w:tc>
        <w:tc>
          <w:tcPr>
            <w:tcW w:w="466" w:type="pct"/>
            <w:shd w:val="clear" w:color="auto" w:fill="C9DED4"/>
          </w:tcPr>
          <w:p w:rsidR="00C752B3" w:rsidRPr="006142F3" w:rsidRDefault="00C752B3" w:rsidP="00C752B3">
            <w:pPr>
              <w:spacing w:before="100" w:beforeAutospacing="1" w:after="100" w:afterAutospacing="1"/>
              <w:jc w:val="center"/>
              <w:rPr>
                <w:color w:val="000000"/>
                <w:sz w:val="16"/>
                <w:szCs w:val="16"/>
                <w:lang w:eastAsia="en-GB"/>
              </w:rPr>
            </w:pPr>
            <w:r w:rsidRPr="006142F3">
              <w:rPr>
                <w:color w:val="000000"/>
                <w:sz w:val="16"/>
                <w:szCs w:val="16"/>
                <w:lang w:eastAsia="en-GB"/>
              </w:rPr>
              <w:t>2</w:t>
            </w:r>
          </w:p>
        </w:tc>
        <w:tc>
          <w:tcPr>
            <w:tcW w:w="384" w:type="pct"/>
            <w:shd w:val="clear" w:color="auto" w:fill="C9DED4"/>
          </w:tcPr>
          <w:p w:rsidR="00C752B3" w:rsidRPr="006142F3" w:rsidRDefault="00C752B3" w:rsidP="00C752B3">
            <w:pPr>
              <w:spacing w:before="100" w:beforeAutospacing="1" w:after="100" w:afterAutospacing="1"/>
              <w:jc w:val="center"/>
              <w:rPr>
                <w:color w:val="000000"/>
                <w:sz w:val="16"/>
                <w:szCs w:val="16"/>
                <w:lang w:eastAsia="en-GB"/>
              </w:rPr>
            </w:pPr>
            <w:r w:rsidRPr="006142F3">
              <w:rPr>
                <w:color w:val="000000"/>
                <w:sz w:val="16"/>
                <w:szCs w:val="16"/>
                <w:lang w:eastAsia="en-GB"/>
              </w:rPr>
              <w:t>0</w:t>
            </w:r>
          </w:p>
        </w:tc>
        <w:tc>
          <w:tcPr>
            <w:tcW w:w="383" w:type="pct"/>
            <w:shd w:val="clear" w:color="auto" w:fill="C9DED4"/>
          </w:tcPr>
          <w:p w:rsidR="00C752B3" w:rsidRPr="006142F3" w:rsidRDefault="00C752B3" w:rsidP="00C752B3">
            <w:pPr>
              <w:spacing w:before="100" w:beforeAutospacing="1" w:after="100" w:afterAutospacing="1"/>
              <w:jc w:val="center"/>
              <w:rPr>
                <w:color w:val="000000"/>
                <w:sz w:val="16"/>
                <w:szCs w:val="16"/>
                <w:lang w:eastAsia="en-GB"/>
              </w:rPr>
            </w:pPr>
            <w:r w:rsidRPr="006142F3">
              <w:rPr>
                <w:color w:val="000000"/>
                <w:sz w:val="16"/>
                <w:szCs w:val="16"/>
                <w:lang w:eastAsia="en-GB"/>
              </w:rPr>
              <w:t>5</w:t>
            </w:r>
          </w:p>
        </w:tc>
        <w:tc>
          <w:tcPr>
            <w:tcW w:w="383" w:type="pct"/>
            <w:shd w:val="clear" w:color="auto" w:fill="C9DED4"/>
          </w:tcPr>
          <w:p w:rsidR="00C752B3" w:rsidRPr="006142F3" w:rsidRDefault="00C752B3" w:rsidP="00C752B3">
            <w:pPr>
              <w:spacing w:before="100" w:beforeAutospacing="1" w:after="100" w:afterAutospacing="1"/>
              <w:jc w:val="center"/>
              <w:rPr>
                <w:color w:val="000000"/>
                <w:sz w:val="16"/>
                <w:szCs w:val="16"/>
                <w:lang w:eastAsia="en-GB"/>
              </w:rPr>
            </w:pPr>
            <w:r w:rsidRPr="006142F3">
              <w:rPr>
                <w:color w:val="000000"/>
                <w:sz w:val="16"/>
                <w:szCs w:val="16"/>
                <w:lang w:eastAsia="en-GB"/>
              </w:rPr>
              <w:t>0</w:t>
            </w:r>
          </w:p>
        </w:tc>
        <w:tc>
          <w:tcPr>
            <w:tcW w:w="384" w:type="pct"/>
            <w:shd w:val="clear" w:color="auto" w:fill="C9DED4"/>
          </w:tcPr>
          <w:p w:rsidR="00C752B3" w:rsidRPr="006142F3" w:rsidRDefault="00C752B3" w:rsidP="00C752B3">
            <w:pPr>
              <w:spacing w:before="100" w:beforeAutospacing="1" w:after="100" w:afterAutospacing="1"/>
              <w:jc w:val="center"/>
              <w:rPr>
                <w:color w:val="000000"/>
                <w:sz w:val="16"/>
                <w:szCs w:val="16"/>
                <w:lang w:eastAsia="en-GB"/>
              </w:rPr>
            </w:pPr>
            <w:r w:rsidRPr="006142F3">
              <w:rPr>
                <w:color w:val="000000"/>
                <w:sz w:val="16"/>
                <w:szCs w:val="16"/>
                <w:lang w:eastAsia="en-GB"/>
              </w:rPr>
              <w:t>2</w:t>
            </w:r>
          </w:p>
        </w:tc>
        <w:tc>
          <w:tcPr>
            <w:tcW w:w="384" w:type="pct"/>
            <w:shd w:val="clear" w:color="auto" w:fill="C9DED4"/>
          </w:tcPr>
          <w:p w:rsidR="00C752B3" w:rsidRPr="006142F3" w:rsidRDefault="00C752B3" w:rsidP="00C752B3">
            <w:pPr>
              <w:spacing w:before="100" w:beforeAutospacing="1" w:after="100" w:afterAutospacing="1"/>
              <w:jc w:val="center"/>
              <w:rPr>
                <w:color w:val="000000"/>
                <w:sz w:val="16"/>
                <w:szCs w:val="16"/>
                <w:lang w:eastAsia="en-GB"/>
              </w:rPr>
            </w:pPr>
            <w:r w:rsidRPr="006142F3">
              <w:rPr>
                <w:color w:val="000000"/>
                <w:sz w:val="16"/>
                <w:szCs w:val="16"/>
                <w:lang w:eastAsia="en-GB"/>
              </w:rPr>
              <w:t>11</w:t>
            </w:r>
          </w:p>
        </w:tc>
        <w:tc>
          <w:tcPr>
            <w:tcW w:w="413" w:type="pct"/>
            <w:shd w:val="clear" w:color="auto" w:fill="C9DED4"/>
          </w:tcPr>
          <w:p w:rsidR="00C752B3" w:rsidRPr="006142F3" w:rsidRDefault="00C752B3" w:rsidP="00C752B3">
            <w:pPr>
              <w:spacing w:before="100" w:beforeAutospacing="1" w:after="100" w:afterAutospacing="1"/>
              <w:jc w:val="center"/>
              <w:rPr>
                <w:color w:val="000000"/>
                <w:sz w:val="16"/>
                <w:szCs w:val="16"/>
                <w:lang w:eastAsia="en-GB"/>
              </w:rPr>
            </w:pPr>
            <w:r w:rsidRPr="006142F3">
              <w:rPr>
                <w:color w:val="000000"/>
                <w:sz w:val="16"/>
                <w:szCs w:val="16"/>
                <w:lang w:eastAsia="en-GB"/>
              </w:rPr>
              <w:t>13</w:t>
            </w:r>
          </w:p>
        </w:tc>
      </w:tr>
      <w:tr w:rsidR="00C752B3" w:rsidRPr="006142F3" w:rsidTr="00C752B3">
        <w:trPr>
          <w:trHeight w:val="216"/>
        </w:trPr>
        <w:tc>
          <w:tcPr>
            <w:tcW w:w="1434" w:type="pct"/>
            <w:shd w:val="clear" w:color="auto" w:fill="auto"/>
          </w:tcPr>
          <w:p w:rsidR="00C752B3" w:rsidRPr="006142F3" w:rsidRDefault="00C752B3" w:rsidP="00C752B3">
            <w:pPr>
              <w:autoSpaceDE w:val="0"/>
              <w:autoSpaceDN w:val="0"/>
              <w:adjustRightInd w:val="0"/>
              <w:spacing w:before="100" w:beforeAutospacing="1" w:after="100" w:afterAutospacing="1"/>
              <w:jc w:val="center"/>
              <w:rPr>
                <w:color w:val="000000"/>
                <w:sz w:val="16"/>
                <w:szCs w:val="16"/>
                <w:lang w:eastAsia="en-GB"/>
              </w:rPr>
            </w:pPr>
            <w:r w:rsidRPr="006142F3">
              <w:rPr>
                <w:color w:val="000000"/>
                <w:sz w:val="16"/>
                <w:szCs w:val="16"/>
                <w:lang w:eastAsia="en-GB"/>
              </w:rPr>
              <w:t>Airbus Market Share</w:t>
            </w:r>
          </w:p>
        </w:tc>
        <w:tc>
          <w:tcPr>
            <w:tcW w:w="385" w:type="pct"/>
            <w:shd w:val="clear" w:color="auto" w:fill="auto"/>
          </w:tcPr>
          <w:p w:rsidR="00C752B3" w:rsidRPr="006142F3" w:rsidRDefault="00C752B3" w:rsidP="00C752B3">
            <w:pPr>
              <w:spacing w:before="100" w:beforeAutospacing="1" w:after="100" w:afterAutospacing="1"/>
              <w:jc w:val="center"/>
              <w:rPr>
                <w:color w:val="000000"/>
                <w:sz w:val="16"/>
                <w:szCs w:val="16"/>
                <w:lang w:eastAsia="en-GB"/>
              </w:rPr>
            </w:pPr>
            <w:r w:rsidRPr="006142F3">
              <w:rPr>
                <w:color w:val="000000"/>
                <w:sz w:val="16"/>
                <w:szCs w:val="16"/>
                <w:lang w:eastAsia="en-GB"/>
              </w:rPr>
              <w:t>-</w:t>
            </w:r>
          </w:p>
        </w:tc>
        <w:tc>
          <w:tcPr>
            <w:tcW w:w="384" w:type="pct"/>
            <w:shd w:val="clear" w:color="auto" w:fill="auto"/>
          </w:tcPr>
          <w:p w:rsidR="00C752B3" w:rsidRPr="006142F3" w:rsidRDefault="00C752B3" w:rsidP="00C752B3">
            <w:pPr>
              <w:spacing w:before="100" w:beforeAutospacing="1" w:after="100" w:afterAutospacing="1"/>
              <w:jc w:val="center"/>
              <w:rPr>
                <w:color w:val="000000"/>
                <w:sz w:val="16"/>
                <w:szCs w:val="16"/>
                <w:lang w:eastAsia="en-GB"/>
              </w:rPr>
            </w:pPr>
            <w:r w:rsidRPr="006142F3">
              <w:rPr>
                <w:color w:val="000000"/>
                <w:sz w:val="16"/>
                <w:szCs w:val="16"/>
                <w:lang w:eastAsia="en-GB"/>
              </w:rPr>
              <w:t>100%</w:t>
            </w:r>
          </w:p>
        </w:tc>
        <w:tc>
          <w:tcPr>
            <w:tcW w:w="466" w:type="pct"/>
            <w:shd w:val="clear" w:color="auto" w:fill="auto"/>
          </w:tcPr>
          <w:p w:rsidR="00C752B3" w:rsidRPr="006142F3" w:rsidRDefault="00C752B3" w:rsidP="00C752B3">
            <w:pPr>
              <w:spacing w:before="100" w:beforeAutospacing="1" w:after="100" w:afterAutospacing="1"/>
              <w:jc w:val="center"/>
              <w:rPr>
                <w:color w:val="000000"/>
                <w:sz w:val="16"/>
                <w:szCs w:val="16"/>
                <w:lang w:eastAsia="en-GB"/>
              </w:rPr>
            </w:pPr>
            <w:r w:rsidRPr="006142F3">
              <w:rPr>
                <w:color w:val="000000"/>
                <w:sz w:val="16"/>
                <w:szCs w:val="16"/>
                <w:lang w:eastAsia="en-GB"/>
              </w:rPr>
              <w:t>100%</w:t>
            </w:r>
          </w:p>
        </w:tc>
        <w:tc>
          <w:tcPr>
            <w:tcW w:w="384" w:type="pct"/>
            <w:shd w:val="clear" w:color="auto" w:fill="auto"/>
          </w:tcPr>
          <w:p w:rsidR="00C752B3" w:rsidRPr="006142F3" w:rsidRDefault="00C752B3" w:rsidP="00C752B3">
            <w:pPr>
              <w:spacing w:before="100" w:beforeAutospacing="1" w:after="100" w:afterAutospacing="1"/>
              <w:jc w:val="center"/>
              <w:rPr>
                <w:color w:val="000000"/>
                <w:sz w:val="16"/>
                <w:szCs w:val="16"/>
                <w:lang w:eastAsia="en-GB"/>
              </w:rPr>
            </w:pPr>
            <w:r w:rsidRPr="006142F3">
              <w:rPr>
                <w:color w:val="000000"/>
                <w:sz w:val="16"/>
                <w:szCs w:val="16"/>
                <w:lang w:eastAsia="en-GB"/>
              </w:rPr>
              <w:t>-</w:t>
            </w:r>
          </w:p>
        </w:tc>
        <w:tc>
          <w:tcPr>
            <w:tcW w:w="383" w:type="pct"/>
            <w:shd w:val="clear" w:color="auto" w:fill="auto"/>
          </w:tcPr>
          <w:p w:rsidR="00C752B3" w:rsidRPr="006142F3" w:rsidRDefault="00C752B3" w:rsidP="00C752B3">
            <w:pPr>
              <w:spacing w:before="100" w:beforeAutospacing="1" w:after="100" w:afterAutospacing="1"/>
              <w:jc w:val="center"/>
              <w:rPr>
                <w:color w:val="000000"/>
                <w:sz w:val="16"/>
                <w:szCs w:val="16"/>
                <w:lang w:eastAsia="en-GB"/>
              </w:rPr>
            </w:pPr>
            <w:r w:rsidRPr="006142F3">
              <w:rPr>
                <w:color w:val="000000"/>
                <w:sz w:val="16"/>
                <w:szCs w:val="16"/>
                <w:lang w:eastAsia="en-GB"/>
              </w:rPr>
              <w:t>100%</w:t>
            </w:r>
          </w:p>
        </w:tc>
        <w:tc>
          <w:tcPr>
            <w:tcW w:w="383" w:type="pct"/>
            <w:shd w:val="clear" w:color="auto" w:fill="auto"/>
          </w:tcPr>
          <w:p w:rsidR="00C752B3" w:rsidRPr="006142F3" w:rsidRDefault="00C752B3" w:rsidP="00C752B3">
            <w:pPr>
              <w:spacing w:before="100" w:beforeAutospacing="1" w:after="100" w:afterAutospacing="1"/>
              <w:jc w:val="center"/>
              <w:rPr>
                <w:color w:val="000000"/>
                <w:sz w:val="16"/>
                <w:szCs w:val="16"/>
                <w:lang w:eastAsia="en-GB"/>
              </w:rPr>
            </w:pPr>
            <w:r w:rsidRPr="006142F3">
              <w:rPr>
                <w:color w:val="000000"/>
                <w:sz w:val="16"/>
                <w:szCs w:val="16"/>
                <w:lang w:eastAsia="en-GB"/>
              </w:rPr>
              <w:t>-</w:t>
            </w:r>
          </w:p>
        </w:tc>
        <w:tc>
          <w:tcPr>
            <w:tcW w:w="384" w:type="pct"/>
            <w:shd w:val="clear" w:color="auto" w:fill="auto"/>
          </w:tcPr>
          <w:p w:rsidR="00C752B3" w:rsidRPr="006142F3" w:rsidRDefault="00C752B3" w:rsidP="00C752B3">
            <w:pPr>
              <w:spacing w:before="100" w:beforeAutospacing="1" w:after="100" w:afterAutospacing="1"/>
              <w:jc w:val="center"/>
              <w:rPr>
                <w:color w:val="000000"/>
                <w:sz w:val="16"/>
                <w:szCs w:val="16"/>
                <w:lang w:eastAsia="en-GB"/>
              </w:rPr>
            </w:pPr>
            <w:r w:rsidRPr="006142F3">
              <w:rPr>
                <w:color w:val="000000"/>
                <w:sz w:val="16"/>
                <w:szCs w:val="16"/>
                <w:lang w:eastAsia="en-GB"/>
              </w:rPr>
              <w:t>100%</w:t>
            </w:r>
          </w:p>
        </w:tc>
        <w:tc>
          <w:tcPr>
            <w:tcW w:w="384" w:type="pct"/>
            <w:shd w:val="clear" w:color="auto" w:fill="auto"/>
          </w:tcPr>
          <w:p w:rsidR="00C752B3" w:rsidRPr="006142F3" w:rsidRDefault="00C752B3" w:rsidP="00C752B3">
            <w:pPr>
              <w:spacing w:before="100" w:beforeAutospacing="1" w:after="100" w:afterAutospacing="1"/>
              <w:jc w:val="center"/>
              <w:rPr>
                <w:color w:val="000000"/>
                <w:sz w:val="16"/>
                <w:szCs w:val="16"/>
                <w:lang w:eastAsia="en-GB"/>
              </w:rPr>
            </w:pPr>
            <w:r w:rsidRPr="006142F3">
              <w:rPr>
                <w:color w:val="000000"/>
                <w:sz w:val="16"/>
                <w:szCs w:val="16"/>
                <w:lang w:eastAsia="en-GB"/>
              </w:rPr>
              <w:t>100%</w:t>
            </w:r>
          </w:p>
        </w:tc>
        <w:tc>
          <w:tcPr>
            <w:tcW w:w="413" w:type="pct"/>
            <w:shd w:val="clear" w:color="auto" w:fill="auto"/>
          </w:tcPr>
          <w:p w:rsidR="00C752B3" w:rsidRPr="006142F3" w:rsidRDefault="00C752B3" w:rsidP="00C752B3">
            <w:pPr>
              <w:spacing w:before="100" w:beforeAutospacing="1" w:after="100" w:afterAutospacing="1"/>
              <w:jc w:val="center"/>
              <w:rPr>
                <w:color w:val="000000"/>
                <w:sz w:val="16"/>
                <w:szCs w:val="16"/>
                <w:lang w:eastAsia="en-GB"/>
              </w:rPr>
            </w:pPr>
            <w:r w:rsidRPr="006142F3">
              <w:rPr>
                <w:color w:val="000000"/>
                <w:sz w:val="16"/>
                <w:szCs w:val="16"/>
                <w:lang w:eastAsia="en-GB"/>
              </w:rPr>
              <w:t>100%</w:t>
            </w:r>
          </w:p>
        </w:tc>
      </w:tr>
    </w:tbl>
    <w:p w:rsidR="00C752B3" w:rsidRDefault="00C752B3" w:rsidP="00526697">
      <w:pPr>
        <w:pStyle w:val="BodyText"/>
        <w:spacing w:before="240"/>
      </w:pPr>
      <w:r>
        <w:t xml:space="preserve">Having tabulated </w:t>
      </w:r>
      <w:r w:rsidRPr="00FB52DD">
        <w:t xml:space="preserve">the volume of deliveries and market share </w:t>
      </w:r>
      <w:r w:rsidR="00234B93">
        <w:t>data</w:t>
      </w:r>
      <w:r w:rsidRPr="00FB52DD">
        <w:t xml:space="preserve"> for each of the</w:t>
      </w:r>
      <w:r>
        <w:t>se</w:t>
      </w:r>
      <w:r w:rsidRPr="00FB52DD">
        <w:t xml:space="preserve"> </w:t>
      </w:r>
      <w:r>
        <w:t xml:space="preserve">VLA markets, the Panel </w:t>
      </w:r>
      <w:r w:rsidR="006516E7">
        <w:t xml:space="preserve">considered </w:t>
      </w:r>
      <w:r>
        <w:t xml:space="preserve">it </w:t>
      </w:r>
      <w:r w:rsidRPr="00FB52DD">
        <w:t>evident that</w:t>
      </w:r>
      <w:r w:rsidR="00234B93">
        <w:t>,</w:t>
      </w:r>
      <w:r w:rsidRPr="00FB52DD">
        <w:t xml:space="preserve"> "in the absence of the effects of the challenged LA/MSF subsidies, the volume of deliveries and market shares that would have been achieved by the </w:t>
      </w:r>
      <w:r>
        <w:t>United States</w:t>
      </w:r>
      <w:r w:rsidRPr="00FB52DD">
        <w:t>' LCA industry would have been higher than its actual level."</w:t>
      </w:r>
      <w:r>
        <w:rPr>
          <w:rStyle w:val="FootnoteReference"/>
        </w:rPr>
        <w:footnoteReference w:id="2072"/>
      </w:r>
      <w:r>
        <w:t xml:space="preserve"> The Panel also recalled that "any new non</w:t>
      </w:r>
      <w:r>
        <w:noBreakHyphen/>
      </w:r>
      <w:r w:rsidR="00234B93">
        <w:t xml:space="preserve">US </w:t>
      </w:r>
      <w:r>
        <w:t xml:space="preserve">LCA competitor would have only entered the market with a </w:t>
      </w:r>
      <w:r w:rsidR="00E01DBF">
        <w:rPr>
          <w:i/>
        </w:rPr>
        <w:t>single</w:t>
      </w:r>
      <w:r w:rsidR="00E01DBF">
        <w:rPr>
          <w:i/>
        </w:rPr>
        <w:noBreakHyphen/>
      </w:r>
      <w:r>
        <w:rPr>
          <w:i/>
        </w:rPr>
        <w:t>aisle</w:t>
      </w:r>
      <w:r>
        <w:t xml:space="preserve"> LCA, implying that the … VLA market{} would have been supplied by the United States' industry alone</w:t>
      </w:r>
      <w:r w:rsidR="00234B93">
        <w:t>.</w:t>
      </w:r>
      <w:r>
        <w:t>"</w:t>
      </w:r>
      <w:r>
        <w:rPr>
          <w:rStyle w:val="FootnoteReference"/>
        </w:rPr>
        <w:footnoteReference w:id="2073"/>
      </w:r>
    </w:p>
    <w:p w:rsidR="00C752B3" w:rsidRDefault="00C752B3" w:rsidP="00526697">
      <w:pPr>
        <w:pStyle w:val="BodyText"/>
      </w:pPr>
      <w:r>
        <w:t>As discussed above</w:t>
      </w:r>
      <w:r>
        <w:rPr>
          <w:rStyle w:val="FootnoteReference"/>
        </w:rPr>
        <w:footnoteReference w:id="2074"/>
      </w:r>
      <w:r>
        <w:t>, our review of the Panel's findings, as well as relevant findings from the original proceedings, indicates that, in the absence of the LA/MSF subsidies existing in the post</w:t>
      </w:r>
      <w:r>
        <w:noBreakHyphen/>
        <w:t xml:space="preserve">implementation period, Airbus would not have been able to offer the A380 at the time it did. </w:t>
      </w:r>
      <w:r w:rsidRPr="00DA6A2E">
        <w:t>We also recall that, as the Panel's analysis of the competitive dynamics in the VLA market shows, Boeing's and Airbus' respec</w:t>
      </w:r>
      <w:r w:rsidR="00234B93">
        <w:t xml:space="preserve">tive product </w:t>
      </w:r>
      <w:r w:rsidRPr="00DA6A2E">
        <w:t xml:space="preserve">offerings – the 747 and the A380 – are </w:t>
      </w:r>
      <w:r>
        <w:t>sufficiently substitutable</w:t>
      </w:r>
      <w:r w:rsidRPr="00DA6A2E">
        <w:t>.</w:t>
      </w:r>
      <w:r>
        <w:rPr>
          <w:rStyle w:val="FootnoteReference"/>
        </w:rPr>
        <w:footnoteReference w:id="2075"/>
      </w:r>
    </w:p>
    <w:p w:rsidR="00C752B3" w:rsidRDefault="00C752B3" w:rsidP="00526697">
      <w:pPr>
        <w:pStyle w:val="BodyText"/>
      </w:pPr>
      <w:r>
        <w:t>The European Union submits that the Panel wrongly rejected its contention that the United States had failed to "account for the effect of the development and production delays affecting … the 747-8 on the limited number of sales achieved by Boeing".</w:t>
      </w:r>
      <w:r>
        <w:rPr>
          <w:rStyle w:val="FootnoteReference"/>
        </w:rPr>
        <w:footnoteReference w:id="2076"/>
      </w:r>
      <w:r>
        <w:t xml:space="preserve"> We recall that the Panel did not see these delays "to mean that, in the absence of the 'product' effects of the LA/MSF subsidies, Boeing or the United States' LCA industry would not have won the orders corresponding to the deliveries made in the different markets</w:t>
      </w:r>
      <w:r w:rsidR="006516E7">
        <w:t>"</w:t>
      </w:r>
      <w:r>
        <w:t xml:space="preserve"> for</w:t>
      </w:r>
      <w:r w:rsidR="00234B93">
        <w:t xml:space="preserve"> </w:t>
      </w:r>
      <w:r>
        <w:t>VLA.</w:t>
      </w:r>
      <w:r>
        <w:rPr>
          <w:rStyle w:val="FootnoteReference"/>
        </w:rPr>
        <w:footnoteReference w:id="2077"/>
      </w:r>
      <w:r>
        <w:t xml:space="preserve"> We also note the Panel's observation that </w:t>
      </w:r>
      <w:r w:rsidRPr="00BD4698">
        <w:t xml:space="preserve">"there is evidence that the larger versions of the 777 may also at times challenge for sales in the market for </w:t>
      </w:r>
      <w:r>
        <w:t>{VLA}</w:t>
      </w:r>
      <w:r w:rsidRPr="00BD4698">
        <w:t>".</w:t>
      </w:r>
      <w:r>
        <w:rPr>
          <w:rStyle w:val="FootnoteReference"/>
        </w:rPr>
        <w:footnoteReference w:id="2078"/>
      </w:r>
      <w:r w:rsidRPr="00BD4698">
        <w:t xml:space="preserve"> </w:t>
      </w:r>
      <w:r>
        <w:t>Thus, the Panel's reasoning that, in the absence of Airbus</w:t>
      </w:r>
      <w:r w:rsidR="006516E7">
        <w:t>'</w:t>
      </w:r>
      <w:r>
        <w:t xml:space="preserve"> VLA offerings, customers would have turned to other Boeing LCA</w:t>
      </w:r>
      <w:r w:rsidR="00234B93">
        <w:t xml:space="preserve"> products – </w:t>
      </w:r>
      <w:r>
        <w:t>for instance, the larger versions of the 777</w:t>
      </w:r>
      <w:r w:rsidR="00234B93">
        <w:t xml:space="preserve"> – </w:t>
      </w:r>
      <w:r>
        <w:t>appears to us to be reasonable.</w:t>
      </w:r>
      <w:r>
        <w:rPr>
          <w:rStyle w:val="FootnoteReference"/>
        </w:rPr>
        <w:footnoteReference w:id="2079"/>
      </w:r>
      <w:r>
        <w:t xml:space="preserve"> Consequently, we see no reason to disturb the Panel's finding that this non</w:t>
      </w:r>
      <w:r>
        <w:noBreakHyphen/>
        <w:t>attribution factor would not be capable of diluting the genuine and substantial relationship of cause and effect between LA/MSF subsid</w:t>
      </w:r>
      <w:r w:rsidR="00234B93">
        <w:t>i</w:t>
      </w:r>
      <w:r>
        <w:t xml:space="preserve">es and the alleged market phenomena. </w:t>
      </w:r>
    </w:p>
    <w:p w:rsidR="00C752B3" w:rsidRDefault="00C752B3" w:rsidP="00526697">
      <w:pPr>
        <w:pStyle w:val="BodyText"/>
      </w:pPr>
      <w:r>
        <w:t>We</w:t>
      </w:r>
      <w:r w:rsidR="00234B93">
        <w:t xml:space="preserve"> now</w:t>
      </w:r>
      <w:r>
        <w:t xml:space="preserve"> turn</w:t>
      </w:r>
      <w:r w:rsidR="00234B93">
        <w:t xml:space="preserve"> </w:t>
      </w:r>
      <w:r>
        <w:t>to examine the Panel's analysis of the volume of deliveries and market share data for the post</w:t>
      </w:r>
      <w:r>
        <w:noBreakHyphen/>
        <w:t>implementation period for each of the VLA markets at issue</w:t>
      </w:r>
      <w:r w:rsidRPr="007D73AD">
        <w:t xml:space="preserve"> </w:t>
      </w:r>
      <w:r>
        <w:t xml:space="preserve">to determine whether its analysis supports </w:t>
      </w:r>
      <w:r w:rsidR="00234B93">
        <w:t>its</w:t>
      </w:r>
      <w:r>
        <w:t xml:space="preserve"> ultimate finding of serious preju</w:t>
      </w:r>
      <w:r w:rsidR="00E01DBF">
        <w:t>dice in this market segment. As </w:t>
      </w:r>
      <w:r>
        <w:t xml:space="preserve">noted, the European Union contends that in </w:t>
      </w:r>
      <w:r w:rsidR="006516E7">
        <w:t>reaching</w:t>
      </w:r>
      <w:r>
        <w:t xml:space="preserve"> its findings of "displacement and/or impedance", the Panel failed to</w:t>
      </w:r>
      <w:r w:rsidR="00234B93">
        <w:t xml:space="preserve"> engage</w:t>
      </w:r>
      <w:r>
        <w:t xml:space="preserve"> properly with the sales volume and market share data that was before it.</w:t>
      </w:r>
      <w:r>
        <w:rPr>
          <w:rStyle w:val="FootnoteReference"/>
        </w:rPr>
        <w:footnoteReference w:id="2080"/>
      </w:r>
      <w:r>
        <w:t xml:space="preserve"> </w:t>
      </w:r>
      <w:r w:rsidR="006516E7">
        <w:t>We observe that, i</w:t>
      </w:r>
      <w:r>
        <w:t xml:space="preserve">n the </w:t>
      </w:r>
      <w:r w:rsidR="00234B93">
        <w:t>EU</w:t>
      </w:r>
      <w:r>
        <w:t xml:space="preserve"> VLA market, while Boeing made five deliveries in </w:t>
      </w:r>
      <w:r w:rsidR="00234B93">
        <w:t xml:space="preserve">each of </w:t>
      </w:r>
      <w:r>
        <w:t xml:space="preserve">2012 and 2013, Airbus made </w:t>
      </w:r>
      <w:r w:rsidR="00234B93">
        <w:t>four</w:t>
      </w:r>
      <w:r>
        <w:t xml:space="preserve"> deliveries for</w:t>
      </w:r>
      <w:r w:rsidR="00234B93">
        <w:t xml:space="preserve"> each said </w:t>
      </w:r>
      <w:r>
        <w:t xml:space="preserve">year. Thus, for </w:t>
      </w:r>
      <w:r w:rsidR="00234B93">
        <w:t>both 2012 and 2013,</w:t>
      </w:r>
      <w:r>
        <w:t xml:space="preserve"> Boeing maintained a market share of 55.6%. The evidence indicates that there was no actual decline in Boeing's volume of deliveries and market share. In finding displacement in this market segment, the Panel's assessment lacks an explanation as to whether there was a demonstrated substitution of the 747-8 by the A380. In respect of the VLA markets in Australia, Korea, and Singapore, Boeing did not make any deliveries and consequently had no market share in the post</w:t>
      </w:r>
      <w:r>
        <w:noBreakHyphen/>
        <w:t xml:space="preserve">implementation period in these markets. </w:t>
      </w:r>
    </w:p>
    <w:p w:rsidR="00C752B3" w:rsidRDefault="00C752B3" w:rsidP="00526697">
      <w:pPr>
        <w:pStyle w:val="BodyText"/>
      </w:pPr>
      <w:r>
        <w:t xml:space="preserve">We recall that a trend analysis may be relevant and indicative, although not necessarily determinative, for purposes of a finding of displacement. In our view, however, the Panel did not examine whether there existed </w:t>
      </w:r>
      <w:r w:rsidRPr="008E0112">
        <w:t>any</w:t>
      </w:r>
      <w:r>
        <w:t xml:space="preserve"> discernible trends in volumes and market shares in the VLA markets at issue, including whether or not there existed declining trends </w:t>
      </w:r>
      <w:r w:rsidR="00234B93">
        <w:t>that</w:t>
      </w:r>
      <w:r>
        <w:t xml:space="preserve"> could have supported the Panel's findings. In these circumstances, we consider that the Panel should have engaged with the evidence before it in order to </w:t>
      </w:r>
      <w:r w:rsidR="00234B93">
        <w:t xml:space="preserve">explain </w:t>
      </w:r>
      <w:r>
        <w:t xml:space="preserve">sufficiently the basis for its finding that the LA/MSF subsidies had the effect of displacing </w:t>
      </w:r>
      <w:r w:rsidR="00234B93">
        <w:t>US</w:t>
      </w:r>
      <w:r>
        <w:t xml:space="preserve"> LCA in these VLA markets in the post</w:t>
      </w:r>
      <w:r>
        <w:noBreakHyphen/>
        <w:t xml:space="preserve">implementation period. We therefore disagree to the extent </w:t>
      </w:r>
      <w:r w:rsidR="00234B93">
        <w:t xml:space="preserve">that </w:t>
      </w:r>
      <w:r>
        <w:t>the</w:t>
      </w:r>
      <w:r w:rsidRPr="000875A9">
        <w:t xml:space="preserve"> Panel</w:t>
      </w:r>
      <w:r>
        <w:t xml:space="preserve"> found that "the United States</w:t>
      </w:r>
      <w:r w:rsidRPr="000875A9">
        <w:t xml:space="preserve"> ha{d} established that the 'product' effects of the challenged LA/MSF subsidies are a 'genuine and substantial' cause of displacement … of </w:t>
      </w:r>
      <w:r>
        <w:t>United States</w:t>
      </w:r>
      <w:r w:rsidRPr="000875A9">
        <w:t xml:space="preserve"> LCA in the markets for … </w:t>
      </w:r>
      <w:r>
        <w:t>{VLA}</w:t>
      </w:r>
      <w:r w:rsidRPr="000875A9">
        <w:t xml:space="preserve"> in the </w:t>
      </w:r>
      <w:r>
        <w:t>European Union</w:t>
      </w:r>
      <w:r w:rsidRPr="000875A9">
        <w:t xml:space="preserve">, Australia, </w:t>
      </w:r>
      <w:r>
        <w:t>…</w:t>
      </w:r>
      <w:r w:rsidRPr="000875A9">
        <w:t xml:space="preserve"> Korea, </w:t>
      </w:r>
      <w:r>
        <w:t xml:space="preserve">{and} </w:t>
      </w:r>
      <w:r w:rsidRPr="000875A9">
        <w:t>Singapore".</w:t>
      </w:r>
      <w:r>
        <w:rPr>
          <w:rStyle w:val="FootnoteReference"/>
        </w:rPr>
        <w:footnoteReference w:id="2081"/>
      </w:r>
      <w:r>
        <w:t xml:space="preserve"> </w:t>
      </w:r>
    </w:p>
    <w:p w:rsidR="00C752B3" w:rsidRDefault="00C752B3" w:rsidP="00526697">
      <w:pPr>
        <w:pStyle w:val="BodyText"/>
      </w:pPr>
      <w:r>
        <w:t xml:space="preserve">Turning to impedance, we recall that the phenomenon of impedance </w:t>
      </w:r>
      <w:r w:rsidRPr="00FB52DD">
        <w:t xml:space="preserve">"refers to situations where the exports or imports of the like product of the complaining Member would have expanded had they not </w:t>
      </w:r>
      <w:r w:rsidRPr="00145239">
        <w:t>been 'obstructed' or 'hindered' by the subsidized product".</w:t>
      </w:r>
      <w:r w:rsidRPr="00145239">
        <w:rPr>
          <w:rStyle w:val="FootnoteReference"/>
        </w:rPr>
        <w:footnoteReference w:id="2082"/>
      </w:r>
      <w:r w:rsidRPr="00145239">
        <w:t xml:space="preserve"> In the </w:t>
      </w:r>
      <w:r w:rsidR="00234B93" w:rsidRPr="00145239">
        <w:t>EU</w:t>
      </w:r>
      <w:r w:rsidRPr="00145239">
        <w:t xml:space="preserve"> VLA market, we note from Table </w:t>
      </w:r>
      <w:r w:rsidR="00ED691F" w:rsidRPr="00145239">
        <w:t>13</w:t>
      </w:r>
      <w:r w:rsidRPr="00145239">
        <w:t xml:space="preserve"> above that</w:t>
      </w:r>
      <w:r w:rsidR="00234B93" w:rsidRPr="00145239">
        <w:t>,</w:t>
      </w:r>
      <w:r w:rsidRPr="00145239">
        <w:t xml:space="preserve"> while Boeing made </w:t>
      </w:r>
      <w:r w:rsidR="00234B93" w:rsidRPr="00145239">
        <w:t>five</w:t>
      </w:r>
      <w:r w:rsidRPr="00145239">
        <w:t xml:space="preserve"> deliveries </w:t>
      </w:r>
      <w:r w:rsidR="00234B93" w:rsidRPr="00145239">
        <w:t>i</w:t>
      </w:r>
      <w:r w:rsidRPr="00145239">
        <w:t>n</w:t>
      </w:r>
      <w:r w:rsidR="00234B93" w:rsidRPr="00145239">
        <w:t xml:space="preserve"> each of</w:t>
      </w:r>
      <w:r w:rsidRPr="00145239">
        <w:t xml:space="preserve"> 2012 and 2013, Airbus made </w:t>
      </w:r>
      <w:r w:rsidR="00234B93" w:rsidRPr="00145239">
        <w:t>four</w:t>
      </w:r>
      <w:r w:rsidRPr="00145239">
        <w:t xml:space="preserve"> deliveries</w:t>
      </w:r>
      <w:r>
        <w:t xml:space="preserve"> </w:t>
      </w:r>
      <w:r w:rsidR="00234B93">
        <w:t xml:space="preserve">for </w:t>
      </w:r>
      <w:r>
        <w:t>each said year. Thus, for both 2012 and 2013, Boeing had a constant market share of 55.6%. In China and Korea, we observe that Boeing made no deliveries and consequently held no market share during the post</w:t>
      </w:r>
      <w:r>
        <w:noBreakHyphen/>
        <w:t xml:space="preserve">implementation period. Airbus, however, made deliveries in both 2012 and 2013 for each of these markets. In the Australian VLA market, neither Boeing nor Airbus made any deliveries in the years 2012 and 2013, although </w:t>
      </w:r>
      <w:r w:rsidRPr="004D0A5F">
        <w:t>the Panel noted that</w:t>
      </w:r>
      <w:r>
        <w:t xml:space="preserve"> Airbus made a single delivery in December 2011. </w:t>
      </w:r>
      <w:r w:rsidR="006516E7">
        <w:t>With respect to</w:t>
      </w:r>
      <w:r>
        <w:t xml:space="preserve"> the VLA market in Singapore, while Boeing did not make any deliveries in the post</w:t>
      </w:r>
      <w:r>
        <w:noBreakHyphen/>
        <w:t xml:space="preserve">implementation period, Airbus made </w:t>
      </w:r>
      <w:r w:rsidR="00234B93">
        <w:t>five</w:t>
      </w:r>
      <w:r>
        <w:t xml:space="preserve"> deliveries in 2012, retaining 100% of the market share that year. </w:t>
      </w:r>
      <w:r w:rsidRPr="00C523C6">
        <w:t>Finally</w:t>
      </w:r>
      <w:r>
        <w:t>,</w:t>
      </w:r>
      <w:r w:rsidRPr="00C523C6">
        <w:t xml:space="preserve"> in </w:t>
      </w:r>
      <w:r w:rsidR="006516E7">
        <w:t>the United </w:t>
      </w:r>
      <w:r w:rsidRPr="00BD4698">
        <w:t>Arab Emirates, we observe that Airbus made 11 del</w:t>
      </w:r>
      <w:r>
        <w:t>iveries in December 2012 and 13 </w:t>
      </w:r>
      <w:r w:rsidRPr="00BD4698">
        <w:t>deliveries in 2013. As for Boeing, we note that</w:t>
      </w:r>
      <w:r w:rsidR="00234B93">
        <w:t>,</w:t>
      </w:r>
      <w:r w:rsidRPr="00BD4698">
        <w:t xml:space="preserve"> while the </w:t>
      </w:r>
      <w:r>
        <w:t>United States</w:t>
      </w:r>
      <w:r w:rsidRPr="00BD4698">
        <w:t xml:space="preserve"> claimed before the Panel that Boeing made no deliveries in the </w:t>
      </w:r>
      <w:r>
        <w:t>post</w:t>
      </w:r>
      <w:r>
        <w:noBreakHyphen/>
      </w:r>
      <w:r w:rsidRPr="00BD4698">
        <w:t xml:space="preserve">implementation period, the </w:t>
      </w:r>
      <w:r>
        <w:t>European Union</w:t>
      </w:r>
      <w:r w:rsidRPr="00BD4698">
        <w:t xml:space="preserve"> claimed that Boeing made </w:t>
      </w:r>
      <w:r w:rsidR="00234B93">
        <w:t>one</w:t>
      </w:r>
      <w:r w:rsidRPr="00BD4698">
        <w:t xml:space="preserve"> delivery in 2012.</w:t>
      </w:r>
      <w:r>
        <w:rPr>
          <w:rStyle w:val="FootnoteReference"/>
        </w:rPr>
        <w:footnoteReference w:id="2083"/>
      </w:r>
      <w:r w:rsidRPr="00BD4698">
        <w:t xml:space="preserve"> </w:t>
      </w:r>
    </w:p>
    <w:p w:rsidR="00C752B3" w:rsidRDefault="00C752B3" w:rsidP="00526697">
      <w:pPr>
        <w:pStyle w:val="BodyText"/>
      </w:pPr>
      <w:r>
        <w:t xml:space="preserve">The European Union asserts that, for the VLA markets in Australia, China, Korea, </w:t>
      </w:r>
      <w:r w:rsidR="00E01DBF">
        <w:t>and </w:t>
      </w:r>
      <w:r w:rsidRPr="004E1747">
        <w:t>Singapore, sales were sporadic and volumes relatively small, which in turn made the identification of trends more difficult and thus precluded a finding of impedance.</w:t>
      </w:r>
      <w:r>
        <w:rPr>
          <w:rStyle w:val="FootnoteReference"/>
        </w:rPr>
        <w:footnoteReference w:id="2084"/>
      </w:r>
      <w:r w:rsidRPr="004E1747">
        <w:t xml:space="preserve"> We are not persuaded by the </w:t>
      </w:r>
      <w:r>
        <w:t>European Union</w:t>
      </w:r>
      <w:r w:rsidRPr="004E1747">
        <w:t xml:space="preserve">'s argument. </w:t>
      </w:r>
      <w:r>
        <w:t>As explained</w:t>
      </w:r>
      <w:r w:rsidRPr="004E1747">
        <w:t>, given the particular nature of the LCA industry</w:t>
      </w:r>
      <w:r w:rsidR="004F61FD">
        <w:t xml:space="preserve"> – </w:t>
      </w:r>
      <w:r w:rsidRPr="004E1747">
        <w:t xml:space="preserve">especially for </w:t>
      </w:r>
      <w:r>
        <w:t>VLA</w:t>
      </w:r>
      <w:r w:rsidRPr="004E1747">
        <w:t xml:space="preserve"> like the 747-8 and the A380, where </w:t>
      </w:r>
      <w:r>
        <w:t xml:space="preserve">instances of </w:t>
      </w:r>
      <w:r w:rsidRPr="004E1747">
        <w:t xml:space="preserve">sales </w:t>
      </w:r>
      <w:r>
        <w:t xml:space="preserve">and </w:t>
      </w:r>
      <w:r w:rsidRPr="004E1747">
        <w:t xml:space="preserve">volumes </w:t>
      </w:r>
      <w:r>
        <w:t xml:space="preserve">of deliveries </w:t>
      </w:r>
      <w:r w:rsidRPr="004E1747">
        <w:t>are</w:t>
      </w:r>
      <w:r>
        <w:t xml:space="preserve"> generally</w:t>
      </w:r>
      <w:r w:rsidRPr="004E1747">
        <w:t xml:space="preserve"> much lower tha</w:t>
      </w:r>
      <w:r w:rsidR="00234B93">
        <w:t xml:space="preserve">n in the case of consumer goods – </w:t>
      </w:r>
      <w:r w:rsidRPr="004E1747">
        <w:t xml:space="preserve">we do not consider that the volumes </w:t>
      </w:r>
      <w:r>
        <w:t xml:space="preserve">of deliveries </w:t>
      </w:r>
      <w:r w:rsidRPr="004E1747">
        <w:t>that the Panel considered could not have supported a finding of</w:t>
      </w:r>
      <w:r w:rsidRPr="00D03C80">
        <w:t xml:space="preserve"> impedance. In any event, to find impedance, </w:t>
      </w:r>
      <w:r w:rsidRPr="005F69D1">
        <w:t>evidence of trends may not always be dispositive</w:t>
      </w:r>
      <w:r w:rsidRPr="00C523C6">
        <w:t>.</w:t>
      </w:r>
    </w:p>
    <w:p w:rsidR="00C752B3" w:rsidRDefault="00C752B3" w:rsidP="00526697">
      <w:pPr>
        <w:pStyle w:val="BodyText"/>
      </w:pPr>
      <w:r w:rsidRPr="004C0436">
        <w:t>As explained above, our review of the Panel's findings with respect to the A380 and A350XWB programmes, as well as relevant findings from the original proceedings, indicates that, in the absence of the LA/MSF subsidies existing in the post</w:t>
      </w:r>
      <w:r w:rsidRPr="004C0436">
        <w:noBreakHyphen/>
        <w:t>implementation period, Airbus would not have been able to offer the A380 at the time it did.</w:t>
      </w:r>
      <w:r>
        <w:t xml:space="preserve"> Furthermore, we recall </w:t>
      </w:r>
      <w:r w:rsidRPr="000E2C3C">
        <w:t>that, as the Panel's analysis of the competitive dynamics in the VLA market shows, Boeing's and Airbus' respective product</w:t>
      </w:r>
      <w:r w:rsidR="00234B93">
        <w:t xml:space="preserve"> </w:t>
      </w:r>
      <w:r w:rsidRPr="000E2C3C">
        <w:t xml:space="preserve">offerings – the 747-8 and the A380 – are sufficiently substitutable. </w:t>
      </w:r>
      <w:r>
        <w:t>Therefore, the Panel's conclusion regarding impedance, insofar as the VLA market is concerned, is supported by its findings on the "product effects"</w:t>
      </w:r>
      <w:r w:rsidR="00234B93">
        <w:t xml:space="preserve"> – </w:t>
      </w:r>
      <w:r w:rsidR="006516E7">
        <w:t>including</w:t>
      </w:r>
      <w:r>
        <w:t xml:space="preserve"> </w:t>
      </w:r>
      <w:r w:rsidR="00234B93">
        <w:t>those of the A380 </w:t>
      </w:r>
      <w:r>
        <w:t>LA/MSF subsidies existing in the post-implementation period</w:t>
      </w:r>
      <w:r w:rsidR="00C30B09">
        <w:t xml:space="preserve"> – </w:t>
      </w:r>
      <w:r>
        <w:t xml:space="preserve">and by the data concerning the deliveries of the subsidized Airbus LCA – the A380 – that hindered the sales of competing </w:t>
      </w:r>
      <w:r w:rsidR="00C30B09">
        <w:t>US </w:t>
      </w:r>
      <w:r>
        <w:t>LCA in the VLA markets concerned. Thus, contrary to the situation regarding alleged impedance in</w:t>
      </w:r>
      <w:r w:rsidR="00E01DBF">
        <w:t xml:space="preserve"> the twin-aisle LCA market, the </w:t>
      </w:r>
      <w:r>
        <w:t>"product effects" of the LA/MSF</w:t>
      </w:r>
      <w:r w:rsidR="00C30B09">
        <w:t xml:space="preserve"> subsidies existing in the post</w:t>
      </w:r>
      <w:r w:rsidR="00C30B09">
        <w:noBreakHyphen/>
      </w:r>
      <w:r>
        <w:t>implementation period, including the A380 LA/MSF subsidies</w:t>
      </w:r>
      <w:r>
        <w:rPr>
          <w:rStyle w:val="FootnoteReference"/>
        </w:rPr>
        <w:footnoteReference w:id="2085"/>
      </w:r>
      <w:r>
        <w:t>, and the VLA delivery data underlying the United States' claim, concern the same aircraft model</w:t>
      </w:r>
      <w:r w:rsidR="00C30B09">
        <w:t>,</w:t>
      </w:r>
      <w:r>
        <w:t xml:space="preserve"> and, as explained above, the Panel made necessary findings on both "product effects" and delivery data.</w:t>
      </w:r>
      <w:r>
        <w:rPr>
          <w:rStyle w:val="FootnoteReference"/>
        </w:rPr>
        <w:footnoteReference w:id="2086"/>
      </w:r>
      <w:r>
        <w:t xml:space="preserve"> </w:t>
      </w:r>
      <w:r w:rsidRPr="000E2C3C">
        <w:t>On the basis of these considerations, we see no error in the Panel's conclusion that</w:t>
      </w:r>
      <w:r w:rsidR="00C30B09">
        <w:t>, absent the LA/MSF subsidies,</w:t>
      </w:r>
      <w:r w:rsidRPr="000E2C3C">
        <w:t xml:space="preserve"> the </w:t>
      </w:r>
      <w:r w:rsidR="00C30B09">
        <w:t>US</w:t>
      </w:r>
      <w:r w:rsidRPr="000E2C3C">
        <w:t xml:space="preserve"> LCA industry would have achieved a higher volume of deliveries and market</w:t>
      </w:r>
      <w:r>
        <w:t xml:space="preserve"> share </w:t>
      </w:r>
      <w:r w:rsidR="006516E7">
        <w:t xml:space="preserve">in the VLA markets at issue </w:t>
      </w:r>
      <w:r>
        <w:t>than its actual level in the post</w:t>
      </w:r>
      <w:r>
        <w:noBreakHyphen/>
        <w:t>implementation period.</w:t>
      </w:r>
      <w:r>
        <w:rPr>
          <w:rStyle w:val="FootnoteReference"/>
        </w:rPr>
        <w:footnoteReference w:id="2087"/>
      </w:r>
    </w:p>
    <w:p w:rsidR="00C752B3" w:rsidRDefault="00C752B3" w:rsidP="00526697">
      <w:pPr>
        <w:pStyle w:val="BodyText"/>
      </w:pPr>
      <w:r>
        <w:t xml:space="preserve">The Panel's findings reviewed above thus support the </w:t>
      </w:r>
      <w:r w:rsidRPr="00EF5DF2">
        <w:t xml:space="preserve">conclusion that </w:t>
      </w:r>
      <w:r>
        <w:t xml:space="preserve">the effect of the LA/MSF subsidies existing in the post-implementation period is impedance of </w:t>
      </w:r>
      <w:r w:rsidR="006516E7">
        <w:t>US</w:t>
      </w:r>
      <w:r>
        <w:t xml:space="preserve"> VLA in the markets in the European Union, Australia, China, Korea, Singapore, and the United Arab Emirates. This conclusion</w:t>
      </w:r>
      <w:r w:rsidRPr="008A43A0">
        <w:t xml:space="preserve"> </w:t>
      </w:r>
      <w:r>
        <w:t xml:space="preserve">also </w:t>
      </w:r>
      <w:r w:rsidRPr="008A43A0">
        <w:t xml:space="preserve">finds support in the analytical framework adopted by the </w:t>
      </w:r>
      <w:r w:rsidR="006516E7">
        <w:t>p</w:t>
      </w:r>
      <w:r w:rsidRPr="008A43A0">
        <w:t xml:space="preserve">anel and the </w:t>
      </w:r>
      <w:r>
        <w:t>Appellate Body</w:t>
      </w:r>
      <w:r w:rsidRPr="008A43A0">
        <w:t xml:space="preserve"> in the original proceedings, as well as in a number of </w:t>
      </w:r>
      <w:r w:rsidR="00C30B09">
        <w:t xml:space="preserve">the </w:t>
      </w:r>
      <w:r w:rsidRPr="008A43A0">
        <w:t>Panel</w:t>
      </w:r>
      <w:r w:rsidR="00C30B09">
        <w:t>'s</w:t>
      </w:r>
      <w:r w:rsidRPr="008A43A0">
        <w:t xml:space="preserve"> findings, including its finding concerning the </w:t>
      </w:r>
      <w:r>
        <w:t>"product effects" of the LA/MSF subsidies existing in the post</w:t>
      </w:r>
      <w:r>
        <w:noBreakHyphen/>
        <w:t>implementation period on</w:t>
      </w:r>
      <w:r w:rsidRPr="008A43A0">
        <w:t xml:space="preserve"> </w:t>
      </w:r>
      <w:r>
        <w:t>Airbus'</w:t>
      </w:r>
      <w:r w:rsidRPr="008A43A0">
        <w:t xml:space="preserve"> </w:t>
      </w:r>
      <w:r>
        <w:t>continued offering of the A380</w:t>
      </w:r>
      <w:r w:rsidRPr="008A43A0">
        <w:t xml:space="preserve">, </w:t>
      </w:r>
      <w:r>
        <w:t xml:space="preserve">and </w:t>
      </w:r>
      <w:r w:rsidRPr="008A43A0">
        <w:t>the existence of sufficient substitutability between Boeing'</w:t>
      </w:r>
      <w:r w:rsidR="00C30B09">
        <w:t>s</w:t>
      </w:r>
      <w:r w:rsidRPr="008A43A0">
        <w:t xml:space="preserve"> and Airbus' </w:t>
      </w:r>
      <w:r>
        <w:t>VLA</w:t>
      </w:r>
      <w:r w:rsidRPr="008A43A0">
        <w:t xml:space="preserve"> product offerings.</w:t>
      </w:r>
      <w:r>
        <w:t xml:space="preserve"> </w:t>
      </w:r>
    </w:p>
    <w:p w:rsidR="00C752B3" w:rsidRPr="005D7FFE" w:rsidRDefault="00C752B3" w:rsidP="00526697">
      <w:pPr>
        <w:pStyle w:val="BodyText"/>
      </w:pPr>
      <w:r>
        <w:t>In light of our interpretation of Article 7.8 of the SCM Agreement</w:t>
      </w:r>
      <w:r>
        <w:rPr>
          <w:rStyle w:val="FootnoteReference"/>
        </w:rPr>
        <w:footnoteReference w:id="2088"/>
      </w:r>
      <w:r>
        <w:t xml:space="preserve">, however, we disagree with the Panel's conclusion on impedance in the VLA market to the extent that </w:t>
      </w:r>
      <w:r w:rsidR="00C30B09">
        <w:t>its conclusion wa</w:t>
      </w:r>
      <w:r>
        <w:t xml:space="preserve">s based on </w:t>
      </w:r>
      <w:r w:rsidR="00C30B09">
        <w:t xml:space="preserve">the </w:t>
      </w:r>
      <w:r>
        <w:t xml:space="preserve">effects of </w:t>
      </w:r>
      <w:r w:rsidR="00C30B09">
        <w:t xml:space="preserve">the </w:t>
      </w:r>
      <w:r>
        <w:t xml:space="preserve">challenged LA/MSF subsidies that the Panel found to have expired. We therefore </w:t>
      </w:r>
      <w:r w:rsidRPr="00214749">
        <w:rPr>
          <w:u w:val="single"/>
        </w:rPr>
        <w:t>modify</w:t>
      </w:r>
      <w:r>
        <w:t xml:space="preserve"> the Panel's concl</w:t>
      </w:r>
      <w:r w:rsidR="00C30B09">
        <w:t>usion</w:t>
      </w:r>
      <w:r w:rsidR="000F095A">
        <w:t>,</w:t>
      </w:r>
      <w:r w:rsidR="00C30B09">
        <w:t xml:space="preserve"> in paragraph 6.1817 of the Panel</w:t>
      </w:r>
      <w:r>
        <w:t xml:space="preserve"> Report, and </w:t>
      </w:r>
      <w:r w:rsidRPr="00214749">
        <w:rPr>
          <w:u w:val="single"/>
        </w:rPr>
        <w:t>find</w:t>
      </w:r>
      <w:r>
        <w:t xml:space="preserve"> instead that the United States has established that the "product effects" of the LA/MSF subsidies existing in the po</w:t>
      </w:r>
      <w:r w:rsidR="00C30B09">
        <w:t xml:space="preserve">st-implementation period are a </w:t>
      </w:r>
      <w:r>
        <w:t xml:space="preserve">genuine and substantial cause of impedance of </w:t>
      </w:r>
      <w:r w:rsidR="00C30B09">
        <w:t>US </w:t>
      </w:r>
      <w:r>
        <w:t xml:space="preserve">LCA in the </w:t>
      </w:r>
      <w:r w:rsidR="00C30B09">
        <w:t xml:space="preserve">VLA </w:t>
      </w:r>
      <w:r>
        <w:t>markets in the European Union, Australia, China, Korea,</w:t>
      </w:r>
      <w:r w:rsidR="00E01DBF">
        <w:t xml:space="preserve"> Singapore, and the United Arab </w:t>
      </w:r>
      <w:r>
        <w:t>Emirates.</w:t>
      </w:r>
      <w:r>
        <w:rPr>
          <w:rStyle w:val="FootnoteReference"/>
        </w:rPr>
        <w:footnoteReference w:id="2089"/>
      </w:r>
    </w:p>
    <w:p w:rsidR="00C752B3" w:rsidRDefault="00C752B3" w:rsidP="00526697">
      <w:pPr>
        <w:pStyle w:val="Heading4"/>
      </w:pPr>
      <w:bookmarkStart w:id="203" w:name="_Toc514059305"/>
      <w:r>
        <w:t xml:space="preserve">United States' request for completing the </w:t>
      </w:r>
      <w:r w:rsidR="00C30B09">
        <w:t xml:space="preserve">legal </w:t>
      </w:r>
      <w:r>
        <w:t>analysis regarding "displacement and/or impedance"</w:t>
      </w:r>
      <w:bookmarkEnd w:id="203"/>
    </w:p>
    <w:p w:rsidR="00C752B3" w:rsidRDefault="00C752B3" w:rsidP="00526697">
      <w:pPr>
        <w:pStyle w:val="BodyText"/>
      </w:pPr>
      <w:r w:rsidRPr="00FB52DD">
        <w:t xml:space="preserve">The </w:t>
      </w:r>
      <w:r>
        <w:t>United States</w:t>
      </w:r>
      <w:r w:rsidRPr="00FB52DD">
        <w:t xml:space="preserve"> </w:t>
      </w:r>
      <w:r w:rsidR="00C30B09">
        <w:t>requests, in the event</w:t>
      </w:r>
      <w:r w:rsidRPr="00FB52DD">
        <w:t xml:space="preserve"> that </w:t>
      </w:r>
      <w:r w:rsidR="00C30B09">
        <w:t>we</w:t>
      </w:r>
      <w:r w:rsidRPr="00FB52DD">
        <w:t xml:space="preserve"> find that the Panel erred in its assessment of the evidence, or that the Panel should have "more explicitly" addressed </w:t>
      </w:r>
      <w:r w:rsidR="00C30B09">
        <w:t xml:space="preserve">market </w:t>
      </w:r>
      <w:r w:rsidRPr="00FB52DD">
        <w:t>trends</w:t>
      </w:r>
      <w:r w:rsidR="00C30B09">
        <w:t xml:space="preserve"> in its analysis</w:t>
      </w:r>
      <w:r w:rsidRPr="00FB52DD">
        <w:t xml:space="preserve">, </w:t>
      </w:r>
      <w:r w:rsidR="00C30B09">
        <w:t>that we</w:t>
      </w:r>
      <w:r w:rsidRPr="00FB52DD">
        <w:t xml:space="preserve"> complete the </w:t>
      </w:r>
      <w:r w:rsidR="006516E7">
        <w:t xml:space="preserve">legal </w:t>
      </w:r>
      <w:r w:rsidRPr="00FB52DD">
        <w:t xml:space="preserve">analysis </w:t>
      </w:r>
      <w:r w:rsidR="00C30B09">
        <w:t>regarding</w:t>
      </w:r>
      <w:r w:rsidRPr="00FB52DD">
        <w:t xml:space="preserve"> "displacement and/or impedance" based on the </w:t>
      </w:r>
      <w:r>
        <w:t>"</w:t>
      </w:r>
      <w:r w:rsidRPr="00FB52DD">
        <w:t>relevant data from the period of 2001 through 2013".</w:t>
      </w:r>
      <w:r>
        <w:rPr>
          <w:rStyle w:val="FootnoteReference"/>
        </w:rPr>
        <w:footnoteReference w:id="2090"/>
      </w:r>
      <w:r w:rsidR="00E01DBF">
        <w:t xml:space="preserve"> The </w:t>
      </w:r>
      <w:r>
        <w:t>United States</w:t>
      </w:r>
      <w:r w:rsidRPr="00FB52DD">
        <w:t xml:space="preserve"> contends that "{t}he volume and market share data sets relied on by the </w:t>
      </w:r>
      <w:r>
        <w:t>United States</w:t>
      </w:r>
      <w:r w:rsidRPr="00FB52DD">
        <w:t xml:space="preserve"> and the {</w:t>
      </w:r>
      <w:r>
        <w:t>European Union</w:t>
      </w:r>
      <w:r w:rsidRPr="00FB52DD">
        <w:t>} are almost identical and sourced from the same Ascend database service."</w:t>
      </w:r>
      <w:r>
        <w:rPr>
          <w:rStyle w:val="FootnoteReference"/>
        </w:rPr>
        <w:footnoteReference w:id="2091"/>
      </w:r>
      <w:r w:rsidRPr="00FB52DD">
        <w:t xml:space="preserve"> </w:t>
      </w:r>
      <w:r w:rsidRPr="004B1FF7">
        <w:t>According to the United States, "{i}n each geographical market in either data set", the evidence shows clear trends in Airbus LCA deliveries that, "according to the Panel's causation findings, would not have occurred absent the effects of LA/MSF and other</w:t>
      </w:r>
      <w:r w:rsidRPr="00FB52DD">
        <w:t xml:space="preserve"> unwithdrawn subsidies and would have been replaced by </w:t>
      </w:r>
      <w:r w:rsidR="00C30B09">
        <w:t>U.S.</w:t>
      </w:r>
      <w:r w:rsidRPr="00FB52DD">
        <w:t xml:space="preserve"> LCA".</w:t>
      </w:r>
      <w:r>
        <w:rPr>
          <w:rStyle w:val="FootnoteReference"/>
        </w:rPr>
        <w:footnoteReference w:id="2092"/>
      </w:r>
    </w:p>
    <w:p w:rsidR="00C752B3" w:rsidRDefault="00C752B3" w:rsidP="00526697">
      <w:pPr>
        <w:pStyle w:val="BodyText"/>
      </w:pPr>
      <w:r w:rsidRPr="00FB52DD">
        <w:t xml:space="preserve">The </w:t>
      </w:r>
      <w:r w:rsidR="00C30B09">
        <w:t>European Union,</w:t>
      </w:r>
      <w:r w:rsidRPr="00FB52DD">
        <w:t xml:space="preserve"> on the other hand</w:t>
      </w:r>
      <w:r w:rsidR="00C30B09">
        <w:t>,</w:t>
      </w:r>
      <w:r w:rsidRPr="00FB52DD">
        <w:t xml:space="preserve"> contends that</w:t>
      </w:r>
      <w:r w:rsidR="00C30B09">
        <w:t>,</w:t>
      </w:r>
      <w:r w:rsidRPr="00FB52DD">
        <w:t xml:space="preserve"> even if </w:t>
      </w:r>
      <w:r w:rsidR="00C30B09">
        <w:t>we were</w:t>
      </w:r>
      <w:r w:rsidRPr="00FB52DD">
        <w:t xml:space="preserve"> able to complete the </w:t>
      </w:r>
      <w:r w:rsidR="00C30B09">
        <w:t xml:space="preserve">legal </w:t>
      </w:r>
      <w:r w:rsidRPr="00FB52DD">
        <w:t xml:space="preserve">analysis with respect to the causal link between the subsidies and the market presence of certain of Airbus' aircraft, </w:t>
      </w:r>
      <w:r w:rsidR="00C30B09">
        <w:t>we</w:t>
      </w:r>
      <w:r w:rsidRPr="00FB52DD">
        <w:t xml:space="preserve"> would not be able to complete the analysis with respect to the </w:t>
      </w:r>
      <w:r>
        <w:t>United States</w:t>
      </w:r>
      <w:r w:rsidRPr="00FB52DD">
        <w:t>' claims of</w:t>
      </w:r>
      <w:r>
        <w:t xml:space="preserve"> "displacement and/or impedance"</w:t>
      </w:r>
      <w:r w:rsidRPr="00FB52DD">
        <w:t>.</w:t>
      </w:r>
      <w:r>
        <w:rPr>
          <w:rStyle w:val="FootnoteReference"/>
        </w:rPr>
        <w:footnoteReference w:id="2093"/>
      </w:r>
      <w:r>
        <w:t xml:space="preserve"> According to the European Union, "the Panel failed to identify, or even look for, clear and discernible trends that are capable of evidencing displacement or impedance</w:t>
      </w:r>
      <w:r w:rsidR="00C30B09">
        <w:t>.</w:t>
      </w:r>
      <w:r>
        <w:t>"</w:t>
      </w:r>
      <w:r>
        <w:rPr>
          <w:rStyle w:val="FootnoteReference"/>
        </w:rPr>
        <w:footnoteReference w:id="2094"/>
      </w:r>
      <w:r>
        <w:t xml:space="preserve"> W</w:t>
      </w:r>
      <w:r w:rsidRPr="00FB52DD">
        <w:t xml:space="preserve">ith respect to market data preceding </w:t>
      </w:r>
      <w:r w:rsidR="000F095A">
        <w:t>the year </w:t>
      </w:r>
      <w:r w:rsidRPr="00FB52DD">
        <w:t xml:space="preserve">2011, the </w:t>
      </w:r>
      <w:r>
        <w:t>European Union</w:t>
      </w:r>
      <w:r w:rsidRPr="00FB52DD">
        <w:t xml:space="preserve"> asserts that "the Panel made no findings with respect to such data or any trends that could be identified from such data</w:t>
      </w:r>
      <w:r w:rsidR="000A1C11">
        <w:t>"</w:t>
      </w:r>
      <w:r w:rsidR="00C30B09">
        <w:t>,</w:t>
      </w:r>
      <w:r w:rsidRPr="00FB52DD">
        <w:t xml:space="preserve"> </w:t>
      </w:r>
      <w:r w:rsidR="00BA1DDE">
        <w:t>and</w:t>
      </w:r>
      <w:r w:rsidRPr="00FB52DD">
        <w:t xml:space="preserve"> there</w:t>
      </w:r>
      <w:r w:rsidR="00BA1DDE">
        <w:t xml:space="preserve"> are no "</w:t>
      </w:r>
      <w:r w:rsidRPr="00FB52DD">
        <w:t>undisputed facts of record with respect to the existence of any trends identifiable in such data."</w:t>
      </w:r>
      <w:r>
        <w:rPr>
          <w:rStyle w:val="FootnoteReference"/>
        </w:rPr>
        <w:footnoteReference w:id="2095"/>
      </w:r>
    </w:p>
    <w:p w:rsidR="00C752B3" w:rsidRDefault="00C752B3" w:rsidP="00526697">
      <w:pPr>
        <w:pStyle w:val="BodyText"/>
      </w:pPr>
      <w:r w:rsidRPr="00FB52DD">
        <w:t xml:space="preserve">We recall that the </w:t>
      </w:r>
      <w:r>
        <w:t>Appellate Body</w:t>
      </w:r>
      <w:r w:rsidRPr="00FB52DD">
        <w:t xml:space="preserve"> has</w:t>
      </w:r>
      <w:r w:rsidRPr="00FB52DD">
        <w:rPr>
          <w:lang w:val="en"/>
        </w:rPr>
        <w:t xml:space="preserve">, on occasion, completed the legal analysis with a view to facilitating the prompt settlement of the dispute, pursuant to </w:t>
      </w:r>
      <w:r>
        <w:rPr>
          <w:lang w:val="en"/>
        </w:rPr>
        <w:t>Article </w:t>
      </w:r>
      <w:r w:rsidRPr="00FB52DD">
        <w:rPr>
          <w:lang w:val="en"/>
        </w:rPr>
        <w:t xml:space="preserve">3.3 of the DSU. However, the </w:t>
      </w:r>
      <w:r>
        <w:rPr>
          <w:lang w:val="en"/>
        </w:rPr>
        <w:t>Appellate Body</w:t>
      </w:r>
      <w:r w:rsidRPr="00FB52DD">
        <w:rPr>
          <w:lang w:val="en"/>
        </w:rPr>
        <w:t xml:space="preserve"> has "insisted that {it} can do so only if the factual findings of the panel and the undisputed facts in the panel record provide {</w:t>
      </w:r>
      <w:r w:rsidR="00C30B09">
        <w:rPr>
          <w:lang w:val="en"/>
        </w:rPr>
        <w:t>it</w:t>
      </w:r>
      <w:r w:rsidRPr="00FB52DD">
        <w:rPr>
          <w:lang w:val="en"/>
        </w:rPr>
        <w:t>} with a sufficient basis for {its} own analysis".</w:t>
      </w:r>
      <w:r>
        <w:rPr>
          <w:rStyle w:val="FootnoteReference"/>
          <w:lang w:val="en"/>
        </w:rPr>
        <w:footnoteReference w:id="2096"/>
      </w:r>
      <w:r w:rsidRPr="00FB52DD">
        <w:rPr>
          <w:lang w:val="en"/>
        </w:rPr>
        <w:t xml:space="preserve"> </w:t>
      </w:r>
      <w:r>
        <w:rPr>
          <w:lang w:val="en"/>
        </w:rPr>
        <w:t xml:space="preserve">We note that both the United States and the European Union have relied on the </w:t>
      </w:r>
      <w:r w:rsidRPr="00FB52DD">
        <w:t xml:space="preserve">same Ascend database service with respect to the volume </w:t>
      </w:r>
      <w:r>
        <w:t xml:space="preserve">of deliveries </w:t>
      </w:r>
      <w:r w:rsidRPr="00FB52DD">
        <w:t>and market share data</w:t>
      </w:r>
      <w:r>
        <w:t xml:space="preserve"> for </w:t>
      </w:r>
      <w:r w:rsidR="00C30B09">
        <w:t>the period 2001-</w:t>
      </w:r>
      <w:r>
        <w:t>2013.</w:t>
      </w:r>
      <w:r>
        <w:rPr>
          <w:rStyle w:val="FootnoteReference"/>
        </w:rPr>
        <w:footnoteReference w:id="2097"/>
      </w:r>
      <w:r>
        <w:t xml:space="preserve"> We further recall that we </w:t>
      </w:r>
      <w:r w:rsidR="00C30B09">
        <w:t xml:space="preserve">have </w:t>
      </w:r>
      <w:r>
        <w:t>found no error in the Panel's approach of having "</w:t>
      </w:r>
      <w:r w:rsidRPr="00B03079">
        <w:t xml:space="preserve">focused on the most recent market data presented by the parties </w:t>
      </w:r>
      <w:r>
        <w:t xml:space="preserve">… </w:t>
      </w:r>
      <w:r w:rsidRPr="00B03079">
        <w:t xml:space="preserve">from the </w:t>
      </w:r>
      <w:r>
        <w:rPr>
          <w:i/>
        </w:rPr>
        <w:t>post</w:t>
      </w:r>
      <w:r>
        <w:rPr>
          <w:i/>
        </w:rPr>
        <w:noBreakHyphen/>
      </w:r>
      <w:r w:rsidRPr="00106B1B">
        <w:rPr>
          <w:i/>
        </w:rPr>
        <w:t>implementation period</w:t>
      </w:r>
      <w:r w:rsidRPr="00BF6326">
        <w:t>"</w:t>
      </w:r>
      <w:r>
        <w:rPr>
          <w:rStyle w:val="FootnoteReference"/>
        </w:rPr>
        <w:footnoteReference w:id="2098"/>
      </w:r>
      <w:r>
        <w:t xml:space="preserve"> in order to make findings of displacement and/or impedance. </w:t>
      </w:r>
    </w:p>
    <w:p w:rsidR="00C752B3" w:rsidRPr="00FB5380" w:rsidRDefault="00C752B3" w:rsidP="00526697">
      <w:pPr>
        <w:pStyle w:val="BodyText"/>
      </w:pPr>
      <w:r>
        <w:t xml:space="preserve">In light of the reversal of </w:t>
      </w:r>
      <w:r w:rsidR="00C30B09">
        <w:t xml:space="preserve">the </w:t>
      </w:r>
      <w:r>
        <w:t>relevant Panel findings in the preceding section, our task in this section is to consider whether we can complete the legal analysis in respect of the United States' request to find: (i) displacement and/or impedance in the single-aisle LCA markets in Australia, China, and India; (ii) impedance in the single-aisle LCA market</w:t>
      </w:r>
      <w:r w:rsidR="00C30B09">
        <w:t xml:space="preserve"> in the European Union</w:t>
      </w:r>
      <w:r>
        <w:t>, or</w:t>
      </w:r>
      <w:r w:rsidR="00C30B09">
        <w:t>,</w:t>
      </w:r>
      <w:r>
        <w:t xml:space="preserve"> in the alternative, threat of displacement and impedance in that market; (iii) displacement in the twin-aisle LCA markets in China, Korea, and Singapore; (iv) impedance in the twin-aisle LCA markets in the European Union, China, Korea, and Singapore; and (v) displacement in the VLA markets in the European Union, Australia, Korea, and Singapore. </w:t>
      </w:r>
    </w:p>
    <w:p w:rsidR="00C752B3" w:rsidRPr="00FB5380" w:rsidRDefault="00C752B3" w:rsidP="00526697">
      <w:pPr>
        <w:pStyle w:val="BodyText"/>
      </w:pPr>
      <w:r>
        <w:t>In respect of the United States' claims of displacement and/or impedance in the single</w:t>
      </w:r>
      <w:r>
        <w:noBreakHyphen/>
        <w:t>aisle LCA markets in Australia, China, and India and its claim of impedance in the single</w:t>
      </w:r>
      <w:r w:rsidR="00C30B09">
        <w:noBreakHyphen/>
      </w:r>
      <w:r>
        <w:t>aisle LCA market</w:t>
      </w:r>
      <w:r w:rsidR="00C30B09">
        <w:t xml:space="preserve"> in the European Union</w:t>
      </w:r>
      <w:r>
        <w:t xml:space="preserve">, we recall that we have reversed the Panel's finding </w:t>
      </w:r>
      <w:r w:rsidR="00C30B09">
        <w:t>due to its reliance on the "product</w:t>
      </w:r>
      <w:r>
        <w:t xml:space="preserve"> effects</w:t>
      </w:r>
      <w:r w:rsidR="00C30B09">
        <w:t>"</w:t>
      </w:r>
      <w:r>
        <w:t xml:space="preserve"> of the expired LA/MSF subsidies on the </w:t>
      </w:r>
      <w:r w:rsidR="00C30B09">
        <w:t>market presence of the A320 family of Airbus LC</w:t>
      </w:r>
      <w:r w:rsidR="006516E7">
        <w:t>A</w:t>
      </w:r>
      <w:r>
        <w:t>.</w:t>
      </w:r>
      <w:r>
        <w:rPr>
          <w:rStyle w:val="FootnoteReference"/>
        </w:rPr>
        <w:footnoteReference w:id="2099"/>
      </w:r>
      <w:r>
        <w:t xml:space="preserve"> We do not, however, detect undisputed facts on the </w:t>
      </w:r>
      <w:r w:rsidR="00C30B09">
        <w:t>P</w:t>
      </w:r>
      <w:r>
        <w:t xml:space="preserve">anel record that would allow us to draw our own conclusions regarding the effect of the existing LA/MSF subsidies – those </w:t>
      </w:r>
      <w:r w:rsidR="006516E7">
        <w:t xml:space="preserve">provided </w:t>
      </w:r>
      <w:r>
        <w:t xml:space="preserve">for the A380 and the A350XWB – on Airbus' competiveness in respect of its single-aisle LCA offerings. In </w:t>
      </w:r>
      <w:r w:rsidR="006516E7">
        <w:t xml:space="preserve">the </w:t>
      </w:r>
      <w:r>
        <w:t>absence thereof, we do not see how we could determine whether the LA/MSF subsidies existing in the post-implementation period are a genuine and substantial cause of the alleged "displacement and/or impedance" in the single-aisle LCA markets at issue.</w:t>
      </w:r>
      <w:r>
        <w:rPr>
          <w:rStyle w:val="FootnoteReference"/>
        </w:rPr>
        <w:footnoteReference w:id="2100"/>
      </w:r>
      <w:r>
        <w:t xml:space="preserve"> </w:t>
      </w:r>
    </w:p>
    <w:p w:rsidR="00C752B3" w:rsidRDefault="00C752B3" w:rsidP="00526697">
      <w:pPr>
        <w:pStyle w:val="BodyText"/>
      </w:pPr>
      <w:r>
        <w:t xml:space="preserve">In our view, similar considerations apply with regard to the United States' </w:t>
      </w:r>
      <w:r w:rsidRPr="006162FE">
        <w:rPr>
          <w:lang w:val="en-US"/>
        </w:rPr>
        <w:t xml:space="preserve">request that </w:t>
      </w:r>
      <w:r w:rsidR="001D4A2B">
        <w:rPr>
          <w:lang w:val="en-US"/>
        </w:rPr>
        <w:t>we</w:t>
      </w:r>
      <w:r w:rsidRPr="006162FE">
        <w:rPr>
          <w:lang w:val="en-US"/>
        </w:rPr>
        <w:t xml:space="preserve"> </w:t>
      </w:r>
      <w:r w:rsidR="001D4A2B">
        <w:rPr>
          <w:lang w:val="en-US"/>
        </w:rPr>
        <w:t>"</w:t>
      </w:r>
      <w:r w:rsidRPr="006162FE">
        <w:rPr>
          <w:lang w:val="en-US"/>
        </w:rPr>
        <w:t>conduct a threat analysis of displacement and impedance based on order data</w:t>
      </w:r>
      <w:r w:rsidRPr="00FB52DD">
        <w:t>"</w:t>
      </w:r>
      <w:r>
        <w:rPr>
          <w:rStyle w:val="FootnoteReference"/>
        </w:rPr>
        <w:footnoteReference w:id="2101"/>
      </w:r>
      <w:r>
        <w:t xml:space="preserve"> for the </w:t>
      </w:r>
      <w:r w:rsidR="001D4A2B">
        <w:t>EU</w:t>
      </w:r>
      <w:r w:rsidR="00E01DBF">
        <w:t> </w:t>
      </w:r>
      <w:r>
        <w:t xml:space="preserve">single-aisle LCA market. We recall that the Panel made no determination </w:t>
      </w:r>
      <w:r w:rsidR="001D4A2B">
        <w:t>with regard to</w:t>
      </w:r>
      <w:r>
        <w:t xml:space="preserve"> the United States' claim of </w:t>
      </w:r>
      <w:r w:rsidRPr="006162FE">
        <w:rPr>
          <w:i/>
        </w:rPr>
        <w:t>threat</w:t>
      </w:r>
      <w:r>
        <w:t xml:space="preserve"> of displacement and impedance in the single-aisle LCA </w:t>
      </w:r>
      <w:r w:rsidR="001D4A2B">
        <w:t xml:space="preserve">market </w:t>
      </w:r>
      <w:r>
        <w:t xml:space="preserve">in the European Union, given that "the United States requested the Panel to consider this claim only if {it} rejected {the United States'} claims of </w:t>
      </w:r>
      <w:r w:rsidRPr="001E008F">
        <w:rPr>
          <w:i/>
        </w:rPr>
        <w:t>present</w:t>
      </w:r>
      <w:r>
        <w:t xml:space="preserve"> serious prejudice".</w:t>
      </w:r>
      <w:r>
        <w:rPr>
          <w:rStyle w:val="FootnoteReference"/>
        </w:rPr>
        <w:footnoteReference w:id="2102"/>
      </w:r>
      <w:r>
        <w:t xml:space="preserve"> </w:t>
      </w:r>
      <w:r w:rsidR="006516E7">
        <w:t>We therefore</w:t>
      </w:r>
      <w:r>
        <w:t xml:space="preserve"> do not consider it appropriate to engage with the United States' request in respect of its </w:t>
      </w:r>
      <w:r w:rsidR="006516E7">
        <w:t xml:space="preserve">claim of </w:t>
      </w:r>
      <w:r>
        <w:t xml:space="preserve">threat of displacement and impedance claim, </w:t>
      </w:r>
      <w:r w:rsidR="006516E7">
        <w:t>as it</w:t>
      </w:r>
      <w:r>
        <w:t xml:space="preserve"> </w:t>
      </w:r>
      <w:r w:rsidRPr="007078EA">
        <w:t xml:space="preserve">would require </w:t>
      </w:r>
      <w:r>
        <w:t>us</w:t>
      </w:r>
      <w:r w:rsidRPr="007078EA">
        <w:t xml:space="preserve"> </w:t>
      </w:r>
      <w:r>
        <w:t xml:space="preserve">to </w:t>
      </w:r>
      <w:r w:rsidRPr="003E7F09">
        <w:t>review</w:t>
      </w:r>
      <w:r>
        <w:t xml:space="preserve"> and consider evidence and arguments that were not addressed by the Panel or sufficiently ex</w:t>
      </w:r>
      <w:r w:rsidR="001D4A2B">
        <w:t>plored and developed before the </w:t>
      </w:r>
      <w:r>
        <w:t>Panel.</w:t>
      </w:r>
    </w:p>
    <w:p w:rsidR="00C752B3" w:rsidRDefault="00C752B3" w:rsidP="00526697">
      <w:pPr>
        <w:pStyle w:val="BodyText"/>
      </w:pPr>
      <w:r>
        <w:t xml:space="preserve">We </w:t>
      </w:r>
      <w:r w:rsidR="001D4A2B">
        <w:t xml:space="preserve">now </w:t>
      </w:r>
      <w:r>
        <w:t>turn</w:t>
      </w:r>
      <w:r w:rsidR="001D4A2B">
        <w:t xml:space="preserve"> </w:t>
      </w:r>
      <w:r>
        <w:t xml:space="preserve">to the United States' request </w:t>
      </w:r>
      <w:r w:rsidR="001D4A2B">
        <w:t>that we</w:t>
      </w:r>
      <w:r>
        <w:t xml:space="preserve"> complete the analysis in respect of its claims of displacement in the twin-aisle LCA markets in China, Korea, and Singapore, and </w:t>
      </w:r>
      <w:r w:rsidRPr="00145239">
        <w:t xml:space="preserve">impedance in the twin-aisle LCA markets in the European Union, </w:t>
      </w:r>
      <w:r w:rsidR="00E01DBF">
        <w:t>China, Korea, and Singapore. We </w:t>
      </w:r>
      <w:r w:rsidRPr="00145239">
        <w:t xml:space="preserve">have found in paragraphs </w:t>
      </w:r>
      <w:r w:rsidR="00F3695C" w:rsidRPr="00145239">
        <w:t>5.719-5.722</w:t>
      </w:r>
      <w:r w:rsidRPr="00145239">
        <w:t xml:space="preserve"> above that the Panel's analysis and findings do not provide a sufficient basis to sustain the conclusion that the effect</w:t>
      </w:r>
      <w:r>
        <w:t xml:space="preserve"> of the</w:t>
      </w:r>
      <w:r w:rsidRPr="003C348C">
        <w:t xml:space="preserve"> LA/MSF subsidies </w:t>
      </w:r>
      <w:r>
        <w:t>existing in the post</w:t>
      </w:r>
      <w:r>
        <w:noBreakHyphen/>
        <w:t xml:space="preserve">implementation period was "to displace or impede" </w:t>
      </w:r>
      <w:r w:rsidR="001D4A2B">
        <w:t>US</w:t>
      </w:r>
      <w:r>
        <w:t xml:space="preserve"> LCA in the twin-aisle LCA market</w:t>
      </w:r>
      <w:r w:rsidR="001D4A2B">
        <w:t xml:space="preserve"> in the European Union</w:t>
      </w:r>
      <w:r>
        <w:t xml:space="preserve"> and relevant third country markets. Nor do we detect undisputed facts on the </w:t>
      </w:r>
      <w:r w:rsidR="001D4A2B">
        <w:t>P</w:t>
      </w:r>
      <w:r>
        <w:t xml:space="preserve">anel record that would allow us to draw our own conclusions regarding this issue. In these circumstances, engaging with the United States' request for completion </w:t>
      </w:r>
      <w:r w:rsidR="001D4A2B">
        <w:t>where</w:t>
      </w:r>
      <w:r>
        <w:t xml:space="preserve"> these markets</w:t>
      </w:r>
      <w:r w:rsidR="001D4A2B">
        <w:t xml:space="preserve"> are concerned</w:t>
      </w:r>
      <w:r>
        <w:t xml:space="preserve">, </w:t>
      </w:r>
      <w:r w:rsidRPr="0064411F">
        <w:t xml:space="preserve">would require us to review and consider </w:t>
      </w:r>
      <w:r>
        <w:t>evidence</w:t>
      </w:r>
      <w:r w:rsidRPr="0064411F">
        <w:t xml:space="preserve"> and arguments that </w:t>
      </w:r>
      <w:r>
        <w:t xml:space="preserve">we find </w:t>
      </w:r>
      <w:r w:rsidRPr="0064411F">
        <w:t>were not sufficiently addressed by the Panel or sufficiently explored and developed before the Panel.</w:t>
      </w:r>
      <w:r>
        <w:t xml:space="preserve"> </w:t>
      </w:r>
    </w:p>
    <w:p w:rsidR="00C752B3" w:rsidRDefault="00C752B3" w:rsidP="00526697">
      <w:pPr>
        <w:pStyle w:val="BodyText"/>
      </w:pPr>
      <w:r>
        <w:t>Finally, regarding the United States' claims of displacement in the VLA markets in the European Union, Australia, Korea, and Singapore, we recall the market data that was tabulated by the Panel for these markets:</w:t>
      </w:r>
    </w:p>
    <w:p w:rsidR="00C752B3" w:rsidRDefault="00C752B3" w:rsidP="00C752B3">
      <w:pPr>
        <w:pStyle w:val="Caption"/>
      </w:pPr>
      <w:r>
        <w:t xml:space="preserve">Table </w:t>
      </w:r>
      <w:r w:rsidR="009A724D">
        <w:fldChar w:fldCharType="begin"/>
      </w:r>
      <w:r w:rsidR="009A724D">
        <w:instrText xml:space="preserve"> SEQ Table \* ARABIC </w:instrText>
      </w:r>
      <w:r w:rsidR="009A724D">
        <w:fldChar w:fldCharType="separate"/>
      </w:r>
      <w:r w:rsidR="00FD2727">
        <w:rPr>
          <w:noProof/>
        </w:rPr>
        <w:t>14</w:t>
      </w:r>
      <w:r w:rsidR="009A724D">
        <w:rPr>
          <w:noProof/>
        </w:rPr>
        <w:fldChar w:fldCharType="end"/>
      </w:r>
      <w:r>
        <w:t>: Market for very large LCA</w:t>
      </w:r>
    </w:p>
    <w:tbl>
      <w:tblPr>
        <w:tblW w:w="4892" w:type="pct"/>
        <w:jc w:val="center"/>
        <w:tblInd w:w="-83"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57" w:type="dxa"/>
          <w:left w:w="57" w:type="dxa"/>
          <w:bottom w:w="57" w:type="dxa"/>
          <w:right w:w="57" w:type="dxa"/>
        </w:tblCellMar>
        <w:tblLook w:val="0020" w:firstRow="1" w:lastRow="0" w:firstColumn="0" w:lastColumn="0" w:noHBand="0" w:noVBand="0"/>
      </w:tblPr>
      <w:tblGrid>
        <w:gridCol w:w="1369"/>
        <w:gridCol w:w="702"/>
        <w:gridCol w:w="703"/>
        <w:gridCol w:w="712"/>
        <w:gridCol w:w="605"/>
        <w:gridCol w:w="605"/>
        <w:gridCol w:w="637"/>
        <w:gridCol w:w="572"/>
        <w:gridCol w:w="628"/>
        <w:gridCol w:w="594"/>
        <w:gridCol w:w="587"/>
        <w:gridCol w:w="633"/>
        <w:gridCol w:w="596"/>
      </w:tblGrid>
      <w:tr w:rsidR="00C752B3" w:rsidRPr="006142F3" w:rsidTr="00C752B3">
        <w:trPr>
          <w:trHeight w:val="216"/>
          <w:jc w:val="center"/>
        </w:trPr>
        <w:tc>
          <w:tcPr>
            <w:tcW w:w="766" w:type="pct"/>
            <w:shd w:val="clear" w:color="auto" w:fill="006283"/>
          </w:tcPr>
          <w:p w:rsidR="00C752B3" w:rsidRPr="006142F3" w:rsidRDefault="00C752B3" w:rsidP="00C752B3">
            <w:pPr>
              <w:keepNext/>
              <w:keepLines/>
              <w:autoSpaceDE w:val="0"/>
              <w:autoSpaceDN w:val="0"/>
              <w:adjustRightInd w:val="0"/>
              <w:spacing w:before="100" w:beforeAutospacing="1" w:after="100" w:afterAutospacing="1"/>
              <w:jc w:val="center"/>
              <w:rPr>
                <w:b/>
                <w:bCs/>
                <w:color w:val="FFFFFF"/>
                <w:sz w:val="16"/>
                <w:szCs w:val="16"/>
                <w:lang w:eastAsia="en-GB"/>
              </w:rPr>
            </w:pPr>
          </w:p>
        </w:tc>
        <w:tc>
          <w:tcPr>
            <w:tcW w:w="1184" w:type="pct"/>
            <w:gridSpan w:val="3"/>
            <w:shd w:val="clear" w:color="auto" w:fill="006283"/>
          </w:tcPr>
          <w:p w:rsidR="00C752B3" w:rsidRPr="006142F3" w:rsidRDefault="00C752B3" w:rsidP="00C752B3">
            <w:pPr>
              <w:keepNext/>
              <w:keepLines/>
              <w:autoSpaceDE w:val="0"/>
              <w:autoSpaceDN w:val="0"/>
              <w:adjustRightInd w:val="0"/>
              <w:spacing w:before="100" w:beforeAutospacing="1" w:after="100" w:afterAutospacing="1"/>
              <w:jc w:val="center"/>
              <w:rPr>
                <w:b/>
                <w:bCs/>
                <w:color w:val="FFFFFF"/>
                <w:sz w:val="16"/>
                <w:szCs w:val="16"/>
                <w:lang w:eastAsia="en-GB"/>
              </w:rPr>
            </w:pPr>
            <w:r>
              <w:rPr>
                <w:b/>
                <w:bCs/>
                <w:color w:val="FFFFFF"/>
                <w:sz w:val="16"/>
                <w:szCs w:val="16"/>
                <w:lang w:eastAsia="en-GB"/>
              </w:rPr>
              <w:t>European Union</w:t>
            </w:r>
          </w:p>
        </w:tc>
        <w:tc>
          <w:tcPr>
            <w:tcW w:w="1031" w:type="pct"/>
            <w:gridSpan w:val="3"/>
            <w:shd w:val="clear" w:color="auto" w:fill="006283"/>
          </w:tcPr>
          <w:p w:rsidR="00C752B3" w:rsidRPr="006142F3" w:rsidRDefault="00C752B3" w:rsidP="00C752B3">
            <w:pPr>
              <w:keepNext/>
              <w:keepLines/>
              <w:autoSpaceDE w:val="0"/>
              <w:autoSpaceDN w:val="0"/>
              <w:adjustRightInd w:val="0"/>
              <w:spacing w:before="100" w:beforeAutospacing="1" w:after="100" w:afterAutospacing="1"/>
              <w:jc w:val="center"/>
              <w:rPr>
                <w:b/>
                <w:bCs/>
                <w:color w:val="FFFFFF"/>
                <w:sz w:val="16"/>
                <w:szCs w:val="16"/>
                <w:lang w:eastAsia="en-GB"/>
              </w:rPr>
            </w:pPr>
            <w:r w:rsidRPr="006142F3">
              <w:rPr>
                <w:b/>
                <w:bCs/>
                <w:color w:val="FFFFFF"/>
                <w:sz w:val="16"/>
                <w:szCs w:val="16"/>
                <w:lang w:eastAsia="en-GB"/>
              </w:rPr>
              <w:t>Australia</w:t>
            </w:r>
          </w:p>
        </w:tc>
        <w:tc>
          <w:tcPr>
            <w:tcW w:w="1002" w:type="pct"/>
            <w:gridSpan w:val="3"/>
            <w:shd w:val="clear" w:color="auto" w:fill="006283"/>
          </w:tcPr>
          <w:p w:rsidR="00C752B3" w:rsidRPr="006142F3" w:rsidRDefault="00C752B3" w:rsidP="00C752B3">
            <w:pPr>
              <w:keepNext/>
              <w:keepLines/>
              <w:autoSpaceDE w:val="0"/>
              <w:autoSpaceDN w:val="0"/>
              <w:adjustRightInd w:val="0"/>
              <w:spacing w:before="100" w:beforeAutospacing="1" w:after="100" w:afterAutospacing="1"/>
              <w:jc w:val="center"/>
              <w:rPr>
                <w:b/>
                <w:bCs/>
                <w:color w:val="FFFFFF"/>
                <w:sz w:val="16"/>
                <w:szCs w:val="16"/>
                <w:lang w:eastAsia="en-GB"/>
              </w:rPr>
            </w:pPr>
            <w:r w:rsidRPr="006142F3">
              <w:rPr>
                <w:b/>
                <w:bCs/>
                <w:color w:val="FFFFFF"/>
                <w:sz w:val="16"/>
                <w:szCs w:val="16"/>
                <w:lang w:eastAsia="en-GB"/>
              </w:rPr>
              <w:t>Korea</w:t>
            </w:r>
          </w:p>
        </w:tc>
        <w:tc>
          <w:tcPr>
            <w:tcW w:w="1017" w:type="pct"/>
            <w:gridSpan w:val="3"/>
            <w:shd w:val="clear" w:color="auto" w:fill="006283"/>
          </w:tcPr>
          <w:p w:rsidR="00C752B3" w:rsidRPr="006142F3" w:rsidRDefault="00C752B3" w:rsidP="00C752B3">
            <w:pPr>
              <w:keepNext/>
              <w:keepLines/>
              <w:autoSpaceDE w:val="0"/>
              <w:autoSpaceDN w:val="0"/>
              <w:adjustRightInd w:val="0"/>
              <w:spacing w:before="100" w:beforeAutospacing="1" w:after="100" w:afterAutospacing="1"/>
              <w:jc w:val="center"/>
              <w:rPr>
                <w:b/>
                <w:bCs/>
                <w:color w:val="FFFFFF"/>
                <w:sz w:val="16"/>
                <w:szCs w:val="16"/>
                <w:lang w:eastAsia="en-GB"/>
              </w:rPr>
            </w:pPr>
            <w:r w:rsidRPr="006142F3">
              <w:rPr>
                <w:b/>
                <w:bCs/>
                <w:color w:val="FFFFFF"/>
                <w:sz w:val="16"/>
                <w:szCs w:val="16"/>
                <w:lang w:eastAsia="en-GB"/>
              </w:rPr>
              <w:t>Singapore</w:t>
            </w:r>
          </w:p>
        </w:tc>
      </w:tr>
      <w:tr w:rsidR="00C752B3" w:rsidRPr="006142F3" w:rsidTr="00C752B3">
        <w:trPr>
          <w:trHeight w:val="174"/>
          <w:jc w:val="center"/>
        </w:trPr>
        <w:tc>
          <w:tcPr>
            <w:tcW w:w="766" w:type="pct"/>
            <w:shd w:val="clear" w:color="auto" w:fill="auto"/>
            <w:vAlign w:val="center"/>
          </w:tcPr>
          <w:p w:rsidR="00C752B3" w:rsidRPr="006142F3" w:rsidRDefault="00C752B3" w:rsidP="00C752B3">
            <w:pPr>
              <w:keepNext/>
              <w:keepLines/>
              <w:autoSpaceDE w:val="0"/>
              <w:autoSpaceDN w:val="0"/>
              <w:adjustRightInd w:val="0"/>
              <w:spacing w:before="100" w:beforeAutospacing="1" w:after="100" w:afterAutospacing="1"/>
              <w:jc w:val="center"/>
              <w:rPr>
                <w:color w:val="000000"/>
                <w:sz w:val="16"/>
                <w:szCs w:val="16"/>
                <w:lang w:eastAsia="en-GB"/>
              </w:rPr>
            </w:pPr>
            <w:r w:rsidRPr="006142F3">
              <w:rPr>
                <w:b/>
                <w:bCs/>
                <w:color w:val="000000"/>
                <w:sz w:val="16"/>
                <w:szCs w:val="16"/>
                <w:lang w:eastAsia="en-GB"/>
              </w:rPr>
              <w:t>Delivery Data</w:t>
            </w:r>
          </w:p>
        </w:tc>
        <w:tc>
          <w:tcPr>
            <w:tcW w:w="393" w:type="pct"/>
            <w:shd w:val="clear" w:color="auto" w:fill="auto"/>
            <w:vAlign w:val="center"/>
          </w:tcPr>
          <w:p w:rsidR="00C752B3" w:rsidRPr="006142F3" w:rsidRDefault="00C752B3" w:rsidP="00C752B3">
            <w:pPr>
              <w:keepNext/>
              <w:keepLines/>
              <w:autoSpaceDE w:val="0"/>
              <w:autoSpaceDN w:val="0"/>
              <w:adjustRightInd w:val="0"/>
              <w:spacing w:before="100" w:beforeAutospacing="1" w:after="100" w:afterAutospacing="1"/>
              <w:jc w:val="center"/>
              <w:rPr>
                <w:b/>
                <w:bCs/>
                <w:color w:val="000000"/>
                <w:sz w:val="16"/>
                <w:szCs w:val="16"/>
                <w:lang w:eastAsia="en-GB"/>
              </w:rPr>
            </w:pPr>
            <w:r w:rsidRPr="006142F3">
              <w:rPr>
                <w:b/>
                <w:bCs/>
                <w:color w:val="000000"/>
                <w:sz w:val="16"/>
                <w:szCs w:val="16"/>
                <w:lang w:eastAsia="en-GB"/>
              </w:rPr>
              <w:t>Dec. 2011</w:t>
            </w:r>
          </w:p>
        </w:tc>
        <w:tc>
          <w:tcPr>
            <w:tcW w:w="393" w:type="pct"/>
            <w:shd w:val="clear" w:color="auto" w:fill="auto"/>
            <w:vAlign w:val="center"/>
          </w:tcPr>
          <w:p w:rsidR="00C752B3" w:rsidRPr="006142F3" w:rsidRDefault="00C752B3" w:rsidP="00C752B3">
            <w:pPr>
              <w:keepNext/>
              <w:keepLines/>
              <w:autoSpaceDE w:val="0"/>
              <w:autoSpaceDN w:val="0"/>
              <w:adjustRightInd w:val="0"/>
              <w:spacing w:before="100" w:beforeAutospacing="1" w:after="100" w:afterAutospacing="1"/>
              <w:jc w:val="center"/>
              <w:rPr>
                <w:b/>
                <w:bCs/>
                <w:color w:val="000000"/>
                <w:sz w:val="16"/>
                <w:szCs w:val="16"/>
                <w:lang w:eastAsia="en-GB"/>
              </w:rPr>
            </w:pPr>
            <w:r w:rsidRPr="006142F3">
              <w:rPr>
                <w:b/>
                <w:bCs/>
                <w:color w:val="000000"/>
                <w:sz w:val="16"/>
                <w:szCs w:val="16"/>
                <w:lang w:eastAsia="en-GB"/>
              </w:rPr>
              <w:t>2012</w:t>
            </w:r>
          </w:p>
        </w:tc>
        <w:tc>
          <w:tcPr>
            <w:tcW w:w="398" w:type="pct"/>
            <w:shd w:val="clear" w:color="auto" w:fill="auto"/>
            <w:vAlign w:val="center"/>
          </w:tcPr>
          <w:p w:rsidR="00C752B3" w:rsidRPr="006142F3" w:rsidRDefault="00C752B3" w:rsidP="00C752B3">
            <w:pPr>
              <w:keepNext/>
              <w:keepLines/>
              <w:autoSpaceDE w:val="0"/>
              <w:autoSpaceDN w:val="0"/>
              <w:adjustRightInd w:val="0"/>
              <w:spacing w:before="100" w:beforeAutospacing="1" w:after="100" w:afterAutospacing="1"/>
              <w:jc w:val="center"/>
              <w:rPr>
                <w:b/>
                <w:bCs/>
                <w:color w:val="000000"/>
                <w:sz w:val="16"/>
                <w:szCs w:val="16"/>
                <w:lang w:eastAsia="en-GB"/>
              </w:rPr>
            </w:pPr>
            <w:r w:rsidRPr="006142F3">
              <w:rPr>
                <w:b/>
                <w:bCs/>
                <w:color w:val="000000"/>
                <w:sz w:val="16"/>
                <w:szCs w:val="16"/>
                <w:lang w:eastAsia="en-GB"/>
              </w:rPr>
              <w:t>2013</w:t>
            </w:r>
          </w:p>
        </w:tc>
        <w:tc>
          <w:tcPr>
            <w:tcW w:w="338" w:type="pct"/>
            <w:vAlign w:val="center"/>
          </w:tcPr>
          <w:p w:rsidR="00C752B3" w:rsidRPr="006142F3" w:rsidRDefault="00C752B3" w:rsidP="00C752B3">
            <w:pPr>
              <w:keepNext/>
              <w:autoSpaceDE w:val="0"/>
              <w:autoSpaceDN w:val="0"/>
              <w:adjustRightInd w:val="0"/>
              <w:spacing w:before="100" w:beforeAutospacing="1" w:after="100" w:afterAutospacing="1"/>
              <w:jc w:val="center"/>
              <w:rPr>
                <w:b/>
                <w:bCs/>
                <w:color w:val="000000"/>
                <w:sz w:val="16"/>
                <w:szCs w:val="16"/>
                <w:lang w:eastAsia="en-GB"/>
              </w:rPr>
            </w:pPr>
            <w:r w:rsidRPr="006142F3">
              <w:rPr>
                <w:b/>
                <w:bCs/>
                <w:color w:val="000000"/>
                <w:sz w:val="16"/>
                <w:szCs w:val="16"/>
                <w:lang w:eastAsia="en-GB"/>
              </w:rPr>
              <w:t>Dec. 2011</w:t>
            </w:r>
          </w:p>
        </w:tc>
        <w:tc>
          <w:tcPr>
            <w:tcW w:w="338" w:type="pct"/>
            <w:vAlign w:val="center"/>
          </w:tcPr>
          <w:p w:rsidR="00C752B3" w:rsidRPr="006142F3" w:rsidRDefault="00C752B3" w:rsidP="00C752B3">
            <w:pPr>
              <w:keepNext/>
              <w:autoSpaceDE w:val="0"/>
              <w:autoSpaceDN w:val="0"/>
              <w:adjustRightInd w:val="0"/>
              <w:spacing w:before="100" w:beforeAutospacing="1" w:after="100" w:afterAutospacing="1"/>
              <w:jc w:val="center"/>
              <w:rPr>
                <w:b/>
                <w:bCs/>
                <w:color w:val="000000"/>
                <w:sz w:val="16"/>
                <w:szCs w:val="16"/>
                <w:lang w:eastAsia="en-GB"/>
              </w:rPr>
            </w:pPr>
            <w:r w:rsidRPr="006142F3">
              <w:rPr>
                <w:b/>
                <w:bCs/>
                <w:color w:val="000000"/>
                <w:sz w:val="16"/>
                <w:szCs w:val="16"/>
                <w:lang w:eastAsia="en-GB"/>
              </w:rPr>
              <w:t>2012</w:t>
            </w:r>
          </w:p>
        </w:tc>
        <w:tc>
          <w:tcPr>
            <w:tcW w:w="356" w:type="pct"/>
            <w:vAlign w:val="center"/>
          </w:tcPr>
          <w:p w:rsidR="00C752B3" w:rsidRPr="006142F3" w:rsidRDefault="00C752B3" w:rsidP="00C752B3">
            <w:pPr>
              <w:keepNext/>
              <w:autoSpaceDE w:val="0"/>
              <w:autoSpaceDN w:val="0"/>
              <w:adjustRightInd w:val="0"/>
              <w:spacing w:before="100" w:beforeAutospacing="1" w:after="100" w:afterAutospacing="1"/>
              <w:jc w:val="center"/>
              <w:rPr>
                <w:b/>
                <w:bCs/>
                <w:color w:val="000000"/>
                <w:sz w:val="16"/>
                <w:szCs w:val="16"/>
                <w:lang w:eastAsia="en-GB"/>
              </w:rPr>
            </w:pPr>
            <w:r w:rsidRPr="006142F3">
              <w:rPr>
                <w:b/>
                <w:bCs/>
                <w:color w:val="000000"/>
                <w:sz w:val="16"/>
                <w:szCs w:val="16"/>
                <w:lang w:eastAsia="en-GB"/>
              </w:rPr>
              <w:t>2013</w:t>
            </w:r>
          </w:p>
        </w:tc>
        <w:tc>
          <w:tcPr>
            <w:tcW w:w="320" w:type="pct"/>
            <w:shd w:val="clear" w:color="auto" w:fill="auto"/>
            <w:vAlign w:val="center"/>
          </w:tcPr>
          <w:p w:rsidR="00C752B3" w:rsidRPr="006142F3" w:rsidRDefault="00C752B3" w:rsidP="00C752B3">
            <w:pPr>
              <w:keepNext/>
              <w:keepLines/>
              <w:autoSpaceDE w:val="0"/>
              <w:autoSpaceDN w:val="0"/>
              <w:adjustRightInd w:val="0"/>
              <w:spacing w:before="100" w:beforeAutospacing="1" w:after="100" w:afterAutospacing="1"/>
              <w:jc w:val="center"/>
              <w:rPr>
                <w:b/>
                <w:bCs/>
                <w:color w:val="000000"/>
                <w:sz w:val="16"/>
                <w:szCs w:val="16"/>
                <w:lang w:eastAsia="en-GB"/>
              </w:rPr>
            </w:pPr>
            <w:r w:rsidRPr="006142F3">
              <w:rPr>
                <w:b/>
                <w:bCs/>
                <w:color w:val="000000"/>
                <w:sz w:val="16"/>
                <w:szCs w:val="16"/>
                <w:lang w:eastAsia="en-GB"/>
              </w:rPr>
              <w:t>Dec. 2011</w:t>
            </w:r>
          </w:p>
        </w:tc>
        <w:tc>
          <w:tcPr>
            <w:tcW w:w="351" w:type="pct"/>
            <w:shd w:val="clear" w:color="auto" w:fill="auto"/>
            <w:vAlign w:val="center"/>
          </w:tcPr>
          <w:p w:rsidR="00C752B3" w:rsidRPr="006142F3" w:rsidRDefault="00C752B3" w:rsidP="00C752B3">
            <w:pPr>
              <w:keepNext/>
              <w:keepLines/>
              <w:autoSpaceDE w:val="0"/>
              <w:autoSpaceDN w:val="0"/>
              <w:adjustRightInd w:val="0"/>
              <w:spacing w:before="100" w:beforeAutospacing="1" w:after="100" w:afterAutospacing="1"/>
              <w:jc w:val="center"/>
              <w:rPr>
                <w:b/>
                <w:bCs/>
                <w:color w:val="000000"/>
                <w:sz w:val="16"/>
                <w:szCs w:val="16"/>
                <w:lang w:eastAsia="en-GB"/>
              </w:rPr>
            </w:pPr>
            <w:r w:rsidRPr="006142F3">
              <w:rPr>
                <w:b/>
                <w:bCs/>
                <w:color w:val="000000"/>
                <w:sz w:val="16"/>
                <w:szCs w:val="16"/>
                <w:lang w:eastAsia="en-GB"/>
              </w:rPr>
              <w:t>2012</w:t>
            </w:r>
          </w:p>
        </w:tc>
        <w:tc>
          <w:tcPr>
            <w:tcW w:w="332" w:type="pct"/>
            <w:shd w:val="clear" w:color="auto" w:fill="auto"/>
            <w:vAlign w:val="center"/>
          </w:tcPr>
          <w:p w:rsidR="00C752B3" w:rsidRPr="006142F3" w:rsidRDefault="00C752B3" w:rsidP="00C752B3">
            <w:pPr>
              <w:keepNext/>
              <w:keepLines/>
              <w:autoSpaceDE w:val="0"/>
              <w:autoSpaceDN w:val="0"/>
              <w:adjustRightInd w:val="0"/>
              <w:spacing w:before="100" w:beforeAutospacing="1" w:after="100" w:afterAutospacing="1"/>
              <w:jc w:val="center"/>
              <w:rPr>
                <w:b/>
                <w:bCs/>
                <w:color w:val="000000"/>
                <w:sz w:val="16"/>
                <w:szCs w:val="16"/>
                <w:lang w:eastAsia="en-GB"/>
              </w:rPr>
            </w:pPr>
            <w:r w:rsidRPr="006142F3">
              <w:rPr>
                <w:b/>
                <w:bCs/>
                <w:color w:val="000000"/>
                <w:sz w:val="16"/>
                <w:szCs w:val="16"/>
                <w:lang w:eastAsia="en-GB"/>
              </w:rPr>
              <w:t>2013</w:t>
            </w:r>
          </w:p>
        </w:tc>
        <w:tc>
          <w:tcPr>
            <w:tcW w:w="328" w:type="pct"/>
            <w:shd w:val="clear" w:color="auto" w:fill="auto"/>
            <w:vAlign w:val="center"/>
          </w:tcPr>
          <w:p w:rsidR="00C752B3" w:rsidRPr="006142F3" w:rsidRDefault="00C752B3" w:rsidP="00C752B3">
            <w:pPr>
              <w:keepNext/>
              <w:keepLines/>
              <w:autoSpaceDE w:val="0"/>
              <w:autoSpaceDN w:val="0"/>
              <w:adjustRightInd w:val="0"/>
              <w:spacing w:before="100" w:beforeAutospacing="1" w:after="100" w:afterAutospacing="1"/>
              <w:jc w:val="center"/>
              <w:rPr>
                <w:b/>
                <w:bCs/>
                <w:color w:val="000000"/>
                <w:sz w:val="16"/>
                <w:szCs w:val="16"/>
                <w:lang w:eastAsia="en-GB"/>
              </w:rPr>
            </w:pPr>
            <w:r w:rsidRPr="006142F3">
              <w:rPr>
                <w:b/>
                <w:bCs/>
                <w:color w:val="000000"/>
                <w:sz w:val="16"/>
                <w:szCs w:val="16"/>
                <w:lang w:eastAsia="en-GB"/>
              </w:rPr>
              <w:t>Dec. 2011</w:t>
            </w:r>
          </w:p>
        </w:tc>
        <w:tc>
          <w:tcPr>
            <w:tcW w:w="354" w:type="pct"/>
            <w:shd w:val="clear" w:color="auto" w:fill="auto"/>
            <w:vAlign w:val="center"/>
          </w:tcPr>
          <w:p w:rsidR="00C752B3" w:rsidRPr="006142F3" w:rsidRDefault="00C752B3" w:rsidP="00C752B3">
            <w:pPr>
              <w:keepNext/>
              <w:keepLines/>
              <w:autoSpaceDE w:val="0"/>
              <w:autoSpaceDN w:val="0"/>
              <w:adjustRightInd w:val="0"/>
              <w:spacing w:before="100" w:beforeAutospacing="1" w:after="100" w:afterAutospacing="1"/>
              <w:jc w:val="center"/>
              <w:rPr>
                <w:b/>
                <w:bCs/>
                <w:color w:val="000000"/>
                <w:sz w:val="16"/>
                <w:szCs w:val="16"/>
                <w:lang w:eastAsia="en-GB"/>
              </w:rPr>
            </w:pPr>
            <w:r w:rsidRPr="006142F3">
              <w:rPr>
                <w:b/>
                <w:bCs/>
                <w:color w:val="000000"/>
                <w:sz w:val="16"/>
                <w:szCs w:val="16"/>
                <w:lang w:eastAsia="en-GB"/>
              </w:rPr>
              <w:t>2012</w:t>
            </w:r>
          </w:p>
        </w:tc>
        <w:tc>
          <w:tcPr>
            <w:tcW w:w="335" w:type="pct"/>
            <w:shd w:val="clear" w:color="auto" w:fill="auto"/>
            <w:vAlign w:val="center"/>
          </w:tcPr>
          <w:p w:rsidR="00C752B3" w:rsidRPr="006142F3" w:rsidRDefault="00C752B3" w:rsidP="00C752B3">
            <w:pPr>
              <w:keepNext/>
              <w:keepLines/>
              <w:autoSpaceDE w:val="0"/>
              <w:autoSpaceDN w:val="0"/>
              <w:adjustRightInd w:val="0"/>
              <w:spacing w:before="100" w:beforeAutospacing="1" w:after="100" w:afterAutospacing="1"/>
              <w:jc w:val="center"/>
              <w:rPr>
                <w:b/>
                <w:bCs/>
                <w:color w:val="000000"/>
                <w:sz w:val="16"/>
                <w:szCs w:val="16"/>
                <w:lang w:eastAsia="en-GB"/>
              </w:rPr>
            </w:pPr>
            <w:r w:rsidRPr="006142F3">
              <w:rPr>
                <w:b/>
                <w:bCs/>
                <w:color w:val="000000"/>
                <w:sz w:val="16"/>
                <w:szCs w:val="16"/>
                <w:lang w:eastAsia="en-GB"/>
              </w:rPr>
              <w:t>2013</w:t>
            </w:r>
          </w:p>
        </w:tc>
      </w:tr>
      <w:tr w:rsidR="00C752B3" w:rsidRPr="006142F3" w:rsidTr="00C752B3">
        <w:trPr>
          <w:trHeight w:val="17"/>
          <w:jc w:val="center"/>
        </w:trPr>
        <w:tc>
          <w:tcPr>
            <w:tcW w:w="766" w:type="pct"/>
            <w:shd w:val="clear" w:color="auto" w:fill="C9DED4"/>
          </w:tcPr>
          <w:p w:rsidR="00C752B3" w:rsidRPr="006142F3" w:rsidRDefault="00C752B3" w:rsidP="001806FB">
            <w:pPr>
              <w:keepNext/>
              <w:keepLines/>
              <w:autoSpaceDE w:val="0"/>
              <w:autoSpaceDN w:val="0"/>
              <w:adjustRightInd w:val="0"/>
              <w:spacing w:before="100" w:beforeAutospacing="1" w:after="100" w:afterAutospacing="1"/>
              <w:jc w:val="center"/>
              <w:rPr>
                <w:color w:val="000000"/>
                <w:sz w:val="16"/>
                <w:szCs w:val="16"/>
                <w:lang w:eastAsia="en-GB"/>
              </w:rPr>
            </w:pPr>
            <w:r w:rsidRPr="006142F3">
              <w:rPr>
                <w:color w:val="000000"/>
                <w:sz w:val="16"/>
                <w:szCs w:val="16"/>
                <w:lang w:eastAsia="en-GB"/>
              </w:rPr>
              <w:t>Boeing Volume (Units)</w:t>
            </w:r>
          </w:p>
        </w:tc>
        <w:tc>
          <w:tcPr>
            <w:tcW w:w="393" w:type="pct"/>
            <w:shd w:val="clear" w:color="auto" w:fill="C9DED4"/>
          </w:tcPr>
          <w:p w:rsidR="00C752B3" w:rsidRPr="006142F3" w:rsidRDefault="00C752B3" w:rsidP="00C752B3">
            <w:pPr>
              <w:keepNext/>
              <w:keepLines/>
              <w:spacing w:before="100" w:beforeAutospacing="1" w:after="100" w:afterAutospacing="1"/>
              <w:jc w:val="center"/>
              <w:rPr>
                <w:color w:val="000000"/>
                <w:sz w:val="16"/>
                <w:szCs w:val="16"/>
                <w:lang w:eastAsia="en-GB"/>
              </w:rPr>
            </w:pPr>
            <w:r w:rsidRPr="006142F3">
              <w:rPr>
                <w:color w:val="000000"/>
                <w:sz w:val="16"/>
                <w:szCs w:val="16"/>
                <w:lang w:eastAsia="en-GB"/>
              </w:rPr>
              <w:t>0</w:t>
            </w:r>
          </w:p>
        </w:tc>
        <w:tc>
          <w:tcPr>
            <w:tcW w:w="393" w:type="pct"/>
            <w:shd w:val="clear" w:color="auto" w:fill="C9DED4"/>
          </w:tcPr>
          <w:p w:rsidR="00C752B3" w:rsidRPr="006142F3" w:rsidRDefault="00C752B3" w:rsidP="00C752B3">
            <w:pPr>
              <w:keepNext/>
              <w:keepLines/>
              <w:spacing w:before="100" w:beforeAutospacing="1" w:after="100" w:afterAutospacing="1"/>
              <w:jc w:val="center"/>
              <w:rPr>
                <w:color w:val="000000"/>
                <w:sz w:val="16"/>
                <w:szCs w:val="16"/>
                <w:lang w:eastAsia="en-GB"/>
              </w:rPr>
            </w:pPr>
            <w:r w:rsidRPr="006142F3">
              <w:rPr>
                <w:color w:val="000000"/>
                <w:sz w:val="16"/>
                <w:szCs w:val="16"/>
                <w:lang w:eastAsia="en-GB"/>
              </w:rPr>
              <w:t>5</w:t>
            </w:r>
          </w:p>
        </w:tc>
        <w:tc>
          <w:tcPr>
            <w:tcW w:w="398" w:type="pct"/>
            <w:shd w:val="clear" w:color="auto" w:fill="C9DED4"/>
          </w:tcPr>
          <w:p w:rsidR="00C752B3" w:rsidRPr="006142F3" w:rsidRDefault="00C752B3" w:rsidP="00C752B3">
            <w:pPr>
              <w:keepNext/>
              <w:keepLines/>
              <w:spacing w:before="100" w:beforeAutospacing="1" w:after="100" w:afterAutospacing="1"/>
              <w:jc w:val="center"/>
              <w:rPr>
                <w:color w:val="000000"/>
                <w:sz w:val="16"/>
                <w:szCs w:val="16"/>
                <w:lang w:eastAsia="en-GB"/>
              </w:rPr>
            </w:pPr>
            <w:r w:rsidRPr="006142F3">
              <w:rPr>
                <w:color w:val="000000"/>
                <w:sz w:val="16"/>
                <w:szCs w:val="16"/>
                <w:lang w:eastAsia="en-GB"/>
              </w:rPr>
              <w:t>5</w:t>
            </w:r>
          </w:p>
        </w:tc>
        <w:tc>
          <w:tcPr>
            <w:tcW w:w="338" w:type="pct"/>
            <w:shd w:val="clear" w:color="auto" w:fill="C9DED4"/>
          </w:tcPr>
          <w:p w:rsidR="00C752B3" w:rsidRPr="006142F3" w:rsidRDefault="00C752B3" w:rsidP="00C752B3">
            <w:pPr>
              <w:keepNext/>
              <w:spacing w:before="100" w:beforeAutospacing="1" w:after="100" w:afterAutospacing="1"/>
              <w:jc w:val="center"/>
              <w:rPr>
                <w:color w:val="000000"/>
                <w:sz w:val="16"/>
                <w:szCs w:val="16"/>
                <w:lang w:eastAsia="en-GB"/>
              </w:rPr>
            </w:pPr>
            <w:r w:rsidRPr="006142F3">
              <w:rPr>
                <w:color w:val="000000"/>
                <w:sz w:val="16"/>
                <w:szCs w:val="16"/>
                <w:lang w:eastAsia="en-GB"/>
              </w:rPr>
              <w:t>0</w:t>
            </w:r>
          </w:p>
        </w:tc>
        <w:tc>
          <w:tcPr>
            <w:tcW w:w="338" w:type="pct"/>
            <w:shd w:val="clear" w:color="auto" w:fill="C9DED4"/>
          </w:tcPr>
          <w:p w:rsidR="00C752B3" w:rsidRPr="006142F3" w:rsidRDefault="00C752B3" w:rsidP="00C752B3">
            <w:pPr>
              <w:keepNext/>
              <w:spacing w:before="100" w:beforeAutospacing="1" w:after="100" w:afterAutospacing="1"/>
              <w:jc w:val="center"/>
              <w:rPr>
                <w:color w:val="000000"/>
                <w:sz w:val="16"/>
                <w:szCs w:val="16"/>
                <w:lang w:eastAsia="en-GB"/>
              </w:rPr>
            </w:pPr>
            <w:r w:rsidRPr="006142F3">
              <w:rPr>
                <w:color w:val="000000"/>
                <w:sz w:val="16"/>
                <w:szCs w:val="16"/>
                <w:lang w:eastAsia="en-GB"/>
              </w:rPr>
              <w:t>0</w:t>
            </w:r>
          </w:p>
        </w:tc>
        <w:tc>
          <w:tcPr>
            <w:tcW w:w="356" w:type="pct"/>
            <w:shd w:val="clear" w:color="auto" w:fill="C9DED4"/>
          </w:tcPr>
          <w:p w:rsidR="00C752B3" w:rsidRPr="006142F3" w:rsidRDefault="00C752B3" w:rsidP="00C752B3">
            <w:pPr>
              <w:keepNext/>
              <w:spacing w:before="100" w:beforeAutospacing="1" w:after="100" w:afterAutospacing="1"/>
              <w:jc w:val="center"/>
              <w:rPr>
                <w:color w:val="000000"/>
                <w:sz w:val="16"/>
                <w:szCs w:val="16"/>
                <w:lang w:eastAsia="en-GB"/>
              </w:rPr>
            </w:pPr>
            <w:r w:rsidRPr="006142F3">
              <w:rPr>
                <w:color w:val="000000"/>
                <w:sz w:val="16"/>
                <w:szCs w:val="16"/>
                <w:lang w:eastAsia="en-GB"/>
              </w:rPr>
              <w:t>0</w:t>
            </w:r>
          </w:p>
        </w:tc>
        <w:tc>
          <w:tcPr>
            <w:tcW w:w="320" w:type="pct"/>
            <w:shd w:val="clear" w:color="auto" w:fill="C9DED4"/>
          </w:tcPr>
          <w:p w:rsidR="00C752B3" w:rsidRPr="006142F3" w:rsidRDefault="00C752B3" w:rsidP="00C752B3">
            <w:pPr>
              <w:keepNext/>
              <w:keepLines/>
              <w:spacing w:before="100" w:beforeAutospacing="1" w:after="100" w:afterAutospacing="1"/>
              <w:jc w:val="center"/>
              <w:rPr>
                <w:color w:val="000000"/>
                <w:sz w:val="16"/>
                <w:szCs w:val="16"/>
                <w:lang w:eastAsia="en-GB"/>
              </w:rPr>
            </w:pPr>
            <w:r w:rsidRPr="006142F3">
              <w:rPr>
                <w:color w:val="000000"/>
                <w:sz w:val="16"/>
                <w:szCs w:val="16"/>
                <w:lang w:eastAsia="en-GB"/>
              </w:rPr>
              <w:t>0</w:t>
            </w:r>
          </w:p>
        </w:tc>
        <w:tc>
          <w:tcPr>
            <w:tcW w:w="351" w:type="pct"/>
            <w:shd w:val="clear" w:color="auto" w:fill="C9DED4"/>
          </w:tcPr>
          <w:p w:rsidR="00C752B3" w:rsidRPr="006142F3" w:rsidRDefault="00C752B3" w:rsidP="00C752B3">
            <w:pPr>
              <w:keepNext/>
              <w:keepLines/>
              <w:spacing w:before="100" w:beforeAutospacing="1" w:after="100" w:afterAutospacing="1"/>
              <w:jc w:val="center"/>
              <w:rPr>
                <w:color w:val="000000"/>
                <w:sz w:val="16"/>
                <w:szCs w:val="16"/>
                <w:lang w:eastAsia="en-GB"/>
              </w:rPr>
            </w:pPr>
            <w:r w:rsidRPr="006142F3">
              <w:rPr>
                <w:color w:val="000000"/>
                <w:sz w:val="16"/>
                <w:szCs w:val="16"/>
                <w:lang w:eastAsia="en-GB"/>
              </w:rPr>
              <w:t>0</w:t>
            </w:r>
          </w:p>
        </w:tc>
        <w:tc>
          <w:tcPr>
            <w:tcW w:w="332" w:type="pct"/>
            <w:shd w:val="clear" w:color="auto" w:fill="C9DED4"/>
          </w:tcPr>
          <w:p w:rsidR="00C752B3" w:rsidRPr="006142F3" w:rsidRDefault="00C752B3" w:rsidP="00C752B3">
            <w:pPr>
              <w:keepNext/>
              <w:keepLines/>
              <w:spacing w:before="100" w:beforeAutospacing="1" w:after="100" w:afterAutospacing="1"/>
              <w:jc w:val="center"/>
              <w:rPr>
                <w:color w:val="000000"/>
                <w:sz w:val="16"/>
                <w:szCs w:val="16"/>
                <w:lang w:eastAsia="en-GB"/>
              </w:rPr>
            </w:pPr>
            <w:r w:rsidRPr="006142F3">
              <w:rPr>
                <w:color w:val="000000"/>
                <w:sz w:val="16"/>
                <w:szCs w:val="16"/>
                <w:lang w:eastAsia="en-GB"/>
              </w:rPr>
              <w:t>0</w:t>
            </w:r>
          </w:p>
        </w:tc>
        <w:tc>
          <w:tcPr>
            <w:tcW w:w="328" w:type="pct"/>
            <w:shd w:val="clear" w:color="auto" w:fill="C9DED4"/>
          </w:tcPr>
          <w:p w:rsidR="00C752B3" w:rsidRPr="006142F3" w:rsidRDefault="00C752B3" w:rsidP="00C752B3">
            <w:pPr>
              <w:keepNext/>
              <w:keepLines/>
              <w:spacing w:before="100" w:beforeAutospacing="1" w:after="100" w:afterAutospacing="1"/>
              <w:jc w:val="center"/>
              <w:rPr>
                <w:color w:val="000000"/>
                <w:sz w:val="16"/>
                <w:szCs w:val="16"/>
                <w:lang w:eastAsia="en-GB"/>
              </w:rPr>
            </w:pPr>
            <w:r w:rsidRPr="006142F3">
              <w:rPr>
                <w:color w:val="000000"/>
                <w:sz w:val="16"/>
                <w:szCs w:val="16"/>
                <w:lang w:eastAsia="en-GB"/>
              </w:rPr>
              <w:t>0</w:t>
            </w:r>
          </w:p>
        </w:tc>
        <w:tc>
          <w:tcPr>
            <w:tcW w:w="354" w:type="pct"/>
            <w:shd w:val="clear" w:color="auto" w:fill="C9DED4"/>
          </w:tcPr>
          <w:p w:rsidR="00C752B3" w:rsidRPr="006142F3" w:rsidRDefault="00C752B3" w:rsidP="00C752B3">
            <w:pPr>
              <w:keepNext/>
              <w:keepLines/>
              <w:spacing w:before="100" w:beforeAutospacing="1" w:after="100" w:afterAutospacing="1"/>
              <w:jc w:val="center"/>
              <w:rPr>
                <w:color w:val="000000"/>
                <w:sz w:val="16"/>
                <w:szCs w:val="16"/>
                <w:lang w:eastAsia="en-GB"/>
              </w:rPr>
            </w:pPr>
            <w:r w:rsidRPr="006142F3">
              <w:rPr>
                <w:color w:val="000000"/>
                <w:sz w:val="16"/>
                <w:szCs w:val="16"/>
                <w:lang w:eastAsia="en-GB"/>
              </w:rPr>
              <w:t>0</w:t>
            </w:r>
          </w:p>
        </w:tc>
        <w:tc>
          <w:tcPr>
            <w:tcW w:w="335" w:type="pct"/>
            <w:shd w:val="clear" w:color="auto" w:fill="C9DED4"/>
          </w:tcPr>
          <w:p w:rsidR="00C752B3" w:rsidRPr="006142F3" w:rsidRDefault="00C752B3" w:rsidP="00C752B3">
            <w:pPr>
              <w:keepNext/>
              <w:keepLines/>
              <w:spacing w:before="100" w:beforeAutospacing="1" w:after="100" w:afterAutospacing="1"/>
              <w:jc w:val="center"/>
              <w:rPr>
                <w:color w:val="000000"/>
                <w:sz w:val="16"/>
                <w:szCs w:val="16"/>
                <w:lang w:eastAsia="en-GB"/>
              </w:rPr>
            </w:pPr>
            <w:r w:rsidRPr="006142F3">
              <w:rPr>
                <w:color w:val="000000"/>
                <w:sz w:val="16"/>
                <w:szCs w:val="16"/>
                <w:lang w:eastAsia="en-GB"/>
              </w:rPr>
              <w:t>0</w:t>
            </w:r>
          </w:p>
        </w:tc>
      </w:tr>
      <w:tr w:rsidR="00C752B3" w:rsidRPr="006142F3" w:rsidTr="00C752B3">
        <w:trPr>
          <w:trHeight w:val="17"/>
          <w:jc w:val="center"/>
        </w:trPr>
        <w:tc>
          <w:tcPr>
            <w:tcW w:w="766" w:type="pct"/>
            <w:shd w:val="clear" w:color="auto" w:fill="auto"/>
          </w:tcPr>
          <w:p w:rsidR="00C752B3" w:rsidRPr="006142F3" w:rsidRDefault="00C752B3" w:rsidP="00C752B3">
            <w:pPr>
              <w:keepNext/>
              <w:keepLines/>
              <w:autoSpaceDE w:val="0"/>
              <w:autoSpaceDN w:val="0"/>
              <w:adjustRightInd w:val="0"/>
              <w:spacing w:before="100" w:beforeAutospacing="1" w:after="100" w:afterAutospacing="1"/>
              <w:jc w:val="center"/>
              <w:rPr>
                <w:color w:val="000000"/>
                <w:sz w:val="16"/>
                <w:szCs w:val="16"/>
                <w:lang w:eastAsia="en-GB"/>
              </w:rPr>
            </w:pPr>
            <w:r w:rsidRPr="006142F3">
              <w:rPr>
                <w:color w:val="000000"/>
                <w:sz w:val="16"/>
                <w:szCs w:val="16"/>
                <w:lang w:eastAsia="en-GB"/>
              </w:rPr>
              <w:t>Boeing Market Share</w:t>
            </w:r>
          </w:p>
        </w:tc>
        <w:tc>
          <w:tcPr>
            <w:tcW w:w="393" w:type="pct"/>
            <w:shd w:val="clear" w:color="auto" w:fill="auto"/>
          </w:tcPr>
          <w:p w:rsidR="00C752B3" w:rsidRPr="006142F3" w:rsidRDefault="00C752B3" w:rsidP="00C752B3">
            <w:pPr>
              <w:keepNext/>
              <w:keepLines/>
              <w:spacing w:before="100" w:beforeAutospacing="1" w:after="100" w:afterAutospacing="1"/>
              <w:jc w:val="center"/>
              <w:rPr>
                <w:color w:val="000000"/>
                <w:sz w:val="16"/>
                <w:szCs w:val="16"/>
                <w:lang w:eastAsia="en-GB"/>
              </w:rPr>
            </w:pPr>
            <w:r w:rsidRPr="006142F3">
              <w:rPr>
                <w:color w:val="000000"/>
                <w:sz w:val="16"/>
                <w:szCs w:val="16"/>
                <w:lang w:eastAsia="en-GB"/>
              </w:rPr>
              <w:t>-</w:t>
            </w:r>
          </w:p>
        </w:tc>
        <w:tc>
          <w:tcPr>
            <w:tcW w:w="393" w:type="pct"/>
            <w:shd w:val="clear" w:color="auto" w:fill="auto"/>
          </w:tcPr>
          <w:p w:rsidR="00C752B3" w:rsidRPr="006142F3" w:rsidRDefault="00C752B3" w:rsidP="00C752B3">
            <w:pPr>
              <w:keepNext/>
              <w:keepLines/>
              <w:spacing w:before="100" w:beforeAutospacing="1" w:after="100" w:afterAutospacing="1"/>
              <w:jc w:val="center"/>
              <w:rPr>
                <w:color w:val="000000"/>
                <w:sz w:val="16"/>
                <w:szCs w:val="16"/>
                <w:lang w:eastAsia="en-GB"/>
              </w:rPr>
            </w:pPr>
            <w:r w:rsidRPr="006142F3">
              <w:rPr>
                <w:color w:val="000000"/>
                <w:sz w:val="16"/>
                <w:szCs w:val="16"/>
                <w:lang w:eastAsia="en-GB"/>
              </w:rPr>
              <w:t>55.6%</w:t>
            </w:r>
          </w:p>
        </w:tc>
        <w:tc>
          <w:tcPr>
            <w:tcW w:w="398" w:type="pct"/>
            <w:shd w:val="clear" w:color="auto" w:fill="auto"/>
          </w:tcPr>
          <w:p w:rsidR="00C752B3" w:rsidRPr="006142F3" w:rsidRDefault="00C752B3" w:rsidP="00C752B3">
            <w:pPr>
              <w:keepNext/>
              <w:keepLines/>
              <w:spacing w:before="100" w:beforeAutospacing="1" w:after="100" w:afterAutospacing="1"/>
              <w:jc w:val="center"/>
              <w:rPr>
                <w:color w:val="000000"/>
                <w:sz w:val="16"/>
                <w:szCs w:val="16"/>
                <w:lang w:eastAsia="en-GB"/>
              </w:rPr>
            </w:pPr>
            <w:r w:rsidRPr="006142F3">
              <w:rPr>
                <w:color w:val="000000"/>
                <w:sz w:val="16"/>
                <w:szCs w:val="16"/>
                <w:lang w:eastAsia="en-GB"/>
              </w:rPr>
              <w:t>55.6%</w:t>
            </w:r>
          </w:p>
        </w:tc>
        <w:tc>
          <w:tcPr>
            <w:tcW w:w="338" w:type="pct"/>
          </w:tcPr>
          <w:p w:rsidR="00C752B3" w:rsidRPr="006142F3" w:rsidRDefault="00C752B3" w:rsidP="00C752B3">
            <w:pPr>
              <w:keepNext/>
              <w:spacing w:before="100" w:beforeAutospacing="1" w:after="100" w:afterAutospacing="1"/>
              <w:jc w:val="center"/>
              <w:rPr>
                <w:color w:val="000000"/>
                <w:sz w:val="16"/>
                <w:szCs w:val="16"/>
                <w:lang w:eastAsia="en-GB"/>
              </w:rPr>
            </w:pPr>
            <w:r w:rsidRPr="006142F3">
              <w:rPr>
                <w:color w:val="000000"/>
                <w:sz w:val="16"/>
                <w:szCs w:val="16"/>
                <w:lang w:eastAsia="en-GB"/>
              </w:rPr>
              <w:t>0.0%</w:t>
            </w:r>
          </w:p>
        </w:tc>
        <w:tc>
          <w:tcPr>
            <w:tcW w:w="338" w:type="pct"/>
          </w:tcPr>
          <w:p w:rsidR="00C752B3" w:rsidRPr="006142F3" w:rsidRDefault="00C752B3" w:rsidP="00C752B3">
            <w:pPr>
              <w:keepNext/>
              <w:spacing w:before="100" w:beforeAutospacing="1" w:after="100" w:afterAutospacing="1"/>
              <w:jc w:val="center"/>
              <w:rPr>
                <w:color w:val="000000"/>
                <w:sz w:val="16"/>
                <w:szCs w:val="16"/>
                <w:lang w:eastAsia="en-GB"/>
              </w:rPr>
            </w:pPr>
            <w:r w:rsidRPr="006142F3">
              <w:rPr>
                <w:color w:val="000000"/>
                <w:sz w:val="16"/>
                <w:szCs w:val="16"/>
                <w:lang w:eastAsia="en-GB"/>
              </w:rPr>
              <w:t>-</w:t>
            </w:r>
          </w:p>
        </w:tc>
        <w:tc>
          <w:tcPr>
            <w:tcW w:w="356" w:type="pct"/>
          </w:tcPr>
          <w:p w:rsidR="00C752B3" w:rsidRPr="006142F3" w:rsidRDefault="00C752B3" w:rsidP="00C752B3">
            <w:pPr>
              <w:keepNext/>
              <w:spacing w:before="100" w:beforeAutospacing="1" w:after="100" w:afterAutospacing="1"/>
              <w:jc w:val="center"/>
              <w:rPr>
                <w:color w:val="000000"/>
                <w:sz w:val="16"/>
                <w:szCs w:val="16"/>
                <w:lang w:eastAsia="en-GB"/>
              </w:rPr>
            </w:pPr>
            <w:r w:rsidRPr="006142F3">
              <w:rPr>
                <w:color w:val="000000"/>
                <w:sz w:val="16"/>
                <w:szCs w:val="16"/>
                <w:lang w:eastAsia="en-GB"/>
              </w:rPr>
              <w:t>-</w:t>
            </w:r>
          </w:p>
        </w:tc>
        <w:tc>
          <w:tcPr>
            <w:tcW w:w="320" w:type="pct"/>
            <w:shd w:val="clear" w:color="auto" w:fill="auto"/>
          </w:tcPr>
          <w:p w:rsidR="00C752B3" w:rsidRPr="006142F3" w:rsidRDefault="00C752B3" w:rsidP="00C752B3">
            <w:pPr>
              <w:keepNext/>
              <w:keepLines/>
              <w:spacing w:before="100" w:beforeAutospacing="1" w:after="100" w:afterAutospacing="1"/>
              <w:jc w:val="center"/>
              <w:rPr>
                <w:color w:val="000000"/>
                <w:sz w:val="16"/>
                <w:szCs w:val="16"/>
                <w:lang w:eastAsia="en-GB"/>
              </w:rPr>
            </w:pPr>
            <w:r w:rsidRPr="006142F3">
              <w:rPr>
                <w:color w:val="000000"/>
                <w:sz w:val="16"/>
                <w:szCs w:val="16"/>
                <w:lang w:eastAsia="en-GB"/>
              </w:rPr>
              <w:t>-</w:t>
            </w:r>
          </w:p>
        </w:tc>
        <w:tc>
          <w:tcPr>
            <w:tcW w:w="351" w:type="pct"/>
            <w:shd w:val="clear" w:color="auto" w:fill="auto"/>
          </w:tcPr>
          <w:p w:rsidR="00C752B3" w:rsidRPr="006142F3" w:rsidRDefault="00C752B3" w:rsidP="00C752B3">
            <w:pPr>
              <w:keepNext/>
              <w:keepLines/>
              <w:spacing w:before="100" w:beforeAutospacing="1" w:after="100" w:afterAutospacing="1"/>
              <w:jc w:val="center"/>
              <w:rPr>
                <w:color w:val="000000"/>
                <w:sz w:val="16"/>
                <w:szCs w:val="16"/>
                <w:lang w:eastAsia="en-GB"/>
              </w:rPr>
            </w:pPr>
            <w:r w:rsidRPr="006142F3">
              <w:rPr>
                <w:color w:val="000000"/>
                <w:sz w:val="16"/>
                <w:szCs w:val="16"/>
                <w:lang w:eastAsia="en-GB"/>
              </w:rPr>
              <w:t>0.0%</w:t>
            </w:r>
          </w:p>
        </w:tc>
        <w:tc>
          <w:tcPr>
            <w:tcW w:w="332" w:type="pct"/>
            <w:shd w:val="clear" w:color="auto" w:fill="auto"/>
          </w:tcPr>
          <w:p w:rsidR="00C752B3" w:rsidRPr="006142F3" w:rsidRDefault="00C752B3" w:rsidP="00C752B3">
            <w:pPr>
              <w:keepNext/>
              <w:keepLines/>
              <w:spacing w:before="100" w:beforeAutospacing="1" w:after="100" w:afterAutospacing="1"/>
              <w:jc w:val="center"/>
              <w:rPr>
                <w:color w:val="000000"/>
                <w:sz w:val="16"/>
                <w:szCs w:val="16"/>
                <w:lang w:eastAsia="en-GB"/>
              </w:rPr>
            </w:pPr>
            <w:r w:rsidRPr="006142F3">
              <w:rPr>
                <w:color w:val="000000"/>
                <w:sz w:val="16"/>
                <w:szCs w:val="16"/>
                <w:lang w:eastAsia="en-GB"/>
              </w:rPr>
              <w:t>-</w:t>
            </w:r>
          </w:p>
        </w:tc>
        <w:tc>
          <w:tcPr>
            <w:tcW w:w="328" w:type="pct"/>
            <w:shd w:val="clear" w:color="auto" w:fill="auto"/>
          </w:tcPr>
          <w:p w:rsidR="00C752B3" w:rsidRPr="006142F3" w:rsidRDefault="00C752B3" w:rsidP="00C752B3">
            <w:pPr>
              <w:keepNext/>
              <w:keepLines/>
              <w:spacing w:before="100" w:beforeAutospacing="1" w:after="100" w:afterAutospacing="1"/>
              <w:jc w:val="center"/>
              <w:rPr>
                <w:color w:val="000000"/>
                <w:sz w:val="16"/>
                <w:szCs w:val="16"/>
                <w:lang w:eastAsia="en-GB"/>
              </w:rPr>
            </w:pPr>
            <w:r w:rsidRPr="006142F3">
              <w:rPr>
                <w:color w:val="000000"/>
                <w:sz w:val="16"/>
                <w:szCs w:val="16"/>
                <w:lang w:eastAsia="en-GB"/>
              </w:rPr>
              <w:t>-</w:t>
            </w:r>
          </w:p>
        </w:tc>
        <w:tc>
          <w:tcPr>
            <w:tcW w:w="354" w:type="pct"/>
            <w:shd w:val="clear" w:color="auto" w:fill="auto"/>
          </w:tcPr>
          <w:p w:rsidR="00C752B3" w:rsidRPr="006142F3" w:rsidRDefault="00C752B3" w:rsidP="00C752B3">
            <w:pPr>
              <w:keepNext/>
              <w:keepLines/>
              <w:spacing w:before="100" w:beforeAutospacing="1" w:after="100" w:afterAutospacing="1"/>
              <w:jc w:val="center"/>
              <w:rPr>
                <w:color w:val="000000"/>
                <w:sz w:val="16"/>
                <w:szCs w:val="16"/>
                <w:lang w:eastAsia="en-GB"/>
              </w:rPr>
            </w:pPr>
            <w:r w:rsidRPr="006142F3">
              <w:rPr>
                <w:color w:val="000000"/>
                <w:sz w:val="16"/>
                <w:szCs w:val="16"/>
                <w:lang w:eastAsia="en-GB"/>
              </w:rPr>
              <w:t>0.0%</w:t>
            </w:r>
          </w:p>
        </w:tc>
        <w:tc>
          <w:tcPr>
            <w:tcW w:w="335" w:type="pct"/>
            <w:shd w:val="clear" w:color="auto" w:fill="auto"/>
          </w:tcPr>
          <w:p w:rsidR="00C752B3" w:rsidRPr="006142F3" w:rsidRDefault="00C752B3" w:rsidP="00C752B3">
            <w:pPr>
              <w:keepNext/>
              <w:keepLines/>
              <w:spacing w:before="100" w:beforeAutospacing="1" w:after="100" w:afterAutospacing="1"/>
              <w:jc w:val="center"/>
              <w:rPr>
                <w:color w:val="000000"/>
                <w:sz w:val="16"/>
                <w:szCs w:val="16"/>
                <w:lang w:eastAsia="en-GB"/>
              </w:rPr>
            </w:pPr>
            <w:r w:rsidRPr="006142F3">
              <w:rPr>
                <w:color w:val="000000"/>
                <w:sz w:val="16"/>
                <w:szCs w:val="16"/>
                <w:lang w:eastAsia="en-GB"/>
              </w:rPr>
              <w:t>0.0%</w:t>
            </w:r>
          </w:p>
        </w:tc>
      </w:tr>
      <w:tr w:rsidR="00C752B3" w:rsidRPr="006142F3" w:rsidTr="00C752B3">
        <w:trPr>
          <w:trHeight w:val="216"/>
          <w:jc w:val="center"/>
        </w:trPr>
        <w:tc>
          <w:tcPr>
            <w:tcW w:w="766" w:type="pct"/>
            <w:shd w:val="clear" w:color="auto" w:fill="C9DED4"/>
          </w:tcPr>
          <w:p w:rsidR="00C752B3" w:rsidRPr="006142F3" w:rsidRDefault="00C752B3" w:rsidP="00C752B3">
            <w:pPr>
              <w:keepNext/>
              <w:keepLines/>
              <w:autoSpaceDE w:val="0"/>
              <w:autoSpaceDN w:val="0"/>
              <w:adjustRightInd w:val="0"/>
              <w:spacing w:before="100" w:beforeAutospacing="1" w:after="100" w:afterAutospacing="1"/>
              <w:jc w:val="center"/>
              <w:rPr>
                <w:color w:val="000000"/>
                <w:sz w:val="16"/>
                <w:szCs w:val="16"/>
                <w:lang w:eastAsia="en-GB"/>
              </w:rPr>
            </w:pPr>
            <w:r w:rsidRPr="006142F3">
              <w:rPr>
                <w:color w:val="000000"/>
                <w:sz w:val="16"/>
                <w:szCs w:val="16"/>
                <w:lang w:eastAsia="en-GB"/>
              </w:rPr>
              <w:t>Airbus Volume (Units)</w:t>
            </w:r>
          </w:p>
        </w:tc>
        <w:tc>
          <w:tcPr>
            <w:tcW w:w="393" w:type="pct"/>
            <w:shd w:val="clear" w:color="auto" w:fill="C9DED4"/>
          </w:tcPr>
          <w:p w:rsidR="00C752B3" w:rsidRPr="006142F3" w:rsidRDefault="00C752B3" w:rsidP="00C752B3">
            <w:pPr>
              <w:keepNext/>
              <w:keepLines/>
              <w:spacing w:before="100" w:beforeAutospacing="1" w:after="100" w:afterAutospacing="1"/>
              <w:jc w:val="center"/>
              <w:rPr>
                <w:color w:val="000000"/>
                <w:sz w:val="16"/>
                <w:szCs w:val="16"/>
                <w:lang w:eastAsia="en-GB"/>
              </w:rPr>
            </w:pPr>
            <w:r w:rsidRPr="006142F3">
              <w:rPr>
                <w:color w:val="000000"/>
                <w:sz w:val="16"/>
                <w:szCs w:val="16"/>
                <w:lang w:eastAsia="en-GB"/>
              </w:rPr>
              <w:t>0</w:t>
            </w:r>
          </w:p>
        </w:tc>
        <w:tc>
          <w:tcPr>
            <w:tcW w:w="393" w:type="pct"/>
            <w:shd w:val="clear" w:color="auto" w:fill="C9DED4"/>
          </w:tcPr>
          <w:p w:rsidR="00C752B3" w:rsidRPr="006142F3" w:rsidRDefault="00C752B3" w:rsidP="00C752B3">
            <w:pPr>
              <w:keepNext/>
              <w:keepLines/>
              <w:spacing w:before="100" w:beforeAutospacing="1" w:after="100" w:afterAutospacing="1"/>
              <w:jc w:val="center"/>
              <w:rPr>
                <w:color w:val="000000"/>
                <w:sz w:val="16"/>
                <w:szCs w:val="16"/>
                <w:lang w:eastAsia="en-GB"/>
              </w:rPr>
            </w:pPr>
            <w:r w:rsidRPr="006142F3">
              <w:rPr>
                <w:color w:val="000000"/>
                <w:sz w:val="16"/>
                <w:szCs w:val="16"/>
                <w:lang w:eastAsia="en-GB"/>
              </w:rPr>
              <w:t>4</w:t>
            </w:r>
          </w:p>
        </w:tc>
        <w:tc>
          <w:tcPr>
            <w:tcW w:w="398" w:type="pct"/>
            <w:shd w:val="clear" w:color="auto" w:fill="C9DED4"/>
          </w:tcPr>
          <w:p w:rsidR="00C752B3" w:rsidRPr="006142F3" w:rsidRDefault="00C752B3" w:rsidP="00C752B3">
            <w:pPr>
              <w:keepNext/>
              <w:keepLines/>
              <w:spacing w:before="100" w:beforeAutospacing="1" w:after="100" w:afterAutospacing="1"/>
              <w:jc w:val="center"/>
              <w:rPr>
                <w:color w:val="000000"/>
                <w:sz w:val="16"/>
                <w:szCs w:val="16"/>
                <w:lang w:eastAsia="en-GB"/>
              </w:rPr>
            </w:pPr>
            <w:r w:rsidRPr="006142F3">
              <w:rPr>
                <w:color w:val="000000"/>
                <w:sz w:val="16"/>
                <w:szCs w:val="16"/>
                <w:lang w:eastAsia="en-GB"/>
              </w:rPr>
              <w:t>4</w:t>
            </w:r>
          </w:p>
        </w:tc>
        <w:tc>
          <w:tcPr>
            <w:tcW w:w="338" w:type="pct"/>
            <w:shd w:val="clear" w:color="auto" w:fill="C9DED4"/>
          </w:tcPr>
          <w:p w:rsidR="00C752B3" w:rsidRPr="006142F3" w:rsidRDefault="00C752B3" w:rsidP="00C752B3">
            <w:pPr>
              <w:spacing w:before="100" w:beforeAutospacing="1" w:after="100" w:afterAutospacing="1"/>
              <w:jc w:val="center"/>
              <w:rPr>
                <w:color w:val="000000"/>
                <w:sz w:val="16"/>
                <w:szCs w:val="16"/>
                <w:lang w:eastAsia="en-GB"/>
              </w:rPr>
            </w:pPr>
            <w:r w:rsidRPr="006142F3">
              <w:rPr>
                <w:color w:val="000000"/>
                <w:sz w:val="16"/>
                <w:szCs w:val="16"/>
                <w:lang w:eastAsia="en-GB"/>
              </w:rPr>
              <w:t>1</w:t>
            </w:r>
          </w:p>
        </w:tc>
        <w:tc>
          <w:tcPr>
            <w:tcW w:w="338" w:type="pct"/>
            <w:shd w:val="clear" w:color="auto" w:fill="C9DED4"/>
          </w:tcPr>
          <w:p w:rsidR="00C752B3" w:rsidRPr="006142F3" w:rsidRDefault="00C752B3" w:rsidP="00C752B3">
            <w:pPr>
              <w:spacing w:before="100" w:beforeAutospacing="1" w:after="100" w:afterAutospacing="1"/>
              <w:jc w:val="center"/>
              <w:rPr>
                <w:color w:val="000000"/>
                <w:sz w:val="16"/>
                <w:szCs w:val="16"/>
                <w:lang w:eastAsia="en-GB"/>
              </w:rPr>
            </w:pPr>
            <w:r w:rsidRPr="006142F3">
              <w:rPr>
                <w:color w:val="000000"/>
                <w:sz w:val="16"/>
                <w:szCs w:val="16"/>
                <w:lang w:eastAsia="en-GB"/>
              </w:rPr>
              <w:t>0</w:t>
            </w:r>
          </w:p>
        </w:tc>
        <w:tc>
          <w:tcPr>
            <w:tcW w:w="356" w:type="pct"/>
            <w:shd w:val="clear" w:color="auto" w:fill="C9DED4"/>
          </w:tcPr>
          <w:p w:rsidR="00C752B3" w:rsidRPr="006142F3" w:rsidRDefault="00C752B3" w:rsidP="00C752B3">
            <w:pPr>
              <w:spacing w:before="100" w:beforeAutospacing="1" w:after="100" w:afterAutospacing="1"/>
              <w:jc w:val="center"/>
              <w:rPr>
                <w:color w:val="000000"/>
                <w:sz w:val="16"/>
                <w:szCs w:val="16"/>
                <w:lang w:eastAsia="en-GB"/>
              </w:rPr>
            </w:pPr>
            <w:r w:rsidRPr="006142F3">
              <w:rPr>
                <w:color w:val="000000"/>
                <w:sz w:val="16"/>
                <w:szCs w:val="16"/>
                <w:lang w:eastAsia="en-GB"/>
              </w:rPr>
              <w:t>0</w:t>
            </w:r>
          </w:p>
        </w:tc>
        <w:tc>
          <w:tcPr>
            <w:tcW w:w="320" w:type="pct"/>
            <w:shd w:val="clear" w:color="auto" w:fill="C9DED4"/>
          </w:tcPr>
          <w:p w:rsidR="00C752B3" w:rsidRPr="006142F3" w:rsidRDefault="00C752B3" w:rsidP="00C752B3">
            <w:pPr>
              <w:keepNext/>
              <w:keepLines/>
              <w:spacing w:before="100" w:beforeAutospacing="1" w:after="100" w:afterAutospacing="1"/>
              <w:jc w:val="center"/>
              <w:rPr>
                <w:color w:val="000000"/>
                <w:sz w:val="16"/>
                <w:szCs w:val="16"/>
                <w:lang w:eastAsia="en-GB"/>
              </w:rPr>
            </w:pPr>
            <w:r w:rsidRPr="006142F3">
              <w:rPr>
                <w:color w:val="000000"/>
                <w:sz w:val="16"/>
                <w:szCs w:val="16"/>
                <w:lang w:eastAsia="en-GB"/>
              </w:rPr>
              <w:t>0</w:t>
            </w:r>
          </w:p>
        </w:tc>
        <w:tc>
          <w:tcPr>
            <w:tcW w:w="351" w:type="pct"/>
            <w:shd w:val="clear" w:color="auto" w:fill="C9DED4"/>
          </w:tcPr>
          <w:p w:rsidR="00C752B3" w:rsidRPr="006142F3" w:rsidRDefault="00C752B3" w:rsidP="00C752B3">
            <w:pPr>
              <w:keepNext/>
              <w:keepLines/>
              <w:spacing w:before="100" w:beforeAutospacing="1" w:after="100" w:afterAutospacing="1"/>
              <w:jc w:val="center"/>
              <w:rPr>
                <w:color w:val="000000"/>
                <w:sz w:val="16"/>
                <w:szCs w:val="16"/>
                <w:lang w:eastAsia="en-GB"/>
              </w:rPr>
            </w:pPr>
            <w:r w:rsidRPr="006142F3">
              <w:rPr>
                <w:color w:val="000000"/>
                <w:sz w:val="16"/>
                <w:szCs w:val="16"/>
                <w:lang w:eastAsia="en-GB"/>
              </w:rPr>
              <w:t>1</w:t>
            </w:r>
          </w:p>
        </w:tc>
        <w:tc>
          <w:tcPr>
            <w:tcW w:w="332" w:type="pct"/>
            <w:shd w:val="clear" w:color="auto" w:fill="C9DED4"/>
          </w:tcPr>
          <w:p w:rsidR="00C752B3" w:rsidRPr="006142F3" w:rsidRDefault="00C752B3" w:rsidP="00C752B3">
            <w:pPr>
              <w:keepNext/>
              <w:keepLines/>
              <w:spacing w:before="100" w:beforeAutospacing="1" w:after="100" w:afterAutospacing="1"/>
              <w:jc w:val="center"/>
              <w:rPr>
                <w:color w:val="000000"/>
                <w:sz w:val="16"/>
                <w:szCs w:val="16"/>
                <w:lang w:eastAsia="en-GB"/>
              </w:rPr>
            </w:pPr>
            <w:r w:rsidRPr="006142F3">
              <w:rPr>
                <w:color w:val="000000"/>
                <w:sz w:val="16"/>
                <w:szCs w:val="16"/>
                <w:lang w:eastAsia="en-GB"/>
              </w:rPr>
              <w:t>2</w:t>
            </w:r>
          </w:p>
        </w:tc>
        <w:tc>
          <w:tcPr>
            <w:tcW w:w="328" w:type="pct"/>
            <w:shd w:val="clear" w:color="auto" w:fill="C9DED4"/>
          </w:tcPr>
          <w:p w:rsidR="00C752B3" w:rsidRPr="006142F3" w:rsidRDefault="00C752B3" w:rsidP="00C752B3">
            <w:pPr>
              <w:keepNext/>
              <w:keepLines/>
              <w:spacing w:before="100" w:beforeAutospacing="1" w:after="100" w:afterAutospacing="1"/>
              <w:jc w:val="center"/>
              <w:rPr>
                <w:color w:val="000000"/>
                <w:sz w:val="16"/>
                <w:szCs w:val="16"/>
                <w:lang w:eastAsia="en-GB"/>
              </w:rPr>
            </w:pPr>
            <w:r w:rsidRPr="006142F3">
              <w:rPr>
                <w:color w:val="000000"/>
                <w:sz w:val="16"/>
                <w:szCs w:val="16"/>
                <w:lang w:eastAsia="en-GB"/>
              </w:rPr>
              <w:t>0</w:t>
            </w:r>
          </w:p>
        </w:tc>
        <w:tc>
          <w:tcPr>
            <w:tcW w:w="354" w:type="pct"/>
            <w:shd w:val="clear" w:color="auto" w:fill="C9DED4"/>
          </w:tcPr>
          <w:p w:rsidR="00C752B3" w:rsidRPr="006142F3" w:rsidRDefault="00C752B3" w:rsidP="00C752B3">
            <w:pPr>
              <w:keepNext/>
              <w:keepLines/>
              <w:spacing w:before="100" w:beforeAutospacing="1" w:after="100" w:afterAutospacing="1"/>
              <w:jc w:val="center"/>
              <w:rPr>
                <w:color w:val="000000"/>
                <w:sz w:val="16"/>
                <w:szCs w:val="16"/>
                <w:lang w:eastAsia="en-GB"/>
              </w:rPr>
            </w:pPr>
            <w:r w:rsidRPr="006142F3">
              <w:rPr>
                <w:color w:val="000000"/>
                <w:sz w:val="16"/>
                <w:szCs w:val="16"/>
                <w:lang w:eastAsia="en-GB"/>
              </w:rPr>
              <w:t>5</w:t>
            </w:r>
          </w:p>
        </w:tc>
        <w:tc>
          <w:tcPr>
            <w:tcW w:w="335" w:type="pct"/>
            <w:shd w:val="clear" w:color="auto" w:fill="C9DED4"/>
          </w:tcPr>
          <w:p w:rsidR="00C752B3" w:rsidRPr="006142F3" w:rsidRDefault="00C752B3" w:rsidP="00C752B3">
            <w:pPr>
              <w:keepNext/>
              <w:keepLines/>
              <w:spacing w:before="100" w:beforeAutospacing="1" w:after="100" w:afterAutospacing="1"/>
              <w:jc w:val="center"/>
              <w:rPr>
                <w:color w:val="000000"/>
                <w:sz w:val="16"/>
                <w:szCs w:val="16"/>
                <w:lang w:eastAsia="en-GB"/>
              </w:rPr>
            </w:pPr>
            <w:r w:rsidRPr="006142F3">
              <w:rPr>
                <w:color w:val="000000"/>
                <w:sz w:val="16"/>
                <w:szCs w:val="16"/>
                <w:lang w:eastAsia="en-GB"/>
              </w:rPr>
              <w:t>0</w:t>
            </w:r>
          </w:p>
        </w:tc>
      </w:tr>
      <w:tr w:rsidR="00C752B3" w:rsidRPr="006142F3" w:rsidTr="00C752B3">
        <w:trPr>
          <w:trHeight w:val="97"/>
          <w:jc w:val="center"/>
        </w:trPr>
        <w:tc>
          <w:tcPr>
            <w:tcW w:w="766" w:type="pct"/>
            <w:shd w:val="clear" w:color="auto" w:fill="auto"/>
          </w:tcPr>
          <w:p w:rsidR="00C752B3" w:rsidRPr="006142F3" w:rsidRDefault="00C752B3" w:rsidP="00C752B3">
            <w:pPr>
              <w:keepNext/>
              <w:keepLines/>
              <w:autoSpaceDE w:val="0"/>
              <w:autoSpaceDN w:val="0"/>
              <w:adjustRightInd w:val="0"/>
              <w:spacing w:before="100" w:beforeAutospacing="1" w:after="100" w:afterAutospacing="1"/>
              <w:jc w:val="center"/>
              <w:rPr>
                <w:color w:val="000000"/>
                <w:sz w:val="16"/>
                <w:szCs w:val="16"/>
                <w:lang w:eastAsia="en-GB"/>
              </w:rPr>
            </w:pPr>
            <w:r w:rsidRPr="006142F3">
              <w:rPr>
                <w:color w:val="000000"/>
                <w:sz w:val="16"/>
                <w:szCs w:val="16"/>
                <w:lang w:eastAsia="en-GB"/>
              </w:rPr>
              <w:t>Airbus Market Share</w:t>
            </w:r>
          </w:p>
        </w:tc>
        <w:tc>
          <w:tcPr>
            <w:tcW w:w="393" w:type="pct"/>
            <w:shd w:val="clear" w:color="auto" w:fill="auto"/>
          </w:tcPr>
          <w:p w:rsidR="00C752B3" w:rsidRPr="006142F3" w:rsidRDefault="00C752B3" w:rsidP="00C752B3">
            <w:pPr>
              <w:keepNext/>
              <w:keepLines/>
              <w:spacing w:before="100" w:beforeAutospacing="1" w:after="100" w:afterAutospacing="1"/>
              <w:jc w:val="center"/>
              <w:rPr>
                <w:color w:val="000000"/>
                <w:sz w:val="16"/>
                <w:szCs w:val="16"/>
                <w:lang w:eastAsia="en-GB"/>
              </w:rPr>
            </w:pPr>
            <w:r w:rsidRPr="006142F3">
              <w:rPr>
                <w:color w:val="000000"/>
                <w:sz w:val="16"/>
                <w:szCs w:val="16"/>
                <w:lang w:eastAsia="en-GB"/>
              </w:rPr>
              <w:t>-</w:t>
            </w:r>
          </w:p>
        </w:tc>
        <w:tc>
          <w:tcPr>
            <w:tcW w:w="393" w:type="pct"/>
            <w:shd w:val="clear" w:color="auto" w:fill="auto"/>
          </w:tcPr>
          <w:p w:rsidR="00C752B3" w:rsidRPr="006142F3" w:rsidRDefault="00C752B3" w:rsidP="00C752B3">
            <w:pPr>
              <w:keepNext/>
              <w:keepLines/>
              <w:spacing w:before="100" w:beforeAutospacing="1" w:after="100" w:afterAutospacing="1"/>
              <w:jc w:val="center"/>
              <w:rPr>
                <w:color w:val="000000"/>
                <w:sz w:val="16"/>
                <w:szCs w:val="16"/>
                <w:lang w:eastAsia="en-GB"/>
              </w:rPr>
            </w:pPr>
            <w:r w:rsidRPr="006142F3">
              <w:rPr>
                <w:color w:val="000000"/>
                <w:sz w:val="16"/>
                <w:szCs w:val="16"/>
                <w:lang w:eastAsia="en-GB"/>
              </w:rPr>
              <w:t>44.4%</w:t>
            </w:r>
          </w:p>
        </w:tc>
        <w:tc>
          <w:tcPr>
            <w:tcW w:w="398" w:type="pct"/>
            <w:shd w:val="clear" w:color="auto" w:fill="auto"/>
          </w:tcPr>
          <w:p w:rsidR="00C752B3" w:rsidRPr="006142F3" w:rsidRDefault="00C752B3" w:rsidP="00C752B3">
            <w:pPr>
              <w:keepNext/>
              <w:keepLines/>
              <w:spacing w:before="100" w:beforeAutospacing="1" w:after="100" w:afterAutospacing="1"/>
              <w:jc w:val="center"/>
              <w:rPr>
                <w:color w:val="000000"/>
                <w:sz w:val="16"/>
                <w:szCs w:val="16"/>
                <w:lang w:eastAsia="en-GB"/>
              </w:rPr>
            </w:pPr>
            <w:r w:rsidRPr="006142F3">
              <w:rPr>
                <w:color w:val="000000"/>
                <w:sz w:val="16"/>
                <w:szCs w:val="16"/>
                <w:lang w:eastAsia="en-GB"/>
              </w:rPr>
              <w:t>44.4%</w:t>
            </w:r>
          </w:p>
        </w:tc>
        <w:tc>
          <w:tcPr>
            <w:tcW w:w="338" w:type="pct"/>
          </w:tcPr>
          <w:p w:rsidR="00C752B3" w:rsidRPr="006142F3" w:rsidRDefault="00C752B3" w:rsidP="00C752B3">
            <w:pPr>
              <w:spacing w:before="100" w:beforeAutospacing="1" w:after="100" w:afterAutospacing="1"/>
              <w:jc w:val="center"/>
              <w:rPr>
                <w:color w:val="000000"/>
                <w:sz w:val="16"/>
                <w:szCs w:val="16"/>
                <w:lang w:eastAsia="en-GB"/>
              </w:rPr>
            </w:pPr>
            <w:r w:rsidRPr="006142F3">
              <w:rPr>
                <w:color w:val="000000"/>
                <w:sz w:val="16"/>
                <w:szCs w:val="16"/>
                <w:lang w:eastAsia="en-GB"/>
              </w:rPr>
              <w:t>100%</w:t>
            </w:r>
          </w:p>
        </w:tc>
        <w:tc>
          <w:tcPr>
            <w:tcW w:w="338" w:type="pct"/>
          </w:tcPr>
          <w:p w:rsidR="00C752B3" w:rsidRPr="006142F3" w:rsidRDefault="00C752B3" w:rsidP="00C752B3">
            <w:pPr>
              <w:spacing w:before="100" w:beforeAutospacing="1" w:after="100" w:afterAutospacing="1"/>
              <w:jc w:val="center"/>
              <w:rPr>
                <w:color w:val="000000"/>
                <w:sz w:val="16"/>
                <w:szCs w:val="16"/>
                <w:lang w:eastAsia="en-GB"/>
              </w:rPr>
            </w:pPr>
            <w:r w:rsidRPr="006142F3">
              <w:rPr>
                <w:color w:val="000000"/>
                <w:sz w:val="16"/>
                <w:szCs w:val="16"/>
                <w:lang w:eastAsia="en-GB"/>
              </w:rPr>
              <w:t>-</w:t>
            </w:r>
          </w:p>
        </w:tc>
        <w:tc>
          <w:tcPr>
            <w:tcW w:w="356" w:type="pct"/>
          </w:tcPr>
          <w:p w:rsidR="00C752B3" w:rsidRPr="006142F3" w:rsidRDefault="00C752B3" w:rsidP="00C752B3">
            <w:pPr>
              <w:spacing w:before="100" w:beforeAutospacing="1" w:after="100" w:afterAutospacing="1"/>
              <w:jc w:val="center"/>
              <w:rPr>
                <w:color w:val="000000"/>
                <w:sz w:val="16"/>
                <w:szCs w:val="16"/>
                <w:lang w:eastAsia="en-GB"/>
              </w:rPr>
            </w:pPr>
            <w:r w:rsidRPr="006142F3">
              <w:rPr>
                <w:color w:val="000000"/>
                <w:sz w:val="16"/>
                <w:szCs w:val="16"/>
                <w:lang w:eastAsia="en-GB"/>
              </w:rPr>
              <w:t>-</w:t>
            </w:r>
          </w:p>
        </w:tc>
        <w:tc>
          <w:tcPr>
            <w:tcW w:w="320" w:type="pct"/>
            <w:shd w:val="clear" w:color="auto" w:fill="auto"/>
          </w:tcPr>
          <w:p w:rsidR="00C752B3" w:rsidRPr="006142F3" w:rsidRDefault="00C752B3" w:rsidP="00C752B3">
            <w:pPr>
              <w:keepNext/>
              <w:keepLines/>
              <w:spacing w:before="100" w:beforeAutospacing="1" w:after="100" w:afterAutospacing="1"/>
              <w:jc w:val="center"/>
              <w:rPr>
                <w:color w:val="000000"/>
                <w:sz w:val="16"/>
                <w:szCs w:val="16"/>
                <w:lang w:eastAsia="en-GB"/>
              </w:rPr>
            </w:pPr>
            <w:r w:rsidRPr="006142F3">
              <w:rPr>
                <w:color w:val="000000"/>
                <w:sz w:val="16"/>
                <w:szCs w:val="16"/>
                <w:lang w:eastAsia="en-GB"/>
              </w:rPr>
              <w:t>-</w:t>
            </w:r>
          </w:p>
        </w:tc>
        <w:tc>
          <w:tcPr>
            <w:tcW w:w="351" w:type="pct"/>
            <w:shd w:val="clear" w:color="auto" w:fill="auto"/>
          </w:tcPr>
          <w:p w:rsidR="00C752B3" w:rsidRPr="006142F3" w:rsidRDefault="00C752B3" w:rsidP="00C752B3">
            <w:pPr>
              <w:keepNext/>
              <w:keepLines/>
              <w:spacing w:before="100" w:beforeAutospacing="1" w:after="100" w:afterAutospacing="1"/>
              <w:jc w:val="center"/>
              <w:rPr>
                <w:color w:val="000000"/>
                <w:sz w:val="16"/>
                <w:szCs w:val="16"/>
                <w:lang w:eastAsia="en-GB"/>
              </w:rPr>
            </w:pPr>
            <w:r w:rsidRPr="006142F3">
              <w:rPr>
                <w:color w:val="000000"/>
                <w:sz w:val="16"/>
                <w:szCs w:val="16"/>
                <w:lang w:eastAsia="en-GB"/>
              </w:rPr>
              <w:t>100%</w:t>
            </w:r>
          </w:p>
        </w:tc>
        <w:tc>
          <w:tcPr>
            <w:tcW w:w="332" w:type="pct"/>
            <w:shd w:val="clear" w:color="auto" w:fill="auto"/>
          </w:tcPr>
          <w:p w:rsidR="00C752B3" w:rsidRPr="006142F3" w:rsidRDefault="00C752B3" w:rsidP="00C752B3">
            <w:pPr>
              <w:keepNext/>
              <w:keepLines/>
              <w:spacing w:before="100" w:beforeAutospacing="1" w:after="100" w:afterAutospacing="1"/>
              <w:jc w:val="center"/>
              <w:rPr>
                <w:color w:val="000000"/>
                <w:sz w:val="16"/>
                <w:szCs w:val="16"/>
                <w:lang w:eastAsia="en-GB"/>
              </w:rPr>
            </w:pPr>
            <w:r w:rsidRPr="006142F3">
              <w:rPr>
                <w:color w:val="000000"/>
                <w:sz w:val="16"/>
                <w:szCs w:val="16"/>
                <w:lang w:eastAsia="en-GB"/>
              </w:rPr>
              <w:t>100%</w:t>
            </w:r>
          </w:p>
        </w:tc>
        <w:tc>
          <w:tcPr>
            <w:tcW w:w="328" w:type="pct"/>
            <w:shd w:val="clear" w:color="auto" w:fill="auto"/>
          </w:tcPr>
          <w:p w:rsidR="00C752B3" w:rsidRPr="006142F3" w:rsidRDefault="00C752B3" w:rsidP="00C752B3">
            <w:pPr>
              <w:keepNext/>
              <w:keepLines/>
              <w:spacing w:before="100" w:beforeAutospacing="1" w:after="100" w:afterAutospacing="1"/>
              <w:jc w:val="center"/>
              <w:rPr>
                <w:color w:val="000000"/>
                <w:sz w:val="16"/>
                <w:szCs w:val="16"/>
                <w:lang w:eastAsia="en-GB"/>
              </w:rPr>
            </w:pPr>
            <w:r w:rsidRPr="006142F3">
              <w:rPr>
                <w:color w:val="000000"/>
                <w:sz w:val="16"/>
                <w:szCs w:val="16"/>
                <w:lang w:eastAsia="en-GB"/>
              </w:rPr>
              <w:t>-</w:t>
            </w:r>
          </w:p>
        </w:tc>
        <w:tc>
          <w:tcPr>
            <w:tcW w:w="354" w:type="pct"/>
            <w:shd w:val="clear" w:color="auto" w:fill="auto"/>
          </w:tcPr>
          <w:p w:rsidR="00C752B3" w:rsidRPr="006142F3" w:rsidRDefault="00C752B3" w:rsidP="00C752B3">
            <w:pPr>
              <w:keepNext/>
              <w:keepLines/>
              <w:spacing w:before="100" w:beforeAutospacing="1" w:after="100" w:afterAutospacing="1"/>
              <w:jc w:val="center"/>
              <w:rPr>
                <w:color w:val="000000"/>
                <w:sz w:val="16"/>
                <w:szCs w:val="16"/>
                <w:lang w:eastAsia="en-GB"/>
              </w:rPr>
            </w:pPr>
            <w:r w:rsidRPr="006142F3">
              <w:rPr>
                <w:color w:val="000000"/>
                <w:sz w:val="16"/>
                <w:szCs w:val="16"/>
                <w:lang w:eastAsia="en-GB"/>
              </w:rPr>
              <w:t>100%</w:t>
            </w:r>
          </w:p>
        </w:tc>
        <w:tc>
          <w:tcPr>
            <w:tcW w:w="335" w:type="pct"/>
            <w:shd w:val="clear" w:color="auto" w:fill="auto"/>
          </w:tcPr>
          <w:p w:rsidR="00C752B3" w:rsidRPr="006142F3" w:rsidRDefault="00C752B3" w:rsidP="00C752B3">
            <w:pPr>
              <w:keepNext/>
              <w:keepLines/>
              <w:spacing w:before="100" w:beforeAutospacing="1" w:after="100" w:afterAutospacing="1"/>
              <w:jc w:val="center"/>
              <w:rPr>
                <w:color w:val="000000"/>
                <w:sz w:val="16"/>
                <w:szCs w:val="16"/>
                <w:lang w:eastAsia="en-GB"/>
              </w:rPr>
            </w:pPr>
            <w:r w:rsidRPr="006142F3">
              <w:rPr>
                <w:color w:val="000000"/>
                <w:sz w:val="16"/>
                <w:szCs w:val="16"/>
                <w:lang w:eastAsia="en-GB"/>
              </w:rPr>
              <w:t>-</w:t>
            </w:r>
          </w:p>
        </w:tc>
      </w:tr>
    </w:tbl>
    <w:p w:rsidR="00C752B3" w:rsidRDefault="00C752B3" w:rsidP="00C752B3">
      <w:pPr>
        <w:pStyle w:val="NoteText"/>
        <w:spacing w:before="120" w:after="240"/>
      </w:pPr>
      <w:r>
        <w:t xml:space="preserve">Source: Panel Report, </w:t>
      </w:r>
      <w:r w:rsidR="001D4A2B">
        <w:t xml:space="preserve">para. 6.1805, </w:t>
      </w:r>
      <w:r>
        <w:t>Table 22.</w:t>
      </w:r>
    </w:p>
    <w:p w:rsidR="00C752B3" w:rsidRDefault="00C752B3" w:rsidP="00526697">
      <w:pPr>
        <w:pStyle w:val="BodyText"/>
      </w:pPr>
      <w:r>
        <w:t xml:space="preserve">We recall that we have </w:t>
      </w:r>
      <w:r w:rsidRPr="00BD4698">
        <w:t xml:space="preserve">reversed the Panel's findings of displacement in these markets </w:t>
      </w:r>
      <w:r>
        <w:t xml:space="preserve">on the ground that the Panel failed to explain the basis for its finding that the LA/MSF subsidies existing in the post-implementation period had the effect of displacing the </w:t>
      </w:r>
      <w:r w:rsidR="00161805">
        <w:t>US LCA</w:t>
      </w:r>
      <w:r>
        <w:t>. That said, w</w:t>
      </w:r>
      <w:r w:rsidRPr="00BD4698">
        <w:t xml:space="preserve">e recall that the </w:t>
      </w:r>
      <w:r>
        <w:t>United States</w:t>
      </w:r>
      <w:r w:rsidRPr="00BD4698">
        <w:t xml:space="preserve">' market trend analyses for the </w:t>
      </w:r>
      <w:r w:rsidR="001D4A2B">
        <w:t>EU</w:t>
      </w:r>
      <w:r>
        <w:rPr>
          <w:rStyle w:val="FootnoteReference"/>
        </w:rPr>
        <w:footnoteReference w:id="2103"/>
      </w:r>
      <w:r w:rsidRPr="00BD4698">
        <w:t xml:space="preserve"> and Australian</w:t>
      </w:r>
      <w:r>
        <w:rPr>
          <w:rStyle w:val="FootnoteReference"/>
        </w:rPr>
        <w:footnoteReference w:id="2104"/>
      </w:r>
      <w:r w:rsidRPr="00BD4698">
        <w:t xml:space="preserve"> VLA markets span the years 2001-2013. For the Korean VLA market, while the </w:t>
      </w:r>
      <w:r>
        <w:t>United States</w:t>
      </w:r>
      <w:r w:rsidRPr="00BD4698">
        <w:t xml:space="preserve"> relies on market data for the years 2001-2013</w:t>
      </w:r>
      <w:r>
        <w:rPr>
          <w:rStyle w:val="FootnoteReference"/>
        </w:rPr>
        <w:footnoteReference w:id="2105"/>
      </w:r>
      <w:r w:rsidRPr="00BD4698">
        <w:t xml:space="preserve">, </w:t>
      </w:r>
      <w:r w:rsidR="00161805">
        <w:t>it</w:t>
      </w:r>
      <w:r>
        <w:t xml:space="preserve"> does not present </w:t>
      </w:r>
      <w:r w:rsidR="001D4A2B">
        <w:t xml:space="preserve">a </w:t>
      </w:r>
      <w:r>
        <w:t>market</w:t>
      </w:r>
      <w:r w:rsidR="00E01DBF">
        <w:t xml:space="preserve"> trend analysis. As for the VLA </w:t>
      </w:r>
      <w:r>
        <w:t>market in Singapore, while the United States relies on market data for the years 2001-2013, its market trend analysis spans the years 2006-2013.</w:t>
      </w:r>
      <w:r>
        <w:rPr>
          <w:rStyle w:val="FootnoteReference"/>
        </w:rPr>
        <w:footnoteReference w:id="2106"/>
      </w:r>
      <w:r>
        <w:t xml:space="preserve"> It is our view that, in these circumstances, engaging with the United States' request for completion </w:t>
      </w:r>
      <w:r w:rsidR="001D4A2B">
        <w:t>where</w:t>
      </w:r>
      <w:r>
        <w:t xml:space="preserve"> these markets </w:t>
      </w:r>
      <w:r w:rsidR="001D4A2B">
        <w:t xml:space="preserve">are concerned </w:t>
      </w:r>
      <w:r w:rsidRPr="0064411F">
        <w:t xml:space="preserve">would require us to review and consider </w:t>
      </w:r>
      <w:r>
        <w:t>evidence</w:t>
      </w:r>
      <w:r w:rsidRPr="0064411F">
        <w:t xml:space="preserve"> and arguments </w:t>
      </w:r>
      <w:r>
        <w:t xml:space="preserve">in respect of the aforesaid concerns </w:t>
      </w:r>
      <w:r w:rsidRPr="0064411F">
        <w:t>that we</w:t>
      </w:r>
      <w:r>
        <w:t xml:space="preserve"> find were </w:t>
      </w:r>
      <w:r w:rsidRPr="0064411F">
        <w:t>not sufficiently addressed by the Panel or sufficiently explored and developed before the Panel.</w:t>
      </w:r>
      <w:r>
        <w:rPr>
          <w:rStyle w:val="FootnoteReference"/>
        </w:rPr>
        <w:footnoteReference w:id="2107"/>
      </w:r>
    </w:p>
    <w:p w:rsidR="00C752B3" w:rsidRDefault="00C752B3" w:rsidP="00526697">
      <w:pPr>
        <w:pStyle w:val="BodyText"/>
      </w:pPr>
      <w:r>
        <w:t xml:space="preserve">In light of all </w:t>
      </w:r>
      <w:r w:rsidR="001D4A2B">
        <w:t xml:space="preserve">of </w:t>
      </w:r>
      <w:r>
        <w:t xml:space="preserve">the above considerations, we find that we are unable to complete the legal analysis of the United States' </w:t>
      </w:r>
      <w:r w:rsidR="001D4A2B">
        <w:t>claims of</w:t>
      </w:r>
      <w:r>
        <w:t xml:space="preserve"> displacement and/or impedance in the single-aisle LCA markets in Australia, China, and </w:t>
      </w:r>
      <w:r w:rsidR="001D4A2B">
        <w:t>India,</w:t>
      </w:r>
      <w:r>
        <w:t xml:space="preserve"> impedance in the single</w:t>
      </w:r>
      <w:r>
        <w:noBreakHyphen/>
        <w:t>aisle LCA market</w:t>
      </w:r>
      <w:r w:rsidR="001D4A2B">
        <w:t xml:space="preserve"> in the European Union</w:t>
      </w:r>
      <w:r>
        <w:t>, or</w:t>
      </w:r>
      <w:r w:rsidR="001D4A2B">
        <w:t>,</w:t>
      </w:r>
      <w:r>
        <w:t xml:space="preserve"> in the alternative, threat of displacement and impedance in that market, displacement in the twin-aisle LCA markets in China, Korea, and Singapore, impedance in the twin-aisle LCA markets in the European Union, China, Korea, and Singapore, and displacement in the VLA markets in the European Union, Australia, Korea, and Singapore. </w:t>
      </w:r>
    </w:p>
    <w:p w:rsidR="00C752B3" w:rsidRDefault="00C752B3" w:rsidP="00526697">
      <w:pPr>
        <w:pStyle w:val="Heading4"/>
      </w:pPr>
      <w:bookmarkStart w:id="204" w:name="_Toc514059306"/>
      <w:r>
        <w:t>Overall conclusion</w:t>
      </w:r>
      <w:bookmarkEnd w:id="204"/>
    </w:p>
    <w:p w:rsidR="00C752B3" w:rsidRDefault="00C752B3" w:rsidP="00526697">
      <w:pPr>
        <w:pStyle w:val="BodyText"/>
      </w:pPr>
      <w:r>
        <w:t xml:space="preserve">We </w:t>
      </w:r>
      <w:r w:rsidR="00161805">
        <w:t>recall</w:t>
      </w:r>
      <w:r>
        <w:t xml:space="preserve"> that "displacement or impedance" would arise wher</w:t>
      </w:r>
      <w:r w:rsidR="001D4A2B">
        <w:t xml:space="preserve">e </w:t>
      </w:r>
      <w:r>
        <w:t>the counterfactual analysis shows that the sales of the complaining Member would have declined less or would have been higher in the ab</w:t>
      </w:r>
      <w:r w:rsidR="001D4A2B">
        <w:t>sence of the challenged subsidy</w:t>
      </w:r>
      <w:r>
        <w:t>. We understand the Panel to have sought to apply this framework when it turned to assess whether the volume of deliveries and market shares that "would have been achieved by the United States' LCA industry between 1 December 2011 and the end of 2013 would have been higher than</w:t>
      </w:r>
      <w:r w:rsidRPr="00FE5F95">
        <w:rPr>
          <w:i/>
        </w:rPr>
        <w:t xml:space="preserve"> its actual level</w:t>
      </w:r>
      <w:r>
        <w:t xml:space="preserve"> in all relevant product markets"</w:t>
      </w:r>
      <w:r>
        <w:rPr>
          <w:rStyle w:val="FootnoteReference"/>
        </w:rPr>
        <w:footnoteReference w:id="2108"/>
      </w:r>
      <w:r>
        <w:t xml:space="preserve"> in the absence of the "product effects" of </w:t>
      </w:r>
      <w:r w:rsidR="003B220E">
        <w:t xml:space="preserve">the </w:t>
      </w:r>
      <w:r>
        <w:t xml:space="preserve">LA/MSF subsidies. We further </w:t>
      </w:r>
      <w:r w:rsidR="00161805">
        <w:t>consider</w:t>
      </w:r>
      <w:r>
        <w:t xml:space="preserve"> that the Panel's finding that "the United States has established that the 'product' effects of the challenged LA/MSF subsidies are a 'genuine and substantial' cause of </w:t>
      </w:r>
      <w:r w:rsidRPr="00FE5F95">
        <w:rPr>
          <w:i/>
        </w:rPr>
        <w:t>displacement and/or impedance</w:t>
      </w:r>
      <w:r>
        <w:t xml:space="preserve"> of United States LCA"</w:t>
      </w:r>
      <w:r>
        <w:rPr>
          <w:vertAlign w:val="superscript"/>
        </w:rPr>
        <w:footnoteReference w:id="2109"/>
      </w:r>
      <w:r>
        <w:t xml:space="preserve"> in the relevant geographic markets for single-aisle LCA, twin-aisle LCA, and VLA is informed by the manner in which the United States framed its claims. We do not read the Panel's use of the term "displacement and/or impedance" when summing up its serious prejudice findings regardin</w:t>
      </w:r>
      <w:r w:rsidR="001D4A2B">
        <w:t>g the relevant markets at issue</w:t>
      </w:r>
      <w:r>
        <w:t xml:space="preserve"> as suggesting that the Panel found the existence of these serious prejudice phenomena in an undifferentiated manner with respect to one and the same product and country market. Therefore, contrary to what the European Union appears to suggest, it does not necessarily follow from the Panel's use of the term "displacement and/or impedance" that the Panel treated "displacement" and "impedance" as interchangeable and indistinguishable concepts for purposes of its adverse effects analysis.</w:t>
      </w:r>
    </w:p>
    <w:p w:rsidR="00C752B3" w:rsidRDefault="00C752B3" w:rsidP="00526697">
      <w:pPr>
        <w:pStyle w:val="BodyText"/>
      </w:pPr>
      <w:r>
        <w:t>We recall our finding that the Panel's assessment</w:t>
      </w:r>
      <w:r w:rsidRPr="00FE5F95">
        <w:t xml:space="preserve"> </w:t>
      </w:r>
      <w:r>
        <w:t>of the relevant product markets in these compliance proceedings was based on a proper analysis of the nature and degree of competition between products that the Panel found to demonstrate sufficient substitutability. However, an assessment of the nature and degree of competition in the relevant product market(s) does not, in and of itself, answer the question of whether the subsidies existing in the post-implementation period are a genuine and substantial cause of adverse effects in the relevant market</w:t>
      </w:r>
      <w:r w:rsidR="001D4A2B">
        <w:t>(</w:t>
      </w:r>
      <w:r>
        <w:t>s</w:t>
      </w:r>
      <w:r w:rsidR="001D4A2B">
        <w:t>)</w:t>
      </w:r>
      <w:r>
        <w:t>.</w:t>
      </w:r>
    </w:p>
    <w:p w:rsidR="00C752B3" w:rsidRDefault="00C752B3" w:rsidP="00526697">
      <w:pPr>
        <w:pStyle w:val="Heading5"/>
        <w:numPr>
          <w:ilvl w:val="4"/>
          <w:numId w:val="29"/>
        </w:numPr>
      </w:pPr>
      <w:bookmarkStart w:id="205" w:name="_Toc514059307"/>
      <w:r>
        <w:t>The single-aisle LCA market</w:t>
      </w:r>
      <w:bookmarkEnd w:id="205"/>
    </w:p>
    <w:p w:rsidR="00C752B3" w:rsidRPr="00780D23" w:rsidRDefault="00C752B3" w:rsidP="00526697">
      <w:pPr>
        <w:pStyle w:val="BodyText"/>
        <w:numPr>
          <w:ilvl w:val="6"/>
          <w:numId w:val="22"/>
        </w:numPr>
      </w:pPr>
      <w:r>
        <w:t xml:space="preserve">With regard to the single-aisle LCA market, the Panel's findings regarding the "product effects" of LA/MSF subsidies on the market presence of </w:t>
      </w:r>
      <w:r w:rsidRPr="00035677">
        <w:rPr>
          <w:i/>
        </w:rPr>
        <w:t>the A320</w:t>
      </w:r>
      <w:r>
        <w:t xml:space="preserve"> concerned primarily the effects of those subsidies that had expired prior to the end of the implementation period. We have found, however, that the European Union has no compliance obligation in respect of those expired subsidies. Rather, the pertinent question is whether the s</w:t>
      </w:r>
      <w:r w:rsidR="00161805">
        <w:t>ubsidies existing in the post</w:t>
      </w:r>
      <w:r w:rsidR="00161805">
        <w:noBreakHyphen/>
      </w:r>
      <w:r>
        <w:t xml:space="preserve">implementation period </w:t>
      </w:r>
      <w:r w:rsidR="001D4A2B">
        <w:t>(</w:t>
      </w:r>
      <w:r w:rsidR="00161805">
        <w:t xml:space="preserve">i.e. </w:t>
      </w:r>
      <w:r w:rsidR="001D4A2B">
        <w:t xml:space="preserve">after 1 December 2011) </w:t>
      </w:r>
      <w:r>
        <w:t xml:space="preserve">cause adverse </w:t>
      </w:r>
      <w:r w:rsidR="00161805">
        <w:t>effects, such that the European </w:t>
      </w:r>
      <w:r>
        <w:t>Union has failed to comply with its obligation under Article 7.8 of the SCM Agreement to "take appropriate steps to remove the adverse effects". We do not find</w:t>
      </w:r>
      <w:r w:rsidRPr="006C1878">
        <w:t xml:space="preserve"> </w:t>
      </w:r>
      <w:r>
        <w:t>any analysis by the Panel as to whether, and to what extent, Airbus' competitiveness in the single-aisle LCA market, gained through the pre</w:t>
      </w:r>
      <w:r>
        <w:noBreakHyphen/>
        <w:t>A380 LA/MSF subsidies, was renewed and sustained beyond the original reference period as a result of the subsidies that the European Union maintained or granted in the post</w:t>
      </w:r>
      <w:r>
        <w:noBreakHyphen/>
        <w:t>implementation period.</w:t>
      </w:r>
    </w:p>
    <w:p w:rsidR="00C752B3" w:rsidRDefault="00C752B3" w:rsidP="00526697">
      <w:pPr>
        <w:pStyle w:val="BodyText"/>
      </w:pPr>
      <w:r>
        <w:t xml:space="preserve">Thus, </w:t>
      </w:r>
      <w:r w:rsidRPr="003C348C">
        <w:t xml:space="preserve">we are not convinced that, insofar as the </w:t>
      </w:r>
      <w:r>
        <w:t>single-aisle LCA market is concerned</w:t>
      </w:r>
      <w:r w:rsidRPr="003C348C">
        <w:t>, the Panel's analysis provide</w:t>
      </w:r>
      <w:r>
        <w:t>s</w:t>
      </w:r>
      <w:r w:rsidRPr="003C348C">
        <w:t xml:space="preserve"> a </w:t>
      </w:r>
      <w:r>
        <w:t xml:space="preserve">sufficient </w:t>
      </w:r>
      <w:r w:rsidRPr="003C348C">
        <w:t xml:space="preserve">basis </w:t>
      </w:r>
      <w:r>
        <w:t>to</w:t>
      </w:r>
      <w:r w:rsidRPr="003C348C">
        <w:t xml:space="preserve"> sustain its conclusion</w:t>
      </w:r>
      <w:r>
        <w:t>,</w:t>
      </w:r>
      <w:r w:rsidRPr="003C348C">
        <w:t xml:space="preserve"> </w:t>
      </w:r>
      <w:r>
        <w:t xml:space="preserve">in paragraph 6.1798 of the Panel Report, </w:t>
      </w:r>
      <w:r w:rsidRPr="003C348C">
        <w:t xml:space="preserve">that </w:t>
      </w:r>
      <w:r>
        <w:t>"the orders identified in Table 19 {in the single-aisle LCA market} represent 'significant' 'lost sales' to the United States LCA industry and, therefore, that the challenged LA/MSF subsidies continue to be a 'genuine and substantial' cause of serious prejudice to the United States</w:t>
      </w:r>
      <w:r w:rsidRPr="00895891">
        <w:t xml:space="preserve"> within the meaning of </w:t>
      </w:r>
      <w:r>
        <w:t>Article 6.3(c) of the SCM Agreement"</w:t>
      </w:r>
      <w:r w:rsidRPr="00895891">
        <w:t xml:space="preserve">. Similarly, we are not convinced that, with regard to the various country markets for single-aisle LCA, the Panel's analysis </w:t>
      </w:r>
      <w:r>
        <w:t>is</w:t>
      </w:r>
      <w:r w:rsidRPr="00895891">
        <w:t xml:space="preserve"> sufficient </w:t>
      </w:r>
      <w:r>
        <w:t>to</w:t>
      </w:r>
      <w:r w:rsidRPr="00895891">
        <w:t xml:space="preserve"> sustain its conclusion</w:t>
      </w:r>
      <w:r>
        <w:t>, in paragraph 6.1817 of the Panel Report,</w:t>
      </w:r>
      <w:r w:rsidRPr="00895891">
        <w:t xml:space="preserve"> that </w:t>
      </w:r>
      <w:r>
        <w:t>"the</w:t>
      </w:r>
      <w:r w:rsidR="00080B9E">
        <w:t> </w:t>
      </w:r>
      <w:r>
        <w:t xml:space="preserve">challenged </w:t>
      </w:r>
      <w:r w:rsidRPr="00895891">
        <w:t xml:space="preserve">LA/MSF subsidies are a </w:t>
      </w:r>
      <w:r>
        <w:t>'</w:t>
      </w:r>
      <w:r w:rsidRPr="00895891">
        <w:t>genuine and substantial</w:t>
      </w:r>
      <w:r>
        <w:t>'</w:t>
      </w:r>
      <w:r w:rsidRPr="00895891">
        <w:t xml:space="preserve"> cause of displacement and/or impedance</w:t>
      </w:r>
      <w:r w:rsidRPr="006C7464">
        <w:t xml:space="preserve"> </w:t>
      </w:r>
      <w:r>
        <w:t>of United States LCA in the markets for single-aisle LCA in the European Union, Australia, China and India"</w:t>
      </w:r>
      <w:r w:rsidRPr="00895891">
        <w:t>.</w:t>
      </w:r>
    </w:p>
    <w:p w:rsidR="00C752B3" w:rsidRPr="00145239" w:rsidRDefault="00C752B3" w:rsidP="00526697">
      <w:pPr>
        <w:pStyle w:val="BodyText"/>
      </w:pPr>
      <w:r>
        <w:t xml:space="preserve">We therefore </w:t>
      </w:r>
      <w:r w:rsidRPr="00505F5F">
        <w:rPr>
          <w:u w:val="single"/>
        </w:rPr>
        <w:t>reverse</w:t>
      </w:r>
      <w:r>
        <w:t xml:space="preserve"> the above conclusions of the Panel und</w:t>
      </w:r>
      <w:r w:rsidR="003B220E">
        <w:t>er Articles 6.3(a), 6.3(b), and </w:t>
      </w:r>
      <w:r>
        <w:t xml:space="preserve">6.3(c) of the SCM Agreement insofar as they relate to the single-aisle LCA market. </w:t>
      </w:r>
      <w:r w:rsidR="001D4A2B">
        <w:t>Consequently</w:t>
      </w:r>
      <w:r>
        <w:t xml:space="preserve">, we do </w:t>
      </w:r>
      <w:r w:rsidRPr="00145239">
        <w:t xml:space="preserve">not consider it necessary for us to address the European Union's additional arguments described in paragraph </w:t>
      </w:r>
      <w:r w:rsidR="00FA1E5D" w:rsidRPr="00145239">
        <w:t>5.703</w:t>
      </w:r>
      <w:r w:rsidRPr="00145239">
        <w:t xml:space="preserve"> </w:t>
      </w:r>
      <w:r w:rsidR="001D4A2B" w:rsidRPr="00145239">
        <w:t>above</w:t>
      </w:r>
      <w:r w:rsidRPr="00145239">
        <w:t xml:space="preserve">. </w:t>
      </w:r>
    </w:p>
    <w:p w:rsidR="00C752B3" w:rsidRDefault="00C752B3" w:rsidP="00526697">
      <w:pPr>
        <w:pStyle w:val="BodyText"/>
      </w:pPr>
      <w:r w:rsidRPr="00145239">
        <w:t xml:space="preserve">We further </w:t>
      </w:r>
      <w:r w:rsidRPr="00145239">
        <w:rPr>
          <w:u w:val="single"/>
        </w:rPr>
        <w:t>find</w:t>
      </w:r>
      <w:r w:rsidRPr="00145239">
        <w:t xml:space="preserve"> that we are unable to complete t</w:t>
      </w:r>
      <w:r>
        <w:t xml:space="preserve">he legal analysis of the United States' </w:t>
      </w:r>
      <w:r w:rsidR="001D4A2B">
        <w:t>claims of</w:t>
      </w:r>
      <w:r>
        <w:t xml:space="preserve"> "displacement and/or impedance" in the single-aisle LCA markets in Australia, China, and India, </w:t>
      </w:r>
      <w:r w:rsidR="001D4A2B">
        <w:t xml:space="preserve">and </w:t>
      </w:r>
      <w:r>
        <w:t>impedance in the single</w:t>
      </w:r>
      <w:r>
        <w:noBreakHyphen/>
        <w:t>aisle LCA market</w:t>
      </w:r>
      <w:r w:rsidR="001D4A2B">
        <w:t xml:space="preserve"> in the European Union</w:t>
      </w:r>
      <w:r>
        <w:t>, or</w:t>
      </w:r>
      <w:r w:rsidR="001D4A2B">
        <w:t>,</w:t>
      </w:r>
      <w:r>
        <w:t xml:space="preserve"> in the alternative, threat of displacement and impedance in that market.</w:t>
      </w:r>
    </w:p>
    <w:p w:rsidR="00C752B3" w:rsidRDefault="00C752B3" w:rsidP="00526697">
      <w:pPr>
        <w:pStyle w:val="Heading5"/>
      </w:pPr>
      <w:bookmarkStart w:id="206" w:name="_Toc514059308"/>
      <w:r>
        <w:t>The twin-aisle LCA market</w:t>
      </w:r>
      <w:bookmarkEnd w:id="206"/>
      <w:r>
        <w:t xml:space="preserve"> </w:t>
      </w:r>
    </w:p>
    <w:p w:rsidR="00C752B3" w:rsidRDefault="00C752B3" w:rsidP="00526697">
      <w:pPr>
        <w:pStyle w:val="BodyText"/>
      </w:pPr>
      <w:r>
        <w:t>With regard to lost sales in the twin-aisle LCA market, our review of the Panel's finding on the product effects of LA/MSF subsidies on the A350XWB indicates that, in the absence of the LA/MSF subsidies existing in the post</w:t>
      </w:r>
      <w:r>
        <w:noBreakHyphen/>
        <w:t>implementation period</w:t>
      </w:r>
      <w:r w:rsidR="001D4A2B">
        <w:t xml:space="preserve"> (</w:t>
      </w:r>
      <w:r w:rsidR="00161805">
        <w:t xml:space="preserve">i.e. </w:t>
      </w:r>
      <w:r w:rsidR="001D4A2B">
        <w:t>after 1 December 2011)</w:t>
      </w:r>
      <w:r>
        <w:t xml:space="preserve">, Airbus would not have been able to offer the A350XWB at the time it did and with the features </w:t>
      </w:r>
      <w:r w:rsidR="001D4A2B">
        <w:t>it had</w:t>
      </w:r>
      <w:r>
        <w:t>. The Panel's finding that the sales of the A350XWB in the post</w:t>
      </w:r>
      <w:r>
        <w:noBreakHyphen/>
        <w:t>implemen</w:t>
      </w:r>
      <w:r w:rsidR="00080B9E">
        <w:t>tation period constituted "lost </w:t>
      </w:r>
      <w:r>
        <w:t xml:space="preserve">sales" </w:t>
      </w:r>
      <w:r w:rsidR="001D4A2B">
        <w:t xml:space="preserve">to the US LCA industry </w:t>
      </w:r>
      <w:r>
        <w:t>within the meaning of Article 6.3(c) of the SCM Agreement is also supported by relevant Panel findings regarding the competitive dynamics between Boeing's and Airbus' respective product offerings in the twin-aisle LCA market. Furthermore, we are not convinced by the European Union's argument that the Panel failed to take into account market</w:t>
      </w:r>
      <w:r>
        <w:noBreakHyphen/>
        <w:t>specific and sale-specific non</w:t>
      </w:r>
      <w:r>
        <w:noBreakHyphen/>
        <w:t>attribution factors.</w:t>
      </w:r>
    </w:p>
    <w:p w:rsidR="00C752B3" w:rsidRDefault="00C752B3" w:rsidP="00526697">
      <w:pPr>
        <w:pStyle w:val="BodyText"/>
      </w:pPr>
      <w:r>
        <w:t xml:space="preserve">Therefore, the Panel's findings support the conclusion that the sales of the A350XWB identified in Table 19 of the Panel Report represent "significant lost sales" to the </w:t>
      </w:r>
      <w:r w:rsidR="001D4A2B">
        <w:t>US</w:t>
      </w:r>
      <w:r>
        <w:t xml:space="preserve"> LCA industry within the meaning of Article 6.3(c) of the SCM Agreement, and that such lost sales were the effect of the LA/MSF subsidies existing in the post</w:t>
      </w:r>
      <w:r>
        <w:noBreakHyphen/>
        <w:t xml:space="preserve">implementation period. This conclusion also </w:t>
      </w:r>
      <w:r w:rsidRPr="008A43A0">
        <w:t xml:space="preserve">finds support in the analytical framework adopted by the </w:t>
      </w:r>
      <w:r w:rsidR="00161805">
        <w:t>p</w:t>
      </w:r>
      <w:r w:rsidRPr="008A43A0">
        <w:t xml:space="preserve">anel and the </w:t>
      </w:r>
      <w:r>
        <w:t>Appellate Body</w:t>
      </w:r>
      <w:r w:rsidRPr="008A43A0">
        <w:t xml:space="preserve"> in the original proceedings, as well as in a number of </w:t>
      </w:r>
      <w:r w:rsidR="001D4A2B">
        <w:t xml:space="preserve">the </w:t>
      </w:r>
      <w:r w:rsidRPr="008A43A0">
        <w:t>Panel</w:t>
      </w:r>
      <w:r w:rsidR="001D4A2B">
        <w:t>'s</w:t>
      </w:r>
      <w:r w:rsidRPr="008A43A0">
        <w:t xml:space="preserve"> findings, including its finding concerning the </w:t>
      </w:r>
      <w:r>
        <w:t>"product effects" of the LA/MSF subsidies existing in the post</w:t>
      </w:r>
      <w:r>
        <w:noBreakHyphen/>
        <w:t>implementation period on</w:t>
      </w:r>
      <w:r w:rsidRPr="008A43A0">
        <w:t xml:space="preserve"> </w:t>
      </w:r>
      <w:r>
        <w:t>Airbus'</w:t>
      </w:r>
      <w:r w:rsidRPr="008A43A0">
        <w:t xml:space="preserve"> timely launch of the A350XWB, </w:t>
      </w:r>
      <w:r>
        <w:t xml:space="preserve">and </w:t>
      </w:r>
      <w:r w:rsidRPr="008A43A0">
        <w:t>the existence of sufficient substitutability between Boeing'</w:t>
      </w:r>
      <w:r w:rsidR="001D4A2B">
        <w:t>s</w:t>
      </w:r>
      <w:r w:rsidRPr="008A43A0">
        <w:t xml:space="preserve"> and Airbus' twin-aisle product offerings.</w:t>
      </w:r>
      <w:r w:rsidRPr="007F2C35">
        <w:t xml:space="preserve"> </w:t>
      </w:r>
      <w:r>
        <w:t>In light of our interpretation of Article 7.8 of the SCM Agreement, however, we disagree with the Pan</w:t>
      </w:r>
      <w:r w:rsidR="001D4A2B">
        <w:t>el's conclusion on "significant</w:t>
      </w:r>
      <w:r>
        <w:t xml:space="preserve"> lost sales" in the twin-aisle LCA market to the extent that </w:t>
      </w:r>
      <w:r w:rsidR="001D4A2B">
        <w:t>its conclusion wa</w:t>
      </w:r>
      <w:r>
        <w:t xml:space="preserve">s based on </w:t>
      </w:r>
      <w:r w:rsidR="001D4A2B">
        <w:t xml:space="preserve">the </w:t>
      </w:r>
      <w:r>
        <w:t xml:space="preserve">effects of </w:t>
      </w:r>
      <w:r w:rsidR="001D4A2B">
        <w:t xml:space="preserve">the </w:t>
      </w:r>
      <w:r>
        <w:t>challenged LA/MSF subsidies that the Panel found to have expired.</w:t>
      </w:r>
    </w:p>
    <w:p w:rsidR="00C752B3" w:rsidRDefault="00C752B3" w:rsidP="00526697">
      <w:pPr>
        <w:pStyle w:val="BodyText"/>
      </w:pPr>
      <w:r>
        <w:t xml:space="preserve">Accordingly, we </w:t>
      </w:r>
      <w:r w:rsidRPr="00764D27">
        <w:rPr>
          <w:u w:val="single"/>
        </w:rPr>
        <w:t>modify</w:t>
      </w:r>
      <w:r>
        <w:t xml:space="preserve"> the Panel's conclusion in paragraph 6.1798 of </w:t>
      </w:r>
      <w:r w:rsidR="001D4A2B">
        <w:t>the Panel</w:t>
      </w:r>
      <w:r>
        <w:t xml:space="preserve"> Report</w:t>
      </w:r>
      <w:r w:rsidR="00D1727C">
        <w:t>,</w:t>
      </w:r>
      <w:r>
        <w:t xml:space="preserve"> and </w:t>
      </w:r>
      <w:r w:rsidRPr="00764D27">
        <w:rPr>
          <w:u w:val="single"/>
        </w:rPr>
        <w:t>find</w:t>
      </w:r>
      <w:r w:rsidR="001D4A2B">
        <w:t xml:space="preserve"> instead that </w:t>
      </w:r>
      <w:r>
        <w:t>th</w:t>
      </w:r>
      <w:r w:rsidR="001D4A2B">
        <w:t>e orders identified in Table 19 of the Panel Report in the twin-aisle LCA market represent "</w:t>
      </w:r>
      <w:r>
        <w:t>significant lost sales</w:t>
      </w:r>
      <w:r w:rsidR="001D4A2B">
        <w:t>"</w:t>
      </w:r>
      <w:r>
        <w:t xml:space="preserve"> to the </w:t>
      </w:r>
      <w:r w:rsidR="001D4A2B">
        <w:t>US LCA industry</w:t>
      </w:r>
      <w:r>
        <w:t xml:space="preserve"> and, therefore, that the LA/MSF subsidies existing in the post-implementation period are a genuine and substantia</w:t>
      </w:r>
      <w:r w:rsidR="001D4A2B">
        <w:t>l</w:t>
      </w:r>
      <w:r>
        <w:t xml:space="preserve"> cause of serious prejudice to the United States within the meaning of Article 6.3(c) of the SCM Agreement.</w:t>
      </w:r>
    </w:p>
    <w:p w:rsidR="00C752B3" w:rsidRDefault="00C752B3" w:rsidP="00526697">
      <w:pPr>
        <w:pStyle w:val="BodyText"/>
      </w:pPr>
      <w:r w:rsidRPr="00103C78">
        <w:t xml:space="preserve">With regard to displacement </w:t>
      </w:r>
      <w:r>
        <w:t>and</w:t>
      </w:r>
      <w:r w:rsidRPr="00103C78">
        <w:t xml:space="preserve"> impedance in the twin-aisle </w:t>
      </w:r>
      <w:r>
        <w:t xml:space="preserve">LCA </w:t>
      </w:r>
      <w:r w:rsidRPr="00103C78">
        <w:t>market,</w:t>
      </w:r>
      <w:r>
        <w:t xml:space="preserve"> we note that, according to the Panel, the LA/MSF subsidy for the</w:t>
      </w:r>
      <w:r w:rsidRPr="00F3419A">
        <w:t xml:space="preserve"> </w:t>
      </w:r>
      <w:r>
        <w:t xml:space="preserve">A330-200 expired no later than </w:t>
      </w:r>
      <w:r w:rsidRPr="00141B10">
        <w:rPr>
          <w:b/>
        </w:rPr>
        <w:t>[</w:t>
      </w:r>
      <w:r w:rsidR="00E8168B" w:rsidRPr="00C8434D">
        <w:rPr>
          <w:b/>
          <w:szCs w:val="16"/>
        </w:rPr>
        <w:t>BCI</w:t>
      </w:r>
      <w:r w:rsidRPr="00141B10">
        <w:rPr>
          <w:b/>
        </w:rPr>
        <w:t>]</w:t>
      </w:r>
      <w:r w:rsidR="00080B9E">
        <w:t>, i.e. </w:t>
      </w:r>
      <w:r w:rsidR="00080B9E" w:rsidRPr="00080B9E">
        <w:t>in</w:t>
      </w:r>
      <w:r w:rsidR="00080B9E">
        <w:t> </w:t>
      </w:r>
      <w:r w:rsidRPr="00080B9E">
        <w:t>the</w:t>
      </w:r>
      <w:r>
        <w:t xml:space="preserve"> post-implementation period. </w:t>
      </w:r>
      <w:r w:rsidRPr="00EA7216">
        <w:t xml:space="preserve">We note, however, that the original panel found that it was likely </w:t>
      </w:r>
      <w:r w:rsidR="00161805">
        <w:t xml:space="preserve">that </w:t>
      </w:r>
      <w:r w:rsidRPr="00EA7216">
        <w:t>the A330-200 could have been launched even in the absence of the specific LA/MSF granted in respect of that programme because it was a derivative of the A330 and, therefore, required a comparatively small amount of funding to develop.</w:t>
      </w:r>
      <w:r>
        <w:t xml:space="preserve"> Moreover,</w:t>
      </w:r>
      <w:r w:rsidRPr="00764D27">
        <w:t xml:space="preserve"> unlike for the A380 and A350XWB LA/MSF subsidies, there are no </w:t>
      </w:r>
      <w:r>
        <w:t xml:space="preserve">specific </w:t>
      </w:r>
      <w:r w:rsidRPr="00764D27">
        <w:t xml:space="preserve">findings by the Panel </w:t>
      </w:r>
      <w:r>
        <w:t>relating to the issue of whether and how</w:t>
      </w:r>
      <w:r w:rsidRPr="00764D27">
        <w:t xml:space="preserve"> the "product effects"</w:t>
      </w:r>
      <w:r w:rsidR="00161805">
        <w:t xml:space="preserve"> </w:t>
      </w:r>
      <w:r w:rsidRPr="00764D27">
        <w:t xml:space="preserve">of the A330-200 LA/MSF </w:t>
      </w:r>
      <w:r>
        <w:t xml:space="preserve">subsidy continued </w:t>
      </w:r>
      <w:r w:rsidRPr="00764D27">
        <w:t>beyond 2006 and into the post-implementation period</w:t>
      </w:r>
      <w:r>
        <w:t>. O</w:t>
      </w:r>
      <w:r w:rsidRPr="00F3419A">
        <w:t xml:space="preserve">ur review of the Panel's finding on the "product effects" of LA/MSF subsidies on the A350XWB indicates that, in the absence of the LA/MSF subsidies </w:t>
      </w:r>
      <w:r>
        <w:t xml:space="preserve">for the A380 and A350XWB </w:t>
      </w:r>
      <w:r w:rsidRPr="00F3419A">
        <w:t>existing in the post</w:t>
      </w:r>
      <w:r w:rsidRPr="00F3419A">
        <w:noBreakHyphen/>
        <w:t xml:space="preserve">implementation period, Airbus would not have been able to offer the A350XWB at the time it did and with the features </w:t>
      </w:r>
      <w:r w:rsidR="001D4A2B">
        <w:t>it had</w:t>
      </w:r>
      <w:r>
        <w:t>. We further recall the Panel's finding that Airbus' A350XWB product offering was in direct competiti</w:t>
      </w:r>
      <w:r w:rsidR="001D4A2B">
        <w:t>on with Boeing's twin</w:t>
      </w:r>
      <w:r w:rsidR="001D4A2B">
        <w:noBreakHyphen/>
        <w:t>aisle LCA</w:t>
      </w:r>
      <w:r>
        <w:t xml:space="preserve">. </w:t>
      </w:r>
    </w:p>
    <w:p w:rsidR="00C752B3" w:rsidRDefault="00C752B3" w:rsidP="00526697">
      <w:pPr>
        <w:pStyle w:val="BodyText"/>
      </w:pPr>
      <w:r>
        <w:t xml:space="preserve">We note, however, </w:t>
      </w:r>
      <w:r w:rsidRPr="00401EA6">
        <w:t xml:space="preserve">that the </w:t>
      </w:r>
      <w:r>
        <w:t>United States</w:t>
      </w:r>
      <w:r w:rsidRPr="00401EA6">
        <w:t xml:space="preserve"> framed its claim of displacement and</w:t>
      </w:r>
      <w:r>
        <w:t>/or</w:t>
      </w:r>
      <w:r w:rsidRPr="00401EA6">
        <w:t xml:space="preserve"> impedance in the twin-aisle </w:t>
      </w:r>
      <w:r>
        <w:t xml:space="preserve">LCA </w:t>
      </w:r>
      <w:r w:rsidRPr="00401EA6">
        <w:t>market</w:t>
      </w:r>
      <w:r>
        <w:t xml:space="preserve"> </w:t>
      </w:r>
      <w:r w:rsidRPr="00401EA6">
        <w:t xml:space="preserve">on the basis of data concerning market shares and </w:t>
      </w:r>
      <w:r w:rsidRPr="00141B10">
        <w:rPr>
          <w:i/>
        </w:rPr>
        <w:t>deliveries</w:t>
      </w:r>
      <w:r w:rsidRPr="00401EA6">
        <w:t xml:space="preserve"> of Airbus and Boeing LCA </w:t>
      </w:r>
      <w:r w:rsidR="001D4A2B">
        <w:t>during</w:t>
      </w:r>
      <w:r w:rsidRPr="00401EA6">
        <w:t xml:space="preserve"> the period</w:t>
      </w:r>
      <w:r w:rsidR="001D4A2B">
        <w:t xml:space="preserve"> 2001-2013</w:t>
      </w:r>
      <w:r>
        <w:t xml:space="preserve">. </w:t>
      </w:r>
      <w:r w:rsidRPr="00401EA6">
        <w:t>There were no deliveries of the A350XWB during that period.</w:t>
      </w:r>
      <w:r>
        <w:t xml:space="preserve"> Thus,</w:t>
      </w:r>
      <w:r w:rsidRPr="00401EA6">
        <w:t xml:space="preserve"> </w:t>
      </w:r>
      <w:r>
        <w:t>for purposes of</w:t>
      </w:r>
      <w:r w:rsidRPr="00401EA6">
        <w:t xml:space="preserve"> </w:t>
      </w:r>
      <w:r>
        <w:t xml:space="preserve">the claim of </w:t>
      </w:r>
      <w:r w:rsidRPr="00401EA6">
        <w:t>displacement</w:t>
      </w:r>
      <w:r>
        <w:t xml:space="preserve"> and/or</w:t>
      </w:r>
      <w:r w:rsidRPr="00401EA6">
        <w:t xml:space="preserve"> impedance</w:t>
      </w:r>
      <w:r>
        <w:t xml:space="preserve"> in the twin-aisle LCA market</w:t>
      </w:r>
      <w:r w:rsidRPr="00401EA6">
        <w:t xml:space="preserve">, </w:t>
      </w:r>
      <w:r>
        <w:t>the Panel relied on</w:t>
      </w:r>
      <w:r w:rsidRPr="00401EA6">
        <w:t xml:space="preserve"> market shares and delivery data relating to the A330, rather than </w:t>
      </w:r>
      <w:r w:rsidR="00161805">
        <w:t>o</w:t>
      </w:r>
      <w:r>
        <w:t xml:space="preserve">rders </w:t>
      </w:r>
      <w:r w:rsidRPr="00401EA6">
        <w:t>of the A350XWB</w:t>
      </w:r>
      <w:r>
        <w:t xml:space="preserve">, in making its finding. </w:t>
      </w:r>
      <w:r w:rsidRPr="00401EA6">
        <w:t xml:space="preserve">We recall, in this regard, that the Panel's findings regarding the "product effects" of LA/MSF subsidies on the A330 concerned primarily the effects of </w:t>
      </w:r>
      <w:r w:rsidR="00EF7412">
        <w:t xml:space="preserve">those </w:t>
      </w:r>
      <w:r w:rsidRPr="00401EA6">
        <w:t xml:space="preserve">subsidies that had expired. </w:t>
      </w:r>
      <w:r>
        <w:t>We have found, however, that the European Union has no compliance obligation in respect of those expired subsidies</w:t>
      </w:r>
      <w:r w:rsidRPr="00401EA6">
        <w:t>.</w:t>
      </w:r>
      <w:r w:rsidRPr="00103C78">
        <w:t xml:space="preserve"> </w:t>
      </w:r>
      <w:r>
        <w:t xml:space="preserve">Rather, the pertinent question is whether the subsidies existing in the post-implementation period cause adverse effects, such that the European Union has failed to comply with its obligations under Article 7.8 of the SCM Agreement to "take appropriate steps to remove the adverse effects". However, given the way the claims of displacement and/or impedance were raised before the Panel and </w:t>
      </w:r>
      <w:r w:rsidR="00161805">
        <w:t>its</w:t>
      </w:r>
      <w:r>
        <w:t xml:space="preserve"> approach to assessing these claims, the Panel did not explore, and made no findings on, the issue of whether and</w:t>
      </w:r>
      <w:r w:rsidR="00EF7412">
        <w:t>,</w:t>
      </w:r>
      <w:r>
        <w:t xml:space="preserve"> if so, how the A380 and A350XWB</w:t>
      </w:r>
      <w:r w:rsidR="00080B9E">
        <w:t xml:space="preserve"> subsidies existing in the post</w:t>
      </w:r>
      <w:r w:rsidR="00080B9E">
        <w:noBreakHyphen/>
      </w:r>
      <w:r>
        <w:t>implementation period may have contributed to the deliveries of the A330 occurring during that period. In</w:t>
      </w:r>
      <w:r w:rsidRPr="00401EA6">
        <w:t xml:space="preserve"> these </w:t>
      </w:r>
      <w:r>
        <w:t>circumstances</w:t>
      </w:r>
      <w:r w:rsidRPr="00401EA6">
        <w:t xml:space="preserve">, we are not convinced that the Panel's analysis and findings provide a sufficient basis to sustain the conclusion that the effect of the LA/MSF subsidies existing in the </w:t>
      </w:r>
      <w:r>
        <w:t>post</w:t>
      </w:r>
      <w:r>
        <w:noBreakHyphen/>
        <w:t>implementation period was to displace or impede</w:t>
      </w:r>
      <w:r w:rsidRPr="00401EA6">
        <w:t xml:space="preserve"> </w:t>
      </w:r>
      <w:r w:rsidR="00EF7412">
        <w:t>US</w:t>
      </w:r>
      <w:r w:rsidRPr="00401EA6">
        <w:t xml:space="preserve"> LCA in the twin-aisle </w:t>
      </w:r>
      <w:r>
        <w:t xml:space="preserve">LCA </w:t>
      </w:r>
      <w:r w:rsidRPr="00401EA6">
        <w:t>market</w:t>
      </w:r>
      <w:r w:rsidR="00EF7412">
        <w:t xml:space="preserve"> in the European Union</w:t>
      </w:r>
      <w:r w:rsidRPr="00401EA6">
        <w:t xml:space="preserve"> and relevant third country markets.</w:t>
      </w:r>
    </w:p>
    <w:p w:rsidR="00C752B3" w:rsidRPr="00145239" w:rsidRDefault="00C752B3" w:rsidP="00526697">
      <w:pPr>
        <w:pStyle w:val="BodyText"/>
      </w:pPr>
      <w:r>
        <w:t>Accordingly, w</w:t>
      </w:r>
      <w:r w:rsidRPr="00401EA6">
        <w:t xml:space="preserve">e </w:t>
      </w:r>
      <w:r w:rsidRPr="00103C78">
        <w:rPr>
          <w:u w:val="single"/>
        </w:rPr>
        <w:t>reverse</w:t>
      </w:r>
      <w:r w:rsidRPr="00401EA6">
        <w:t xml:space="preserve"> the Panel's con</w:t>
      </w:r>
      <w:r w:rsidR="00EF7412">
        <w:t>clusion</w:t>
      </w:r>
      <w:r w:rsidR="00770406">
        <w:t>,</w:t>
      </w:r>
      <w:r w:rsidR="00EF7412">
        <w:t xml:space="preserve"> in paragraph 6.1817 of the Panel</w:t>
      </w:r>
      <w:r w:rsidRPr="00401EA6">
        <w:t xml:space="preserve"> </w:t>
      </w:r>
      <w:r>
        <w:t>R</w:t>
      </w:r>
      <w:r w:rsidRPr="00401EA6">
        <w:t>eport</w:t>
      </w:r>
      <w:r w:rsidR="00EF7412">
        <w:t>,</w:t>
      </w:r>
      <w:r w:rsidRPr="00401EA6">
        <w:t xml:space="preserve"> that "the </w:t>
      </w:r>
      <w:r>
        <w:t>United States</w:t>
      </w:r>
      <w:r w:rsidRPr="00401EA6">
        <w:t xml:space="preserve"> ha{d} established that the 'product' effects of the challenged LA/MSF subsidies are a 'genuine and substantial' cause of displacement and/or impedance of </w:t>
      </w:r>
      <w:r>
        <w:t>United States</w:t>
      </w:r>
      <w:r w:rsidRPr="00401EA6">
        <w:t xml:space="preserve"> LCA in the markets for … twin</w:t>
      </w:r>
      <w:r w:rsidRPr="00401EA6">
        <w:noBreakHyphen/>
      </w:r>
      <w:r w:rsidRPr="00145239">
        <w:t xml:space="preserve">aisle LCA in the European Union, China, Korea and Singapore". Having done so, we see no further reason to address the European Union's additional arguments regarding the Panel's conclusion, as set out in paragraph </w:t>
      </w:r>
      <w:r w:rsidR="00FA1E5D" w:rsidRPr="00145239">
        <w:t>5.703</w:t>
      </w:r>
      <w:r w:rsidRPr="00145239">
        <w:t xml:space="preserve"> above. </w:t>
      </w:r>
    </w:p>
    <w:p w:rsidR="00C752B3" w:rsidRDefault="00C752B3" w:rsidP="00526697">
      <w:pPr>
        <w:pStyle w:val="BodyText"/>
      </w:pPr>
      <w:r w:rsidRPr="00145239">
        <w:t xml:space="preserve">We further </w:t>
      </w:r>
      <w:r w:rsidRPr="00145239">
        <w:rPr>
          <w:u w:val="single"/>
        </w:rPr>
        <w:t>find</w:t>
      </w:r>
      <w:r w:rsidRPr="00145239">
        <w:t xml:space="preserve"> that we are unable to complete the legal</w:t>
      </w:r>
      <w:r>
        <w:t xml:space="preserve"> analysis of the United States' </w:t>
      </w:r>
      <w:r w:rsidR="00EF7412">
        <w:t>claims of</w:t>
      </w:r>
      <w:r>
        <w:t xml:space="preserve"> displacement in the twin-aisle LCA markets in C</w:t>
      </w:r>
      <w:r w:rsidR="00080B9E">
        <w:t>hina, Korea, and Singapore, and </w:t>
      </w:r>
      <w:r>
        <w:t>impedance in the twin-aisle LCA markets in the European Union, China, Korea, and Singapore.</w:t>
      </w:r>
    </w:p>
    <w:p w:rsidR="00C752B3" w:rsidRDefault="00C752B3" w:rsidP="00526697">
      <w:pPr>
        <w:pStyle w:val="Heading5"/>
      </w:pPr>
      <w:bookmarkStart w:id="207" w:name="_Toc514059309"/>
      <w:r>
        <w:t>The VLA market</w:t>
      </w:r>
      <w:bookmarkEnd w:id="207"/>
      <w:r>
        <w:t xml:space="preserve"> </w:t>
      </w:r>
    </w:p>
    <w:p w:rsidR="00C752B3" w:rsidRDefault="00C752B3" w:rsidP="00526697">
      <w:pPr>
        <w:pStyle w:val="BodyText"/>
      </w:pPr>
      <w:r>
        <w:t>With regard to lost sales in the VLA market,</w:t>
      </w:r>
      <w:r w:rsidRPr="00DA507E">
        <w:t xml:space="preserve"> </w:t>
      </w:r>
      <w:r>
        <w:t>o</w:t>
      </w:r>
      <w:r w:rsidRPr="00F3419A">
        <w:t xml:space="preserve">ur review of the Panel's findings, as well as </w:t>
      </w:r>
      <w:r w:rsidR="00161805">
        <w:t xml:space="preserve">the </w:t>
      </w:r>
      <w:r w:rsidRPr="00F3419A">
        <w:t>relevant findings from the original proceedings</w:t>
      </w:r>
      <w:r w:rsidR="00EF7412">
        <w:t>,</w:t>
      </w:r>
      <w:r w:rsidRPr="00F3419A">
        <w:t xml:space="preserve"> indicates that, in the absence of the LA/MSF subsidies existing in the post</w:t>
      </w:r>
      <w:r w:rsidRPr="00F3419A">
        <w:noBreakHyphen/>
        <w:t>implementation period</w:t>
      </w:r>
      <w:r w:rsidR="00EF7412">
        <w:t xml:space="preserve"> (</w:t>
      </w:r>
      <w:r w:rsidR="00161805">
        <w:t xml:space="preserve">i.e. </w:t>
      </w:r>
      <w:r w:rsidR="00EF7412">
        <w:t>after 1 December 2011)</w:t>
      </w:r>
      <w:r w:rsidRPr="00F3419A">
        <w:t>, Airbus would not have been able to offer the A380 at the time it did.</w:t>
      </w:r>
      <w:r w:rsidRPr="00DA507E">
        <w:t xml:space="preserve"> </w:t>
      </w:r>
      <w:r>
        <w:t>Moreover, the Panel's analysis regarding the conditions of competition in the VLA market confirms that Airbus' and Boeing'</w:t>
      </w:r>
      <w:r w:rsidR="00EF7412">
        <w:t>s</w:t>
      </w:r>
      <w:r w:rsidR="00080B9E">
        <w:t xml:space="preserve"> respective VLA </w:t>
      </w:r>
      <w:r>
        <w:t>products – the A380 and 747 – are</w:t>
      </w:r>
      <w:r w:rsidRPr="00DA6A2E">
        <w:t xml:space="preserve"> </w:t>
      </w:r>
      <w:r>
        <w:t xml:space="preserve">sufficiently substitutable. Such competitive dynamics, in our view, provide further support to the proposition that the sales won by Airbus in the VLA market </w:t>
      </w:r>
      <w:r w:rsidRPr="00F3419A">
        <w:t xml:space="preserve">were at the expense of the </w:t>
      </w:r>
      <w:r w:rsidR="00EF7412">
        <w:t>US</w:t>
      </w:r>
      <w:r w:rsidRPr="00F3419A">
        <w:t xml:space="preserve"> LCA producer.</w:t>
      </w:r>
      <w:r>
        <w:t xml:space="preserve"> Finally, </w:t>
      </w:r>
      <w:r w:rsidRPr="00F3419A">
        <w:t>like the Panel, we have doubts as to whether Airbus' pre</w:t>
      </w:r>
      <w:r w:rsidRPr="00F3419A">
        <w:noBreakHyphen/>
        <w:t>existing commonality advantages and other product-related advantages over Boeing could be characterized as non</w:t>
      </w:r>
      <w:r w:rsidRPr="00F3419A">
        <w:noBreakHyphen/>
        <w:t xml:space="preserve">attribution factors that could be said to "dilute" the causal link between the LA/MSF </w:t>
      </w:r>
      <w:r>
        <w:t>subsidies existing in the post-implementation period</w:t>
      </w:r>
      <w:r w:rsidRPr="00F3419A">
        <w:t xml:space="preserve"> and the relevant market phenomena.</w:t>
      </w:r>
    </w:p>
    <w:p w:rsidR="00C752B3" w:rsidRDefault="00C752B3" w:rsidP="00526697">
      <w:pPr>
        <w:pStyle w:val="BodyText"/>
      </w:pPr>
      <w:r>
        <w:t>Therefore, the Panel's findings support the conclusion that</w:t>
      </w:r>
      <w:r w:rsidRPr="008A43A0">
        <w:t xml:space="preserve"> </w:t>
      </w:r>
      <w:r>
        <w:t xml:space="preserve">the sales of the A380 identified in Table 19 of the Panel Report represent "significant" "lost sales" to the </w:t>
      </w:r>
      <w:r w:rsidR="00EF7412">
        <w:t>US</w:t>
      </w:r>
      <w:r>
        <w:t xml:space="preserve"> LCA industry</w:t>
      </w:r>
      <w:r w:rsidRPr="00613507">
        <w:t xml:space="preserve"> </w:t>
      </w:r>
      <w:r w:rsidRPr="008A43A0">
        <w:t xml:space="preserve">within the meaning of </w:t>
      </w:r>
      <w:r>
        <w:t>Article </w:t>
      </w:r>
      <w:r w:rsidRPr="008A43A0">
        <w:t xml:space="preserve">6.3(c) of the </w:t>
      </w:r>
      <w:r>
        <w:t>SCM Agreement, and that such lost sales were the effect of the</w:t>
      </w:r>
      <w:r w:rsidRPr="008A43A0">
        <w:t xml:space="preserve"> LA/MSF</w:t>
      </w:r>
      <w:r>
        <w:t xml:space="preserve"> subsidies existing in the post</w:t>
      </w:r>
      <w:r>
        <w:noBreakHyphen/>
        <w:t xml:space="preserve">implementation period. This conclusion also </w:t>
      </w:r>
      <w:r w:rsidRPr="008A43A0">
        <w:t xml:space="preserve">finds support in the analytical framework adopted by the panel and the </w:t>
      </w:r>
      <w:r>
        <w:t>Appellate Body</w:t>
      </w:r>
      <w:r w:rsidRPr="008A43A0">
        <w:t xml:space="preserve"> in the original proceedings, as well as in a number of</w:t>
      </w:r>
      <w:r w:rsidR="00EF7412">
        <w:t xml:space="preserve"> the </w:t>
      </w:r>
      <w:r w:rsidRPr="008A43A0">
        <w:t>Panel</w:t>
      </w:r>
      <w:r w:rsidR="00EF7412">
        <w:t>'s</w:t>
      </w:r>
      <w:r w:rsidRPr="008A43A0">
        <w:t xml:space="preserve"> findings, including its finding concerning the </w:t>
      </w:r>
      <w:r>
        <w:t>"product effects" of the LA/MSF subsidies existing in the post-implementation period on</w:t>
      </w:r>
      <w:r w:rsidRPr="008A43A0">
        <w:t xml:space="preserve"> </w:t>
      </w:r>
      <w:r>
        <w:t>Airbus'</w:t>
      </w:r>
      <w:r w:rsidRPr="008A43A0">
        <w:t xml:space="preserve"> </w:t>
      </w:r>
      <w:r>
        <w:t>continued offering of the A380</w:t>
      </w:r>
      <w:r w:rsidRPr="008A43A0">
        <w:t xml:space="preserve">, </w:t>
      </w:r>
      <w:r>
        <w:t xml:space="preserve">and </w:t>
      </w:r>
      <w:r w:rsidRPr="008A43A0">
        <w:t>the existence of sufficient substitutability between Boeing'</w:t>
      </w:r>
      <w:r w:rsidR="00EF7412">
        <w:t>s</w:t>
      </w:r>
      <w:r w:rsidRPr="008A43A0">
        <w:t xml:space="preserve"> and Airbus' </w:t>
      </w:r>
      <w:r>
        <w:t>VLA</w:t>
      </w:r>
      <w:r w:rsidRPr="008A43A0">
        <w:t xml:space="preserve"> product offerings.</w:t>
      </w:r>
      <w:r w:rsidRPr="007F2C35">
        <w:t xml:space="preserve"> </w:t>
      </w:r>
      <w:r>
        <w:t>In light of our interpretation of Article 7.8 of the SCM Agreement, however, we disagree with the Pan</w:t>
      </w:r>
      <w:r w:rsidR="00EF7412">
        <w:t>el's conclusion on "significant</w:t>
      </w:r>
      <w:r>
        <w:t xml:space="preserve"> lost sales" in the VLA market to the extent that </w:t>
      </w:r>
      <w:r w:rsidR="00EF7412">
        <w:t xml:space="preserve">its </w:t>
      </w:r>
      <w:r>
        <w:t xml:space="preserve">conclusion </w:t>
      </w:r>
      <w:r w:rsidR="00EF7412">
        <w:t>wa</w:t>
      </w:r>
      <w:r>
        <w:t xml:space="preserve">s based on </w:t>
      </w:r>
      <w:r w:rsidR="00EF7412">
        <w:t xml:space="preserve">the </w:t>
      </w:r>
      <w:r>
        <w:t xml:space="preserve">effects of </w:t>
      </w:r>
      <w:r w:rsidR="00EF7412">
        <w:t xml:space="preserve">the </w:t>
      </w:r>
      <w:r>
        <w:t>challenged LA/MSF subsidies that the Panel found to have expired.</w:t>
      </w:r>
    </w:p>
    <w:p w:rsidR="00C752B3" w:rsidRDefault="00C752B3" w:rsidP="00526697">
      <w:pPr>
        <w:pStyle w:val="BodyText"/>
      </w:pPr>
      <w:r w:rsidRPr="00CB31F3">
        <w:t xml:space="preserve">Accordingly, we </w:t>
      </w:r>
      <w:r w:rsidRPr="00CB31F3">
        <w:rPr>
          <w:u w:val="single"/>
        </w:rPr>
        <w:t>modify</w:t>
      </w:r>
      <w:r w:rsidRPr="00CB31F3">
        <w:t xml:space="preserve"> the Panel's </w:t>
      </w:r>
      <w:r w:rsidR="00770406">
        <w:t>conclusion</w:t>
      </w:r>
      <w:r w:rsidRPr="00CB31F3">
        <w:t xml:space="preserve"> in paragraph 6.1798 of the Panel Report, and </w:t>
      </w:r>
      <w:r w:rsidRPr="00CB31F3">
        <w:rPr>
          <w:u w:val="single"/>
        </w:rPr>
        <w:t>find</w:t>
      </w:r>
      <w:r w:rsidR="00EF7412">
        <w:t xml:space="preserve"> instead</w:t>
      </w:r>
      <w:r>
        <w:t xml:space="preserve"> that the orders identified in Table 19</w:t>
      </w:r>
      <w:r w:rsidR="00EF7412">
        <w:t xml:space="preserve"> of the Panel Report</w:t>
      </w:r>
      <w:r>
        <w:t xml:space="preserve"> in the VLA market</w:t>
      </w:r>
      <w:r w:rsidR="00EF7412">
        <w:t xml:space="preserve"> represent "</w:t>
      </w:r>
      <w:r w:rsidRPr="00CB31F3">
        <w:t>significant lost sales</w:t>
      </w:r>
      <w:r w:rsidR="00EF7412">
        <w:t>"</w:t>
      </w:r>
      <w:r w:rsidRPr="00CB31F3">
        <w:t xml:space="preserve"> to the </w:t>
      </w:r>
      <w:r w:rsidR="00EF7412">
        <w:t>US</w:t>
      </w:r>
      <w:r w:rsidRPr="00CB31F3">
        <w:t xml:space="preserve"> LCA industry and, therefore, that the LA/MSF subsidies existing in the post-implementation period continue to be a genuine and substantial</w:t>
      </w:r>
      <w:r>
        <w:t xml:space="preserve"> cause of serious prejudice to the United States within the meaning of Article 6.3(c) of the SCM Agreement.</w:t>
      </w:r>
    </w:p>
    <w:p w:rsidR="00C752B3" w:rsidRDefault="00C752B3" w:rsidP="00526697">
      <w:pPr>
        <w:pStyle w:val="BodyText"/>
      </w:pPr>
      <w:r>
        <w:t>With regard to displacement and impedance in the VLA market,</w:t>
      </w:r>
      <w:r w:rsidRPr="00AB46C6">
        <w:t xml:space="preserve"> </w:t>
      </w:r>
      <w:r>
        <w:t xml:space="preserve">our review of the Panel's findings, as well as </w:t>
      </w:r>
      <w:r w:rsidR="00161805">
        <w:t xml:space="preserve">the </w:t>
      </w:r>
      <w:r>
        <w:t>relevant findings from the original proceedings, indicates that, in the absence of the LA/MSF subsidies existing in the post</w:t>
      </w:r>
      <w:r>
        <w:noBreakHyphen/>
        <w:t xml:space="preserve">implementation period, Airbus would not have been able to offer the A380 at the time it did. </w:t>
      </w:r>
      <w:r w:rsidRPr="00DA6A2E">
        <w:t>We also recall that, as the Panel's analysis of the competitive dynamics in the VLA market shows, Boeing's</w:t>
      </w:r>
      <w:r w:rsidR="00770406">
        <w:t xml:space="preserve"> and Airbus' respective product </w:t>
      </w:r>
      <w:r w:rsidRPr="00DA6A2E">
        <w:t xml:space="preserve">offerings – the 747 and the A380 – are </w:t>
      </w:r>
      <w:r>
        <w:t>sufficiently substitutable</w:t>
      </w:r>
      <w:r w:rsidRPr="00DA6A2E">
        <w:t>.</w:t>
      </w:r>
      <w:r w:rsidR="00770406">
        <w:t xml:space="preserve"> With respect to the non</w:t>
      </w:r>
      <w:r w:rsidR="00770406">
        <w:noBreakHyphen/>
      </w:r>
      <w:r>
        <w:t>attribution factor alleged by the European Union concerning</w:t>
      </w:r>
      <w:r w:rsidRPr="00AB46C6">
        <w:t xml:space="preserve"> </w:t>
      </w:r>
      <w:r>
        <w:t xml:space="preserve">the development and production delays affecting the 747-8, we note the Panel's observation that </w:t>
      </w:r>
      <w:r w:rsidRPr="00BD4698">
        <w:t xml:space="preserve">the larger versions of the 777 may also at times challenge for sales in the </w:t>
      </w:r>
      <w:r>
        <w:t xml:space="preserve">VLA </w:t>
      </w:r>
      <w:r w:rsidRPr="00BD4698">
        <w:t>market</w:t>
      </w:r>
      <w:r>
        <w:t>. Therefore, we see no reason to disturb the Panel's finding that this non</w:t>
      </w:r>
      <w:r>
        <w:noBreakHyphen/>
        <w:t>attribution factor would not be capable of diluting the genuine and substantial relationship of cause and effect between the LA/MSF subsidies and the alleged market phenomena.</w:t>
      </w:r>
    </w:p>
    <w:p w:rsidR="00C752B3" w:rsidRDefault="00C752B3" w:rsidP="00526697">
      <w:pPr>
        <w:pStyle w:val="BodyText"/>
      </w:pPr>
      <w:r>
        <w:t xml:space="preserve">We recall that a trend analysis may be relevant and indicative, although not necessarily determinative, for purposes of a finding of displacement. In reaching its finding of displacement, however, the Panel did not examine whether there existed any discernible trends in volumes and market shares in </w:t>
      </w:r>
      <w:r w:rsidR="00EF7412">
        <w:t xml:space="preserve">the </w:t>
      </w:r>
      <w:r>
        <w:t xml:space="preserve">VLA markets at issue, including whether or not there existed declining trends </w:t>
      </w:r>
      <w:r w:rsidR="00EF7412">
        <w:t>that</w:t>
      </w:r>
      <w:r>
        <w:t xml:space="preserve"> could have supported the Panel's findings. In these circumstances, we consider that the Panel should have engaged with the evidence before it in order to </w:t>
      </w:r>
      <w:r w:rsidR="00EF7412">
        <w:t xml:space="preserve">explain </w:t>
      </w:r>
      <w:r>
        <w:t xml:space="preserve">sufficiently the basis for its finding that the LA/MSF subsidies had the effect of displacing </w:t>
      </w:r>
      <w:r w:rsidR="00EF7412">
        <w:t>US</w:t>
      </w:r>
      <w:r>
        <w:t xml:space="preserve"> LCA in these VLA markets in the post</w:t>
      </w:r>
      <w:r>
        <w:noBreakHyphen/>
        <w:t>implementation period.</w:t>
      </w:r>
    </w:p>
    <w:p w:rsidR="00C752B3" w:rsidRDefault="00C752B3" w:rsidP="00526697">
      <w:pPr>
        <w:pStyle w:val="BodyText"/>
      </w:pPr>
      <w:r>
        <w:t xml:space="preserve">Accordingly, </w:t>
      </w:r>
      <w:r w:rsidR="00EF7412">
        <w:t xml:space="preserve">insofar </w:t>
      </w:r>
      <w:r w:rsidR="00EF7412">
        <w:rPr>
          <w:i/>
        </w:rPr>
        <w:t xml:space="preserve">as displacement in the VLA market is </w:t>
      </w:r>
      <w:r w:rsidR="00EF7412" w:rsidRPr="00EF7412">
        <w:rPr>
          <w:i/>
        </w:rPr>
        <w:t>concerned</w:t>
      </w:r>
      <w:r w:rsidR="00EF7412">
        <w:t xml:space="preserve">, </w:t>
      </w:r>
      <w:r w:rsidRPr="00EF7412">
        <w:t>we</w:t>
      </w:r>
      <w:r>
        <w:t xml:space="preserve"> disagree </w:t>
      </w:r>
      <w:r w:rsidR="00EF7412">
        <w:t xml:space="preserve">with the Panel, </w:t>
      </w:r>
      <w:r>
        <w:t xml:space="preserve">to the extent </w:t>
      </w:r>
      <w:r w:rsidR="00770406">
        <w:t xml:space="preserve">that </w:t>
      </w:r>
      <w:r w:rsidR="00EF7412">
        <w:t>it</w:t>
      </w:r>
      <w:r>
        <w:t xml:space="preserve"> found</w:t>
      </w:r>
      <w:r w:rsidR="00EF7412">
        <w:t>,</w:t>
      </w:r>
      <w:r>
        <w:t xml:space="preserve"> in paragraph 6.1817 of the Panel Report, </w:t>
      </w:r>
      <w:r w:rsidRPr="000875A9">
        <w:t xml:space="preserve">that "the </w:t>
      </w:r>
      <w:r>
        <w:t>United States</w:t>
      </w:r>
      <w:r w:rsidRPr="000875A9">
        <w:t xml:space="preserve"> ha{d} established that the 'product' effects of the challenged LA/MSF subsidies are a 'genuine and substantial' cause of displacement … of </w:t>
      </w:r>
      <w:r>
        <w:t>United States</w:t>
      </w:r>
      <w:r w:rsidRPr="000875A9">
        <w:t xml:space="preserve"> LCA in the markets for … </w:t>
      </w:r>
      <w:r>
        <w:t>{VLA}</w:t>
      </w:r>
      <w:r w:rsidRPr="000875A9">
        <w:t xml:space="preserve"> in the </w:t>
      </w:r>
      <w:r>
        <w:t>European Union</w:t>
      </w:r>
      <w:r w:rsidRPr="000875A9">
        <w:t xml:space="preserve">, Australia, </w:t>
      </w:r>
      <w:r>
        <w:t>…</w:t>
      </w:r>
      <w:r w:rsidRPr="000875A9">
        <w:t xml:space="preserve"> Korea, </w:t>
      </w:r>
      <w:r>
        <w:t xml:space="preserve">{and} </w:t>
      </w:r>
      <w:r w:rsidRPr="000875A9">
        <w:t>Singapore".</w:t>
      </w:r>
      <w:r>
        <w:t xml:space="preserve"> </w:t>
      </w:r>
    </w:p>
    <w:p w:rsidR="00C752B3" w:rsidRDefault="00C752B3" w:rsidP="00526697">
      <w:pPr>
        <w:pStyle w:val="BodyText"/>
      </w:pPr>
      <w:r>
        <w:t xml:space="preserve">We further find that we are unable to complete the legal analysis of the United States' </w:t>
      </w:r>
      <w:r w:rsidR="00EF7412">
        <w:t>claim of</w:t>
      </w:r>
      <w:r>
        <w:t xml:space="preserve"> displacement in the VLA markets in the European Union, Australia, Korea, and Singapore.</w:t>
      </w:r>
    </w:p>
    <w:p w:rsidR="00C752B3" w:rsidRDefault="00C752B3" w:rsidP="00526697">
      <w:pPr>
        <w:pStyle w:val="BodyText"/>
      </w:pPr>
      <w:r>
        <w:t xml:space="preserve">As for the finding of impedance, we recall that the phenomenon of impedance </w:t>
      </w:r>
      <w:r w:rsidRPr="00FB52DD">
        <w:t xml:space="preserve">refers to situations where the exports or imports of the like product of the complaining Member would have expanded had they not been </w:t>
      </w:r>
      <w:r w:rsidR="00EF7412">
        <w:t>"</w:t>
      </w:r>
      <w:r w:rsidRPr="00FB52DD">
        <w:t>obstructed</w:t>
      </w:r>
      <w:r w:rsidR="00EF7412">
        <w:t>"</w:t>
      </w:r>
      <w:r w:rsidRPr="00FB52DD">
        <w:t xml:space="preserve"> or </w:t>
      </w:r>
      <w:r w:rsidR="00EF7412">
        <w:t>"</w:t>
      </w:r>
      <w:r w:rsidRPr="00FB52DD">
        <w:t>hindered</w:t>
      </w:r>
      <w:r w:rsidR="00EF7412">
        <w:t>"</w:t>
      </w:r>
      <w:r w:rsidRPr="00FB52DD">
        <w:t xml:space="preserve"> by the subsidized product</w:t>
      </w:r>
      <w:r>
        <w:t>.</w:t>
      </w:r>
      <w:r w:rsidRPr="003F5457">
        <w:t xml:space="preserve"> </w:t>
      </w:r>
      <w:r>
        <w:t>G</w:t>
      </w:r>
      <w:r w:rsidRPr="004E1747">
        <w:t xml:space="preserve">iven the particular nature of the LCA industry, especially for </w:t>
      </w:r>
      <w:r>
        <w:t>VLA</w:t>
      </w:r>
      <w:r w:rsidRPr="004E1747">
        <w:t xml:space="preserve"> like the </w:t>
      </w:r>
      <w:r w:rsidR="00EF7412">
        <w:t xml:space="preserve">Boeing </w:t>
      </w:r>
      <w:r w:rsidRPr="004E1747">
        <w:t xml:space="preserve">747-8 and the </w:t>
      </w:r>
      <w:r w:rsidR="00EF7412">
        <w:t>Airbus </w:t>
      </w:r>
      <w:r w:rsidRPr="004E1747">
        <w:t xml:space="preserve">A380, where </w:t>
      </w:r>
      <w:r>
        <w:t xml:space="preserve">instances of </w:t>
      </w:r>
      <w:r w:rsidRPr="004E1747">
        <w:t xml:space="preserve">sales </w:t>
      </w:r>
      <w:r>
        <w:t xml:space="preserve">and </w:t>
      </w:r>
      <w:r w:rsidRPr="004E1747">
        <w:t xml:space="preserve">volumes </w:t>
      </w:r>
      <w:r>
        <w:t xml:space="preserve">of deliveries </w:t>
      </w:r>
      <w:r w:rsidRPr="004E1747">
        <w:t xml:space="preserve">are </w:t>
      </w:r>
      <w:r>
        <w:t xml:space="preserve">generally </w:t>
      </w:r>
      <w:r w:rsidRPr="004E1747">
        <w:t xml:space="preserve">much lower than in the case of consumer goods, we do not consider that the volumes </w:t>
      </w:r>
      <w:r>
        <w:t xml:space="preserve">of deliveries </w:t>
      </w:r>
      <w:r w:rsidRPr="004E1747">
        <w:t>that the Panel considered could not have supported a finding of</w:t>
      </w:r>
      <w:r w:rsidRPr="00D03C80">
        <w:t xml:space="preserve"> impedance. </w:t>
      </w:r>
      <w:r>
        <w:t xml:space="preserve">We further recall that </w:t>
      </w:r>
      <w:r w:rsidRPr="004C0436">
        <w:t>our review of the Panel's findings with respect to the A380 and A350XWB programmes, as well as relevant findings from the original proceedings, indicates that, in the absence of the LA/MSF subsidies existing in the post</w:t>
      </w:r>
      <w:r w:rsidRPr="004C0436">
        <w:noBreakHyphen/>
        <w:t>implementation period, Airbus would not have been able to offer the A380 at the time it did.</w:t>
      </w:r>
      <w:r>
        <w:t xml:space="preserve"> Moreover, </w:t>
      </w:r>
      <w:r w:rsidRPr="000E2C3C">
        <w:t xml:space="preserve">as the Panel's analysis of the competitive </w:t>
      </w:r>
      <w:r w:rsidRPr="003F5457">
        <w:t>dynamics in the VLA market shows, Boeing's and Airbus' respectiv</w:t>
      </w:r>
      <w:r>
        <w:t>e product</w:t>
      </w:r>
      <w:r w:rsidR="00EF7412">
        <w:t xml:space="preserve"> </w:t>
      </w:r>
      <w:r w:rsidRPr="003F5457">
        <w:t xml:space="preserve">offerings – the 747-8 and the A380 – are sufficiently substitutable. </w:t>
      </w:r>
      <w:r>
        <w:t>Thus, contrary to the situation regarding alleged impedance in the twi</w:t>
      </w:r>
      <w:r w:rsidR="00080B9E">
        <w:t>n</w:t>
      </w:r>
      <w:r w:rsidR="00080B9E">
        <w:noBreakHyphen/>
      </w:r>
      <w:r>
        <w:t>aisle LCA market, the "product effects" of the LA/MSF</w:t>
      </w:r>
      <w:r w:rsidR="00080B9E">
        <w:t xml:space="preserve"> subsidies existing in the post</w:t>
      </w:r>
      <w:r w:rsidR="00080B9E">
        <w:noBreakHyphen/>
      </w:r>
      <w:r>
        <w:t>implementation period, including the A380 LA/MSF subsidies, and the VLA delivery data underlying the United States' claim, concern the same aircraft model</w:t>
      </w:r>
      <w:r w:rsidR="00770406">
        <w:t>,</w:t>
      </w:r>
      <w:r>
        <w:t xml:space="preserve"> and, as explained above, the Panel made necessary findings on both "product effects" and delivery data. </w:t>
      </w:r>
      <w:r w:rsidRPr="003F5457">
        <w:t>On the basis of these considerations, and in light of the del</w:t>
      </w:r>
      <w:r>
        <w:t>iveries of the A380 in the post</w:t>
      </w:r>
      <w:r>
        <w:noBreakHyphen/>
      </w:r>
      <w:r w:rsidRPr="003F5457">
        <w:t>implementation period,</w:t>
      </w:r>
      <w:r>
        <w:t xml:space="preserve"> </w:t>
      </w:r>
      <w:r w:rsidRPr="000E2C3C">
        <w:t>we see no error in the Panel's conclusion that</w:t>
      </w:r>
      <w:r w:rsidR="00161805">
        <w:t xml:space="preserve">, absent the </w:t>
      </w:r>
      <w:r w:rsidR="00EF7412">
        <w:t>LA/MSF subsidies,</w:t>
      </w:r>
      <w:r w:rsidRPr="000E2C3C">
        <w:t xml:space="preserve"> the </w:t>
      </w:r>
      <w:r w:rsidR="00EF7412">
        <w:t>US</w:t>
      </w:r>
      <w:r w:rsidRPr="000E2C3C">
        <w:t xml:space="preserve"> LCA industry would have achieved a higher volume of deliveries and market</w:t>
      </w:r>
      <w:r>
        <w:t xml:space="preserve"> share than its actual level in the post</w:t>
      </w:r>
      <w:r>
        <w:noBreakHyphen/>
        <w:t>implementation period.</w:t>
      </w:r>
    </w:p>
    <w:p w:rsidR="00C752B3" w:rsidRDefault="00C752B3" w:rsidP="00526697">
      <w:pPr>
        <w:pStyle w:val="BodyText"/>
      </w:pPr>
      <w:r>
        <w:t>Therefore</w:t>
      </w:r>
      <w:r w:rsidRPr="00DA6A2E">
        <w:t xml:space="preserve">, </w:t>
      </w:r>
      <w:r>
        <w:t xml:space="preserve">the Panel's findings reviewed above support the </w:t>
      </w:r>
      <w:r w:rsidRPr="00EF5DF2">
        <w:t xml:space="preserve">conclusion that </w:t>
      </w:r>
      <w:r>
        <w:t xml:space="preserve">the effect of the LA/MSF subsidies existing in the post-implementation period is impedance of </w:t>
      </w:r>
      <w:r w:rsidR="00EF7412">
        <w:t>US</w:t>
      </w:r>
      <w:r>
        <w:t xml:space="preserve"> VLA in the VLA markets in the European Union, Australia, China, Korea, Singapore, and the United Arab Emirates. This conclusion</w:t>
      </w:r>
      <w:r w:rsidRPr="008A43A0">
        <w:t xml:space="preserve"> </w:t>
      </w:r>
      <w:r>
        <w:t xml:space="preserve">also </w:t>
      </w:r>
      <w:r w:rsidRPr="008A43A0">
        <w:t xml:space="preserve">finds support in the analytical framework adopted by the panel and the </w:t>
      </w:r>
      <w:r>
        <w:t>Appellate Body</w:t>
      </w:r>
      <w:r w:rsidRPr="008A43A0">
        <w:t xml:space="preserve"> in the original proceedings, as well as in a number of </w:t>
      </w:r>
      <w:r w:rsidR="00EF7412">
        <w:t xml:space="preserve">the </w:t>
      </w:r>
      <w:r w:rsidRPr="008A43A0">
        <w:t>Panel</w:t>
      </w:r>
      <w:r w:rsidR="00EF7412">
        <w:t>'s</w:t>
      </w:r>
      <w:r w:rsidRPr="008A43A0">
        <w:t xml:space="preserve"> findings, including its finding concerning the </w:t>
      </w:r>
      <w:r>
        <w:t>"product effects" of the LA/MSF subsidies existing in the post</w:t>
      </w:r>
      <w:r>
        <w:noBreakHyphen/>
        <w:t>implementation period on</w:t>
      </w:r>
      <w:r w:rsidRPr="008A43A0">
        <w:t xml:space="preserve"> </w:t>
      </w:r>
      <w:r>
        <w:t>Airbus'</w:t>
      </w:r>
      <w:r w:rsidRPr="008A43A0">
        <w:t xml:space="preserve"> </w:t>
      </w:r>
      <w:r>
        <w:t>continued offering of the A380</w:t>
      </w:r>
      <w:r w:rsidRPr="008A43A0">
        <w:t xml:space="preserve">, </w:t>
      </w:r>
      <w:r>
        <w:t>and the existence of sufficient substitutability</w:t>
      </w:r>
      <w:r w:rsidRPr="008A43A0">
        <w:t xml:space="preserve"> between Boeing'</w:t>
      </w:r>
      <w:r w:rsidR="00161805">
        <w:t>s</w:t>
      </w:r>
      <w:r w:rsidRPr="008A43A0">
        <w:t xml:space="preserve"> and Airbus' </w:t>
      </w:r>
      <w:r>
        <w:t>VLA</w:t>
      </w:r>
      <w:r w:rsidRPr="008A43A0">
        <w:t xml:space="preserve"> product offerings.</w:t>
      </w:r>
      <w:r>
        <w:t xml:space="preserve"> In light of our interpretation of Article 7.8 of the SCM Agreement, however, </w:t>
      </w:r>
      <w:r w:rsidR="00EF7412">
        <w:t xml:space="preserve">we </w:t>
      </w:r>
      <w:r>
        <w:t xml:space="preserve">disagree with the Panel's conclusion on impedance in the VLA market to the extent that </w:t>
      </w:r>
      <w:r w:rsidR="00EF7412">
        <w:t>its conclusion wa</w:t>
      </w:r>
      <w:r>
        <w:t xml:space="preserve">s based on </w:t>
      </w:r>
      <w:r w:rsidR="00EF7412">
        <w:t xml:space="preserve">the effects of the </w:t>
      </w:r>
      <w:r>
        <w:t>challenged LA/MSF subsidies that the Panel found to have expired.</w:t>
      </w:r>
    </w:p>
    <w:p w:rsidR="00C752B3" w:rsidRPr="00F639C5" w:rsidRDefault="00C752B3" w:rsidP="00526697">
      <w:pPr>
        <w:pStyle w:val="BodyText"/>
      </w:pPr>
      <w:r>
        <w:t xml:space="preserve">Accordingly, we </w:t>
      </w:r>
      <w:r w:rsidRPr="003F5457">
        <w:rPr>
          <w:u w:val="single"/>
        </w:rPr>
        <w:t>modify</w:t>
      </w:r>
      <w:r>
        <w:t xml:space="preserve"> the Panel's conclusion in paragraph 6.1817 of the Panel Report, and </w:t>
      </w:r>
      <w:r w:rsidRPr="003F5457">
        <w:rPr>
          <w:u w:val="single"/>
        </w:rPr>
        <w:t>find</w:t>
      </w:r>
      <w:r>
        <w:t xml:space="preserve"> instead</w:t>
      </w:r>
      <w:r w:rsidR="00EF7412">
        <w:t xml:space="preserve"> that</w:t>
      </w:r>
      <w:r>
        <w:t xml:space="preserve"> the United States ha</w:t>
      </w:r>
      <w:r w:rsidR="00EF7412">
        <w:t>s</w:t>
      </w:r>
      <w:r>
        <w:t xml:space="preserve"> established that the </w:t>
      </w:r>
      <w:r w:rsidR="00161805">
        <w:t>"</w:t>
      </w:r>
      <w:r>
        <w:t>product</w:t>
      </w:r>
      <w:r w:rsidR="00EF7412">
        <w:t xml:space="preserve"> effects</w:t>
      </w:r>
      <w:r w:rsidR="00161805">
        <w:t>"</w:t>
      </w:r>
      <w:r w:rsidR="00EF7412">
        <w:t xml:space="preserve"> of the </w:t>
      </w:r>
      <w:r>
        <w:t>LA/MSF subsidies existing in the post-implementation period are a ge</w:t>
      </w:r>
      <w:r w:rsidR="000F095A">
        <w:t xml:space="preserve">nuine and substantial cause of </w:t>
      </w:r>
      <w:r>
        <w:t xml:space="preserve">impedance of </w:t>
      </w:r>
      <w:r w:rsidR="00161805">
        <w:t>US</w:t>
      </w:r>
      <w:r>
        <w:t xml:space="preserve"> LCA in the markets for </w:t>
      </w:r>
      <w:r w:rsidR="00EF7412">
        <w:t>VLA</w:t>
      </w:r>
      <w:r>
        <w:t xml:space="preserve"> in the European Union, Australia, China, Korea, </w:t>
      </w:r>
      <w:r w:rsidR="00EF7412">
        <w:t>Singapore,</w:t>
      </w:r>
      <w:r>
        <w:t xml:space="preserve"> and the United Arab Emirates.</w:t>
      </w:r>
    </w:p>
    <w:p w:rsidR="00C752B3" w:rsidRDefault="00C752B3" w:rsidP="00526697">
      <w:pPr>
        <w:pStyle w:val="Heading1"/>
      </w:pPr>
      <w:bookmarkStart w:id="208" w:name="_Toc343522839"/>
      <w:bookmarkStart w:id="209" w:name="_Toc333510634"/>
      <w:bookmarkStart w:id="210" w:name="_Toc333510527"/>
      <w:bookmarkStart w:id="211" w:name="_Toc333395241"/>
      <w:bookmarkStart w:id="212" w:name="_Toc333331250"/>
      <w:bookmarkStart w:id="213" w:name="_Toc333317656"/>
      <w:bookmarkStart w:id="214" w:name="_Toc328640715"/>
      <w:bookmarkStart w:id="215" w:name="_Toc514059310"/>
      <w:r>
        <w:t>Findings And Conclusions</w:t>
      </w:r>
      <w:bookmarkEnd w:id="208"/>
      <w:bookmarkEnd w:id="209"/>
      <w:bookmarkEnd w:id="210"/>
      <w:bookmarkEnd w:id="211"/>
      <w:bookmarkEnd w:id="212"/>
      <w:bookmarkEnd w:id="213"/>
      <w:bookmarkEnd w:id="214"/>
      <w:bookmarkEnd w:id="215"/>
    </w:p>
    <w:p w:rsidR="00C752B3" w:rsidRDefault="00C752B3" w:rsidP="00526697">
      <w:pPr>
        <w:pStyle w:val="BodyText"/>
      </w:pPr>
      <w:r>
        <w:rPr>
          <w:lang w:eastAsia="zh-CN"/>
        </w:rPr>
        <w:t>For the reasons set out in this Report, the Appellate Body makes the following findings and conclusions.</w:t>
      </w:r>
    </w:p>
    <w:p w:rsidR="00C752B3" w:rsidRDefault="00C752B3" w:rsidP="00526697">
      <w:pPr>
        <w:pStyle w:val="Heading2"/>
        <w:numPr>
          <w:ilvl w:val="1"/>
          <w:numId w:val="31"/>
        </w:numPr>
      </w:pPr>
      <w:bookmarkStart w:id="216" w:name="_Toc514059311"/>
      <w:r>
        <w:t xml:space="preserve">Article 21.5 of the DSU – </w:t>
      </w:r>
      <w:r w:rsidR="00161805">
        <w:t>t</w:t>
      </w:r>
      <w:r>
        <w:t>he Mühlenberger Loch and Bremen Airport measures</w:t>
      </w:r>
      <w:bookmarkEnd w:id="216"/>
    </w:p>
    <w:p w:rsidR="00C752B3" w:rsidRDefault="00C752B3" w:rsidP="00526697">
      <w:pPr>
        <w:pStyle w:val="BodyText"/>
      </w:pPr>
      <w:r>
        <w:t>In its Compliance Communication, the European Union took the view that the Mühlenberger Loch aircraft assembly site measure and the Bremen A</w:t>
      </w:r>
      <w:r w:rsidR="00161805">
        <w:t>irport runway extension measure</w:t>
      </w:r>
      <w:r>
        <w:t xml:space="preserve"> are consistent with the WTO agreements and in full compliance with the relevant recommendations and rulings </w:t>
      </w:r>
      <w:r w:rsidR="00161805">
        <w:t>of</w:t>
      </w:r>
      <w:r>
        <w:t xml:space="preserve"> the DSB. Based on our review of the Panel </w:t>
      </w:r>
      <w:r w:rsidR="00161805">
        <w:t>R</w:t>
      </w:r>
      <w:r>
        <w:t>eport and the Panel record, we do not understand the United States to have contested this view. The Panel, therefore, did not err in its interpretation and application of Article 21.5 of the DSU in finding, in paragraph 5.77 of the Panel Report, that there was no "disagreement" for it to resolve within the meaning of that provision. Based on our review of the Panel's analysis, we further disagree with the European Union to the extent</w:t>
      </w:r>
      <w:r w:rsidR="00161805">
        <w:t xml:space="preserve"> that</w:t>
      </w:r>
      <w:r>
        <w:t xml:space="preserve"> it argues that the Panel acted inconsistently with its duties under Article 11 of the DSU in reaching this conclusion. For these reasons, we </w:t>
      </w:r>
      <w:r>
        <w:rPr>
          <w:u w:val="single"/>
        </w:rPr>
        <w:t>find</w:t>
      </w:r>
      <w:r>
        <w:t xml:space="preserve"> that the Panel did not err by declining to make a finding as to whether the European Union had achieved compliance with respect to the Mühlenberger Loch aircraft assembly site measure and the Bremen Airport runway extension measure</w:t>
      </w:r>
      <w:r w:rsidR="00161805">
        <w:t>, and see no need to make further findings in respect of those measures</w:t>
      </w:r>
      <w:r>
        <w:t>.</w:t>
      </w:r>
    </w:p>
    <w:p w:rsidR="00C752B3" w:rsidRDefault="00C752B3" w:rsidP="00526697">
      <w:pPr>
        <w:pStyle w:val="Heading2"/>
      </w:pPr>
      <w:bookmarkStart w:id="217" w:name="_Toc514059312"/>
      <w:r>
        <w:t>Article 3.1(b) of the SCM Agreement</w:t>
      </w:r>
      <w:bookmarkEnd w:id="217"/>
    </w:p>
    <w:p w:rsidR="00C752B3" w:rsidRDefault="00C752B3" w:rsidP="00526697">
      <w:pPr>
        <w:pStyle w:val="BodyText"/>
      </w:pPr>
      <w:r>
        <w:rPr>
          <w:lang w:val="en-US"/>
        </w:rPr>
        <w:t xml:space="preserve">With </w:t>
      </w:r>
      <w:r>
        <w:rPr>
          <w:lang w:eastAsia="zh-CN"/>
        </w:rPr>
        <w:t>respect</w:t>
      </w:r>
      <w:r>
        <w:rPr>
          <w:lang w:val="en-US"/>
        </w:rPr>
        <w:t xml:space="preserve"> to the admissibility of </w:t>
      </w:r>
      <w:r>
        <w:t>the United States' appeal under Article 3.1(b) of the SCM Agreement</w:t>
      </w:r>
      <w:r>
        <w:rPr>
          <w:lang w:val="en-US"/>
        </w:rPr>
        <w:t xml:space="preserve">, we </w:t>
      </w:r>
      <w:r>
        <w:rPr>
          <w:u w:val="single"/>
          <w:lang w:val="en-US"/>
        </w:rPr>
        <w:t>find</w:t>
      </w:r>
      <w:r>
        <w:rPr>
          <w:lang w:val="en-US"/>
        </w:rPr>
        <w:t xml:space="preserve"> that </w:t>
      </w:r>
      <w:r>
        <w:t xml:space="preserve">the United States' appeal falls within the scope of appellate review. As we see it, the </w:t>
      </w:r>
      <w:r w:rsidR="00161805">
        <w:t>United States' appeal</w:t>
      </w:r>
      <w:r>
        <w:t xml:space="preserve"> adequately identifie</w:t>
      </w:r>
      <w:r w:rsidR="00161805">
        <w:t>s</w:t>
      </w:r>
      <w:r>
        <w:t xml:space="preserve"> "issues of law covered in the panel report and legal interpretations developed by the panel</w:t>
      </w:r>
      <w:r w:rsidR="00161805">
        <w:t>"</w:t>
      </w:r>
      <w:r>
        <w:t xml:space="preserve"> </w:t>
      </w:r>
      <w:r w:rsidR="00161805">
        <w:t>pursuant to Article 17.6 of the DSU, as well as</w:t>
      </w:r>
      <w:r>
        <w:t xml:space="preserve"> "specific allegations of errors" </w:t>
      </w:r>
      <w:r w:rsidR="00161805">
        <w:t xml:space="preserve">within the meaning of the Working Procedures for Appellate Review, </w:t>
      </w:r>
      <w:r>
        <w:t>with regard to the Panel's interpretation and appli</w:t>
      </w:r>
      <w:r w:rsidR="00080B9E">
        <w:t>cation of Article 3.1(b) of the </w:t>
      </w:r>
      <w:r>
        <w:t xml:space="preserve">SCM Agreement. </w:t>
      </w:r>
    </w:p>
    <w:p w:rsidR="00C752B3" w:rsidRDefault="00C752B3" w:rsidP="00526697">
      <w:pPr>
        <w:pStyle w:val="BodyText2"/>
      </w:pPr>
      <w:r>
        <w:t xml:space="preserve">Regarding the merits of the United States' appeal, we </w:t>
      </w:r>
      <w:r>
        <w:rPr>
          <w:u w:val="single"/>
        </w:rPr>
        <w:t>uphold</w:t>
      </w:r>
      <w:r>
        <w:t xml:space="preserve"> the Panel's interpretation of Article 3.1(b) </w:t>
      </w:r>
      <w:r w:rsidR="00161805">
        <w:t xml:space="preserve">of the SCM Agreement </w:t>
      </w:r>
      <w:r>
        <w:t>and agree with the Panel that</w:t>
      </w:r>
      <w:r w:rsidR="00161805">
        <w:rPr>
          <w:szCs w:val="18"/>
        </w:rPr>
        <w:t xml:space="preserve"> </w:t>
      </w:r>
      <w:r w:rsidR="00161805" w:rsidRPr="009343AF">
        <w:rPr>
          <w:i/>
          <w:szCs w:val="18"/>
        </w:rPr>
        <w:t>t</w:t>
      </w:r>
      <w:r w:rsidR="00161805" w:rsidRPr="00161805">
        <w:rPr>
          <w:i/>
          <w:szCs w:val="18"/>
        </w:rPr>
        <w:t xml:space="preserve">he fact </w:t>
      </w:r>
      <w:r w:rsidRPr="00161805">
        <w:rPr>
          <w:i/>
          <w:szCs w:val="18"/>
        </w:rPr>
        <w:t xml:space="preserve">that a subsidy </w:t>
      </w:r>
      <w:r>
        <w:rPr>
          <w:i/>
          <w:szCs w:val="18"/>
        </w:rPr>
        <w:t>results in the use of domestic over imported goods</w:t>
      </w:r>
      <w:r>
        <w:rPr>
          <w:szCs w:val="18"/>
        </w:rPr>
        <w:t xml:space="preserve"> cannot by itself demonstrate that that subsidy </w:t>
      </w:r>
      <w:r>
        <w:rPr>
          <w:i/>
          <w:szCs w:val="18"/>
        </w:rPr>
        <w:t>is contingent on the use of domestic over imported goods, whether in law or in fact</w:t>
      </w:r>
      <w:r>
        <w:rPr>
          <w:szCs w:val="18"/>
        </w:rPr>
        <w:t xml:space="preserve">. </w:t>
      </w:r>
      <w:r>
        <w:t>While we have expressed concerns with certain aspects of the Panel's reasoning, the focus of the Panel's legal standard on the need to establish a condition requiring the use of domestic over imported goods comports with our reading of this provision.</w:t>
      </w:r>
    </w:p>
    <w:p w:rsidR="00C752B3" w:rsidRDefault="00C752B3" w:rsidP="00526697">
      <w:pPr>
        <w:pStyle w:val="BodyText"/>
      </w:pPr>
      <w:r>
        <w:t>Having upheld the Panel's interpretation of Article 3.1(b) of the SCM Agreement, we are not required to make findings regarding the application of this provision to the facts of the present case, or to address the United States' arguments concerning comple</w:t>
      </w:r>
      <w:r w:rsidR="00080B9E">
        <w:t>tion of the legal analysis. The </w:t>
      </w:r>
      <w:r>
        <w:t>Panel's finding under Articles 3.1(b) and 3.2 of the SCM Agreement therefore stand</w:t>
      </w:r>
      <w:r w:rsidR="00161805">
        <w:t>s</w:t>
      </w:r>
      <w:r>
        <w:t xml:space="preserve">. </w:t>
      </w:r>
    </w:p>
    <w:p w:rsidR="00C752B3" w:rsidRDefault="00C752B3" w:rsidP="00526697">
      <w:pPr>
        <w:pStyle w:val="Heading2"/>
      </w:pPr>
      <w:bookmarkStart w:id="218" w:name="_Toc514059313"/>
      <w:r>
        <w:t>Benefit</w:t>
      </w:r>
      <w:bookmarkEnd w:id="218"/>
      <w:r>
        <w:t xml:space="preserve"> </w:t>
      </w:r>
    </w:p>
    <w:p w:rsidR="00C752B3" w:rsidRDefault="00C752B3" w:rsidP="00526697">
      <w:pPr>
        <w:pStyle w:val="Heading3"/>
      </w:pPr>
      <w:bookmarkStart w:id="219" w:name="_Toc514059314"/>
      <w:r>
        <w:t>The calculation of general corporate borrowing rate</w:t>
      </w:r>
      <w:bookmarkEnd w:id="219"/>
    </w:p>
    <w:p w:rsidR="00C752B3" w:rsidRDefault="00C752B3" w:rsidP="00526697">
      <w:pPr>
        <w:pStyle w:val="BodyText"/>
      </w:pPr>
      <w:r>
        <w:t>We agree with the European Union that, in conducting the benefit analysis, the comparison focuses on the moment in time when the lender and borrower commit to the tran</w:t>
      </w:r>
      <w:r w:rsidR="00080B9E">
        <w:t>saction. We </w:t>
      </w:r>
      <w:r>
        <w:t xml:space="preserve">disagree, however, with the European Union to the extent that it suggests that the Panel was required to limit its analysis to data from "the day of conclusion" of each A350XWB LA/MSF contract regardless of the time period over which the parties may have committed to the terms and conditions of that financing instrument. Rather, the Panel was required to take into account the specific financing instrument at issue, including the relevant circumstances surrounding the conclusion of that instrument, to determine the period over which the terms and conditions of the relevant contract were agreed. The Panel provided two reasons in support of its decision to determine the corporate borrowing rate using the average yields one month prior and six months prior to the conclusion of the A350XWB LA/MSF contracts, in the form of a </w:t>
      </w:r>
      <w:r>
        <w:rPr>
          <w:i/>
        </w:rPr>
        <w:t>range</w:t>
      </w:r>
      <w:r>
        <w:t>. First, the Panel considered that "the yield on the day of the signature of contract may reflect atypical fluctuations."</w:t>
      </w:r>
      <w:r>
        <w:rPr>
          <w:rStyle w:val="FootnoteReference"/>
        </w:rPr>
        <w:footnoteReference w:id="2110"/>
      </w:r>
      <w:r>
        <w:t xml:space="preserve"> The Panel's second reason was that "{p}arties agreeing to a complex loan contract may rather set the rates in the lead-up to the conclusion of the contract, and prior to the actual day on which the contract is signed."</w:t>
      </w:r>
      <w:r>
        <w:rPr>
          <w:rStyle w:val="FootnoteReference"/>
        </w:rPr>
        <w:footnoteReference w:id="2111"/>
      </w:r>
      <w:r>
        <w:t xml:space="preserve"> We have found this understanding to be in line with our observation that, in some cases, parties may have committed to a transaction – or to key aspects thereof – during a finalization period of the negotiations preceding the moment of formal conclusion of </w:t>
      </w:r>
      <w:r>
        <w:rPr>
          <w:i/>
        </w:rPr>
        <w:t>all</w:t>
      </w:r>
      <w:r>
        <w:t xml:space="preserve"> aspects of that transaction. In the present case, the financial contribution at issue consists of complex financing</w:t>
      </w:r>
      <w:r w:rsidR="00161805">
        <w:t>,</w:t>
      </w:r>
      <w:r>
        <w:t xml:space="preserve"> the terms and conditions of which have been negotiated and agreed over a certain contracting period. In these circumstances, </w:t>
      </w:r>
      <w:r w:rsidR="00161805">
        <w:t xml:space="preserve">we </w:t>
      </w:r>
      <w:r w:rsidR="00161805">
        <w:rPr>
          <w:u w:val="single"/>
        </w:rPr>
        <w:t>find</w:t>
      </w:r>
      <w:r w:rsidR="00161805">
        <w:t xml:space="preserve"> that </w:t>
      </w:r>
      <w:r>
        <w:t xml:space="preserve">the Panel did not err in its application of Article 1.1(b) of the SCM Agreement in finding that the corporate borrowing rate component of the market benchmark could be based on the average yields </w:t>
      </w:r>
      <w:r w:rsidR="00161805">
        <w:t>of the</w:t>
      </w:r>
      <w:r>
        <w:t xml:space="preserve"> EADS bond </w:t>
      </w:r>
      <w:r w:rsidR="00161805">
        <w:t>"</w:t>
      </w:r>
      <w:r>
        <w:t>one-month prior and six-months prior to the conclusion</w:t>
      </w:r>
      <w:r w:rsidR="00161805">
        <w:t>"</w:t>
      </w:r>
      <w:r>
        <w:t xml:space="preserve"> of the</w:t>
      </w:r>
      <w:r w:rsidR="00080B9E">
        <w:t xml:space="preserve"> French, German, Spanish, and </w:t>
      </w:r>
      <w:r w:rsidR="00161805">
        <w:t>UK </w:t>
      </w:r>
      <w:r>
        <w:t xml:space="preserve">A350XWB LA/MSF contracts, </w:t>
      </w:r>
      <w:r w:rsidR="00161805">
        <w:t>"</w:t>
      </w:r>
      <w:r>
        <w:t>in the form of a range", attributing more weight to the former average yield</w:t>
      </w:r>
      <w:r w:rsidR="00161805">
        <w:t>s</w:t>
      </w:r>
      <w:r>
        <w:t xml:space="preserve"> than it did to the latter.</w:t>
      </w:r>
      <w:r w:rsidR="00161805">
        <w:rPr>
          <w:rStyle w:val="FootnoteReference"/>
        </w:rPr>
        <w:footnoteReference w:id="2112"/>
      </w:r>
    </w:p>
    <w:p w:rsidR="00C752B3" w:rsidRDefault="00C752B3" w:rsidP="00526697">
      <w:pPr>
        <w:pStyle w:val="BodyText"/>
      </w:pPr>
      <w:r>
        <w:t xml:space="preserve">Moreover, we reject the European Union's claim that the Panel acted inconsistently with Article 11 of the DSU because it </w:t>
      </w:r>
      <w:r>
        <w:rPr>
          <w:i/>
        </w:rPr>
        <w:t>lacked a sufficient evidentiary basis</w:t>
      </w:r>
      <w:r>
        <w:t xml:space="preserve"> for rejecting the EADS bond yield on the day of conclusion of each A350XWB LA/MSF contract. In addition, the European Union has not established that the Panel's decision to set the corporate borrowing rate in the form of a range of average yields, or the fact that such decision was done against the background of a downward trend in the yield of the EADS bond, reflects a lack of objectivity and even-handedness contrary to the requirements of Article 11 of the DSU.</w:t>
      </w:r>
      <w:r w:rsidR="00CE773F">
        <w:t xml:space="preserve"> Consequently, we </w:t>
      </w:r>
      <w:r w:rsidR="00CE773F">
        <w:rPr>
          <w:u w:val="single"/>
        </w:rPr>
        <w:t>find</w:t>
      </w:r>
      <w:r w:rsidR="00CE773F">
        <w:t xml:space="preserve"> that the European Union has failed to establish that the Panel acted inconsistently with its obligations under Article 11 of the DSU.</w:t>
      </w:r>
    </w:p>
    <w:p w:rsidR="00C752B3" w:rsidRDefault="00C752B3" w:rsidP="00526697">
      <w:pPr>
        <w:pStyle w:val="BodyText"/>
      </w:pPr>
      <w:r>
        <w:t xml:space="preserve">We also reject the European Union's alternative claims that the Panel erred in its application of Article 1.1(b) of the SCM Agreement and acted inconsistently with Article 11 of the DSU by accepting the average yield of the EADS bond over the </w:t>
      </w:r>
      <w:r>
        <w:rPr>
          <w:i/>
        </w:rPr>
        <w:t>six months</w:t>
      </w:r>
      <w:r>
        <w:t xml:space="preserve"> prior to the conclusion of the </w:t>
      </w:r>
      <w:r w:rsidR="00E3461D">
        <w:t>French, German, Spanish, and UK</w:t>
      </w:r>
      <w:r>
        <w:t xml:space="preserve"> A350XWB LA/MSF contracts as part of the range</w:t>
      </w:r>
      <w:r w:rsidR="00E3461D">
        <w:t xml:space="preserve"> of average yields</w:t>
      </w:r>
      <w:r>
        <w:t xml:space="preserve"> that was used to determine the corporate borrowing rate. Although the corporate borrowing rate was determined in the form of a range of average yields, the Panel rightly gave more prominence to the one-month average yield of the EADS bond than to the six-month average yield, which was considered</w:t>
      </w:r>
      <w:r w:rsidR="00E3461D">
        <w:t xml:space="preserve"> only</w:t>
      </w:r>
      <w:r>
        <w:t xml:space="preserve"> to be a "helpful indication of market expectations".</w:t>
      </w:r>
      <w:r>
        <w:rPr>
          <w:rStyle w:val="FootnoteReference"/>
        </w:rPr>
        <w:footnoteReference w:id="2113"/>
      </w:r>
      <w:r>
        <w:t xml:space="preserve"> In these circumstances, we </w:t>
      </w:r>
      <w:r w:rsidR="00E3461D">
        <w:rPr>
          <w:u w:val="single"/>
        </w:rPr>
        <w:t>find</w:t>
      </w:r>
      <w:r w:rsidR="00E3461D">
        <w:t xml:space="preserve"> that the European Union has failed to establish</w:t>
      </w:r>
      <w:r>
        <w:t xml:space="preserve"> that the Panel erred in its application of Article 1.1(b) of the SCM Agreement or acted inconsistently with Article 11 of the DSU by deciding to observe the EADS bond yield on the basis of the average yields one month prior and six months prior to the conclusion of each of the </w:t>
      </w:r>
      <w:r w:rsidR="00E3461D">
        <w:t>four</w:t>
      </w:r>
      <w:r>
        <w:t xml:space="preserve"> A350XWB LA/MSF contracts, in the form of a range, attributing more weight to the former average yield</w:t>
      </w:r>
      <w:r w:rsidR="00E3461D">
        <w:t>s</w:t>
      </w:r>
      <w:r>
        <w:t xml:space="preserve"> than it did to the latter.</w:t>
      </w:r>
    </w:p>
    <w:p w:rsidR="00C752B3" w:rsidRDefault="00C752B3" w:rsidP="00526697">
      <w:pPr>
        <w:pStyle w:val="BodyText2"/>
      </w:pPr>
      <w:r>
        <w:t xml:space="preserve">For these reasons, we </w:t>
      </w:r>
      <w:r>
        <w:rPr>
          <w:u w:val="single"/>
        </w:rPr>
        <w:t>uphold</w:t>
      </w:r>
      <w:r w:rsidRPr="00770406">
        <w:t xml:space="preserve"> </w:t>
      </w:r>
      <w:r>
        <w:t>the Panel's finding, in paragraph 6.389 of the Pan</w:t>
      </w:r>
      <w:r w:rsidR="00E3461D">
        <w:t>el </w:t>
      </w:r>
      <w:r>
        <w:t xml:space="preserve">Report, that the corporate borrowing rate component of the market benchmark be based on "the average yields one-month prior and six-months prior to the conclusion of the {French, German, Spanish, and UK A350XWB LA/MSF contracts}, in the form of a range". We also </w:t>
      </w:r>
      <w:r>
        <w:rPr>
          <w:u w:val="single"/>
        </w:rPr>
        <w:t>uphold</w:t>
      </w:r>
      <w:r>
        <w:t xml:space="preserve"> the Panel's findings related to the corporate borrowing rate in Table 7 at paragraph 6.430 and in Table 10 at paragraph 6.632 of the Panel Report.</w:t>
      </w:r>
      <w:r>
        <w:rPr>
          <w:rStyle w:val="FootnoteReference"/>
        </w:rPr>
        <w:footnoteReference w:id="2114"/>
      </w:r>
    </w:p>
    <w:p w:rsidR="00C752B3" w:rsidRDefault="00C752B3" w:rsidP="00526697">
      <w:pPr>
        <w:pStyle w:val="Heading3"/>
      </w:pPr>
      <w:bookmarkStart w:id="220" w:name="_Toc514059315"/>
      <w:r>
        <w:t>The calculation of project-specific risk premium</w:t>
      </w:r>
      <w:bookmarkEnd w:id="220"/>
    </w:p>
    <w:p w:rsidR="00863780" w:rsidRDefault="00863780" w:rsidP="00526697">
      <w:pPr>
        <w:pStyle w:val="BodyText"/>
      </w:pPr>
      <w:r>
        <w:t>We disagree with the European Union's claim that "</w:t>
      </w:r>
      <w:r w:rsidRPr="00AA08EF">
        <w:t xml:space="preserve">the Panel failed to adopt the most appropriate benchmark, tailored to the risks associated with the A350XWB, based on a </w:t>
      </w:r>
      <w:r>
        <w:t>'</w:t>
      </w:r>
      <w:r w:rsidRPr="00AA08EF">
        <w:t>progressive search</w:t>
      </w:r>
      <w:r>
        <w:t>'</w:t>
      </w:r>
      <w:r w:rsidRPr="00AA08EF">
        <w:t xml:space="preserve"> for the benchmark that shared </w:t>
      </w:r>
      <w:r>
        <w:t>'</w:t>
      </w:r>
      <w:r w:rsidRPr="00AA08EF">
        <w:t>as many elements as possible in common with</w:t>
      </w:r>
      <w:r>
        <w:t>'</w:t>
      </w:r>
      <w:r w:rsidRPr="00AA08EF">
        <w:t xml:space="preserve"> the A350XWB LA/MSF loans</w:t>
      </w:r>
      <w:r>
        <w:t>."</w:t>
      </w:r>
      <w:r w:rsidRPr="00001C97">
        <w:rPr>
          <w:rStyle w:val="FootnoteReference"/>
        </w:rPr>
        <w:footnoteReference w:id="2115"/>
      </w:r>
      <w:r>
        <w:t xml:space="preserve"> We also disagree that the Panel erred under Article 1.1(b) of the SCM Agreement</w:t>
      </w:r>
      <w:r w:rsidRPr="003254DA">
        <w:t xml:space="preserve"> </w:t>
      </w:r>
      <w:r>
        <w:t>merely because it applied</w:t>
      </w:r>
      <w:r w:rsidRPr="0049011E">
        <w:t xml:space="preserve"> </w:t>
      </w:r>
      <w:r w:rsidRPr="00097064">
        <w:t xml:space="preserve">a single, </w:t>
      </w:r>
      <w:r w:rsidRPr="00001C97">
        <w:t>undifferentiated project risk premium derived from the A380 project to the A350XWB project</w:t>
      </w:r>
      <w:r>
        <w:t>. Moreover, given that we addressed and rejected the European Union's claim that the Panel erred under Article 1.1(b) by failing to undertake a "progressive search" for a market benchmark</w:t>
      </w:r>
      <w:r>
        <w:rPr>
          <w:rStyle w:val="FootnoteReference"/>
        </w:rPr>
        <w:footnoteReference w:id="2116"/>
      </w:r>
      <w:r>
        <w:t>, we consider it unnecessary to address further the European Union's claim that the Panel acted inconsistently with Article 11 of the DSU by failing to consider alternative, and more appropriate, benchmarks than those proposed by the United States. In addition, we disagree with the European Union's claim that the Panel acted inconsistently with Article 11 of the DSU because it allegedly deviated from the original panel's findings by</w:t>
      </w:r>
      <w:r w:rsidRPr="00097064">
        <w:t xml:space="preserve"> adopt</w:t>
      </w:r>
      <w:r>
        <w:t>ing</w:t>
      </w:r>
      <w:r w:rsidRPr="00097064">
        <w:t xml:space="preserve"> a </w:t>
      </w:r>
      <w:r>
        <w:t>"</w:t>
      </w:r>
      <w:r w:rsidRPr="00097064">
        <w:t>constant, undifferentiated project risk premium</w:t>
      </w:r>
      <w:r>
        <w:t>"</w:t>
      </w:r>
      <w:r w:rsidRPr="00097064">
        <w:t xml:space="preserve"> for the A350XWB.</w:t>
      </w:r>
      <w:r w:rsidRPr="00097064">
        <w:rPr>
          <w:rStyle w:val="FootnoteReference"/>
        </w:rPr>
        <w:footnoteReference w:id="2117"/>
      </w:r>
      <w:r>
        <w:t xml:space="preserve"> Consequently, we </w:t>
      </w:r>
      <w:r>
        <w:rPr>
          <w:u w:val="single"/>
        </w:rPr>
        <w:t>find</w:t>
      </w:r>
      <w:r>
        <w:t xml:space="preserve"> that the European </w:t>
      </w:r>
      <w:r w:rsidRPr="00797D1D">
        <w:t>Union has not established that the Panel erred in its application of Article 1.1(b) of the SCM Agreement</w:t>
      </w:r>
      <w:r>
        <w:t>.</w:t>
      </w:r>
      <w:r w:rsidRPr="00797D1D">
        <w:t xml:space="preserve"> </w:t>
      </w:r>
      <w:r>
        <w:t xml:space="preserve">We also </w:t>
      </w:r>
      <w:r w:rsidRPr="00B6206D">
        <w:rPr>
          <w:u w:val="single"/>
        </w:rPr>
        <w:t>find</w:t>
      </w:r>
      <w:r>
        <w:t xml:space="preserve"> that the European Union has failed to establish that the Panel acted inconsistently with Article 11 of the DSU.</w:t>
      </w:r>
    </w:p>
    <w:p w:rsidR="00C752B3" w:rsidRDefault="00C752B3" w:rsidP="00526697">
      <w:pPr>
        <w:pStyle w:val="BodyText"/>
      </w:pPr>
      <w:r>
        <w:t xml:space="preserve">We also </w:t>
      </w:r>
      <w:r w:rsidR="00863780">
        <w:t>disagree with</w:t>
      </w:r>
      <w:r>
        <w:t xml:space="preserve"> the European Union's claim that the Panel acted inconsistently with Article 11 of the DSU in its examination of the risk profiles of the A380 and A350XWB projects, including in its assessment of: (i) programme risk; (ii) contract risk; and (iii) the price of risk. Contrary to the European Union's view, the Panel did not simply assume that the </w:t>
      </w:r>
      <w:r w:rsidR="001806FB">
        <w:t>WRP</w:t>
      </w:r>
      <w:r>
        <w:t xml:space="preserve"> would serve as an appropriate project-specific risk premium for the A350XWB. Instead, the Panel assessed the relative project-specific risks associated with the A380 and A350XWB projects. The purpose of this comparative analysis was, in the Panel's view, to determine "whether the United States ha{d} demonstrated that the project-specific risks of the A350XWB programme {were} sufficiently similar to those of the A380 programme such that it would be reasonable to conclude that the WRP could be used as the project-specific risk premium for the A350XWB".</w:t>
      </w:r>
      <w:r>
        <w:rPr>
          <w:vertAlign w:val="superscript"/>
        </w:rPr>
        <w:footnoteReference w:id="2118"/>
      </w:r>
      <w:r>
        <w:t xml:space="preserve"> Thus, the Panel sought to engage carefully with the arguments and evidence presented by the parties regarding the possible risk premia that should be used in constructing the market benchmark. Regarding the Panel's analysis of programme risk, </w:t>
      </w:r>
      <w:r w:rsidR="00863780">
        <w:t xml:space="preserve">we </w:t>
      </w:r>
      <w:r w:rsidR="00863780" w:rsidRPr="00863780">
        <w:rPr>
          <w:u w:val="single"/>
        </w:rPr>
        <w:t>find</w:t>
      </w:r>
      <w:r w:rsidR="00863780">
        <w:t xml:space="preserve"> that the European Union has failed to establish </w:t>
      </w:r>
      <w:r w:rsidRPr="00863780">
        <w:t>that</w:t>
      </w:r>
      <w:r>
        <w:t xml:space="preserve"> the Panel acted inconsistently with its obligations under Article 11 of the DSU in its analysis of development risk, market risk, or in its comparison of the dev</w:t>
      </w:r>
      <w:r w:rsidR="00080B9E">
        <w:t>elopment and market risks. With </w:t>
      </w:r>
      <w:r>
        <w:t xml:space="preserve">regard to contract risk, </w:t>
      </w:r>
      <w:r w:rsidR="00863780">
        <w:t xml:space="preserve">we </w:t>
      </w:r>
      <w:r w:rsidR="00863780">
        <w:rPr>
          <w:u w:val="single"/>
        </w:rPr>
        <w:t>find</w:t>
      </w:r>
      <w:r w:rsidR="00863780">
        <w:t xml:space="preserve"> that </w:t>
      </w:r>
      <w:r>
        <w:t xml:space="preserve">the European Union has failed to establish that the Panel's comparison of the A350XWB and A380 LA/MSF contracts lacks a sufficient evidentiary basis in a manner inconsistent with the requirements of Article 11 of the DSU. </w:t>
      </w:r>
      <w:r w:rsidR="00863780">
        <w:t xml:space="preserve">We also </w:t>
      </w:r>
      <w:r w:rsidR="00863780">
        <w:rPr>
          <w:u w:val="single"/>
        </w:rPr>
        <w:t>find</w:t>
      </w:r>
      <w:r w:rsidR="00863780">
        <w:t xml:space="preserve"> that the</w:t>
      </w:r>
      <w:r>
        <w:t xml:space="preserve"> European Union has failed to establish that the Panel acted inconsistently with Article 11 of the DSU by failing to compare the terms of the A350XWB LA/MSF contracts to the terms of the A380 risk-sharing supplier contracts. Finally, we </w:t>
      </w:r>
      <w:r w:rsidR="00863780">
        <w:rPr>
          <w:u w:val="single"/>
        </w:rPr>
        <w:t>find</w:t>
      </w:r>
      <w:r w:rsidR="00863780">
        <w:t xml:space="preserve"> that</w:t>
      </w:r>
      <w:r>
        <w:t xml:space="preserve"> the </w:t>
      </w:r>
      <w:r w:rsidR="00863780">
        <w:t xml:space="preserve">European Union has failed to establish </w:t>
      </w:r>
      <w:r>
        <w:t>that the Panel acted inconsistently with Article 11 of the DSU in its analysis of the price of risk.</w:t>
      </w:r>
    </w:p>
    <w:p w:rsidR="00C752B3" w:rsidRDefault="00C752B3" w:rsidP="00526697">
      <w:pPr>
        <w:pStyle w:val="BodyText"/>
      </w:pPr>
      <w:r>
        <w:t>We also reject the European Union's claims that, in adopting a single</w:t>
      </w:r>
      <w:r w:rsidR="00863780">
        <w:t>, undifferentiated</w:t>
      </w:r>
      <w:r>
        <w:t xml:space="preserve"> project-specific risk premium for each of the four A350XWB LA/MSF contracts, the Panel erred in its application of Article 1.1(b) of the SCM Agreement, and</w:t>
      </w:r>
      <w:r w:rsidR="00863780">
        <w:t xml:space="preserve"> also</w:t>
      </w:r>
      <w:r>
        <w:t xml:space="preserve"> failed to make an objective assessment of the matter as required by Article 11 of the DSU.</w:t>
      </w:r>
      <w:r>
        <w:rPr>
          <w:rStyle w:val="FootnoteReference"/>
        </w:rPr>
        <w:footnoteReference w:id="2119"/>
      </w:r>
      <w:r>
        <w:t xml:space="preserve"> The Panel recogni</w:t>
      </w:r>
      <w:r w:rsidR="00863780">
        <w:t>z</w:t>
      </w:r>
      <w:r>
        <w:t>ed that there were some differences among the risk profiles of the four A350XWB LA/MSF contracts.</w:t>
      </w:r>
      <w:r>
        <w:rPr>
          <w:vertAlign w:val="superscript"/>
        </w:rPr>
        <w:footnoteReference w:id="2120"/>
      </w:r>
      <w:r>
        <w:t xml:space="preserve"> However, based on its analysis, the Panel was not persuaded that the terms of those contracts rendered them significantly different so as to require the application of two or more different project</w:t>
      </w:r>
      <w:r>
        <w:noBreakHyphen/>
        <w:t>specific risk premia in th</w:t>
      </w:r>
      <w:r w:rsidR="00863780">
        <w:t>ese</w:t>
      </w:r>
      <w:r>
        <w:t xml:space="preserve"> proceeding</w:t>
      </w:r>
      <w:r w:rsidR="00863780">
        <w:t>s</w:t>
      </w:r>
      <w:r>
        <w:t xml:space="preserve">. Given the Panel's analysis and the arguments that were put before it, </w:t>
      </w:r>
      <w:r w:rsidR="00863780">
        <w:t xml:space="preserve">we </w:t>
      </w:r>
      <w:r w:rsidR="00863780">
        <w:rPr>
          <w:u w:val="single"/>
        </w:rPr>
        <w:t>find</w:t>
      </w:r>
      <w:r w:rsidR="00863780" w:rsidRPr="00863780">
        <w:t xml:space="preserve"> </w:t>
      </w:r>
      <w:r w:rsidR="00863780">
        <w:t xml:space="preserve">that </w:t>
      </w:r>
      <w:r>
        <w:t>the European Union has not established that the Panel erred under Article 1.1(b) of the SCM Agreement by applying a "single, undifferentiated project risk premium" without making adjustments for differences among the risk profiles of the A350XWB LA/MSF contracts.</w:t>
      </w:r>
      <w:r>
        <w:rPr>
          <w:vertAlign w:val="superscript"/>
        </w:rPr>
        <w:footnoteReference w:id="2121"/>
      </w:r>
      <w:r>
        <w:t xml:space="preserve"> Moreover, contrary to the European Union's claim under Article 11 of the</w:t>
      </w:r>
      <w:r w:rsidR="00C77C98">
        <w:t> </w:t>
      </w:r>
      <w:r>
        <w:t xml:space="preserve">DSU, we see no error in the Panel's decision to adopt, on the one hand, an undifferentiated project-specific risk premium for the four A350XWB LA/MSF contracts and, on the other hand, a contract-specific approach to the corporate borrowing rate. Thus, </w:t>
      </w:r>
      <w:r w:rsidR="00863780">
        <w:t xml:space="preserve">we </w:t>
      </w:r>
      <w:r w:rsidR="00863780">
        <w:rPr>
          <w:u w:val="single"/>
        </w:rPr>
        <w:t>find</w:t>
      </w:r>
      <w:r w:rsidR="00863780">
        <w:t xml:space="preserve"> that </w:t>
      </w:r>
      <w:r>
        <w:t>the European Union has failed to establish that, by applying a single, undifferentiated project risk premium to all four of the A350XWB LA/MSF contracts, the Panel acted inconsistently with Article 11 of the DSU.</w:t>
      </w:r>
    </w:p>
    <w:p w:rsidR="00C752B3" w:rsidRDefault="00C752B3" w:rsidP="00526697">
      <w:pPr>
        <w:pStyle w:val="BodyText2"/>
      </w:pPr>
      <w:r>
        <w:t xml:space="preserve">For these reasons, we </w:t>
      </w:r>
      <w:r>
        <w:rPr>
          <w:u w:val="single"/>
        </w:rPr>
        <w:t>uphold</w:t>
      </w:r>
      <w:r>
        <w:t xml:space="preserve"> the Panel's finding, in paragraphs 6.487 and 6.542 of the Panel Report, that the development risks associated with the A350XWB were </w:t>
      </w:r>
      <w:r>
        <w:rPr>
          <w:i/>
        </w:rPr>
        <w:t>at least as high as, or sufficiently similar to</w:t>
      </w:r>
      <w:r w:rsidRPr="00863780">
        <w:t xml:space="preserve">, </w:t>
      </w:r>
      <w:r>
        <w:t xml:space="preserve">those associated with the A380; the Panel's findings, in paragraphs 6.579 and 6.608 of the Panel Report, that the market risks experienced by the A380 and A350XWB were overall comparable in importance and that the A350XWB market risks would not have been much lower than the A380 market risks; the Panel's finding, in paragraphs 6.595 and 6.609 of the Panel Report, that the A350XWB LA/MSF contracts containing such "risk-reducing" terms are no less risky than at least </w:t>
      </w:r>
      <w:r>
        <w:rPr>
          <w:b/>
        </w:rPr>
        <w:t>[</w:t>
      </w:r>
      <w:r w:rsidR="00E8168B" w:rsidRPr="00C8434D">
        <w:rPr>
          <w:b/>
          <w:szCs w:val="16"/>
        </w:rPr>
        <w:t>BCI</w:t>
      </w:r>
      <w:r>
        <w:rPr>
          <w:b/>
        </w:rPr>
        <w:t>]</w:t>
      </w:r>
      <w:r>
        <w:t xml:space="preserve"> </w:t>
      </w:r>
      <w:r w:rsidR="00C77C98">
        <w:t xml:space="preserve">for </w:t>
      </w:r>
      <w:r>
        <w:t>A380 LA/MSF that also contained similar terms in the original proceedings; the Panel's findings, in paragraphs 6.607 and 6.609 of the Panel Report, that it was not persuaded that the differences in certain terms affecting the risk profiles</w:t>
      </w:r>
      <w:r>
        <w:rPr>
          <w:szCs w:val="18"/>
        </w:rPr>
        <w:t xml:space="preserve"> of the individual A350XWB LA/MSF contracts</w:t>
      </w:r>
      <w:r>
        <w:t xml:space="preserve"> would require the application of two or more different project-specific risk premia; and, conseq</w:t>
      </w:r>
      <w:r w:rsidR="00C77C98">
        <w:t>uently, the Panel's finding, in </w:t>
      </w:r>
      <w:r>
        <w:t xml:space="preserve">paragraphs 6.608 and 6.610 of the Panel Report, that the overall project-specific risks of the A380 and A350XWB projects were sufficiently similar to allow the risk premium applied </w:t>
      </w:r>
      <w:r w:rsidR="00863780">
        <w:t>to the</w:t>
      </w:r>
      <w:r>
        <w:t xml:space="preserve"> A380 LA/MSF in the original proceedin</w:t>
      </w:r>
      <w:r w:rsidR="00C77C98">
        <w:t>gs to be applied to the A350XWB </w:t>
      </w:r>
      <w:r>
        <w:t>LA/MSF.</w:t>
      </w:r>
    </w:p>
    <w:p w:rsidR="00C752B3" w:rsidRDefault="00C752B3" w:rsidP="00526697">
      <w:pPr>
        <w:pStyle w:val="BodyText2"/>
      </w:pPr>
      <w:r>
        <w:t xml:space="preserve">Accordingly, we </w:t>
      </w:r>
      <w:r>
        <w:rPr>
          <w:u w:val="single"/>
        </w:rPr>
        <w:t>uphold</w:t>
      </w:r>
      <w:r>
        <w:t xml:space="preserve"> the Panel's findings, in paragraphs 6.632 (including Table 10)</w:t>
      </w:r>
      <w:r>
        <w:rPr>
          <w:rStyle w:val="FootnoteReference"/>
        </w:rPr>
        <w:footnoteReference w:id="2122"/>
      </w:r>
      <w:r>
        <w:t xml:space="preserve"> and 6.633 of the Panel Report, that Airbus paid a lower interest rate for the A350XWB LA/MSF than would have been available to it on the market and, consequently, a benefit has thereby been conferred within the meaning of Article 1.1</w:t>
      </w:r>
      <w:r w:rsidR="00863780">
        <w:t>(b)</w:t>
      </w:r>
      <w:r>
        <w:t xml:space="preserve"> of the SCM Agreement. Consequently, we also </w:t>
      </w:r>
      <w:r>
        <w:rPr>
          <w:u w:val="single"/>
        </w:rPr>
        <w:t>uphold</w:t>
      </w:r>
      <w:r>
        <w:t xml:space="preserve"> the </w:t>
      </w:r>
      <w:r w:rsidR="00C77C98">
        <w:t>Panel's findings, in </w:t>
      </w:r>
      <w:r w:rsidR="00770406">
        <w:t>paragraphs </w:t>
      </w:r>
      <w:r>
        <w:t xml:space="preserve">6.656 and 7.1.c.i of the Panel Report, that the French, German, Spanish, and UK A350XWB LA/MSF contracts each constitute a subsidy within the meaning of Article 1.1 of the SCM Agreement and, thus, that the United States has demonstrated that the French, German, Spanish, and UK A350XWB LA/MSF contracts are specific subsidies within the meaning of Articles 1 and 2 of the SCM Agreement. </w:t>
      </w:r>
    </w:p>
    <w:p w:rsidR="00C752B3" w:rsidRDefault="00C752B3" w:rsidP="00526697">
      <w:pPr>
        <w:pStyle w:val="Heading2"/>
      </w:pPr>
      <w:bookmarkStart w:id="221" w:name="_Toc514059316"/>
      <w:r>
        <w:t>Article 7.8 of the SCM Agreement</w:t>
      </w:r>
      <w:bookmarkEnd w:id="221"/>
      <w:r>
        <w:t xml:space="preserve"> </w:t>
      </w:r>
    </w:p>
    <w:p w:rsidR="00C752B3" w:rsidRDefault="00C752B3" w:rsidP="00526697">
      <w:pPr>
        <w:pStyle w:val="BodyText"/>
      </w:pPr>
      <w:r>
        <w:rPr>
          <w:lang w:val="en-CA"/>
        </w:rPr>
        <w:t xml:space="preserve">We </w:t>
      </w:r>
      <w:r>
        <w:rPr>
          <w:u w:val="single"/>
          <w:lang w:val="en-CA"/>
        </w:rPr>
        <w:t>find</w:t>
      </w:r>
      <w:r>
        <w:rPr>
          <w:lang w:val="en-CA"/>
        </w:rPr>
        <w:t xml:space="preserve"> that the obligation to "take appropriate steps to remove the adverse effects or … withdraw the subsidy" concerns the subsidies that are "grant{ed} or maintain{ed}" by the implementing Member at the end of the implementation period. An implementin</w:t>
      </w:r>
      <w:r w:rsidR="00863780">
        <w:rPr>
          <w:lang w:val="en-CA"/>
        </w:rPr>
        <w:t xml:space="preserve">g Member cannot be required to </w:t>
      </w:r>
      <w:r>
        <w:rPr>
          <w:lang w:val="en-CA"/>
        </w:rPr>
        <w:t xml:space="preserve">withdraw a subsidy that has ceased to exist. Nor do we see a basis, under Article 7.8 of the SCM Agreement, to require that an implementing Member "take appropriate steps to </w:t>
      </w:r>
      <w:r>
        <w:t>remove</w:t>
      </w:r>
      <w:r>
        <w:rPr>
          <w:lang w:val="en-CA"/>
        </w:rPr>
        <w:t xml:space="preserve"> the adverse effects" of subsidies </w:t>
      </w:r>
      <w:r w:rsidR="00863780">
        <w:rPr>
          <w:lang w:val="en-CA"/>
        </w:rPr>
        <w:t>that</w:t>
      </w:r>
      <w:r>
        <w:rPr>
          <w:lang w:val="en-CA"/>
        </w:rPr>
        <w:t xml:space="preserve"> no longer exist. </w:t>
      </w:r>
    </w:p>
    <w:p w:rsidR="00C752B3" w:rsidRDefault="00C752B3" w:rsidP="00526697">
      <w:pPr>
        <w:pStyle w:val="BodyText2"/>
      </w:pPr>
      <w:r>
        <w:t>Accordingly</w:t>
      </w:r>
      <w:r>
        <w:rPr>
          <w:lang w:val="en-CA"/>
        </w:rPr>
        <w:t xml:space="preserve">, we </w:t>
      </w:r>
      <w:r>
        <w:rPr>
          <w:u w:val="single"/>
          <w:lang w:val="en-CA"/>
        </w:rPr>
        <w:t>reverse</w:t>
      </w:r>
      <w:r>
        <w:rPr>
          <w:lang w:val="en-CA"/>
        </w:rPr>
        <w:t xml:space="preserve"> the Panel's interpretation of Article 7.8 of the SCM Agreement, in paragraph 6.822 of </w:t>
      </w:r>
      <w:r>
        <w:t>the Panel Report</w:t>
      </w:r>
      <w:r>
        <w:rPr>
          <w:lang w:val="en-CA"/>
        </w:rPr>
        <w:t xml:space="preserve">, </w:t>
      </w:r>
      <w:r w:rsidR="00863780">
        <w:rPr>
          <w:lang w:val="en-CA"/>
        </w:rPr>
        <w:t>whereby</w:t>
      </w:r>
      <w:r>
        <w:rPr>
          <w:lang w:val="en-CA"/>
        </w:rPr>
        <w:t xml:space="preserve"> an implementing Member </w:t>
      </w:r>
      <w:r w:rsidR="00863780">
        <w:rPr>
          <w:lang w:val="en-CA"/>
        </w:rPr>
        <w:t>would be</w:t>
      </w:r>
      <w:r>
        <w:rPr>
          <w:lang w:val="en-CA"/>
        </w:rPr>
        <w:t xml:space="preserve"> required to "</w:t>
      </w:r>
      <w:r>
        <w:t>withdraw</w:t>
      </w:r>
      <w:r>
        <w:rPr>
          <w:lang w:val="en-CA"/>
        </w:rPr>
        <w:t xml:space="preserve">" or "take appropriate steps to remove the adverse effects" of past subsidies </w:t>
      </w:r>
      <w:r>
        <w:rPr>
          <w:i/>
          <w:lang w:val="en-CA"/>
        </w:rPr>
        <w:t>irrespective</w:t>
      </w:r>
      <w:r>
        <w:rPr>
          <w:lang w:val="en-CA"/>
        </w:rPr>
        <w:t xml:space="preserve"> of whether such subsidies have expired prior to the end of the relevant implementation period. It follows from our </w:t>
      </w:r>
      <w:r w:rsidR="00863780">
        <w:rPr>
          <w:lang w:val="en-CA"/>
        </w:rPr>
        <w:t>finding</w:t>
      </w:r>
      <w:r>
        <w:rPr>
          <w:lang w:val="en-CA"/>
        </w:rPr>
        <w:t xml:space="preserve"> that, in the present dispute, the European Union has no compliance obligation with respect to subsidies that had expired before 1 December 2011. </w:t>
      </w:r>
    </w:p>
    <w:p w:rsidR="00C752B3" w:rsidRDefault="00C752B3" w:rsidP="00526697">
      <w:pPr>
        <w:pStyle w:val="Heading2"/>
      </w:pPr>
      <w:bookmarkStart w:id="222" w:name="_Toc514059317"/>
      <w:r>
        <w:t>Conditional appeals under Article 7.8 of the SCM Agreement</w:t>
      </w:r>
      <w:bookmarkEnd w:id="222"/>
    </w:p>
    <w:p w:rsidR="00C752B3" w:rsidRDefault="00C752B3" w:rsidP="00526697">
      <w:pPr>
        <w:pStyle w:val="BodyText"/>
      </w:pPr>
      <w:r>
        <w:t xml:space="preserve">We </w:t>
      </w:r>
      <w:r>
        <w:rPr>
          <w:u w:val="single"/>
        </w:rPr>
        <w:t>find</w:t>
      </w:r>
      <w:r>
        <w:t xml:space="preserve"> that an </w:t>
      </w:r>
      <w:r>
        <w:rPr>
          <w:i/>
        </w:rPr>
        <w:t>ex ante</w:t>
      </w:r>
      <w:r>
        <w:t xml:space="preserve"> analysis regarding the benefit of a subsidy serves as </w:t>
      </w:r>
      <w:r>
        <w:rPr>
          <w:i/>
        </w:rPr>
        <w:t>the starting point</w:t>
      </w:r>
      <w:r>
        <w:t xml:space="preserve"> of the </w:t>
      </w:r>
      <w:r w:rsidR="00863780">
        <w:t>analysis</w:t>
      </w:r>
      <w:r>
        <w:t xml:space="preserve"> to determine whether a subsidy continues to exist at the end of the implementation period. For such a determination, it is also necessary to conduct an analysis regarding "whether there are 'intervening events' that occurred after the grant of the subsidy that may affect the projected value of the subsidy as determined under the </w:t>
      </w:r>
      <w:r>
        <w:rPr>
          <w:i/>
        </w:rPr>
        <w:t>ex ante</w:t>
      </w:r>
      <w:r>
        <w:t xml:space="preserve"> analysis."</w:t>
      </w:r>
      <w:r>
        <w:rPr>
          <w:rStyle w:val="FootnoteReference"/>
        </w:rPr>
        <w:footnoteReference w:id="2123"/>
      </w:r>
      <w:r w:rsidR="00FF051C">
        <w:t xml:space="preserve"> We </w:t>
      </w:r>
      <w:r>
        <w:t xml:space="preserve">further </w:t>
      </w:r>
      <w:r>
        <w:rPr>
          <w:u w:val="single"/>
        </w:rPr>
        <w:t>find</w:t>
      </w:r>
      <w:r>
        <w:t xml:space="preserve"> that the Panel's ultimate conclusion regarding the </w:t>
      </w:r>
      <w:r>
        <w:rPr>
          <w:i/>
        </w:rPr>
        <w:t>actual</w:t>
      </w:r>
      <w:r w:rsidR="00B34267">
        <w:t xml:space="preserve"> duration of relevant pre</w:t>
      </w:r>
      <w:r w:rsidR="00B34267">
        <w:noBreakHyphen/>
      </w:r>
      <w:r>
        <w:t xml:space="preserve">A380 LA/MSF subsidies </w:t>
      </w:r>
      <w:r w:rsidR="00863780">
        <w:t>wa</w:t>
      </w:r>
      <w:r>
        <w:t xml:space="preserve">s based on a proper analysis of both the expiry of </w:t>
      </w:r>
      <w:r w:rsidR="00863780">
        <w:t xml:space="preserve">the </w:t>
      </w:r>
      <w:r>
        <w:rPr>
          <w:i/>
        </w:rPr>
        <w:t>ex ante</w:t>
      </w:r>
      <w:r>
        <w:t xml:space="preserve"> </w:t>
      </w:r>
      <w:r w:rsidR="00863780">
        <w:t>"</w:t>
      </w:r>
      <w:r>
        <w:t>lives</w:t>
      </w:r>
      <w:r w:rsidR="00863780">
        <w:t>"</w:t>
      </w:r>
      <w:r>
        <w:t xml:space="preserve"> of the subsidies and </w:t>
      </w:r>
      <w:r w:rsidR="00863780">
        <w:t xml:space="preserve">the </w:t>
      </w:r>
      <w:r>
        <w:t>alleged intervening events after the granting of the subsidies.</w:t>
      </w:r>
      <w:r>
        <w:rPr>
          <w:rFonts w:ascii="Times New Roman" w:hAnsi="Times New Roman"/>
          <w:sz w:val="24"/>
          <w:szCs w:val="24"/>
          <w:lang w:eastAsia="zh-CN"/>
        </w:rPr>
        <w:t xml:space="preserve"> </w:t>
      </w:r>
      <w:r w:rsidR="00B34267">
        <w:t>We </w:t>
      </w:r>
      <w:r w:rsidR="00863780">
        <w:t>consider</w:t>
      </w:r>
      <w:r>
        <w:t xml:space="preserve"> this to be consistent with the Appellate Body's approach in the original proceedings, whereby the assessment of the "life" of a subsidy should encompass both an </w:t>
      </w:r>
      <w:r>
        <w:rPr>
          <w:i/>
        </w:rPr>
        <w:t>ex ante</w:t>
      </w:r>
      <w:r>
        <w:t xml:space="preserve"> analysis and an evaluation of intervening events. </w:t>
      </w:r>
    </w:p>
    <w:p w:rsidR="00C752B3" w:rsidRDefault="00C752B3" w:rsidP="00526697">
      <w:pPr>
        <w:pStyle w:val="BodyText2"/>
      </w:pPr>
      <w:r>
        <w:t xml:space="preserve">For these reasons, we </w:t>
      </w:r>
      <w:r>
        <w:rPr>
          <w:u w:val="single"/>
        </w:rPr>
        <w:t>uphold</w:t>
      </w:r>
      <w:r>
        <w:t xml:space="preserve"> the Panel's finding, in paragraphs 6.879</w:t>
      </w:r>
      <w:r w:rsidR="00863780">
        <w:t>,</w:t>
      </w:r>
      <w:r>
        <w:t xml:space="preserve"> 6.1076</w:t>
      </w:r>
      <w:r w:rsidR="00770406">
        <w:t>, and </w:t>
      </w:r>
      <w:r w:rsidR="00863780">
        <w:t>7.1.d.ii</w:t>
      </w:r>
      <w:r>
        <w:t xml:space="preserve"> of the Panel Report, that the European Union had demonstrated that the </w:t>
      </w:r>
      <w:r w:rsidR="00770406">
        <w:rPr>
          <w:i/>
        </w:rPr>
        <w:t>ex </w:t>
      </w:r>
      <w:r>
        <w:rPr>
          <w:i/>
        </w:rPr>
        <w:t>ante</w:t>
      </w:r>
      <w:r>
        <w:t xml:space="preserve"> "lives" of the French, German, and Spanish LA/MSF subsidies for the A300B/B2/B4, A300-600, A310, A320, </w:t>
      </w:r>
      <w:r w:rsidR="00863780">
        <w:t xml:space="preserve">and </w:t>
      </w:r>
      <w:r>
        <w:t xml:space="preserve">A330/A340, and the UK LA/MSF subsidies for the A320 and A330/A340, "expired" before 1 June 2011. </w:t>
      </w:r>
    </w:p>
    <w:p w:rsidR="00C752B3" w:rsidRDefault="00C752B3" w:rsidP="00526697">
      <w:pPr>
        <w:pStyle w:val="BodyText"/>
      </w:pPr>
      <w:r>
        <w:t xml:space="preserve">We </w:t>
      </w:r>
      <w:r>
        <w:rPr>
          <w:lang w:val="en-US"/>
        </w:rPr>
        <w:t>see no reason to make additional findings on whether</w:t>
      </w:r>
      <w:r w:rsidR="00863780">
        <w:rPr>
          <w:lang w:val="en-US"/>
        </w:rPr>
        <w:t xml:space="preserve"> the</w:t>
      </w:r>
      <w:r>
        <w:rPr>
          <w:lang w:val="en-US"/>
        </w:rPr>
        <w:t xml:space="preserve"> </w:t>
      </w:r>
      <w:r w:rsidR="00770406">
        <w:t>French LA/MSF for the A310</w:t>
      </w:r>
      <w:r w:rsidR="00770406">
        <w:noBreakHyphen/>
      </w:r>
      <w:r>
        <w:t xml:space="preserve">300, the French and Spanish LA/MSF for the A300B/B2/B4 and A300-600, and the French, Spanish, and UK LA/MSF for the A320 and A330/A340 </w:t>
      </w:r>
      <w:r>
        <w:rPr>
          <w:i/>
        </w:rPr>
        <w:t>also</w:t>
      </w:r>
      <w:r>
        <w:t xml:space="preserve"> came to an end due to the actual repayment of the loans with interests. We do not consider such findings to be necessary to resolve this dispute.</w:t>
      </w:r>
    </w:p>
    <w:p w:rsidR="00C752B3" w:rsidRDefault="00C752B3" w:rsidP="00526697">
      <w:pPr>
        <w:pStyle w:val="Heading2"/>
      </w:pPr>
      <w:bookmarkStart w:id="223" w:name="_Toc514059318"/>
      <w:r>
        <w:t>European Union's consequential appeal under Article 7.8 of the SCM Agreement</w:t>
      </w:r>
      <w:bookmarkEnd w:id="223"/>
    </w:p>
    <w:p w:rsidR="00C752B3" w:rsidRDefault="00C752B3" w:rsidP="00526697">
      <w:pPr>
        <w:pStyle w:val="BodyText"/>
      </w:pPr>
      <w:r>
        <w:t xml:space="preserve">We disagree with the European Union that it </w:t>
      </w:r>
      <w:r>
        <w:rPr>
          <w:i/>
        </w:rPr>
        <w:t>necessarily</w:t>
      </w:r>
      <w:r>
        <w:t xml:space="preserve"> follows from the manner in which the Panel characterized the scope of the compliance obligation under Article 7.8 </w:t>
      </w:r>
      <w:r w:rsidR="00863780">
        <w:t xml:space="preserve">of the SCM Agreement </w:t>
      </w:r>
      <w:r>
        <w:t>that the Panel's findings of adverse effects must be reversed for each of the specific country and product markets with respect to which the United States brought its claims. We note that the Panel's adverse effects analysis led to its final conc</w:t>
      </w:r>
      <w:r w:rsidR="002778D6">
        <w:t>lusion, in paragraph 7.2 of the </w:t>
      </w:r>
      <w:r>
        <w:t>Panel Report, that "the European Union and certain member States have failed to comply with the DSB recommendations and rulings and, in particular, the obli</w:t>
      </w:r>
      <w:r w:rsidR="002778D6">
        <w:t xml:space="preserve">gation under Article 7.8 of </w:t>
      </w:r>
      <w:r w:rsidR="002778D6" w:rsidRPr="002778D6">
        <w:t>the</w:t>
      </w:r>
      <w:r w:rsidR="002778D6">
        <w:t> </w:t>
      </w:r>
      <w:r w:rsidRPr="002778D6">
        <w:t>SCM</w:t>
      </w:r>
      <w:r>
        <w:t> Agreement 'to take appropriate steps to remove the adverse effects or … withdraw the subsidy</w:t>
      </w:r>
      <w:r w:rsidR="00770406">
        <w:t>'</w:t>
      </w:r>
      <w:r w:rsidR="00863780">
        <w:t>.</w:t>
      </w:r>
      <w:r>
        <w:t xml:space="preserve">" In our view, whether the Panel had a sufficient basis for this ultimate conclusion is a question that can only be answered following a careful review of the Panel's reasoning and analysis, in particular its analysis relating to the adverse effects of the </w:t>
      </w:r>
      <w:r>
        <w:rPr>
          <w:i/>
        </w:rPr>
        <w:t>existing</w:t>
      </w:r>
      <w:r>
        <w:t xml:space="preserve"> LA/MSF subsidies that are maintained or granted in the post</w:t>
      </w:r>
      <w:r>
        <w:noBreakHyphen/>
        <w:t xml:space="preserve">implementation period. </w:t>
      </w:r>
    </w:p>
    <w:p w:rsidR="00C752B3" w:rsidRDefault="00C752B3" w:rsidP="00526697">
      <w:pPr>
        <w:pStyle w:val="BodyText"/>
      </w:pPr>
      <w:r>
        <w:t xml:space="preserve">Thus, we do not dismiss the totality of the Panel's adverse effects analysis solely on the basis of its interpretation of Article 7.8 of the SCM Agreement. Rather, we do not preclude that the pertinent question in these compliance proceedings – i.e. </w:t>
      </w:r>
      <w:r>
        <w:rPr>
          <w:bCs/>
        </w:rPr>
        <w:t>whether the subsidies exist</w:t>
      </w:r>
      <w:r w:rsidR="00863780">
        <w:rPr>
          <w:bCs/>
        </w:rPr>
        <w:t>ing</w:t>
      </w:r>
      <w:r>
        <w:rPr>
          <w:bCs/>
        </w:rPr>
        <w:t xml:space="preserve"> in the post</w:t>
      </w:r>
      <w:r>
        <w:rPr>
          <w:bCs/>
        </w:rPr>
        <w:noBreakHyphen/>
        <w:t xml:space="preserve">implementation period cause adverse effects – may still be answered on the basis of the Panel's analysis </w:t>
      </w:r>
      <w:r w:rsidR="00863780">
        <w:rPr>
          <w:bCs/>
        </w:rPr>
        <w:t>of</w:t>
      </w:r>
      <w:r>
        <w:rPr>
          <w:bCs/>
        </w:rPr>
        <w:t xml:space="preserve"> the existing subsidies. </w:t>
      </w:r>
      <w:r>
        <w:t>A consideration of expired subsidies is relevant for this purpose insofar as it sheds light on whether LA/MSF subsidies granted or maintained by the European Union in the post</w:t>
      </w:r>
      <w:r>
        <w:noBreakHyphen/>
        <w:t>implementation period cause adverse effects.</w:t>
      </w:r>
      <w:r>
        <w:rPr>
          <w:rFonts w:ascii="Times New Roman" w:hAnsi="Times New Roman"/>
          <w:sz w:val="24"/>
          <w:szCs w:val="24"/>
          <w:lang w:eastAsia="zh-CN"/>
        </w:rPr>
        <w:t xml:space="preserve"> </w:t>
      </w:r>
    </w:p>
    <w:p w:rsidR="00C752B3" w:rsidRDefault="00863780" w:rsidP="00526697">
      <w:pPr>
        <w:pStyle w:val="Heading2"/>
      </w:pPr>
      <w:bookmarkStart w:id="224" w:name="_Toc514059319"/>
      <w:r>
        <w:t>Articles 5, 6, and 7.8 of the SCM Agreement – adverse effects</w:t>
      </w:r>
      <w:bookmarkEnd w:id="224"/>
    </w:p>
    <w:p w:rsidR="00C752B3" w:rsidRDefault="00C752B3" w:rsidP="00526697">
      <w:pPr>
        <w:pStyle w:val="Heading3"/>
      </w:pPr>
      <w:bookmarkStart w:id="225" w:name="_Toc514059320"/>
      <w:r>
        <w:t>Non-subsidized like product</w:t>
      </w:r>
      <w:bookmarkEnd w:id="225"/>
    </w:p>
    <w:p w:rsidR="00C752B3" w:rsidRDefault="00C752B3" w:rsidP="00526697">
      <w:pPr>
        <w:pStyle w:val="BodyText"/>
      </w:pPr>
      <w:r>
        <w:t xml:space="preserve">Regarding the European Union's arguments concerning the relevance of Article 6.4 of the SCM Agreement to the United States' claims under Article 6.3(b) of the SCM Agreement, the Panel was required to examine the meaning of Article 6.3(b), including the relationship between this provision and Article 6.4, as clarified by the Appellate Body in the original proceedings in this dispute and in </w:t>
      </w:r>
      <w:r>
        <w:rPr>
          <w:i/>
        </w:rPr>
        <w:t>US ‒ Large Civil Aircraft (2</w:t>
      </w:r>
      <w:r>
        <w:rPr>
          <w:i/>
          <w:vertAlign w:val="superscript"/>
        </w:rPr>
        <w:t>nd</w:t>
      </w:r>
      <w:r>
        <w:rPr>
          <w:i/>
        </w:rPr>
        <w:t xml:space="preserve"> complaint)</w:t>
      </w:r>
      <w:r>
        <w:t xml:space="preserve">. It was also appropriate for the Panel to take into account the findings and reasoning by the original panel regarding the meaning of Article 6.4. </w:t>
      </w:r>
      <w:r>
        <w:rPr>
          <w:lang w:val="en-US"/>
        </w:rPr>
        <w:t xml:space="preserve">The Panel could not simply refuse to address the arguments and evidence before it in dealing with the United States' claims under Article 6.3(b). Rather, the Panel was required to adjudicate the United States' claims under Article 6.3(b) in light of the arguments raised and evidence submitted by both parties to the dispute, and it erred by declining to do so. </w:t>
      </w:r>
    </w:p>
    <w:p w:rsidR="00C752B3" w:rsidRDefault="00C752B3" w:rsidP="00526697">
      <w:pPr>
        <w:pStyle w:val="BodyText2"/>
      </w:pPr>
      <w:r>
        <w:t xml:space="preserve">Accordingly, we declare </w:t>
      </w:r>
      <w:r w:rsidR="00863780">
        <w:t xml:space="preserve">moot and of no legal effect </w:t>
      </w:r>
      <w:r>
        <w:t>the Panel's finding</w:t>
      </w:r>
      <w:r w:rsidR="00770406">
        <w:t>,</w:t>
      </w:r>
      <w:r w:rsidR="00C77C98">
        <w:t xml:space="preserve"> in </w:t>
      </w:r>
      <w:r>
        <w:t>paragra</w:t>
      </w:r>
      <w:r w:rsidR="00770406">
        <w:t>ph </w:t>
      </w:r>
      <w:r>
        <w:t>6.1154 of the Panel Report</w:t>
      </w:r>
      <w:r w:rsidR="00770406">
        <w:t>,</w:t>
      </w:r>
      <w:r>
        <w:t xml:space="preserve"> </w:t>
      </w:r>
      <w:r w:rsidR="00863780">
        <w:t>concerning the European Union's reliance on Article 6.4 to reject the United States' claims under Article 6.3(b)</w:t>
      </w:r>
      <w:r w:rsidR="00770406">
        <w:t xml:space="preserve"> of the SCM Agreement</w:t>
      </w:r>
      <w:r>
        <w:t>. Based on our interpretation of Article 6.3(b), read together with Article 6.4, we disagree, however, with the European Union that a complainant</w:t>
      </w:r>
      <w:r w:rsidR="004728B7">
        <w:t xml:space="preserve"> is required to demonstrate, </w:t>
      </w:r>
      <w:r w:rsidR="004728B7" w:rsidRPr="004728B7">
        <w:t>in</w:t>
      </w:r>
      <w:r w:rsidR="00C77C98">
        <w:t> </w:t>
      </w:r>
      <w:r w:rsidRPr="004728B7">
        <w:t>each</w:t>
      </w:r>
      <w:r>
        <w:t xml:space="preserve"> case, that its like product is non-subsidized in order</w:t>
      </w:r>
      <w:r w:rsidR="004728B7">
        <w:t xml:space="preserve"> to show that the effect of the </w:t>
      </w:r>
      <w:r>
        <w:t xml:space="preserve">subsidy is displacement and/or impedance of its </w:t>
      </w:r>
      <w:r w:rsidR="004E700A">
        <w:t>like product in a third </w:t>
      </w:r>
      <w:r w:rsidR="00C77C98">
        <w:t>country </w:t>
      </w:r>
      <w:r>
        <w:t xml:space="preserve">market. </w:t>
      </w:r>
    </w:p>
    <w:p w:rsidR="00C752B3" w:rsidRDefault="00C752B3" w:rsidP="00526697">
      <w:pPr>
        <w:pStyle w:val="Heading3"/>
      </w:pPr>
      <w:bookmarkStart w:id="226" w:name="_Toc514059321"/>
      <w:r>
        <w:t>The relevant product markets</w:t>
      </w:r>
      <w:bookmarkEnd w:id="226"/>
    </w:p>
    <w:p w:rsidR="00C752B3" w:rsidRDefault="00C752B3" w:rsidP="00526697">
      <w:pPr>
        <w:pStyle w:val="BodyText"/>
      </w:pPr>
      <w:r>
        <w:t>Regarding the term "market" in Article 6.3 of the SCM Agreement, for the purposes of conducting an adverse effects analysis, two products are in the same market if they are sufficiently substitutable and they exercise "meaningful" competiti</w:t>
      </w:r>
      <w:r w:rsidR="004728B7">
        <w:t>ve constraints on each other. A </w:t>
      </w:r>
      <w:r>
        <w:t xml:space="preserve">consideration of </w:t>
      </w:r>
      <w:r>
        <w:rPr>
          <w:i/>
        </w:rPr>
        <w:t>quantitative</w:t>
      </w:r>
      <w:r>
        <w:t xml:space="preserve"> tools and evidence may assist a panel in defining the relevant product markets and in answering the question of whether products exercise meaningful competitive constraints on each other and are sufficiently substitutable to fall in the same product market. However, like the Panel, we do not see a reason to preclude that a careful scrutiny of </w:t>
      </w:r>
      <w:r>
        <w:rPr>
          <w:i/>
        </w:rPr>
        <w:t>qualitative</w:t>
      </w:r>
      <w:r>
        <w:t xml:space="preserve"> evidence may also be sufficient provided that it permits an informative and meaningful analysis of the relevant product markets. Depending on the particul</w:t>
      </w:r>
      <w:r w:rsidR="004E700A">
        <w:t>arities of a given case, it may </w:t>
      </w:r>
      <w:r>
        <w:t xml:space="preserve">be sufficient for a panel to examine </w:t>
      </w:r>
      <w:r>
        <w:rPr>
          <w:i/>
        </w:rPr>
        <w:t>qualitative</w:t>
      </w:r>
      <w:r>
        <w:t xml:space="preserve"> evidence r</w:t>
      </w:r>
      <w:r w:rsidR="004E700A">
        <w:t>egarding demand-side and supply</w:t>
      </w:r>
      <w:r w:rsidR="004E700A">
        <w:noBreakHyphen/>
      </w:r>
      <w:r>
        <w:t>side substitutability, product characteristics, end</w:t>
      </w:r>
      <w:r>
        <w:noBreakHyphen/>
        <w:t xml:space="preserve">uses, and customer preferences in order to reach a conclusion as to the nature and degree of competition between two products. </w:t>
      </w:r>
    </w:p>
    <w:p w:rsidR="00C752B3" w:rsidRDefault="00C752B3" w:rsidP="00526697">
      <w:pPr>
        <w:pStyle w:val="BodyText"/>
      </w:pPr>
      <w:r>
        <w:t>Having reviewed the Panel's analysis of competition in the single-aisle</w:t>
      </w:r>
      <w:r w:rsidR="00863780">
        <w:t xml:space="preserve"> LCA</w:t>
      </w:r>
      <w:r>
        <w:t>, twin-aisle</w:t>
      </w:r>
      <w:r w:rsidR="00863780">
        <w:t xml:space="preserve"> LCA</w:t>
      </w:r>
      <w:r>
        <w:t>, and VLA product markets, we are satisfied that the Panel's identification of the product markets in the present dispute was based on a proper analysis of the competition among the relevant products, which the Panel found to demonstrate sufficient substitutability, in accordance with the standard articulated by the Appellate Body in the original proceedings. We are also satisfied that the Panel's analyses identifying the single-aisle</w:t>
      </w:r>
      <w:r w:rsidR="00863780">
        <w:t xml:space="preserve"> LCA</w:t>
      </w:r>
      <w:r>
        <w:t>, twin-aisle</w:t>
      </w:r>
      <w:r w:rsidR="00863780">
        <w:t xml:space="preserve"> LCA</w:t>
      </w:r>
      <w:r>
        <w:t>, and VLA product markets reflect a proper reading of the term "market" and we do not agree with the European Union to the extent that it argues that the Panel erred in its interpretation of the term "market" in Article 6.3 of the SCM Agreement.</w:t>
      </w:r>
    </w:p>
    <w:p w:rsidR="00C752B3" w:rsidRDefault="00C752B3" w:rsidP="00526697">
      <w:pPr>
        <w:pStyle w:val="BodyText2"/>
      </w:pPr>
      <w:r>
        <w:t xml:space="preserve">Accordingly, we </w:t>
      </w:r>
      <w:r>
        <w:rPr>
          <w:u w:val="single"/>
        </w:rPr>
        <w:t>uphold</w:t>
      </w:r>
      <w:r>
        <w:t xml:space="preserve"> the Panel's finding</w:t>
      </w:r>
      <w:r w:rsidR="00C77BFB">
        <w:t>,</w:t>
      </w:r>
      <w:r>
        <w:t xml:space="preserve"> in paragraph 6.1416 of the Panel Report, that the United States had brought its adverse effects claims with respect to appropriately defined product markets for LCA, namely, the global mar</w:t>
      </w:r>
      <w:r w:rsidR="004728B7">
        <w:t>kets for single-aisle LCA, twin</w:t>
      </w:r>
      <w:r w:rsidR="004728B7">
        <w:noBreakHyphen/>
      </w:r>
      <w:r>
        <w:t>aisle LCA, and VLA.</w:t>
      </w:r>
    </w:p>
    <w:p w:rsidR="00C752B3" w:rsidRDefault="00C752B3" w:rsidP="00526697">
      <w:pPr>
        <w:pStyle w:val="Heading3"/>
      </w:pPr>
      <w:bookmarkStart w:id="227" w:name="_Toc514059322"/>
      <w:r>
        <w:t>"Product effects" of LA/MSF subsidies</w:t>
      </w:r>
      <w:r w:rsidR="00863780">
        <w:t xml:space="preserve"> on Airbus LCA</w:t>
      </w:r>
      <w:bookmarkEnd w:id="227"/>
    </w:p>
    <w:p w:rsidR="00C752B3" w:rsidRDefault="00C752B3" w:rsidP="00526697">
      <w:pPr>
        <w:pStyle w:val="BodyText"/>
      </w:pPr>
      <w:r>
        <w:rPr>
          <w:color w:val="000000"/>
        </w:rPr>
        <w:t>The errors alleged by the European Union regarding the P</w:t>
      </w:r>
      <w:r w:rsidR="004728B7">
        <w:rPr>
          <w:color w:val="000000"/>
        </w:rPr>
        <w:t>anel's findings on the "product </w:t>
      </w:r>
      <w:r>
        <w:rPr>
          <w:color w:val="000000"/>
        </w:rPr>
        <w:t xml:space="preserve">effects" of the pre-A350XWB LA/MSF subsidies on the market presence of the A320 and A330 families of </w:t>
      </w:r>
      <w:r w:rsidR="00863780">
        <w:rPr>
          <w:color w:val="000000"/>
        </w:rPr>
        <w:t xml:space="preserve">Airbus </w:t>
      </w:r>
      <w:r>
        <w:rPr>
          <w:color w:val="000000"/>
        </w:rPr>
        <w:t>LCA concern primarily the LA/MSF subsidies that were found by the Panel to have expired before the end of the implementation period</w:t>
      </w:r>
      <w:r w:rsidR="00C77BFB">
        <w:rPr>
          <w:color w:val="000000"/>
        </w:rPr>
        <w:t xml:space="preserve"> – </w:t>
      </w:r>
      <w:r>
        <w:rPr>
          <w:color w:val="000000"/>
        </w:rPr>
        <w:t xml:space="preserve">namely, the subsidies for the A300, A310, A320, A330, and A340. </w:t>
      </w:r>
      <w:r>
        <w:t>We recall that, under our interpret</w:t>
      </w:r>
      <w:r w:rsidR="004728B7">
        <w:t>ation of Article 7.8 of the </w:t>
      </w:r>
      <w:r w:rsidR="00C77BFB">
        <w:t>SCM </w:t>
      </w:r>
      <w:r>
        <w:t xml:space="preserve">Agreement, </w:t>
      </w:r>
      <w:r>
        <w:rPr>
          <w:bCs/>
        </w:rPr>
        <w:t>the European Union does not bear a compliance obligation with respect to the subsidies that were found by the Panel to have expired by the end of the implementation period. Thus, t</w:t>
      </w:r>
      <w:r>
        <w:rPr>
          <w:color w:val="000000"/>
        </w:rPr>
        <w:t xml:space="preserve">o the extent that some subsidies have expired, a further examination of the removal of the effects of those subsidies would not be necessary. In other words, </w:t>
      </w:r>
      <w:r>
        <w:rPr>
          <w:bCs/>
        </w:rPr>
        <w:t xml:space="preserve">it is not pertinent to examine whether the Panel's findings on the "product effects" of the </w:t>
      </w:r>
      <w:r>
        <w:rPr>
          <w:bCs/>
          <w:i/>
        </w:rPr>
        <w:t>expired</w:t>
      </w:r>
      <w:r>
        <w:rPr>
          <w:bCs/>
        </w:rPr>
        <w:t xml:space="preserve"> subsidies can support its ultimate conclusion of non-compliance under Article 7.8 of the SCM Agreement. In line with this view, </w:t>
      </w:r>
      <w:r>
        <w:rPr>
          <w:color w:val="000000"/>
        </w:rPr>
        <w:t>we do not consider it necessary to make separate findings on the European Union's claims on appeal insofar as they concern the Panel's alleged failure to assess properly the passage of time and the events during that time in reaching its findings on the "product effects" of the expired subsidies.</w:t>
      </w:r>
      <w:r>
        <w:rPr>
          <w:bCs/>
        </w:rPr>
        <w:t xml:space="preserve"> In addition, we disagree with the Panel insofar as its reference to the aggregated LA/MSF subsidies in the above findings includes the expired subsidies.</w:t>
      </w:r>
      <w:r w:rsidR="00C77BFB">
        <w:rPr>
          <w:rStyle w:val="FootnoteReference"/>
          <w:bCs/>
        </w:rPr>
        <w:footnoteReference w:id="2124"/>
      </w:r>
    </w:p>
    <w:p w:rsidR="00C752B3" w:rsidRDefault="00C752B3" w:rsidP="00526697">
      <w:pPr>
        <w:pStyle w:val="BodyText"/>
      </w:pPr>
      <w:r>
        <w:rPr>
          <w:color w:val="000000"/>
        </w:rPr>
        <w:t xml:space="preserve">Rather, </w:t>
      </w:r>
      <w:r>
        <w:rPr>
          <w:bCs/>
        </w:rPr>
        <w:t>as we have explained above, the pertinent question for purposes of these compliance proceedings is whether the subsidies exist</w:t>
      </w:r>
      <w:r w:rsidR="00863780">
        <w:rPr>
          <w:bCs/>
        </w:rPr>
        <w:t>ing</w:t>
      </w:r>
      <w:r>
        <w:rPr>
          <w:bCs/>
        </w:rPr>
        <w:t xml:space="preserve"> in the post</w:t>
      </w:r>
      <w:r>
        <w:rPr>
          <w:bCs/>
        </w:rPr>
        <w:noBreakHyphen/>
        <w:t xml:space="preserve">implementation period </w:t>
      </w:r>
      <w:r w:rsidR="00863780">
        <w:rPr>
          <w:bCs/>
        </w:rPr>
        <w:t xml:space="preserve">(i.e. after 1 December 2011) </w:t>
      </w:r>
      <w:r>
        <w:rPr>
          <w:bCs/>
        </w:rPr>
        <w:t xml:space="preserve">cause adverse effects. The Panel found, and the European Union does not disagree, that </w:t>
      </w:r>
      <w:r>
        <w:t>the French, German, Spanish</w:t>
      </w:r>
      <w:r w:rsidR="003C1ECC">
        <w:t>,</w:t>
      </w:r>
      <w:r>
        <w:t xml:space="preserve"> and UK A380 LA/MSF subsidies had not expired by the end of the implementation period. Furthermore, the Panel found that, subsequent to the original reference period (2001</w:t>
      </w:r>
      <w:r>
        <w:noBreakHyphen/>
        <w:t xml:space="preserve">2006), the European Union granted new LA/MSF subsidies </w:t>
      </w:r>
      <w:r w:rsidR="00863780">
        <w:t xml:space="preserve">to Airbus </w:t>
      </w:r>
      <w:r>
        <w:t xml:space="preserve">for developing its A350XWB family of </w:t>
      </w:r>
      <w:r w:rsidR="00863780">
        <w:t>LCA</w:t>
      </w:r>
      <w:r>
        <w:t>, and tha</w:t>
      </w:r>
      <w:r w:rsidR="004728B7">
        <w:t>t these subsidies were "closely </w:t>
      </w:r>
      <w:r>
        <w:t xml:space="preserve">connected" with the adopted recommendations and rulings </w:t>
      </w:r>
      <w:r w:rsidR="00863780">
        <w:t xml:space="preserve">of the DSB </w:t>
      </w:r>
      <w:r>
        <w:t xml:space="preserve">and the European Union's alleged compliance "actions". Given the scope of these compliance proceedings, </w:t>
      </w:r>
      <w:r>
        <w:rPr>
          <w:color w:val="000000"/>
        </w:rPr>
        <w:t xml:space="preserve">we have </w:t>
      </w:r>
      <w:r>
        <w:t xml:space="preserve">therefore </w:t>
      </w:r>
      <w:r>
        <w:rPr>
          <w:color w:val="000000"/>
        </w:rPr>
        <w:t xml:space="preserve">focused </w:t>
      </w:r>
      <w:r>
        <w:t>our review on the Panel's analysis and findings regarding the effects of subsidies existing in the post-implementation period</w:t>
      </w:r>
      <w:r w:rsidR="00C77BFB">
        <w:t xml:space="preserve"> – namely, the A380 LA/MSF and the A350XWB LA/MSF subsidies – </w:t>
      </w:r>
      <w:r>
        <w:t xml:space="preserve">and the European Union's appeal thereof, to determine whether those findings support the Panel's ultimate conclusion regarding serious prejudice. </w:t>
      </w:r>
    </w:p>
    <w:p w:rsidR="00C752B3" w:rsidRDefault="00C752B3" w:rsidP="00526697">
      <w:pPr>
        <w:pStyle w:val="BodyText"/>
      </w:pPr>
      <w:r>
        <w:t xml:space="preserve">As part of our analysis above, we have disagreed with the European Union's claim under Article 11 of the DSU that the Panel's understanding of the "direct effects" of A380 LA/MSF on Airbus' ability to launch, bring to market, and continue developing the A380 </w:t>
      </w:r>
      <w:r>
        <w:rPr>
          <w:i/>
        </w:rPr>
        <w:t>as and when it</w:t>
      </w:r>
      <w:r>
        <w:t xml:space="preserve"> </w:t>
      </w:r>
      <w:r>
        <w:rPr>
          <w:i/>
        </w:rPr>
        <w:t>did</w:t>
      </w:r>
      <w:r>
        <w:t xml:space="preserve"> lacks sufficient evidentiary basis. Furthermore, we have found that the European Union has failed to establish that the Panel acted inconsistently with Article 11 of the DSU in reaching its conclusion that, "</w:t>
      </w:r>
      <w:r>
        <w:rPr>
          <w:i/>
          <w:iCs/>
        </w:rPr>
        <w:t>without</w:t>
      </w:r>
      <w:r>
        <w:t xml:space="preserve"> A350XWB LA/MSF, the Airbus company that </w:t>
      </w:r>
      <w:r>
        <w:rPr>
          <w:i/>
          <w:iCs/>
        </w:rPr>
        <w:t>actually existed</w:t>
      </w:r>
      <w:r>
        <w:t xml:space="preserve"> {in 2006-2010} could have pursued such a programme only by a narrow margin, with a hi</w:t>
      </w:r>
      <w:r w:rsidR="00C77C98">
        <w:t>gh likelihood that it would, to </w:t>
      </w:r>
      <w:r>
        <w:t>some degree, have had to make certain compromises with respect to the pace of the programme and/or the features of the aircraft."</w:t>
      </w:r>
      <w:r>
        <w:rPr>
          <w:rStyle w:val="FootnoteReference"/>
        </w:rPr>
        <w:footnoteReference w:id="2125"/>
      </w:r>
      <w:r>
        <w:t xml:space="preserve"> We have also rejected the European Union's claim that the Panel erred in finding that </w:t>
      </w:r>
      <w:r w:rsidR="00863780">
        <w:t xml:space="preserve">the </w:t>
      </w:r>
      <w:r>
        <w:t>A380 LA/MSF subsidies had "indirect effects" on the</w:t>
      </w:r>
      <w:r w:rsidR="00C77C98">
        <w:t> </w:t>
      </w:r>
      <w:r w:rsidR="00C77BFB">
        <w:t>A350XWB</w:t>
      </w:r>
      <w:r>
        <w:t xml:space="preserve">. </w:t>
      </w:r>
    </w:p>
    <w:p w:rsidR="00C752B3" w:rsidRDefault="00C752B3" w:rsidP="00526697">
      <w:pPr>
        <w:pStyle w:val="BodyText"/>
      </w:pPr>
      <w:r>
        <w:t xml:space="preserve">The findings by the Panel on the issues surrounding the Original A350 and the launch of the A350XWB, together with its findings on the severe implications of the extensive delays with the A380 programme, establish that Airbus was faced with considerable overall uncertainty in the years following the original reference period. Moreover, the original panel's findings, together with the Panel's analysis, indicate that A380 LA/MSF had "direct effects" on Airbus' ability to launch, bring to market, and continue developing the A380 </w:t>
      </w:r>
      <w:r>
        <w:rPr>
          <w:i/>
        </w:rPr>
        <w:t>as and when it</w:t>
      </w:r>
      <w:r>
        <w:t xml:space="preserve"> </w:t>
      </w:r>
      <w:r>
        <w:rPr>
          <w:i/>
        </w:rPr>
        <w:t>did</w:t>
      </w:r>
      <w:r>
        <w:t xml:space="preserve">, given that </w:t>
      </w:r>
      <w:r w:rsidR="00863780">
        <w:t xml:space="preserve">the </w:t>
      </w:r>
      <w:r w:rsidR="004728B7">
        <w:t>A380 </w:t>
      </w:r>
      <w:r>
        <w:t>LA/MSF subsidies had not expired, as well as the fact that Airbus continued to receive disbursements under the French, German, and Spanish LA/MSF contracts at a time when it was experiencing severe financial difficulties resulting from the extensiv</w:t>
      </w:r>
      <w:r w:rsidR="004728B7">
        <w:t>e production delays in the A380 </w:t>
      </w:r>
      <w:r>
        <w:t xml:space="preserve">programme. The Panel's findings regarding the "direct effects" of the A350XWB LA/MSF, read together with its findings concerning the "indirect effects" of the A380 LA/MSF, also indicate that, without the aggregated "product effects" of the existing LA/MSF subsidies for the A380 and A350XWB programmes, Airbus would not have been able to launch the A350XWB </w:t>
      </w:r>
      <w:r>
        <w:rPr>
          <w:i/>
        </w:rPr>
        <w:t>as and when it did</w:t>
      </w:r>
      <w:r>
        <w:t xml:space="preserve">. </w:t>
      </w:r>
      <w:r w:rsidR="00F3583D">
        <w:t>In other words</w:t>
      </w:r>
      <w:r>
        <w:t xml:space="preserve">, the existing LA/MSF subsidies that Airbus continued to receive made it possible to proceed with the timely launch of the A350XWB – a high-risk and expensive programme of considerable strategic importance to Airbus – </w:t>
      </w:r>
      <w:r w:rsidR="00863780">
        <w:t>and to</w:t>
      </w:r>
      <w:r>
        <w:t xml:space="preserve"> bring to market the A380, which had suffered extensive delays.</w:t>
      </w:r>
    </w:p>
    <w:p w:rsidR="00C752B3" w:rsidRDefault="00C752B3" w:rsidP="00526697">
      <w:pPr>
        <w:pStyle w:val="BodyText"/>
      </w:pPr>
      <w:r>
        <w:t xml:space="preserve">In sum, </w:t>
      </w:r>
      <w:r w:rsidR="00863780">
        <w:t>our discussion of</w:t>
      </w:r>
      <w:r>
        <w:t xml:space="preserve"> the Panel's findings </w:t>
      </w:r>
      <w:r w:rsidR="00F3583D">
        <w:t>reveals</w:t>
      </w:r>
      <w:r w:rsidR="00863780">
        <w:t xml:space="preserve"> that the LA/MSF subsidies existing in the post-implementation period – i.e.</w:t>
      </w:r>
      <w:r>
        <w:t xml:space="preserve"> the A380 and the A350XWB </w:t>
      </w:r>
      <w:r w:rsidR="00863780">
        <w:t xml:space="preserve">LA/MSF subsidies – </w:t>
      </w:r>
      <w:r>
        <w:t xml:space="preserve">enabled Airbus to proceed with the timely launch and development of the A350XWB, </w:t>
      </w:r>
      <w:r w:rsidR="00F3583D">
        <w:t>and</w:t>
      </w:r>
      <w:r>
        <w:t xml:space="preserve"> to bring to market and to continue developing the A380. Both these events were crucial to renew and sustain Airbus' competitiveness in the post</w:t>
      </w:r>
      <w:r>
        <w:noBreakHyphen/>
        <w:t>implementation period.</w:t>
      </w:r>
    </w:p>
    <w:p w:rsidR="00C752B3" w:rsidRDefault="00C752B3" w:rsidP="00526697">
      <w:pPr>
        <w:pStyle w:val="Heading3"/>
      </w:pPr>
      <w:bookmarkStart w:id="228" w:name="_Toc514059323"/>
      <w:r>
        <w:t>Lost sales, displacement, and impedance</w:t>
      </w:r>
      <w:bookmarkEnd w:id="228"/>
    </w:p>
    <w:p w:rsidR="00C752B3" w:rsidRDefault="00C752B3" w:rsidP="00526697">
      <w:pPr>
        <w:pStyle w:val="BodyText"/>
      </w:pPr>
      <w:r>
        <w:t xml:space="preserve">We </w:t>
      </w:r>
      <w:r w:rsidR="00863780">
        <w:t>recall</w:t>
      </w:r>
      <w:r>
        <w:t xml:space="preserve"> that "displacement or impedance" would arise where the counterfactual analysis shows that the sales of the complaining Member would have declined less or would have been higher in the absence of the challenged subsidy. We understand the Panel to have sought to apply this framework when it turned to assess whether the volume of deliveries and market shares that "would have been achieved by the United States' LCA industry between 1 December 2011 and the end of 2013 would have been higher than</w:t>
      </w:r>
      <w:r>
        <w:rPr>
          <w:i/>
        </w:rPr>
        <w:t xml:space="preserve"> its actual level</w:t>
      </w:r>
      <w:r>
        <w:t xml:space="preserve"> in all relevant product markets"</w:t>
      </w:r>
      <w:r>
        <w:rPr>
          <w:rStyle w:val="FootnoteReference"/>
        </w:rPr>
        <w:footnoteReference w:id="2126"/>
      </w:r>
      <w:r>
        <w:t xml:space="preserve"> in the absence of the "product effects" of the LA/MSF subsidies. We further </w:t>
      </w:r>
      <w:r w:rsidR="00863780">
        <w:t>consider</w:t>
      </w:r>
      <w:r>
        <w:t xml:space="preserve"> that the Panel's finding that "the United States has established that the 'product' effects of the challenged LA/MSF subsidies are a 'genuine and substantial' cause of </w:t>
      </w:r>
      <w:r>
        <w:rPr>
          <w:i/>
        </w:rPr>
        <w:t>displacement and/or impedance</w:t>
      </w:r>
      <w:r>
        <w:t xml:space="preserve"> of United States LCA"</w:t>
      </w:r>
      <w:r>
        <w:rPr>
          <w:vertAlign w:val="superscript"/>
        </w:rPr>
        <w:footnoteReference w:id="2127"/>
      </w:r>
      <w:r>
        <w:t xml:space="preserve"> in the relevant geographic markets for single-aisle LCA, twin-aisle LCA, and VLA is informed by the manner in which the United States framed its claims. We do not read the Panel's use of the term "displacement and/or impedance" when summing up its serious prejudice findings regarding the relevant markets at issue as suggesting that the Panel found the existence of these serious prejudice phenomena in an undifferentiated manner with respect to one and the same product and country market. Therefore, contrary to what the European Union appears to suggest, it does not necessarily follow from the Panel's use of the term "displacement and/or impedance" that the Panel treated "displacement" and "impedance" as interchangeable and indistinguishable concepts for purposes of its adverse effects analysis.</w:t>
      </w:r>
      <w:r>
        <w:rPr>
          <w:rFonts w:ascii="Times New Roman" w:hAnsi="Times New Roman"/>
          <w:sz w:val="24"/>
          <w:szCs w:val="24"/>
          <w:lang w:eastAsia="zh-CN"/>
        </w:rPr>
        <w:t xml:space="preserve"> </w:t>
      </w:r>
    </w:p>
    <w:p w:rsidR="00C752B3" w:rsidRDefault="00C752B3" w:rsidP="00526697">
      <w:pPr>
        <w:pStyle w:val="BodyText"/>
      </w:pPr>
      <w:r>
        <w:t>We recall our finding that the Panel's assessment of the relevant product markets in these compliance proceedings was based on a proper analysis of the nature and degree of competition between products that the Panel found to demonstrate sufficien</w:t>
      </w:r>
      <w:r w:rsidR="00C77C98">
        <w:t>t substitutability. However, an </w:t>
      </w:r>
      <w:r>
        <w:t>assessment of the nature and degree of competition in the relevant product market(s) does not, in and of itself, answer the question of whether the</w:t>
      </w:r>
      <w:r w:rsidR="00C77C98">
        <w:t xml:space="preserve"> subsidies existing in the post</w:t>
      </w:r>
      <w:r w:rsidR="00C77C98">
        <w:noBreakHyphen/>
      </w:r>
      <w:r>
        <w:t xml:space="preserve">implementation period are a genuine and substantial cause of </w:t>
      </w:r>
      <w:r w:rsidR="00C77C98">
        <w:t>adverse effects in the relevant </w:t>
      </w:r>
      <w:r>
        <w:t>market</w:t>
      </w:r>
      <w:r w:rsidR="00F3583D">
        <w:t>(</w:t>
      </w:r>
      <w:r>
        <w:t>s</w:t>
      </w:r>
      <w:r w:rsidR="00F3583D">
        <w:t>)</w:t>
      </w:r>
      <w:r>
        <w:t>.</w:t>
      </w:r>
    </w:p>
    <w:p w:rsidR="00C752B3" w:rsidRDefault="00C752B3" w:rsidP="00526697">
      <w:pPr>
        <w:pStyle w:val="Heading4"/>
        <w:numPr>
          <w:ilvl w:val="3"/>
          <w:numId w:val="30"/>
        </w:numPr>
      </w:pPr>
      <w:bookmarkStart w:id="229" w:name="_Toc514059324"/>
      <w:r>
        <w:t>The single-aisle LCA market</w:t>
      </w:r>
      <w:bookmarkEnd w:id="229"/>
      <w:r>
        <w:t xml:space="preserve"> </w:t>
      </w:r>
    </w:p>
    <w:p w:rsidR="00C752B3" w:rsidRDefault="00C752B3" w:rsidP="00526697">
      <w:pPr>
        <w:pStyle w:val="BodyText"/>
      </w:pPr>
      <w:r>
        <w:t xml:space="preserve">With regard to the single-aisle LCA market, the Panel's </w:t>
      </w:r>
      <w:r w:rsidR="00C77C98">
        <w:t>findings regarding the "product </w:t>
      </w:r>
      <w:r>
        <w:t xml:space="preserve">effects" of LA/MSF subsidies on the market presence of </w:t>
      </w:r>
      <w:r>
        <w:rPr>
          <w:i/>
        </w:rPr>
        <w:t>the A320</w:t>
      </w:r>
      <w:r>
        <w:t xml:space="preserve"> concerned primarily the effects of those subsidies that had expired prior to the end of the implementation period. We have found, however, that the European Union has no compliance obligation in respect of those expired subsidies. Rather, the pertinent question is whether the</w:t>
      </w:r>
      <w:r w:rsidR="00863780">
        <w:t xml:space="preserve"> subsidies existing in the post</w:t>
      </w:r>
      <w:r w:rsidR="00863780">
        <w:noBreakHyphen/>
      </w:r>
      <w:r>
        <w:t xml:space="preserve">implementation period </w:t>
      </w:r>
      <w:r w:rsidR="00863780">
        <w:t xml:space="preserve">(i.e. after 1 December 2011) </w:t>
      </w:r>
      <w:r>
        <w:t>cause adverse effects, such that the European Union has failed to comply with its obligation under Article 7.8 of the SCM Agreement to "take appropriate steps to remove the adverse effects". We do not find any analysis by the Panel as to whether, and to what extent, Airbus' competitiveness in the single-aisle LCA market, gained through the pre</w:t>
      </w:r>
      <w:r>
        <w:noBreakHyphen/>
        <w:t>A380 LA/MSF subsidies, was renewed and sustained beyond the original reference period as a result of the subsidies that the European Union maintained or granted in the post</w:t>
      </w:r>
      <w:r>
        <w:noBreakHyphen/>
        <w:t>implementation period.</w:t>
      </w:r>
    </w:p>
    <w:p w:rsidR="00C752B3" w:rsidRDefault="00C752B3" w:rsidP="00526697">
      <w:pPr>
        <w:pStyle w:val="BodyText"/>
      </w:pPr>
      <w:r>
        <w:t>Thus, we are not convinced that, insofar as the single-aisle LCA market is concerned, the Panel's analysis provides a sufficient basis to sustain its conclusion, in paragraph 6.1798 of the Panel Report, that "the orders identified in Table 19 {in the single-aisle LCA market} represent 'significant' 'lost sales' to the United States LCA industry and, therefore, that the challenged LA/MSF subsidies continue to be a 'genuine and substantial' cause of serious prejudice to the United States within the meaning of Article 6.3(c) of the SCM Agreement". Similarly, we are not convinced that, with regard to the various country markets for single-aisle LCA, the Panel's analysis is sufficient to sustain its conclusion, in paragraph 6.1817 of the Panel Report, that "the challenged LA/MSF subsidies are a 'genuine and substantial' cause of displacement and/or impedance of United States LCA in the markets for single-aisle LCA in the European Union, Australia, China and India".</w:t>
      </w:r>
    </w:p>
    <w:p w:rsidR="00C752B3" w:rsidRDefault="00C752B3" w:rsidP="00526697">
      <w:pPr>
        <w:pStyle w:val="BodyText2"/>
      </w:pPr>
      <w:r>
        <w:t xml:space="preserve">We therefore </w:t>
      </w:r>
      <w:r>
        <w:rPr>
          <w:u w:val="single"/>
        </w:rPr>
        <w:t>reverse</w:t>
      </w:r>
      <w:r>
        <w:t xml:space="preserve"> the above conclusions of the Panel under Articles 6.3(a), 6.3(b), and 6.3(c) of the SCM Agreement insofar as they relate to the single-aisle LCA market.</w:t>
      </w:r>
    </w:p>
    <w:p w:rsidR="00C752B3" w:rsidRDefault="00C752B3" w:rsidP="00526697">
      <w:pPr>
        <w:pStyle w:val="BodyText"/>
      </w:pPr>
      <w:r>
        <w:t xml:space="preserve">Having so found, we do not consider it necessary for us to address the European Union's additional arguments described in </w:t>
      </w:r>
      <w:r w:rsidRPr="00C77C98">
        <w:t xml:space="preserve">paragraph </w:t>
      </w:r>
      <w:r w:rsidR="00FA1E5D" w:rsidRPr="00C77C98">
        <w:t>5.703</w:t>
      </w:r>
      <w:r w:rsidRPr="00C77C98">
        <w:t xml:space="preserve"> of this Report</w:t>
      </w:r>
      <w:r>
        <w:t xml:space="preserve">. </w:t>
      </w:r>
    </w:p>
    <w:p w:rsidR="00C752B3" w:rsidRDefault="00C752B3" w:rsidP="00526697">
      <w:pPr>
        <w:pStyle w:val="BodyText"/>
      </w:pPr>
      <w:r>
        <w:t xml:space="preserve">We further </w:t>
      </w:r>
      <w:r>
        <w:rPr>
          <w:u w:val="single"/>
        </w:rPr>
        <w:t>find</w:t>
      </w:r>
      <w:r>
        <w:t xml:space="preserve"> that we are unable to complete the legal analysis of the United States' </w:t>
      </w:r>
      <w:r w:rsidR="00863780">
        <w:t>claims of</w:t>
      </w:r>
      <w:r>
        <w:t xml:space="preserve"> "displacement and/or impedance" in the single-aisle LCA markets in Australia, China, and</w:t>
      </w:r>
      <w:r w:rsidR="00C77C98">
        <w:t> </w:t>
      </w:r>
      <w:r>
        <w:t xml:space="preserve">India, </w:t>
      </w:r>
      <w:r w:rsidR="00863780">
        <w:t xml:space="preserve">and </w:t>
      </w:r>
      <w:r>
        <w:t>impedance in the single</w:t>
      </w:r>
      <w:r>
        <w:noBreakHyphen/>
        <w:t>aisle LCA market</w:t>
      </w:r>
      <w:r w:rsidR="00863780">
        <w:t xml:space="preserve"> in the European Union</w:t>
      </w:r>
      <w:r>
        <w:t>, or</w:t>
      </w:r>
      <w:r w:rsidR="00863780">
        <w:t>,</w:t>
      </w:r>
      <w:r>
        <w:t xml:space="preserve"> in the alternative, threat of displacement and impedance in that market.</w:t>
      </w:r>
    </w:p>
    <w:p w:rsidR="00C752B3" w:rsidRDefault="00C752B3" w:rsidP="00526697">
      <w:pPr>
        <w:pStyle w:val="Heading4"/>
      </w:pPr>
      <w:bookmarkStart w:id="230" w:name="_Toc514059325"/>
      <w:r>
        <w:t>The twin-aisle LCA market</w:t>
      </w:r>
      <w:bookmarkEnd w:id="230"/>
      <w:r>
        <w:t xml:space="preserve"> </w:t>
      </w:r>
    </w:p>
    <w:p w:rsidR="00C752B3" w:rsidRDefault="00C752B3" w:rsidP="00526697">
      <w:pPr>
        <w:pStyle w:val="BodyText"/>
      </w:pPr>
      <w:r>
        <w:t>With regard to lost sales in the twin-aisle LCA market, our review of the Panel's finding on the product effects of LA/MSF subsidies on the A350XWB indicates that, in the absence of the LA/MSF subsidies existing in the post</w:t>
      </w:r>
      <w:r>
        <w:noBreakHyphen/>
        <w:t>implementation period</w:t>
      </w:r>
      <w:r w:rsidR="00863780">
        <w:t xml:space="preserve"> (i.e. after 1 December 2011)</w:t>
      </w:r>
      <w:r>
        <w:t xml:space="preserve">, Airbus would not have been able to offer the A350XWB at the time it did and with the features </w:t>
      </w:r>
      <w:r w:rsidR="00F3583D">
        <w:t>it had</w:t>
      </w:r>
      <w:r w:rsidR="00C77C98">
        <w:t>. The </w:t>
      </w:r>
      <w:r>
        <w:t>Panel's finding that the sales of the A350XWB in the post</w:t>
      </w:r>
      <w:r>
        <w:noBreakHyphen/>
        <w:t xml:space="preserve">implementation period constituted "lost sales" </w:t>
      </w:r>
      <w:r w:rsidR="00863780">
        <w:t xml:space="preserve">to the US LCA industry </w:t>
      </w:r>
      <w:r>
        <w:t>within the meaning of Article 6.3(c) of the SCM Agreement is also supported by relevant Panel findings regarding the competitive dynamics between Boeing's and Airbus' respective product offerings in the twin-aisle LCA market. Furthermore, we are not convinced by the European Union's argument that the Panel failed to take into account market</w:t>
      </w:r>
      <w:r>
        <w:noBreakHyphen/>
        <w:t>specific and sale-specific non</w:t>
      </w:r>
      <w:r>
        <w:noBreakHyphen/>
        <w:t>attribution factors.</w:t>
      </w:r>
    </w:p>
    <w:p w:rsidR="00C752B3" w:rsidRDefault="00C752B3" w:rsidP="00526697">
      <w:pPr>
        <w:pStyle w:val="BodyText"/>
      </w:pPr>
      <w:r>
        <w:t xml:space="preserve">Therefore, the Panel's findings support the conclusion that the sales of the A350XWB identified in Table 19 of the Panel Report represent "significant lost sales" to the </w:t>
      </w:r>
      <w:r w:rsidR="00F3583D">
        <w:t>US</w:t>
      </w:r>
      <w:r>
        <w:t xml:space="preserve"> LCA industry within the meaning of Article 6.3(c) of the SCM Agreement, and that such lost sales were the effect of the LA/MSF subsidies existing in the post</w:t>
      </w:r>
      <w:r>
        <w:noBreakHyphen/>
        <w:t xml:space="preserve">implementation period. This conclusion also finds support in the analytical framework adopted by the panel and the Appellate Body in the original proceedings, as well as in a number of </w:t>
      </w:r>
      <w:r w:rsidR="00863780">
        <w:t xml:space="preserve">the </w:t>
      </w:r>
      <w:r>
        <w:t>Panel</w:t>
      </w:r>
      <w:r w:rsidR="00863780">
        <w:t>'s</w:t>
      </w:r>
      <w:r>
        <w:t xml:space="preserve"> findings, including its finding concerning the "product effects" of the LA/MSF subsidies existing in the post</w:t>
      </w:r>
      <w:r>
        <w:noBreakHyphen/>
        <w:t>implementation period on Airbus' timely launch of the A350XWB, and the existence of sufficient substitutability between Boeing'</w:t>
      </w:r>
      <w:r w:rsidR="00863780">
        <w:t>s</w:t>
      </w:r>
      <w:r>
        <w:t xml:space="preserve"> and Airbus' twin-aisle product offerings. In light of our interpretation of Article 7.8 of the SCM Agreement, however, we disagree with the Panel's conclusion on "significant lost sales" in the twin-aisle LCA market to the extent that </w:t>
      </w:r>
      <w:r w:rsidR="00863780">
        <w:t xml:space="preserve">its </w:t>
      </w:r>
      <w:r>
        <w:t xml:space="preserve">conclusion </w:t>
      </w:r>
      <w:r w:rsidR="00863780">
        <w:t>wa</w:t>
      </w:r>
      <w:r>
        <w:t xml:space="preserve">s based on </w:t>
      </w:r>
      <w:r w:rsidR="00863780">
        <w:t xml:space="preserve">the effects of the </w:t>
      </w:r>
      <w:r>
        <w:t>challenged LA/MSF subsidies that the Panel found to have expired.</w:t>
      </w:r>
    </w:p>
    <w:p w:rsidR="00C752B3" w:rsidRDefault="00C752B3" w:rsidP="00526697">
      <w:pPr>
        <w:pStyle w:val="BodyText2"/>
      </w:pPr>
      <w:r>
        <w:t xml:space="preserve">Accordingly, we </w:t>
      </w:r>
      <w:r>
        <w:rPr>
          <w:u w:val="single"/>
        </w:rPr>
        <w:t>modify</w:t>
      </w:r>
      <w:r>
        <w:t xml:space="preserve"> the Panel's conclusion in paragraph 6.1798 of </w:t>
      </w:r>
      <w:r w:rsidR="00863780">
        <w:t>the Panel</w:t>
      </w:r>
      <w:r>
        <w:t xml:space="preserve"> Report</w:t>
      </w:r>
      <w:r w:rsidR="00F3583D">
        <w:t>,</w:t>
      </w:r>
      <w:r>
        <w:t xml:space="preserve"> and </w:t>
      </w:r>
      <w:r>
        <w:rPr>
          <w:u w:val="single"/>
        </w:rPr>
        <w:t>find</w:t>
      </w:r>
      <w:r>
        <w:t xml:space="preserve"> instead that the orders identified in Table 19</w:t>
      </w:r>
      <w:r w:rsidR="00863780">
        <w:t xml:space="preserve"> of the Panel Report</w:t>
      </w:r>
      <w:r>
        <w:t xml:space="preserve"> in the twin</w:t>
      </w:r>
      <w:r w:rsidR="00863780">
        <w:noBreakHyphen/>
      </w:r>
      <w:r>
        <w:t xml:space="preserve">aisle LCA market </w:t>
      </w:r>
      <w:r w:rsidR="00863780">
        <w:t>represent "</w:t>
      </w:r>
      <w:r>
        <w:t>significant lost sales</w:t>
      </w:r>
      <w:r w:rsidR="00863780">
        <w:t>"</w:t>
      </w:r>
      <w:r>
        <w:t xml:space="preserve"> to the US LCA industry and, therefore, that the LA/MSF subsidies existing in the post-implementation period are a genuine and substantial cause of serious prejudice to the United States within the meaning of Article 6.3(c) of the SCM Agreement.</w:t>
      </w:r>
    </w:p>
    <w:p w:rsidR="00C752B3" w:rsidRDefault="00C752B3" w:rsidP="00526697">
      <w:pPr>
        <w:pStyle w:val="BodyText"/>
      </w:pPr>
      <w:r>
        <w:t xml:space="preserve">With regard to displacement and impedance in the twin-aisle LCA market, we note that, according to the Panel, the LA/MSF subsidy for the A330-200 expired no later than </w:t>
      </w:r>
      <w:r>
        <w:rPr>
          <w:b/>
        </w:rPr>
        <w:t>[</w:t>
      </w:r>
      <w:r w:rsidR="00E8168B" w:rsidRPr="00C8434D">
        <w:rPr>
          <w:b/>
          <w:szCs w:val="16"/>
        </w:rPr>
        <w:t>BCI</w:t>
      </w:r>
      <w:r>
        <w:rPr>
          <w:b/>
        </w:rPr>
        <w:t>]</w:t>
      </w:r>
      <w:r w:rsidR="00C77C98">
        <w:t>, i.e. in </w:t>
      </w:r>
      <w:r w:rsidR="00A902A9">
        <w:t>the post-implementation period.</w:t>
      </w:r>
      <w:r>
        <w:t xml:space="preserve"> We note, however, that the original panel found that it was likely that the A330-200 could have been launched even in the absence of the specific LA/MSF granted in respect of that programme because it was a derivative of the A330 and, therefore, required a comparatively small amount of funding to develop. Moreover, unlike for the A380 and A350XWB LA/MSF subsidies, there are no specific findings by the Panel relating to the issue of whether and how the "product effects" of the A330-200 LA/MSF subsidy continued beyond 2006 and into the post-implementation period. Our review of the Panel's finding on the "product effects" of LA/MSF subsidies on the A350XWB indicates that, in the absence of the LA/MSF subsidies for the A380 and A350XWB existing in the post</w:t>
      </w:r>
      <w:r>
        <w:noBreakHyphen/>
        <w:t xml:space="preserve">implementation period, Airbus would not have been able to offer the A350XWB at the time it did and with the features </w:t>
      </w:r>
      <w:r w:rsidR="00F3583D">
        <w:t>it had</w:t>
      </w:r>
      <w:r>
        <w:t>. We further recall the Panel's finding that Airbus' A350XWB product offering was in direct competiti</w:t>
      </w:r>
      <w:r w:rsidR="00C77C98">
        <w:t>on with Boeing's twin</w:t>
      </w:r>
      <w:r w:rsidR="00C77C98">
        <w:noBreakHyphen/>
      </w:r>
      <w:r w:rsidR="00863780">
        <w:t>aisle LCA</w:t>
      </w:r>
      <w:r>
        <w:t xml:space="preserve">. </w:t>
      </w:r>
    </w:p>
    <w:p w:rsidR="00C752B3" w:rsidRDefault="00C752B3" w:rsidP="00526697">
      <w:pPr>
        <w:pStyle w:val="BodyText"/>
      </w:pPr>
      <w:r>
        <w:t xml:space="preserve">We note, however, that the United States framed its claim of displacement and/or impedance in the twin-aisle LCA market on the basis of data concerning market shares and </w:t>
      </w:r>
      <w:r>
        <w:rPr>
          <w:i/>
        </w:rPr>
        <w:t>deliveries</w:t>
      </w:r>
      <w:r>
        <w:t xml:space="preserve"> of Airbus and Boeing LCA </w:t>
      </w:r>
      <w:r w:rsidR="00863780">
        <w:t>during</w:t>
      </w:r>
      <w:r>
        <w:t xml:space="preserve"> the </w:t>
      </w:r>
      <w:r w:rsidR="00863780">
        <w:t>period 2001-2013</w:t>
      </w:r>
      <w:r>
        <w:t xml:space="preserve">. There were no deliveries of the A350XWB during that period. Thus, for purposes of the claim of displacement and/or impedance in the twin-aisle LCA market, the Panel relied on market shares and delivery data relating to the A330, rather than orders of the A350XWB, in making its finding. We recall, in this regard, that the Panel's findings regarding the "product effects" of LA/MSF subsidies on the A330 concerned primarily the effects of </w:t>
      </w:r>
      <w:r w:rsidR="00B06608">
        <w:t xml:space="preserve">those </w:t>
      </w:r>
      <w:r>
        <w:t>subsidies that had expired. We have found, however, that the European Union has no compliance obligation in respect of those</w:t>
      </w:r>
      <w:r w:rsidR="00C77C98">
        <w:t xml:space="preserve"> expired subsidies. Rather, the </w:t>
      </w:r>
      <w:r>
        <w:t xml:space="preserve">pertinent question is whether the subsidies existing in the post-implementation period cause adverse effects, such that the European Union has failed to comply with its obligations under Article 7.8 of the SCM Agreement to "take appropriate steps to remove the adverse effects". However, given the way the claims of displacement and/or impedance were raised before the Panel and </w:t>
      </w:r>
      <w:r w:rsidR="00B06608">
        <w:t>its</w:t>
      </w:r>
      <w:r>
        <w:t xml:space="preserve"> approach to assessing these claims, the Panel did not explore, and made no findings on, the issue of whether and</w:t>
      </w:r>
      <w:r w:rsidR="00B06608">
        <w:t>,</w:t>
      </w:r>
      <w:r>
        <w:t xml:space="preserve"> if so, how the A380 and A350XWB subsidies existing in the post-implementation period may have contributed to the deliveries of the A330 occurring during that period. In these circumstances, we are not convinced that the Panel's analysis and findings provide a sufficient basis to sustain the conclusion that the effect of the LA/MSF subsidies existing in the post</w:t>
      </w:r>
      <w:r>
        <w:noBreakHyphen/>
        <w:t xml:space="preserve">implementation period was to displace or impede US LCA in the twin-aisle LCA market </w:t>
      </w:r>
      <w:r w:rsidR="00B06608">
        <w:t xml:space="preserve">in the European Union and </w:t>
      </w:r>
      <w:r>
        <w:t>relevant third country markets.</w:t>
      </w:r>
    </w:p>
    <w:p w:rsidR="00C752B3" w:rsidRDefault="00C752B3" w:rsidP="00526697">
      <w:pPr>
        <w:pStyle w:val="BodyText2"/>
      </w:pPr>
      <w:r>
        <w:t xml:space="preserve">Accordingly, we </w:t>
      </w:r>
      <w:r>
        <w:rPr>
          <w:u w:val="single"/>
        </w:rPr>
        <w:t>reverse</w:t>
      </w:r>
      <w:r>
        <w:t xml:space="preserve"> the Panel's conc</w:t>
      </w:r>
      <w:r w:rsidR="00B06608">
        <w:t>lusion</w:t>
      </w:r>
      <w:r w:rsidR="00F3583D">
        <w:t>,</w:t>
      </w:r>
      <w:r w:rsidR="00B06608">
        <w:t xml:space="preserve"> in paragraph 6.1817 of the Panel</w:t>
      </w:r>
      <w:r>
        <w:t xml:space="preserve"> </w:t>
      </w:r>
      <w:r w:rsidR="00B06608">
        <w:t>R</w:t>
      </w:r>
      <w:r>
        <w:t>eport</w:t>
      </w:r>
      <w:r w:rsidR="00F3583D">
        <w:t>,</w:t>
      </w:r>
      <w:r>
        <w:t xml:space="preserve"> that "the United States ha{d} established that the 'product' effects of the challenged LA/MSF subsidies are a 'genuine and substantial' cause of displacement and/or impedance of United States LCA in the markets for … twin</w:t>
      </w:r>
      <w:r>
        <w:noBreakHyphen/>
        <w:t>aisle LCA in the European Union, China, Korea and Singapore".</w:t>
      </w:r>
    </w:p>
    <w:p w:rsidR="00C752B3" w:rsidRDefault="00C752B3" w:rsidP="00526697">
      <w:pPr>
        <w:pStyle w:val="BodyText"/>
      </w:pPr>
      <w:r>
        <w:t xml:space="preserve">Having done so, we see no further reason to address the European Union's additional arguments regarding the Panel's conclusion, as set out in </w:t>
      </w:r>
      <w:r w:rsidRPr="00C77C98">
        <w:t xml:space="preserve">paragraph </w:t>
      </w:r>
      <w:r w:rsidR="00FA1E5D" w:rsidRPr="00C77C98">
        <w:t>5.703</w:t>
      </w:r>
      <w:r w:rsidRPr="00C77C98">
        <w:t xml:space="preserve"> of this Report</w:t>
      </w:r>
      <w:r>
        <w:t xml:space="preserve">. </w:t>
      </w:r>
    </w:p>
    <w:p w:rsidR="00C752B3" w:rsidRDefault="00C752B3" w:rsidP="00526697">
      <w:pPr>
        <w:pStyle w:val="BodyText"/>
      </w:pPr>
      <w:r>
        <w:t xml:space="preserve">We further </w:t>
      </w:r>
      <w:r>
        <w:rPr>
          <w:u w:val="single"/>
        </w:rPr>
        <w:t>find</w:t>
      </w:r>
      <w:r>
        <w:t xml:space="preserve"> that we are unable to complete the legal analysis of the United States' </w:t>
      </w:r>
      <w:r w:rsidR="00B06608">
        <w:t>claims of</w:t>
      </w:r>
      <w:r>
        <w:t xml:space="preserve"> displacement in the twin-aisle LCA markets in C</w:t>
      </w:r>
      <w:r w:rsidR="00C77C98">
        <w:t>hina, Korea, and Singapore, and </w:t>
      </w:r>
      <w:r>
        <w:t>impedance in the twin-aisle LCA markets in the European Union, China, Korea, and Singapore.</w:t>
      </w:r>
    </w:p>
    <w:p w:rsidR="00C752B3" w:rsidRDefault="00C752B3" w:rsidP="00526697">
      <w:pPr>
        <w:pStyle w:val="Heading4"/>
      </w:pPr>
      <w:bookmarkStart w:id="231" w:name="_Toc514059326"/>
      <w:r>
        <w:t>The VLA market</w:t>
      </w:r>
      <w:bookmarkEnd w:id="231"/>
      <w:r>
        <w:t xml:space="preserve"> </w:t>
      </w:r>
    </w:p>
    <w:p w:rsidR="00C752B3" w:rsidRDefault="00C752B3" w:rsidP="00526697">
      <w:pPr>
        <w:pStyle w:val="BodyText"/>
      </w:pPr>
      <w:r>
        <w:t xml:space="preserve">With regard to lost sales in the VLA market, our review of the Panel's findings, as well as </w:t>
      </w:r>
      <w:r w:rsidR="00B06608">
        <w:t xml:space="preserve">the </w:t>
      </w:r>
      <w:r>
        <w:t>relevant findings from the original proceedings</w:t>
      </w:r>
      <w:r w:rsidR="00F3583D">
        <w:t>,</w:t>
      </w:r>
      <w:r>
        <w:t xml:space="preserve"> indicates that, in the absence of the LA/MSF subsidies existing in the post</w:t>
      </w:r>
      <w:r>
        <w:noBreakHyphen/>
        <w:t>implementation period</w:t>
      </w:r>
      <w:r w:rsidR="00B06608">
        <w:t xml:space="preserve"> (i.e. after 1 December 2011)</w:t>
      </w:r>
      <w:r>
        <w:t>, Airbus would not have been able to offer the A380 at the time it did. Moreover, the Panel's analysis regarding the conditions of competition in the VLA market confirms that Airbus' and Boeing'</w:t>
      </w:r>
      <w:r w:rsidR="00B06608">
        <w:t>s</w:t>
      </w:r>
      <w:r>
        <w:t xml:space="preserve"> respective VLA products – the A380 and 747 – are sufficiently substitutable with each other. Such competitive dynamics, in our view, provide further support to the proposition that the sales won by Airbus in the VLA market were at the expense of the US LCA producer. Finally, like the Panel, we have doubts as to whether Airbus' pre</w:t>
      </w:r>
      <w:r>
        <w:noBreakHyphen/>
        <w:t>existing commonality advantages and other product-related advantages over Boeing could be characterized as non</w:t>
      </w:r>
      <w:r>
        <w:noBreakHyphen/>
        <w:t>attribution factors that could be said to "dilute" the causal link between the LA/MSF subsidies existing in the post-implementation period and the relevant market phenomena.</w:t>
      </w:r>
    </w:p>
    <w:p w:rsidR="00C752B3" w:rsidRDefault="00C752B3" w:rsidP="00526697">
      <w:pPr>
        <w:pStyle w:val="BodyText"/>
      </w:pPr>
      <w:r>
        <w:t>Therefore, the Panel's findings support the conclusion that the sales of the A380 identified in Table 19 of the Panel Report represent "significant lost sales" to the US LCA industry within the meaning of Article 6.3(c) of the SCM Agreement, and that such lost sales were the effect of the LA/MSF subsidies existing in the post</w:t>
      </w:r>
      <w:r>
        <w:noBreakHyphen/>
        <w:t xml:space="preserve">implementation period. This conclusion also finds support in the analytical framework adopted by the panel and the Appellate Body in the original proceedings, as well as in a number of </w:t>
      </w:r>
      <w:r w:rsidR="00B06608">
        <w:t xml:space="preserve">the </w:t>
      </w:r>
      <w:r>
        <w:t>Panel</w:t>
      </w:r>
      <w:r w:rsidR="00B06608">
        <w:t>'s</w:t>
      </w:r>
      <w:r>
        <w:t xml:space="preserve"> findings, including its finding concerning the "product effects" of the LA/MSF subsidies existing in the post-implementation period on Airbus' continued offering of the A380, and the existence of sufficient substitutability between Boeing'</w:t>
      </w:r>
      <w:r w:rsidR="00B06608">
        <w:t>s</w:t>
      </w:r>
      <w:r>
        <w:t xml:space="preserve"> and Airbus' VLA product offerings. In light of our interpretation of Article 7.8 of the SCM Agreement, however, we disagree with the Panel's conclusion on "significant</w:t>
      </w:r>
      <w:r w:rsidR="00B06608">
        <w:t xml:space="preserve"> </w:t>
      </w:r>
      <w:r>
        <w:t xml:space="preserve">lost sales" in the VLA market to the extent that </w:t>
      </w:r>
      <w:r w:rsidR="00B06608">
        <w:t xml:space="preserve">its </w:t>
      </w:r>
      <w:r>
        <w:t xml:space="preserve">conclusion </w:t>
      </w:r>
      <w:r w:rsidR="00B06608">
        <w:t>wa</w:t>
      </w:r>
      <w:r>
        <w:t>s based on effects of challenged LA/MSF subsidi</w:t>
      </w:r>
      <w:r w:rsidR="00C77C98">
        <w:t>es that the Panel found to have </w:t>
      </w:r>
      <w:r>
        <w:t>expired.</w:t>
      </w:r>
    </w:p>
    <w:p w:rsidR="00C752B3" w:rsidRDefault="00C752B3" w:rsidP="00526697">
      <w:pPr>
        <w:pStyle w:val="BodyText2"/>
      </w:pPr>
      <w:r>
        <w:t xml:space="preserve">Accordingly, we </w:t>
      </w:r>
      <w:r>
        <w:rPr>
          <w:u w:val="single"/>
        </w:rPr>
        <w:t>modify</w:t>
      </w:r>
      <w:r>
        <w:t xml:space="preserve"> the Panel's </w:t>
      </w:r>
      <w:r w:rsidR="00F3583D">
        <w:t>conclusion</w:t>
      </w:r>
      <w:r>
        <w:t xml:space="preserve"> in paragraph 6.1798 of the Panel Report, and </w:t>
      </w:r>
      <w:r>
        <w:rPr>
          <w:u w:val="single"/>
        </w:rPr>
        <w:t>find</w:t>
      </w:r>
      <w:r>
        <w:t xml:space="preserve"> instead that the orders identified in Table 19</w:t>
      </w:r>
      <w:r w:rsidR="00B06608">
        <w:t xml:space="preserve"> of the Panel Report</w:t>
      </w:r>
      <w:r>
        <w:t xml:space="preserve"> in the VLA market represent </w:t>
      </w:r>
      <w:r w:rsidR="00B06608">
        <w:t>"</w:t>
      </w:r>
      <w:r>
        <w:t>significant lost sales</w:t>
      </w:r>
      <w:r w:rsidR="00B06608">
        <w:t>"</w:t>
      </w:r>
      <w:r>
        <w:t xml:space="preserve"> to the US LCA industry and, therefore, that the LA/MSF subsidies existing in the post-implementation period continue to be a genuine and substantial cause of serious prejudice to the United States within the meaning of Article 6.3(c) of the SCM Agreement.</w:t>
      </w:r>
    </w:p>
    <w:p w:rsidR="00C752B3" w:rsidRDefault="00C752B3" w:rsidP="00526697">
      <w:pPr>
        <w:pStyle w:val="BodyText"/>
      </w:pPr>
      <w:r>
        <w:t xml:space="preserve">With regard to displacement and impedance in the VLA market, our review of the Panel's findings, as well as </w:t>
      </w:r>
      <w:r w:rsidR="00B06608">
        <w:t xml:space="preserve">the </w:t>
      </w:r>
      <w:r>
        <w:t>relevant findings from the original proceedings, indicates that, in the absence of the LA/MSF subsidies existing in the post</w:t>
      </w:r>
      <w:r>
        <w:noBreakHyphen/>
        <w:t>implementation period, Airbus would not have been able to offer the A380 at the time it did. We also recall that, as the Panel's analysis of the competitive dynamics in the VLA market shows, Boeing's</w:t>
      </w:r>
      <w:r w:rsidR="00F3583D">
        <w:t xml:space="preserve"> and Airbus' respective product </w:t>
      </w:r>
      <w:r>
        <w:t>offerings – the 747 and the A380 – are sufficiently substit</w:t>
      </w:r>
      <w:r w:rsidR="00F3583D">
        <w:t>utable. With respect to the non</w:t>
      </w:r>
      <w:r w:rsidR="00F3583D">
        <w:noBreakHyphen/>
      </w:r>
      <w:r>
        <w:t xml:space="preserve">attribution factor alleged by the European Union concerning the development and production delays affecting the 747-8, we note the Panel's observation </w:t>
      </w:r>
      <w:r w:rsidR="00C77C98">
        <w:t>that the larger versions of the </w:t>
      </w:r>
      <w:r>
        <w:t>777</w:t>
      </w:r>
      <w:r w:rsidR="00C77C98">
        <w:t> </w:t>
      </w:r>
      <w:r>
        <w:t>may also at times challenge for sales in the VLA market. Therefore, we see no reason to disturb the Panel's finding that this non</w:t>
      </w:r>
      <w:r>
        <w:noBreakHyphen/>
        <w:t>attribution factor would not be capable of diluting the genuine and substantial relationship of cause and effect between the LA/MSF subsidies and the alleged market phenomena.</w:t>
      </w:r>
    </w:p>
    <w:p w:rsidR="00C752B3" w:rsidRDefault="00C752B3" w:rsidP="00526697">
      <w:pPr>
        <w:pStyle w:val="BodyText"/>
      </w:pPr>
      <w:r>
        <w:t xml:space="preserve">We recall that a trend analysis may be relevant and indicative, although not necessarily determinative, for purposes of a finding of displacement. In reaching its finding of displacement, however, the Panel did not examine whether there existed any discernible trends in volumes and market shares in </w:t>
      </w:r>
      <w:r w:rsidR="00B06608">
        <w:t xml:space="preserve">the </w:t>
      </w:r>
      <w:r>
        <w:t xml:space="preserve">VLA markets at issue, including whether or not </w:t>
      </w:r>
      <w:r w:rsidR="00B06608">
        <w:t>there existed declining trends that</w:t>
      </w:r>
      <w:r>
        <w:t xml:space="preserve"> could have supported the Panel's findings. In these circumstances, we consider that the Panel should have engaged with the evidence before it in order to </w:t>
      </w:r>
      <w:r w:rsidR="00B06608">
        <w:t xml:space="preserve">explain </w:t>
      </w:r>
      <w:r>
        <w:t>sufficiently the basis for its finding that the LA/MSF subsidies had the effect of displacing US LCA in these VLA markets in the post</w:t>
      </w:r>
      <w:r>
        <w:noBreakHyphen/>
        <w:t xml:space="preserve">implementation period. </w:t>
      </w:r>
    </w:p>
    <w:p w:rsidR="00C752B3" w:rsidRDefault="00C752B3" w:rsidP="00526697">
      <w:pPr>
        <w:pStyle w:val="BodyText2"/>
      </w:pPr>
      <w:r>
        <w:t xml:space="preserve">Accordingly, </w:t>
      </w:r>
      <w:r w:rsidR="00B06608">
        <w:t xml:space="preserve">insofar </w:t>
      </w:r>
      <w:r w:rsidR="00B06608">
        <w:rPr>
          <w:i/>
        </w:rPr>
        <w:t xml:space="preserve">as displacement in the VLA market </w:t>
      </w:r>
      <w:r w:rsidR="00B06608" w:rsidRPr="00B06608">
        <w:rPr>
          <w:i/>
        </w:rPr>
        <w:t>is concerned</w:t>
      </w:r>
      <w:r w:rsidR="00B06608">
        <w:t xml:space="preserve">, </w:t>
      </w:r>
      <w:r w:rsidRPr="00B06608">
        <w:t>we</w:t>
      </w:r>
      <w:r>
        <w:t xml:space="preserve"> disagree </w:t>
      </w:r>
      <w:r w:rsidR="00B06608">
        <w:t xml:space="preserve">with the Panel </w:t>
      </w:r>
      <w:r>
        <w:t xml:space="preserve">to the extent </w:t>
      </w:r>
      <w:r w:rsidR="00F3583D">
        <w:t xml:space="preserve">that </w:t>
      </w:r>
      <w:r w:rsidR="00B06608">
        <w:t>it</w:t>
      </w:r>
      <w:r>
        <w:t xml:space="preserve"> found</w:t>
      </w:r>
      <w:r w:rsidR="00B06608">
        <w:t>,</w:t>
      </w:r>
      <w:r>
        <w:t xml:space="preserve"> in paragraph 6.1817</w:t>
      </w:r>
      <w:r w:rsidR="00C77C98">
        <w:t xml:space="preserve"> of the Panel Report, that "the </w:t>
      </w:r>
      <w:r>
        <w:t>United States ha{d} established that the 'product' effects of the challenged LA/MSF subsidies are a 'genuine and substantial' cause of displacement … of United States LCA in the markets for … {VLA} in the European Union, Australia, … Korea, {and} Singapore".</w:t>
      </w:r>
    </w:p>
    <w:p w:rsidR="00C752B3" w:rsidRDefault="00C752B3" w:rsidP="00526697">
      <w:pPr>
        <w:pStyle w:val="BodyText"/>
      </w:pPr>
      <w:r>
        <w:t xml:space="preserve">We further </w:t>
      </w:r>
      <w:r>
        <w:rPr>
          <w:u w:val="single"/>
        </w:rPr>
        <w:t>find</w:t>
      </w:r>
      <w:r>
        <w:t xml:space="preserve"> that we are unable to complete the legal analysis of the United States' </w:t>
      </w:r>
      <w:r w:rsidR="00B06608">
        <w:t>claim of</w:t>
      </w:r>
      <w:r>
        <w:t xml:space="preserve"> displacement in the VLA markets in the European Union, Australia, Korea, and Singapore. </w:t>
      </w:r>
    </w:p>
    <w:p w:rsidR="00C752B3" w:rsidRDefault="00C752B3" w:rsidP="00526697">
      <w:pPr>
        <w:pStyle w:val="BodyText"/>
      </w:pPr>
      <w:r>
        <w:t xml:space="preserve">As for the finding of impedance, we recall that the phenomenon of impedance refers to situations where the exports or imports of the like product of the complaining Member would have expanded had they not been </w:t>
      </w:r>
      <w:r w:rsidR="00B06608">
        <w:t>"</w:t>
      </w:r>
      <w:r>
        <w:t>obstructed</w:t>
      </w:r>
      <w:r w:rsidR="00B06608">
        <w:t>"</w:t>
      </w:r>
      <w:r>
        <w:t xml:space="preserve"> or </w:t>
      </w:r>
      <w:r w:rsidR="00B06608">
        <w:t>"</w:t>
      </w:r>
      <w:r>
        <w:t>hindered</w:t>
      </w:r>
      <w:r w:rsidR="00B06608">
        <w:t>"</w:t>
      </w:r>
      <w:r>
        <w:t xml:space="preserve"> by the subsidized product. Given the particular nature of the LCA industry, especially for VLA like the </w:t>
      </w:r>
      <w:r w:rsidR="00B06608">
        <w:t xml:space="preserve">Boeing </w:t>
      </w:r>
      <w:r>
        <w:t xml:space="preserve">747-8 and the </w:t>
      </w:r>
      <w:r w:rsidR="00B06608">
        <w:t>Airbus </w:t>
      </w:r>
      <w:r>
        <w:t>A380, where instances of sales and volumes of deliveries are generally much lower than in the case of consumer goods, we do not consider that the volumes of deliveries that the Panel considered could not have supported a finding of impedance. We further recall that our review of the Panel's findings with respect to the A380 and A350XWB programmes, as well as relevant findings from the original proceedings, indicates that, in the absence of the LA/MSF subsidies existing in the post</w:t>
      </w:r>
      <w:r>
        <w:noBreakHyphen/>
        <w:t>implementation period, Airbus would not have been able to offer the A380 at the time it did. Moreover, as the Panel's analysis of the competitive dynamics in the VLA market shows, Boeing's and Airbus' respective product</w:t>
      </w:r>
      <w:r w:rsidR="00662E2C">
        <w:t xml:space="preserve"> </w:t>
      </w:r>
      <w:r>
        <w:t>offerings – the 747-8 and the A380 – are sufficiently substitutable. Thus, contrary to the situation regardin</w:t>
      </w:r>
      <w:r w:rsidR="00662E2C">
        <w:t>g alleged impedance in the twin</w:t>
      </w:r>
      <w:r w:rsidR="00662E2C">
        <w:noBreakHyphen/>
      </w:r>
      <w:r>
        <w:t>aisle LCA market, the "product effects" of the LA/MSF subsidies e</w:t>
      </w:r>
      <w:r w:rsidR="00662E2C">
        <w:t>xisting in the post</w:t>
      </w:r>
      <w:r w:rsidR="00662E2C">
        <w:noBreakHyphen/>
      </w:r>
      <w:r>
        <w:t>implementation period, including the A380 LA/MSF subsidies, and the VLA delivery data underlying the United States' claim, concern the same aircraft model</w:t>
      </w:r>
      <w:r w:rsidR="00662E2C">
        <w:t>,</w:t>
      </w:r>
      <w:r>
        <w:t xml:space="preserve"> and, as explained above, the Panel made necessary findings on both "product effects" and delivery data. On the basis of these considerations, and in light of the deliveries of the A380 in the post</w:t>
      </w:r>
      <w:r>
        <w:noBreakHyphen/>
        <w:t>implementation period, we see no error in the Panel's conclusion that</w:t>
      </w:r>
      <w:r w:rsidR="00B06608">
        <w:t>, absent the LA/MSF subsidies,</w:t>
      </w:r>
      <w:r>
        <w:t xml:space="preserve"> the US LCA industry would have achieved a higher volume of deliveries and market share than its actual level in the post</w:t>
      </w:r>
      <w:r>
        <w:noBreakHyphen/>
        <w:t>implementation period.</w:t>
      </w:r>
    </w:p>
    <w:p w:rsidR="00C752B3" w:rsidRDefault="00C752B3" w:rsidP="00526697">
      <w:pPr>
        <w:pStyle w:val="BodyText"/>
      </w:pPr>
      <w:r>
        <w:t xml:space="preserve">Therefore, the Panel's findings reviewed above support the conclusion that the effect of the LA/MSF subsidies existing in the post-implementation period is impedance of </w:t>
      </w:r>
      <w:r w:rsidR="00C77C98">
        <w:t>US VLA in the </w:t>
      </w:r>
      <w:r w:rsidR="00B06608">
        <w:t>VLA </w:t>
      </w:r>
      <w:r>
        <w:t>markets in the European Union, Australia, China, Korea,</w:t>
      </w:r>
      <w:r w:rsidR="00C77C98">
        <w:t xml:space="preserve"> Singapore, and the United Arab </w:t>
      </w:r>
      <w:r>
        <w:t xml:space="preserve">Emirates. This conclusion also finds support in the analytical framework adopted by the panel and the Appellate Body in the original proceedings, as well as in a number of </w:t>
      </w:r>
      <w:r w:rsidR="00B06608">
        <w:t xml:space="preserve">the </w:t>
      </w:r>
      <w:r>
        <w:t>Panel</w:t>
      </w:r>
      <w:r w:rsidR="00B06608">
        <w:t>'s</w:t>
      </w:r>
      <w:r>
        <w:t xml:space="preserve"> findings, including its finding concerning the "product effects" of the LA/MSF subsidies existing in the post</w:t>
      </w:r>
      <w:r>
        <w:noBreakHyphen/>
        <w:t>implementation period on Airbus' continued offering of the A380, and the existence of sufficient substitutability between Boeing'</w:t>
      </w:r>
      <w:r w:rsidR="00B06608">
        <w:t>s</w:t>
      </w:r>
      <w:r>
        <w:t xml:space="preserve"> and Airbus' VLA product offerings. In light of our interpretation of Article 7.8 of the SCM Agreement, however, </w:t>
      </w:r>
      <w:r w:rsidR="00B06608">
        <w:t xml:space="preserve">we </w:t>
      </w:r>
      <w:r>
        <w:t xml:space="preserve">disagree with the Panel's conclusion on impedance in the VLA market to the extent that </w:t>
      </w:r>
      <w:r w:rsidR="00B06608">
        <w:t xml:space="preserve">its </w:t>
      </w:r>
      <w:r>
        <w:t xml:space="preserve">conclusion </w:t>
      </w:r>
      <w:r w:rsidR="00B06608">
        <w:t>wa</w:t>
      </w:r>
      <w:r>
        <w:t xml:space="preserve">s based on </w:t>
      </w:r>
      <w:r w:rsidR="00B06608">
        <w:t xml:space="preserve">the effects of </w:t>
      </w:r>
      <w:r w:rsidR="00662E2C">
        <w:t xml:space="preserve">the </w:t>
      </w:r>
      <w:r w:rsidR="00B06608">
        <w:t>challenged LA/MSF subsidies</w:t>
      </w:r>
      <w:r>
        <w:t xml:space="preserve"> that the Panel found to have expired.</w:t>
      </w:r>
    </w:p>
    <w:p w:rsidR="00C752B3" w:rsidRDefault="00C752B3" w:rsidP="00526697">
      <w:pPr>
        <w:pStyle w:val="BodyText2"/>
      </w:pPr>
      <w:r>
        <w:t xml:space="preserve">Accordingly, we </w:t>
      </w:r>
      <w:r>
        <w:rPr>
          <w:u w:val="single"/>
        </w:rPr>
        <w:t>modify</w:t>
      </w:r>
      <w:r>
        <w:t xml:space="preserve"> the Panel's conclusion in paragraph 6.1817 of the Panel Report, and </w:t>
      </w:r>
      <w:r>
        <w:rPr>
          <w:u w:val="single"/>
        </w:rPr>
        <w:t>find</w:t>
      </w:r>
      <w:r>
        <w:t xml:space="preserve"> instead</w:t>
      </w:r>
      <w:r w:rsidR="00B06608">
        <w:t xml:space="preserve"> </w:t>
      </w:r>
      <w:r>
        <w:t>that the United States ha</w:t>
      </w:r>
      <w:r w:rsidR="00662E2C">
        <w:t>s</w:t>
      </w:r>
      <w:r>
        <w:t xml:space="preserve"> established that the </w:t>
      </w:r>
      <w:r w:rsidR="00B06608">
        <w:t>"</w:t>
      </w:r>
      <w:r>
        <w:t>product effects</w:t>
      </w:r>
      <w:r w:rsidR="00B06608">
        <w:t>"</w:t>
      </w:r>
      <w:r>
        <w:t xml:space="preserve"> of the LA/MSF subsidies existing in the post-implementation period are a genuine and substantial cause of impedance of US LCA in the </w:t>
      </w:r>
      <w:r w:rsidR="00662E2C">
        <w:t xml:space="preserve">VLA </w:t>
      </w:r>
      <w:r>
        <w:t xml:space="preserve">markets in the European Union, Australia, China, Korea, </w:t>
      </w:r>
      <w:r w:rsidR="00662E2C">
        <w:t>Singapore,</w:t>
      </w:r>
      <w:r>
        <w:t xml:space="preserve"> and the United Arab Emirates.</w:t>
      </w:r>
    </w:p>
    <w:p w:rsidR="00C752B3" w:rsidRDefault="00C752B3" w:rsidP="00526697">
      <w:pPr>
        <w:pStyle w:val="BodyText"/>
      </w:pPr>
      <w:r>
        <w:t xml:space="preserve">On the basis of the above, in respect of subsidies existing in the post-implementation period, we </w:t>
      </w:r>
      <w:r>
        <w:rPr>
          <w:u w:val="single"/>
        </w:rPr>
        <w:t>uphold</w:t>
      </w:r>
      <w:r>
        <w:t xml:space="preserve">, </w:t>
      </w:r>
      <w:r>
        <w:rPr>
          <w:i/>
        </w:rPr>
        <w:t>albeit for different reasons</w:t>
      </w:r>
      <w:r>
        <w:t xml:space="preserve">, the Panel's conclusions: </w:t>
      </w:r>
    </w:p>
    <w:p w:rsidR="00C752B3" w:rsidRDefault="00C752B3" w:rsidP="00526697">
      <w:pPr>
        <w:pStyle w:val="BodyText2"/>
      </w:pPr>
      <w:r>
        <w:t>in paragraph 7.2 of the Panel Report</w:t>
      </w:r>
      <w:r w:rsidR="009D100A">
        <w:t>,</w:t>
      </w:r>
      <w:r>
        <w:t xml:space="preserve"> that "{b}y continuing</w:t>
      </w:r>
      <w:r w:rsidR="00662E2C">
        <w:t xml:space="preserve"> to be in violation of Articles </w:t>
      </w:r>
      <w:r>
        <w:t>5(c) and 6.3(a), (b) and (c) of the SCM Agreement" insofar as the twin-aisle LCA and VLA markets are concerned, "the European Union and certain member States have failed to comply with the DSB recommendations and rulings and, in particular, the obligation under Article 7.8 of the SCM Agreement 'to take appropriate steps to remove the adverse effects or … withdraw the subsidy'"; and</w:t>
      </w:r>
    </w:p>
    <w:p w:rsidR="00C752B3" w:rsidRDefault="00C752B3" w:rsidP="00526697">
      <w:pPr>
        <w:pStyle w:val="BodyText2"/>
      </w:pPr>
      <w:r>
        <w:t>in paragraph 7.4 of the Panel Report</w:t>
      </w:r>
      <w:r w:rsidR="009D100A">
        <w:t>,</w:t>
      </w:r>
      <w:r>
        <w:t xml:space="preserve"> that "the European Union and certain member States have failed to implement the recommendations and rulings of the DSB to bring its measures into conformity with its obligations under the</w:t>
      </w:r>
      <w:r w:rsidR="009D100A">
        <w:t xml:space="preserve"> SCM Agreement" and that, "{t}o </w:t>
      </w:r>
      <w:r>
        <w:t>the extent that the European Union and certain member States have failed to comply with the recommendations and rulings of the DSB in the original dispute, those recommendations and rulings remain operative."</w:t>
      </w:r>
    </w:p>
    <w:p w:rsidR="00C31A58" w:rsidRPr="00C31A58" w:rsidRDefault="00C752B3" w:rsidP="00526697">
      <w:pPr>
        <w:pStyle w:val="BodyText"/>
      </w:pPr>
      <w:r>
        <w:t xml:space="preserve">The Appellate Body </w:t>
      </w:r>
      <w:r>
        <w:rPr>
          <w:u w:val="single"/>
        </w:rPr>
        <w:t>recommends</w:t>
      </w:r>
      <w:r>
        <w:t xml:space="preserve"> that the DSB request the European Union to bring its measures found in this Report, and in the Panel Report as modified by this Report, to be inconsistent with the SCM Agreement into conformity with its obligations under that Agreement.</w:t>
      </w:r>
    </w:p>
    <w:p w:rsidR="00662E2C" w:rsidRDefault="00662E2C" w:rsidP="002778D6">
      <w:pPr>
        <w:keepNext/>
        <w:keepLines/>
      </w:pPr>
      <w:r>
        <w:t xml:space="preserve">Signed in the original in Geneva this </w:t>
      </w:r>
      <w:r w:rsidR="000C5A3C">
        <w:t>8</w:t>
      </w:r>
      <w:r>
        <w:t xml:space="preserve">th day of </w:t>
      </w:r>
      <w:r w:rsidR="000C5A3C">
        <w:t>Ma</w:t>
      </w:r>
      <w:r>
        <w:t>y 2018 by:</w:t>
      </w:r>
    </w:p>
    <w:p w:rsidR="00662E2C" w:rsidRDefault="00662E2C" w:rsidP="002778D6">
      <w:pPr>
        <w:keepNext/>
        <w:keepLines/>
      </w:pPr>
    </w:p>
    <w:p w:rsidR="00662E2C" w:rsidRDefault="00662E2C" w:rsidP="002778D6">
      <w:pPr>
        <w:keepNext/>
        <w:keepLines/>
      </w:pPr>
    </w:p>
    <w:p w:rsidR="00662E2C" w:rsidRDefault="00662E2C" w:rsidP="002778D6">
      <w:pPr>
        <w:keepNext/>
        <w:keepLines/>
      </w:pPr>
    </w:p>
    <w:p w:rsidR="00662E2C" w:rsidRDefault="00662E2C" w:rsidP="002778D6">
      <w:pPr>
        <w:keepNext/>
        <w:keepLines/>
      </w:pPr>
    </w:p>
    <w:p w:rsidR="00526697" w:rsidRDefault="00526697" w:rsidP="002778D6">
      <w:pPr>
        <w:keepNext/>
        <w:keepLines/>
      </w:pPr>
    </w:p>
    <w:p w:rsidR="00662E2C" w:rsidRPr="00B55651" w:rsidRDefault="00662E2C" w:rsidP="002778D6">
      <w:pPr>
        <w:keepNext/>
        <w:keepLines/>
      </w:pPr>
    </w:p>
    <w:p w:rsidR="00662E2C" w:rsidRPr="00662E2C" w:rsidRDefault="00662E2C" w:rsidP="002778D6">
      <w:pPr>
        <w:keepNext/>
        <w:keepLines/>
        <w:jc w:val="center"/>
      </w:pPr>
      <w:r w:rsidRPr="00662E2C">
        <w:t>_________________________</w:t>
      </w:r>
    </w:p>
    <w:p w:rsidR="00662E2C" w:rsidRPr="00B55651" w:rsidRDefault="00662E2C" w:rsidP="002778D6">
      <w:pPr>
        <w:keepNext/>
        <w:keepLines/>
        <w:jc w:val="center"/>
      </w:pPr>
      <w:r w:rsidRPr="008F2C49">
        <w:t>Ricardo Ramírez-Hernández</w:t>
      </w:r>
    </w:p>
    <w:p w:rsidR="00662E2C" w:rsidRPr="00B55651" w:rsidRDefault="00662E2C" w:rsidP="002778D6">
      <w:pPr>
        <w:keepNext/>
        <w:keepLines/>
        <w:jc w:val="center"/>
      </w:pPr>
      <w:r w:rsidRPr="00B55651">
        <w:t>Presiding Member</w:t>
      </w:r>
    </w:p>
    <w:p w:rsidR="00662E2C" w:rsidRPr="00B55651" w:rsidRDefault="00662E2C" w:rsidP="002778D6">
      <w:pPr>
        <w:keepNext/>
        <w:keepLines/>
      </w:pPr>
    </w:p>
    <w:p w:rsidR="00662E2C" w:rsidRPr="00B55651" w:rsidRDefault="00662E2C" w:rsidP="006C25EB"/>
    <w:p w:rsidR="00662E2C" w:rsidRDefault="00662E2C" w:rsidP="006C25EB"/>
    <w:p w:rsidR="00526697" w:rsidRPr="00B55651" w:rsidRDefault="00526697" w:rsidP="006C25EB"/>
    <w:p w:rsidR="00662E2C" w:rsidRPr="00B55651" w:rsidRDefault="00662E2C" w:rsidP="006C25EB"/>
    <w:p w:rsidR="00662E2C" w:rsidRPr="00B55651" w:rsidRDefault="00662E2C" w:rsidP="006C25EB"/>
    <w:p w:rsidR="00662E2C" w:rsidRPr="00B55651" w:rsidRDefault="00B2732F" w:rsidP="006C25EB">
      <w:r>
        <w:tab/>
      </w:r>
      <w:r w:rsidR="006C25EB">
        <w:tab/>
      </w:r>
      <w:r w:rsidR="00662E2C" w:rsidRPr="00662E2C">
        <w:t>_________________________</w:t>
      </w:r>
      <w:r w:rsidR="006C25EB">
        <w:tab/>
      </w:r>
      <w:r w:rsidR="00662E2C" w:rsidRPr="00B55651">
        <w:tab/>
      </w:r>
      <w:r w:rsidR="00662E2C" w:rsidRPr="00662E2C">
        <w:t>_________________________</w:t>
      </w:r>
    </w:p>
    <w:p w:rsidR="00662E2C" w:rsidRPr="008F2C49" w:rsidRDefault="00662E2C" w:rsidP="006C25EB">
      <w:r w:rsidRPr="00B55651">
        <w:tab/>
      </w:r>
      <w:r w:rsidR="006C25EB">
        <w:tab/>
      </w:r>
      <w:r w:rsidR="00B2732F">
        <w:tab/>
      </w:r>
      <w:r w:rsidR="006C25EB">
        <w:t xml:space="preserve">   </w:t>
      </w:r>
      <w:r>
        <w:t>Ujal Singh Bhatia</w:t>
      </w:r>
      <w:r w:rsidR="00B2732F">
        <w:t xml:space="preserve"> </w:t>
      </w:r>
      <w:r w:rsidR="00B2732F">
        <w:tab/>
      </w:r>
      <w:r w:rsidRPr="008F2C49">
        <w:tab/>
      </w:r>
      <w:r w:rsidR="00B2732F">
        <w:tab/>
      </w:r>
      <w:r w:rsidR="006C25EB">
        <w:t xml:space="preserve">       </w:t>
      </w:r>
      <w:r>
        <w:t>Peter Van den Bossche</w:t>
      </w:r>
    </w:p>
    <w:p w:rsidR="00C31A58" w:rsidRDefault="00662E2C" w:rsidP="006C25EB">
      <w:pPr>
        <w:rPr>
          <w:b/>
        </w:rPr>
      </w:pPr>
      <w:r w:rsidRPr="008F2C49">
        <w:tab/>
      </w:r>
      <w:r w:rsidR="00B2732F">
        <w:tab/>
      </w:r>
      <w:r w:rsidR="006C25EB">
        <w:tab/>
      </w:r>
      <w:r w:rsidR="006C25EB">
        <w:tab/>
      </w:r>
      <w:r w:rsidRPr="00B55651">
        <w:t>Member</w:t>
      </w:r>
      <w:r w:rsidR="00B2732F">
        <w:tab/>
      </w:r>
      <w:r w:rsidR="00B2732F">
        <w:tab/>
      </w:r>
      <w:r w:rsidR="00B2732F">
        <w:tab/>
      </w:r>
      <w:r w:rsidR="00B2732F">
        <w:tab/>
      </w:r>
      <w:r w:rsidR="006C25EB">
        <w:tab/>
      </w:r>
      <w:r w:rsidR="006C25EB">
        <w:tab/>
      </w:r>
      <w:r w:rsidRPr="00B55651">
        <w:t>Member</w:t>
      </w:r>
    </w:p>
    <w:p w:rsidR="00B2732F" w:rsidRDefault="00B2732F" w:rsidP="00B2732F"/>
    <w:p w:rsidR="00B2732F" w:rsidRPr="00B2732F" w:rsidRDefault="00B2732F" w:rsidP="00B2732F">
      <w:pPr>
        <w:jc w:val="center"/>
      </w:pPr>
      <w:r>
        <w:rPr>
          <w:b/>
        </w:rPr>
        <w:t>__________</w:t>
      </w:r>
    </w:p>
    <w:sectPr w:rsidR="00B2732F" w:rsidRPr="00B2732F" w:rsidSect="0053030E">
      <w:headerReference w:type="even" r:id="rId9"/>
      <w:headerReference w:type="default" r:id="rId10"/>
      <w:footerReference w:type="even" r:id="rId11"/>
      <w:footerReference w:type="default" r:id="rId12"/>
      <w:head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724D" w:rsidRDefault="009A724D" w:rsidP="00ED54E0">
      <w:r>
        <w:separator/>
      </w:r>
    </w:p>
  </w:endnote>
  <w:endnote w:type="continuationSeparator" w:id="0">
    <w:p w:rsidR="009A724D" w:rsidRDefault="009A724D" w:rsidP="00ED5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Italic">
    <w:panose1 w:val="00000000000000000000"/>
    <w:charset w:val="00"/>
    <w:family w:val="swiss"/>
    <w:notTrueType/>
    <w:pitch w:val="default"/>
    <w:sig w:usb0="00000003" w:usb1="00000000" w:usb2="00000000" w:usb3="00000000" w:csb0="00000001" w:csb1="00000000"/>
  </w:font>
  <w:font w:name="MinionPro-Regular">
    <w:panose1 w:val="00000000000000000000"/>
    <w:charset w:val="00"/>
    <w:family w:val="auto"/>
    <w:notTrueType/>
    <w:pitch w:val="default"/>
    <w:sig w:usb0="00000003" w:usb1="00000000" w:usb2="00000000" w:usb3="00000000" w:csb0="00000001" w:csb1="00000000"/>
  </w:font>
  <w:font w:name="FrutigerLTStd-Italic">
    <w:panose1 w:val="00000000000000000000"/>
    <w:charset w:val="00"/>
    <w:family w:val="auto"/>
    <w:notTrueType/>
    <w:pitch w:val="default"/>
    <w:sig w:usb0="00000003" w:usb1="00000000" w:usb2="00000000" w:usb3="00000000" w:csb0="00000001" w:csb1="00000000"/>
  </w:font>
  <w:font w:name="FrutigerLTStd-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727" w:rsidRPr="0053030E" w:rsidRDefault="00FD2727" w:rsidP="0053030E">
    <w:pPr>
      <w:pStyle w:val="Footer"/>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727" w:rsidRPr="0053030E" w:rsidRDefault="00FD2727" w:rsidP="0053030E">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724D" w:rsidRDefault="009A724D" w:rsidP="00ED54E0">
      <w:r>
        <w:separator/>
      </w:r>
    </w:p>
  </w:footnote>
  <w:footnote w:type="continuationSeparator" w:id="0">
    <w:p w:rsidR="009A724D" w:rsidRDefault="009A724D" w:rsidP="00ED54E0">
      <w:r>
        <w:continuationSeparator/>
      </w:r>
    </w:p>
  </w:footnote>
  <w:footnote w:type="continuationNotice" w:id="1">
    <w:p w:rsidR="009A724D" w:rsidRDefault="009A724D"/>
  </w:footnote>
  <w:footnote w:id="2">
    <w:p w:rsidR="00FD2727" w:rsidRPr="006C03AB" w:rsidRDefault="00FD2727">
      <w:pPr>
        <w:pStyle w:val="FootnoteText"/>
        <w:rPr>
          <w:lang w:val="en-US"/>
        </w:rPr>
      </w:pPr>
      <w:r>
        <w:rPr>
          <w:rStyle w:val="FootnoteReference"/>
        </w:rPr>
        <w:footnoteRef/>
      </w:r>
      <w:r>
        <w:t xml:space="preserve"> </w:t>
      </w:r>
      <w:r w:rsidRPr="008752DF">
        <w:t>WT/D</w:t>
      </w:r>
      <w:r>
        <w:t>S316</w:t>
      </w:r>
      <w:r w:rsidRPr="008752DF">
        <w:t>/R</w:t>
      </w:r>
      <w:r>
        <w:t>W</w:t>
      </w:r>
      <w:r w:rsidRPr="004E1F73">
        <w:rPr>
          <w:rFonts w:cs="Arial"/>
          <w:szCs w:val="16"/>
        </w:rPr>
        <w:t>,</w:t>
      </w:r>
      <w:r>
        <w:rPr>
          <w:rFonts w:cs="Arial"/>
          <w:szCs w:val="16"/>
        </w:rPr>
        <w:t xml:space="preserve"> 22 September 2016</w:t>
      </w:r>
      <w:r w:rsidRPr="004E1F73">
        <w:rPr>
          <w:rFonts w:cs="Arial"/>
          <w:szCs w:val="16"/>
        </w:rPr>
        <w:t>.</w:t>
      </w:r>
    </w:p>
  </w:footnote>
  <w:footnote w:id="3">
    <w:p w:rsidR="00FD2727" w:rsidRPr="006C03AB" w:rsidRDefault="00FD2727">
      <w:pPr>
        <w:pStyle w:val="FootnoteText"/>
        <w:rPr>
          <w:lang w:val="en-US"/>
        </w:rPr>
      </w:pPr>
      <w:r>
        <w:rPr>
          <w:rStyle w:val="FootnoteReference"/>
        </w:rPr>
        <w:footnoteRef/>
      </w:r>
      <w:r>
        <w:t xml:space="preserve"> </w:t>
      </w:r>
      <w:r w:rsidRPr="008752DF">
        <w:t xml:space="preserve">Request for </w:t>
      </w:r>
      <w:r>
        <w:t>the Establishment of a Panel by the United States pursuant to Article 21.5 of the DSU</w:t>
      </w:r>
      <w:r w:rsidRPr="008752DF">
        <w:t>, WT/D</w:t>
      </w:r>
      <w:r>
        <w:t>S316/23 (United States' compliance panel request)</w:t>
      </w:r>
      <w:r w:rsidRPr="008752DF">
        <w:t>.</w:t>
      </w:r>
    </w:p>
  </w:footnote>
  <w:footnote w:id="4">
    <w:p w:rsidR="00FD2727" w:rsidRPr="006C03AB" w:rsidRDefault="00FD2727">
      <w:pPr>
        <w:pStyle w:val="FootnoteText"/>
        <w:rPr>
          <w:lang w:val="en-US"/>
        </w:rPr>
      </w:pPr>
      <w:r>
        <w:rPr>
          <w:rStyle w:val="FootnoteReference"/>
        </w:rPr>
        <w:footnoteRef/>
      </w:r>
      <w:r>
        <w:t xml:space="preserve"> The European Union replaced and succeeded the European Communities as of 1 December 2009. Accordingly, we only refer to the European Communities in this Report in relation to </w:t>
      </w:r>
      <w:r w:rsidRPr="00020EA9">
        <w:t>events that took place during the original panel proceedings</w:t>
      </w:r>
      <w:r>
        <w:t>. In all other circumstances, we refer to the European Union.</w:t>
      </w:r>
    </w:p>
  </w:footnote>
  <w:footnote w:id="5">
    <w:p w:rsidR="00FD2727" w:rsidRPr="006C03AB" w:rsidRDefault="00FD2727">
      <w:pPr>
        <w:pStyle w:val="FootnoteText"/>
        <w:rPr>
          <w:lang w:val="en-US"/>
        </w:rPr>
      </w:pPr>
      <w:r>
        <w:rPr>
          <w:rStyle w:val="FootnoteReference"/>
        </w:rPr>
        <w:footnoteRef/>
      </w:r>
      <w:r>
        <w:t xml:space="preserve"> </w:t>
      </w:r>
      <w:r w:rsidRPr="004E1F73">
        <w:rPr>
          <w:rFonts w:cs="Arial"/>
          <w:szCs w:val="16"/>
        </w:rPr>
        <w:t xml:space="preserve">The </w:t>
      </w:r>
      <w:r w:rsidRPr="005D3853">
        <w:rPr>
          <w:rFonts w:cs="Arial"/>
          <w:szCs w:val="16"/>
        </w:rPr>
        <w:t>recommendations and rulings of the DSB resulted from the adoption on 1</w:t>
      </w:r>
      <w:r>
        <w:rPr>
          <w:rFonts w:cs="Arial"/>
          <w:szCs w:val="16"/>
        </w:rPr>
        <w:t> June 20</w:t>
      </w:r>
      <w:r w:rsidRPr="005D3853">
        <w:rPr>
          <w:rFonts w:cs="Arial"/>
          <w:szCs w:val="16"/>
        </w:rPr>
        <w:t xml:space="preserve">11, by the DSB, of the </w:t>
      </w:r>
      <w:r>
        <w:rPr>
          <w:rFonts w:cs="Arial"/>
          <w:szCs w:val="16"/>
        </w:rPr>
        <w:t>Appellate Body</w:t>
      </w:r>
      <w:r w:rsidRPr="005D3853">
        <w:rPr>
          <w:rFonts w:cs="Arial"/>
          <w:szCs w:val="16"/>
        </w:rPr>
        <w:t xml:space="preserve"> </w:t>
      </w:r>
      <w:r>
        <w:rPr>
          <w:rFonts w:cs="Arial"/>
          <w:szCs w:val="16"/>
        </w:rPr>
        <w:t>r</w:t>
      </w:r>
      <w:r w:rsidRPr="005D3853">
        <w:rPr>
          <w:rFonts w:cs="Arial"/>
          <w:szCs w:val="16"/>
        </w:rPr>
        <w:t xml:space="preserve">eport, </w:t>
      </w:r>
      <w:r w:rsidRPr="005D3853">
        <w:t>WT/DS316/</w:t>
      </w:r>
      <w:r w:rsidRPr="005D3853">
        <w:rPr>
          <w:rFonts w:cs="Arial"/>
          <w:szCs w:val="16"/>
        </w:rPr>
        <w:t xml:space="preserve">AB/R, and the </w:t>
      </w:r>
      <w:r>
        <w:rPr>
          <w:rFonts w:cs="Arial"/>
          <w:szCs w:val="16"/>
        </w:rPr>
        <w:t>p</w:t>
      </w:r>
      <w:r w:rsidRPr="005D3853">
        <w:rPr>
          <w:rFonts w:cs="Arial"/>
          <w:szCs w:val="16"/>
        </w:rPr>
        <w:t xml:space="preserve">anel </w:t>
      </w:r>
      <w:r>
        <w:rPr>
          <w:rFonts w:cs="Arial"/>
          <w:szCs w:val="16"/>
        </w:rPr>
        <w:t>r</w:t>
      </w:r>
      <w:r w:rsidRPr="005D3853">
        <w:rPr>
          <w:rFonts w:cs="Arial"/>
          <w:szCs w:val="16"/>
        </w:rPr>
        <w:t xml:space="preserve">eport, </w:t>
      </w:r>
      <w:r w:rsidRPr="005D3853">
        <w:t>WT/DS316/</w:t>
      </w:r>
      <w:r w:rsidRPr="005D3853">
        <w:rPr>
          <w:rFonts w:cs="Arial"/>
          <w:szCs w:val="16"/>
        </w:rPr>
        <w:t xml:space="preserve">R, in </w:t>
      </w:r>
      <w:r w:rsidRPr="005D3853">
        <w:rPr>
          <w:i/>
          <w:iCs/>
          <w:szCs w:val="16"/>
        </w:rPr>
        <w:t>EC and certain member States – Large Civil Aircraft</w:t>
      </w:r>
      <w:r w:rsidRPr="005D3853">
        <w:rPr>
          <w:rFonts w:cs="Arial"/>
          <w:szCs w:val="16"/>
        </w:rPr>
        <w:t xml:space="preserve">. In this Report, we refer to the panel that considered the original complaint brought by the </w:t>
      </w:r>
      <w:r>
        <w:rPr>
          <w:rFonts w:cs="Arial"/>
          <w:szCs w:val="16"/>
        </w:rPr>
        <w:t>United States</w:t>
      </w:r>
      <w:r w:rsidRPr="005D3853">
        <w:rPr>
          <w:rFonts w:cs="Arial"/>
          <w:szCs w:val="16"/>
        </w:rPr>
        <w:t xml:space="preserve"> as the "original panel" and to its report as the "original panel report"</w:t>
      </w:r>
      <w:r>
        <w:rPr>
          <w:rFonts w:cs="Arial"/>
          <w:szCs w:val="16"/>
        </w:rPr>
        <w:t xml:space="preserve"> or "Original Panel Report"</w:t>
      </w:r>
      <w:r w:rsidRPr="005D3853">
        <w:rPr>
          <w:rFonts w:cs="Arial"/>
          <w:szCs w:val="16"/>
        </w:rPr>
        <w:t>.</w:t>
      </w:r>
    </w:p>
  </w:footnote>
  <w:footnote w:id="6">
    <w:p w:rsidR="00FD2727" w:rsidRPr="006C03AB" w:rsidRDefault="00FD2727">
      <w:pPr>
        <w:pStyle w:val="FootnoteText"/>
        <w:rPr>
          <w:lang w:val="en-US"/>
        </w:rPr>
      </w:pPr>
      <w:r>
        <w:rPr>
          <w:rStyle w:val="FootnoteReference"/>
        </w:rPr>
        <w:footnoteRef/>
      </w:r>
      <w:r>
        <w:t xml:space="preserve"> Original Panel Report, paras. 2.5 and 3.1-3.3.</w:t>
      </w:r>
    </w:p>
  </w:footnote>
  <w:footnote w:id="7">
    <w:p w:rsidR="00FD2727" w:rsidRPr="001578ED" w:rsidRDefault="00FD2727" w:rsidP="00206326">
      <w:pPr>
        <w:pStyle w:val="FootnoteText"/>
      </w:pPr>
      <w:r>
        <w:rPr>
          <w:rStyle w:val="FootnoteReference"/>
        </w:rPr>
        <w:footnoteRef/>
      </w:r>
      <w:r>
        <w:t xml:space="preserve"> The product at issue is the same in both the original and the compliance proceedings. The original panel and the Panel have </w:t>
      </w:r>
      <w:r w:rsidRPr="007D26E9">
        <w:t xml:space="preserve">distinguished </w:t>
      </w:r>
      <w:r>
        <w:t xml:space="preserve">LCA </w:t>
      </w:r>
      <w:r w:rsidRPr="007D26E9">
        <w:t>from smaller (regional) aircraft or military aircraft</w:t>
      </w:r>
      <w:r>
        <w:t xml:space="preserve">, and defined LCA as follows: </w:t>
      </w:r>
    </w:p>
    <w:p w:rsidR="00FD2727" w:rsidRPr="001578ED" w:rsidRDefault="00FD2727" w:rsidP="00206326">
      <w:pPr>
        <w:pStyle w:val="FootnoteQuotation"/>
        <w:rPr>
          <w:lang w:val="en-US"/>
        </w:rPr>
      </w:pPr>
      <w:r>
        <w:rPr>
          <w:lang w:val="en-US"/>
        </w:rPr>
        <w:t>{L}</w:t>
      </w:r>
      <w:r w:rsidRPr="001578ED">
        <w:rPr>
          <w:lang w:val="en-US"/>
        </w:rPr>
        <w:t xml:space="preserve">arge (weighing over 15,000 kg) "tube and wing" aircraft, with turbofan engines carried under low-set wings, designed for subsonic flight. LCA are designed for transporting 100 or more passengers and/or a proportionate amount of cargo across a range of distances serviced by airlines and air freight carriers. LCA are covered by tariff classification heading 8802.40 of the Harmonized System ("Airplanes and other aircraft, of an unladen weight exceeding 15,000 kg"). </w:t>
      </w:r>
    </w:p>
    <w:p w:rsidR="00FD2727" w:rsidRPr="006C03AB" w:rsidRDefault="00FD2727" w:rsidP="00206326">
      <w:pPr>
        <w:pStyle w:val="FootnoteText"/>
        <w:ind w:firstLine="0"/>
        <w:rPr>
          <w:lang w:val="en-US"/>
        </w:rPr>
      </w:pPr>
      <w:r>
        <w:t>(Panel Report, para. 1.32. See also Original Panel Report, para. 2.1)</w:t>
      </w:r>
    </w:p>
  </w:footnote>
  <w:footnote w:id="8">
    <w:p w:rsidR="00FD2727" w:rsidRPr="006C03AB" w:rsidRDefault="00FD2727">
      <w:pPr>
        <w:pStyle w:val="FootnoteText"/>
        <w:rPr>
          <w:lang w:val="en-US"/>
        </w:rPr>
      </w:pPr>
      <w:r>
        <w:rPr>
          <w:rStyle w:val="FootnoteReference"/>
        </w:rPr>
        <w:footnoteRef/>
      </w:r>
      <w:r>
        <w:t xml:space="preserve"> Panel Report, para. 1.2 (referring to Original Panel Report, paras. 7.290(a)(i)-(vii), 7.482-7.496, and 8.1(a)(i)).</w:t>
      </w:r>
    </w:p>
  </w:footnote>
  <w:footnote w:id="9">
    <w:p w:rsidR="00FD2727" w:rsidRPr="006C03AB" w:rsidRDefault="00FD2727">
      <w:pPr>
        <w:pStyle w:val="FootnoteText"/>
        <w:rPr>
          <w:lang w:val="en-US"/>
        </w:rPr>
      </w:pPr>
      <w:r>
        <w:rPr>
          <w:rStyle w:val="FootnoteReference"/>
        </w:rPr>
        <w:footnoteRef/>
      </w:r>
      <w:r>
        <w:t xml:space="preserve"> Panel Report, para. 1.2 (referring to Original Panel Report, paras. 7.1245-7.1249, 7.1302, 7.1323</w:t>
      </w:r>
      <w:r>
        <w:noBreakHyphen/>
        <w:t>7.1326, 7.1380-7.1384, 7.1414, and 8.1(c) and (d)).</w:t>
      </w:r>
    </w:p>
  </w:footnote>
  <w:footnote w:id="10">
    <w:p w:rsidR="00FD2727" w:rsidRPr="006C03AB" w:rsidRDefault="00FD2727">
      <w:pPr>
        <w:pStyle w:val="FootnoteText"/>
        <w:rPr>
          <w:lang w:val="en-US"/>
        </w:rPr>
      </w:pPr>
      <w:r>
        <w:rPr>
          <w:rStyle w:val="FootnoteReference"/>
        </w:rPr>
        <w:footnoteRef/>
      </w:r>
      <w:r>
        <w:t xml:space="preserve"> Panel Report, para. 1.2 (referring to Original Panel Report, paras. 7.1049-7.1053, 7.1097, 7.1100</w:t>
      </w:r>
      <w:r>
        <w:noBreakHyphen/>
        <w:t>7.1101, 7.1134, 7.1137-7.1139, 7.1191, 7.1205-7.1211, 7.1244, and 8.1(b)(i)-(iv)).</w:t>
      </w:r>
    </w:p>
  </w:footnote>
  <w:footnote w:id="11">
    <w:p w:rsidR="00FD2727" w:rsidRPr="006C03AB" w:rsidRDefault="00FD2727">
      <w:pPr>
        <w:pStyle w:val="FootnoteText"/>
        <w:rPr>
          <w:lang w:val="en-US"/>
        </w:rPr>
      </w:pPr>
      <w:r>
        <w:rPr>
          <w:rStyle w:val="FootnoteReference"/>
        </w:rPr>
        <w:footnoteRef/>
      </w:r>
      <w:r>
        <w:t xml:space="preserve"> Panel Report, para. 1.2 (referring to Original Panel Report, paras. 7.1427-7.1456, 7.1459</w:t>
      </w:r>
      <w:r>
        <w:noBreakHyphen/>
        <w:t>1480, 7.1608, and 8.1(e)).</w:t>
      </w:r>
    </w:p>
  </w:footnote>
  <w:footnote w:id="12">
    <w:p w:rsidR="00FD2727" w:rsidRPr="006C03AB" w:rsidRDefault="00FD2727">
      <w:pPr>
        <w:pStyle w:val="FootnoteText"/>
        <w:rPr>
          <w:lang w:val="en-US"/>
        </w:rPr>
      </w:pPr>
      <w:r>
        <w:rPr>
          <w:rStyle w:val="FootnoteReference"/>
        </w:rPr>
        <w:footnoteRef/>
      </w:r>
      <w:r>
        <w:t xml:space="preserve"> Panel Report, para. 1.3 (referring to Original Panel Report, paras. 7.689 and 8.1(a)(ii)).</w:t>
      </w:r>
    </w:p>
  </w:footnote>
  <w:footnote w:id="13">
    <w:p w:rsidR="00FD2727" w:rsidRPr="006C03AB" w:rsidRDefault="00FD2727">
      <w:pPr>
        <w:pStyle w:val="FootnoteText"/>
        <w:rPr>
          <w:lang w:val="en-US"/>
        </w:rPr>
      </w:pPr>
      <w:r>
        <w:rPr>
          <w:rStyle w:val="FootnoteReference"/>
        </w:rPr>
        <w:footnoteRef/>
      </w:r>
      <w:r>
        <w:t xml:space="preserve"> Panel Report, para. 1.7 (referring to Appellate Body Report, </w:t>
      </w:r>
      <w:r w:rsidRPr="003C73A2">
        <w:rPr>
          <w:i/>
        </w:rPr>
        <w:t>EC and certain member States – Large Civil Aircraft</w:t>
      </w:r>
      <w:r>
        <w:t>, paras. 1414(j) and 1415(b)).</w:t>
      </w:r>
    </w:p>
  </w:footnote>
  <w:footnote w:id="14">
    <w:p w:rsidR="00FD2727" w:rsidRPr="006C03AB" w:rsidRDefault="00FD2727">
      <w:pPr>
        <w:pStyle w:val="FootnoteText"/>
        <w:rPr>
          <w:lang w:val="en-US"/>
        </w:rPr>
      </w:pPr>
      <w:r>
        <w:rPr>
          <w:rStyle w:val="FootnoteReference"/>
        </w:rPr>
        <w:footnoteRef/>
      </w:r>
      <w:r>
        <w:t xml:space="preserve"> Panel Report, para. 1.7 (referring to Appellate Body Report, </w:t>
      </w:r>
      <w:r w:rsidRPr="003C73A2">
        <w:rPr>
          <w:i/>
        </w:rPr>
        <w:t>EC and certain member States – Large Civil Aircraft</w:t>
      </w:r>
      <w:r>
        <w:t>, paras. 1414(a), (c), (d)(i)-(ii), (e)(ii), (g), (i), (j), (k), and (s), and 1415(b)).</w:t>
      </w:r>
    </w:p>
  </w:footnote>
  <w:footnote w:id="15">
    <w:p w:rsidR="00FD2727" w:rsidRPr="006C03AB" w:rsidRDefault="00FD2727">
      <w:pPr>
        <w:pStyle w:val="FootnoteText"/>
        <w:rPr>
          <w:lang w:val="en-US"/>
        </w:rPr>
      </w:pPr>
      <w:r>
        <w:rPr>
          <w:rStyle w:val="FootnoteReference"/>
        </w:rPr>
        <w:footnoteRef/>
      </w:r>
      <w:r>
        <w:t xml:space="preserve"> Panel Report, para. 1.7 (referring to Appellate Body Report, </w:t>
      </w:r>
      <w:r w:rsidRPr="003C73A2">
        <w:rPr>
          <w:i/>
        </w:rPr>
        <w:t>EC and certain member States – Large Civil Aircraft</w:t>
      </w:r>
      <w:r>
        <w:t xml:space="preserve">, para. 1414(e)(iv), (g), (l), (m), (p), (q), and (r)). See also Appellate Body Report, </w:t>
      </w:r>
      <w:r w:rsidRPr="003C73A2">
        <w:rPr>
          <w:i/>
        </w:rPr>
        <w:t>EC and certain member States – Large Civil Aircraft</w:t>
      </w:r>
      <w:r>
        <w:t>, para. 1414(s).</w:t>
      </w:r>
    </w:p>
  </w:footnote>
  <w:footnote w:id="16">
    <w:p w:rsidR="00FD2727" w:rsidRPr="006C03AB" w:rsidRDefault="00FD2727">
      <w:pPr>
        <w:pStyle w:val="FootnoteText"/>
        <w:rPr>
          <w:lang w:val="en-US"/>
        </w:rPr>
      </w:pPr>
      <w:r>
        <w:rPr>
          <w:rStyle w:val="FootnoteReference"/>
        </w:rPr>
        <w:footnoteRef/>
      </w:r>
      <w:r>
        <w:t xml:space="preserve"> Appellate Body Report, </w:t>
      </w:r>
      <w:r w:rsidRPr="003C73A2">
        <w:rPr>
          <w:i/>
        </w:rPr>
        <w:t>EC and certain member States – Large Civil Aircraft</w:t>
      </w:r>
      <w:r>
        <w:t>, paras. 1416 and 1418.</w:t>
      </w:r>
    </w:p>
  </w:footnote>
  <w:footnote w:id="17">
    <w:p w:rsidR="00FD2727" w:rsidRPr="006C03AB" w:rsidRDefault="00FD2727">
      <w:pPr>
        <w:pStyle w:val="FootnoteText"/>
        <w:rPr>
          <w:lang w:val="en-US"/>
        </w:rPr>
      </w:pPr>
      <w:r>
        <w:rPr>
          <w:rStyle w:val="FootnoteReference"/>
        </w:rPr>
        <w:footnoteRef/>
      </w:r>
      <w:r>
        <w:t xml:space="preserve"> Minutes of the DSB Meeting held on 1 June 2011, WT/DSB/M/297.</w:t>
      </w:r>
    </w:p>
  </w:footnote>
  <w:footnote w:id="18">
    <w:p w:rsidR="00FD2727" w:rsidRPr="006C03AB" w:rsidRDefault="00FD2727">
      <w:pPr>
        <w:pStyle w:val="FootnoteText"/>
        <w:rPr>
          <w:lang w:val="en-US"/>
        </w:rPr>
      </w:pPr>
      <w:r>
        <w:rPr>
          <w:rStyle w:val="FootnoteReference"/>
        </w:rPr>
        <w:footnoteRef/>
      </w:r>
      <w:r>
        <w:t xml:space="preserve"> Communication from the European Union dated 1 December 2011, WT/DS316/17 (Compliance Communication), para. 5.</w:t>
      </w:r>
    </w:p>
  </w:footnote>
  <w:footnote w:id="19">
    <w:p w:rsidR="00FD2727" w:rsidRPr="006C03AB" w:rsidRDefault="00FD2727">
      <w:pPr>
        <w:pStyle w:val="FootnoteText"/>
        <w:rPr>
          <w:lang w:val="en-US"/>
        </w:rPr>
      </w:pPr>
      <w:r>
        <w:rPr>
          <w:rStyle w:val="FootnoteReference"/>
        </w:rPr>
        <w:footnoteRef/>
      </w:r>
      <w:r>
        <w:t xml:space="preserve"> Panel Report, para. 6.6 (quoting </w:t>
      </w:r>
      <w:r w:rsidRPr="00FC2D9F">
        <w:t xml:space="preserve">Compliance Communication, </w:t>
      </w:r>
      <w:r>
        <w:t>para. 4).</w:t>
      </w:r>
    </w:p>
  </w:footnote>
  <w:footnote w:id="20">
    <w:p w:rsidR="00FD2727" w:rsidRPr="006C03AB" w:rsidRDefault="00FD2727">
      <w:pPr>
        <w:pStyle w:val="FootnoteText"/>
        <w:rPr>
          <w:lang w:val="en-US"/>
        </w:rPr>
      </w:pPr>
      <w:r>
        <w:rPr>
          <w:rStyle w:val="FootnoteReference"/>
        </w:rPr>
        <w:footnoteRef/>
      </w:r>
      <w:r>
        <w:t xml:space="preserve"> Panel Report, para. 6.6 (quoting Compliance Communication, para. 4). The 36 "steps" identified by the European Union are described and explained in more detail at paragraphs </w:t>
      </w:r>
      <w:r>
        <w:fldChar w:fldCharType="begin" w:fldLock="1"/>
      </w:r>
      <w:r>
        <w:instrText xml:space="preserve"> REF _Ref436838214 \n \h </w:instrText>
      </w:r>
      <w:r>
        <w:fldChar w:fldCharType="separate"/>
      </w:r>
      <w:r>
        <w:t>6.8</w:t>
      </w:r>
      <w:r>
        <w:fldChar w:fldCharType="end"/>
      </w:r>
      <w:r>
        <w:t>-</w:t>
      </w:r>
      <w:r>
        <w:fldChar w:fldCharType="begin" w:fldLock="1"/>
      </w:r>
      <w:r>
        <w:instrText xml:space="preserve"> REF _Ref437356196 \n \h </w:instrText>
      </w:r>
      <w:r>
        <w:fldChar w:fldCharType="separate"/>
      </w:r>
      <w:r>
        <w:t>6.42</w:t>
      </w:r>
      <w:r>
        <w:fldChar w:fldCharType="end"/>
      </w:r>
      <w:r>
        <w:t xml:space="preserve"> of the Panel Report.</w:t>
      </w:r>
    </w:p>
  </w:footnote>
  <w:footnote w:id="21">
    <w:p w:rsidR="00FD2727" w:rsidRPr="006C03AB" w:rsidRDefault="00FD2727">
      <w:pPr>
        <w:pStyle w:val="FootnoteText"/>
        <w:rPr>
          <w:lang w:val="en-US"/>
        </w:rPr>
      </w:pPr>
      <w:r>
        <w:rPr>
          <w:rStyle w:val="FootnoteReference"/>
        </w:rPr>
        <w:footnoteRef/>
      </w:r>
      <w:r>
        <w:t xml:space="preserve"> WT/DS316/19 and Corr. 1.</w:t>
      </w:r>
    </w:p>
  </w:footnote>
  <w:footnote w:id="22">
    <w:p w:rsidR="00FD2727" w:rsidRPr="006C03AB" w:rsidRDefault="00FD2727">
      <w:pPr>
        <w:pStyle w:val="FootnoteText"/>
        <w:rPr>
          <w:lang w:val="en-US"/>
        </w:rPr>
      </w:pPr>
      <w:r>
        <w:rPr>
          <w:rStyle w:val="FootnoteReference"/>
        </w:rPr>
        <w:footnoteRef/>
      </w:r>
      <w:r>
        <w:t xml:space="preserve"> </w:t>
      </w:r>
      <w:r w:rsidRPr="008752DF">
        <w:t>WT/D</w:t>
      </w:r>
      <w:r>
        <w:t>S316/23.</w:t>
      </w:r>
    </w:p>
  </w:footnote>
  <w:footnote w:id="23">
    <w:p w:rsidR="00FD2727" w:rsidRPr="006C03AB" w:rsidRDefault="00FD2727">
      <w:pPr>
        <w:pStyle w:val="FootnoteText"/>
        <w:rPr>
          <w:lang w:val="en-US"/>
        </w:rPr>
      </w:pPr>
      <w:r>
        <w:rPr>
          <w:rStyle w:val="FootnoteReference"/>
        </w:rPr>
        <w:footnoteRef/>
      </w:r>
      <w:r>
        <w:t xml:space="preserve"> Panel Report, para. 1.13.</w:t>
      </w:r>
    </w:p>
  </w:footnote>
  <w:footnote w:id="24">
    <w:p w:rsidR="00FD2727" w:rsidRPr="006C03AB" w:rsidRDefault="00FD2727">
      <w:pPr>
        <w:pStyle w:val="FootnoteText"/>
        <w:rPr>
          <w:lang w:val="en-US"/>
        </w:rPr>
      </w:pPr>
      <w:r>
        <w:rPr>
          <w:rStyle w:val="FootnoteReference"/>
        </w:rPr>
        <w:footnoteRef/>
      </w:r>
      <w:r>
        <w:t xml:space="preserve"> For a detailed description of the A350XWB LA/MSF measures,</w:t>
      </w:r>
      <w:r w:rsidRPr="00E03110">
        <w:t xml:space="preserve"> </w:t>
      </w:r>
      <w:r>
        <w:t xml:space="preserve">see Panel Report, paras. 6.225-6.267. The A350XWB LA/MSF measures are not covered by the DSB's recommendations and rulings. Before the original panel, the United States had challenged the alleged provision of LA/MSF for the original A350 model, but the original panel considered that, as at July 2005, </w:t>
      </w:r>
      <w:r w:rsidRPr="00E20EF2">
        <w:rPr>
          <w:lang w:val="en-US"/>
        </w:rPr>
        <w:t>the examined evidence suggested that there were no clear</w:t>
      </w:r>
      <w:r>
        <w:rPr>
          <w:lang w:val="en-US"/>
        </w:rPr>
        <w:t xml:space="preserve"> </w:t>
      </w:r>
      <w:r w:rsidRPr="00E20EF2">
        <w:rPr>
          <w:lang w:val="en-US"/>
        </w:rPr>
        <w:t>commitments from the four member State governments to provide LA/MSF for the A350</w:t>
      </w:r>
      <w:r>
        <w:rPr>
          <w:lang w:val="en-US"/>
        </w:rPr>
        <w:t xml:space="preserve"> </w:t>
      </w:r>
      <w:r w:rsidRPr="00E20EF2">
        <w:rPr>
          <w:lang w:val="en-US"/>
        </w:rPr>
        <w:t>on back-loaded, success-dependent, and below-market interest rate repayment terms</w:t>
      </w:r>
      <w:r>
        <w:rPr>
          <w:lang w:val="en-US"/>
        </w:rPr>
        <w:t xml:space="preserve">. (Original Panel Report, </w:t>
      </w:r>
      <w:r>
        <w:t>para. 7.314)</w:t>
      </w:r>
    </w:p>
  </w:footnote>
  <w:footnote w:id="25">
    <w:p w:rsidR="00FD2727" w:rsidRPr="006C03AB" w:rsidRDefault="00FD2727">
      <w:pPr>
        <w:pStyle w:val="FootnoteText"/>
        <w:rPr>
          <w:lang w:val="en-US"/>
        </w:rPr>
      </w:pPr>
      <w:r>
        <w:rPr>
          <w:rStyle w:val="FootnoteReference"/>
        </w:rPr>
        <w:footnoteRef/>
      </w:r>
      <w:r>
        <w:t xml:space="preserve"> Panel Report, para. 6.3 (quoting United States</w:t>
      </w:r>
      <w:r w:rsidRPr="007D1CD9">
        <w:t xml:space="preserve">' first written submission to the Panel, </w:t>
      </w:r>
      <w:r>
        <w:t>para. </w:t>
      </w:r>
      <w:r w:rsidRPr="007D1CD9">
        <w:t>1</w:t>
      </w:r>
      <w:r>
        <w:t>)</w:t>
      </w:r>
      <w:r w:rsidRPr="007D1CD9">
        <w:t>.</w:t>
      </w:r>
    </w:p>
  </w:footnote>
  <w:footnote w:id="26">
    <w:p w:rsidR="00FD2727" w:rsidRPr="006C03AB" w:rsidRDefault="00FD2727">
      <w:pPr>
        <w:pStyle w:val="FootnoteText"/>
        <w:rPr>
          <w:lang w:val="en-US"/>
        </w:rPr>
      </w:pPr>
      <w:r>
        <w:rPr>
          <w:rStyle w:val="FootnoteReference"/>
        </w:rPr>
        <w:footnoteRef/>
      </w:r>
      <w:r>
        <w:t xml:space="preserve"> Panel Report, para. 7.1.a.i-ii. (emphasis original)</w:t>
      </w:r>
    </w:p>
  </w:footnote>
  <w:footnote w:id="27">
    <w:p w:rsidR="00FD2727" w:rsidRPr="006C03AB" w:rsidRDefault="00FD2727">
      <w:pPr>
        <w:pStyle w:val="FootnoteText"/>
        <w:rPr>
          <w:lang w:val="en-US"/>
        </w:rPr>
      </w:pPr>
      <w:r>
        <w:rPr>
          <w:rStyle w:val="FootnoteReference"/>
        </w:rPr>
        <w:footnoteRef/>
      </w:r>
      <w:r>
        <w:t xml:space="preserve"> Panel Report, para. 7.1.b.i-iv.</w:t>
      </w:r>
    </w:p>
  </w:footnote>
  <w:footnote w:id="28">
    <w:p w:rsidR="00FD2727" w:rsidRPr="006C03AB" w:rsidRDefault="00FD2727">
      <w:pPr>
        <w:pStyle w:val="FootnoteText"/>
        <w:rPr>
          <w:lang w:val="en-US"/>
        </w:rPr>
      </w:pPr>
      <w:r>
        <w:rPr>
          <w:rStyle w:val="FootnoteReference"/>
        </w:rPr>
        <w:footnoteRef/>
      </w:r>
      <w:r>
        <w:t xml:space="preserve"> </w:t>
      </w:r>
      <w:r w:rsidRPr="00F92D55">
        <w:rPr>
          <w:lang w:val="en-US"/>
        </w:rPr>
        <w:t xml:space="preserve">Panel Report, </w:t>
      </w:r>
      <w:r>
        <w:rPr>
          <w:lang w:val="en-US"/>
        </w:rPr>
        <w:t>para. </w:t>
      </w:r>
      <w:r w:rsidRPr="00F92D55">
        <w:rPr>
          <w:lang w:val="en-US"/>
        </w:rPr>
        <w:t>7.1.c.i.</w:t>
      </w:r>
    </w:p>
  </w:footnote>
  <w:footnote w:id="29">
    <w:p w:rsidR="00FD2727" w:rsidRPr="006C03AB" w:rsidRDefault="00FD2727">
      <w:pPr>
        <w:pStyle w:val="FootnoteText"/>
        <w:rPr>
          <w:lang w:val="en-US"/>
        </w:rPr>
      </w:pPr>
      <w:r>
        <w:rPr>
          <w:rStyle w:val="FootnoteReference"/>
        </w:rPr>
        <w:footnoteRef/>
      </w:r>
      <w:r>
        <w:t xml:space="preserve"> Panel Report, para. 7.1.c.ii-iii.</w:t>
      </w:r>
    </w:p>
  </w:footnote>
  <w:footnote w:id="30">
    <w:p w:rsidR="00FD2727" w:rsidRPr="006C03AB" w:rsidRDefault="00FD2727" w:rsidP="00206326">
      <w:pPr>
        <w:pStyle w:val="FootnoteText"/>
        <w:rPr>
          <w:lang w:val="en-US"/>
        </w:rPr>
      </w:pPr>
      <w:r>
        <w:rPr>
          <w:rStyle w:val="FootnoteReference"/>
        </w:rPr>
        <w:footnoteRef/>
      </w:r>
      <w:r>
        <w:t xml:space="preserve"> The Panel found that</w:t>
      </w:r>
      <w:r w:rsidRPr="0014759B">
        <w:t xml:space="preserve"> </w:t>
      </w:r>
      <w:r>
        <w:t xml:space="preserve">the fact that one or more of the subsidies challenged in these compliance proceedings may have ceased to exist prior to 1 June 2011 does not </w:t>
      </w:r>
      <w:r w:rsidRPr="0014759B">
        <w:rPr>
          <w:i/>
        </w:rPr>
        <w:t xml:space="preserve">ipso </w:t>
      </w:r>
      <w:r w:rsidRPr="00AA68E7">
        <w:rPr>
          <w:i/>
        </w:rPr>
        <w:t>facto</w:t>
      </w:r>
      <w:r>
        <w:t xml:space="preserve"> mean that the European Union and the four member States do not have a compliance obligation under the terms of Article 7.8 of the SCM Agreement in relation to these subsidies. The Panel further rejected the European Union's arguments on "extraction" of subsidies, which had been rejected by the original panel and the Appellate Body in the original proceedings. (Panel Report, para. 7.1.d.i-v)</w:t>
      </w:r>
    </w:p>
  </w:footnote>
  <w:footnote w:id="31">
    <w:p w:rsidR="00FD2727" w:rsidRPr="006C03AB" w:rsidRDefault="00FD2727" w:rsidP="00206326">
      <w:pPr>
        <w:pStyle w:val="FootnoteText"/>
        <w:rPr>
          <w:lang w:val="en-US"/>
        </w:rPr>
      </w:pPr>
      <w:r>
        <w:rPr>
          <w:rStyle w:val="FootnoteReference"/>
        </w:rPr>
        <w:footnoteRef/>
      </w:r>
      <w:r>
        <w:t xml:space="preserve"> Panel Report, para. 7.1.d.vi.</w:t>
      </w:r>
    </w:p>
  </w:footnote>
  <w:footnote w:id="32">
    <w:p w:rsidR="00FD2727" w:rsidRPr="006C03AB" w:rsidRDefault="00FD2727">
      <w:pPr>
        <w:pStyle w:val="FootnoteText"/>
        <w:rPr>
          <w:lang w:val="en-US"/>
        </w:rPr>
      </w:pPr>
      <w:r>
        <w:rPr>
          <w:rStyle w:val="FootnoteReference"/>
        </w:rPr>
        <w:footnoteRef/>
      </w:r>
      <w:r>
        <w:t xml:space="preserve"> Panel Report, para. 7.1.d.vii.</w:t>
      </w:r>
    </w:p>
  </w:footnote>
  <w:footnote w:id="33">
    <w:p w:rsidR="00FD2727" w:rsidRPr="006C03AB" w:rsidRDefault="00FD2727">
      <w:pPr>
        <w:pStyle w:val="FootnoteText"/>
        <w:rPr>
          <w:lang w:val="en-US"/>
        </w:rPr>
      </w:pPr>
      <w:r>
        <w:rPr>
          <w:rStyle w:val="FootnoteReference"/>
        </w:rPr>
        <w:footnoteRef/>
      </w:r>
      <w:r>
        <w:t xml:space="preserve"> Panel Report, para. 7.1.d.viii-ix. (emphasis original)</w:t>
      </w:r>
    </w:p>
  </w:footnote>
  <w:footnote w:id="34">
    <w:p w:rsidR="00FD2727" w:rsidRPr="006C03AB" w:rsidRDefault="00FD2727">
      <w:pPr>
        <w:pStyle w:val="FootnoteText"/>
        <w:rPr>
          <w:lang w:val="en-US"/>
        </w:rPr>
      </w:pPr>
      <w:r>
        <w:rPr>
          <w:rStyle w:val="FootnoteReference"/>
        </w:rPr>
        <w:footnoteRef/>
      </w:r>
      <w:r>
        <w:t xml:space="preserve"> Panel Report, para. 7.1.d.x.</w:t>
      </w:r>
    </w:p>
  </w:footnote>
  <w:footnote w:id="35">
    <w:p w:rsidR="00FD2727" w:rsidRPr="006C03AB" w:rsidRDefault="00FD2727">
      <w:pPr>
        <w:pStyle w:val="FootnoteText"/>
        <w:rPr>
          <w:lang w:val="en-US"/>
        </w:rPr>
      </w:pPr>
      <w:r>
        <w:rPr>
          <w:rStyle w:val="FootnoteReference"/>
        </w:rPr>
        <w:footnoteRef/>
      </w:r>
      <w:r>
        <w:t xml:space="preserve"> Panel Report, para. 7.1.d.xi.</w:t>
      </w:r>
    </w:p>
  </w:footnote>
  <w:footnote w:id="36">
    <w:p w:rsidR="00FD2727" w:rsidRPr="006C03AB" w:rsidRDefault="00FD2727">
      <w:pPr>
        <w:pStyle w:val="FootnoteText"/>
        <w:rPr>
          <w:lang w:val="en-US"/>
        </w:rPr>
      </w:pPr>
      <w:r>
        <w:rPr>
          <w:rStyle w:val="FootnoteReference"/>
        </w:rPr>
        <w:footnoteRef/>
      </w:r>
      <w:r>
        <w:t xml:space="preserve"> Panel Report, para. 7.1.d.xii. (emphasis original)</w:t>
      </w:r>
    </w:p>
  </w:footnote>
  <w:footnote w:id="37">
    <w:p w:rsidR="00FD2727" w:rsidRPr="006C03AB" w:rsidRDefault="00FD2727">
      <w:pPr>
        <w:pStyle w:val="FootnoteText"/>
        <w:rPr>
          <w:lang w:val="en-US"/>
        </w:rPr>
      </w:pPr>
      <w:r>
        <w:rPr>
          <w:rStyle w:val="FootnoteReference"/>
        </w:rPr>
        <w:footnoteRef/>
      </w:r>
      <w:r>
        <w:t xml:space="preserve"> Panel Report, para. 7.1.d.xiii. (emphasis original)</w:t>
      </w:r>
    </w:p>
  </w:footnote>
  <w:footnote w:id="38">
    <w:p w:rsidR="00FD2727" w:rsidRPr="006C03AB" w:rsidRDefault="00FD2727">
      <w:pPr>
        <w:pStyle w:val="FootnoteText"/>
        <w:rPr>
          <w:lang w:val="en-US"/>
        </w:rPr>
      </w:pPr>
      <w:r>
        <w:rPr>
          <w:rStyle w:val="FootnoteReference"/>
        </w:rPr>
        <w:footnoteRef/>
      </w:r>
      <w:r>
        <w:t xml:space="preserve"> Panel Report, para. 7.1.d.xiv-xvi.</w:t>
      </w:r>
    </w:p>
  </w:footnote>
  <w:footnote w:id="39">
    <w:p w:rsidR="00FD2727" w:rsidRPr="006C03AB" w:rsidRDefault="00FD2727">
      <w:pPr>
        <w:pStyle w:val="FootnoteText"/>
        <w:rPr>
          <w:lang w:val="en-US"/>
        </w:rPr>
      </w:pPr>
      <w:r>
        <w:rPr>
          <w:rStyle w:val="FootnoteReference"/>
        </w:rPr>
        <w:footnoteRef/>
      </w:r>
      <w:r>
        <w:t xml:space="preserve"> Panel Report, para. 7.1.d.xvii-xviii.</w:t>
      </w:r>
    </w:p>
  </w:footnote>
  <w:footnote w:id="40">
    <w:p w:rsidR="00FD2727" w:rsidRPr="006C03AB" w:rsidRDefault="00FD2727">
      <w:pPr>
        <w:pStyle w:val="FootnoteText"/>
        <w:rPr>
          <w:lang w:val="en-US"/>
        </w:rPr>
      </w:pPr>
      <w:r>
        <w:rPr>
          <w:rStyle w:val="FootnoteReference"/>
        </w:rPr>
        <w:footnoteRef/>
      </w:r>
      <w:r>
        <w:t xml:space="preserve"> Panel Report, para. 7.1.d.xix.</w:t>
      </w:r>
    </w:p>
  </w:footnote>
  <w:footnote w:id="41">
    <w:p w:rsidR="00FD2727" w:rsidRPr="006C03AB" w:rsidRDefault="00FD2727">
      <w:pPr>
        <w:pStyle w:val="FootnoteText"/>
        <w:rPr>
          <w:lang w:val="en-US"/>
        </w:rPr>
      </w:pPr>
      <w:r>
        <w:rPr>
          <w:rStyle w:val="FootnoteReference"/>
        </w:rPr>
        <w:footnoteRef/>
      </w:r>
      <w:r>
        <w:t xml:space="preserve"> WT/DS316/29</w:t>
      </w:r>
      <w:r>
        <w:rPr>
          <w:szCs w:val="16"/>
        </w:rPr>
        <w:t>.</w:t>
      </w:r>
    </w:p>
  </w:footnote>
  <w:footnote w:id="42">
    <w:p w:rsidR="00FD2727" w:rsidRPr="006C03AB" w:rsidRDefault="00FD2727">
      <w:pPr>
        <w:pStyle w:val="FootnoteText"/>
        <w:rPr>
          <w:lang w:val="en-US"/>
        </w:rPr>
      </w:pPr>
      <w:r>
        <w:rPr>
          <w:rStyle w:val="FootnoteReference"/>
        </w:rPr>
        <w:footnoteRef/>
      </w:r>
      <w:r>
        <w:t xml:space="preserve"> </w:t>
      </w:r>
      <w:r w:rsidRPr="008752DF">
        <w:t>WT/</w:t>
      </w:r>
      <w:r>
        <w:t>AB/WP/6</w:t>
      </w:r>
      <w:r w:rsidRPr="004E1F73">
        <w:rPr>
          <w:spacing w:val="-2"/>
          <w:szCs w:val="16"/>
        </w:rPr>
        <w:t>, 16</w:t>
      </w:r>
      <w:r>
        <w:rPr>
          <w:spacing w:val="-2"/>
          <w:szCs w:val="16"/>
        </w:rPr>
        <w:t> August 20</w:t>
      </w:r>
      <w:r w:rsidRPr="004E1F73">
        <w:rPr>
          <w:spacing w:val="-2"/>
          <w:szCs w:val="16"/>
        </w:rPr>
        <w:t>10.</w:t>
      </w:r>
    </w:p>
  </w:footnote>
  <w:footnote w:id="43">
    <w:p w:rsidR="00FD2727" w:rsidRPr="006C03AB" w:rsidRDefault="00FD2727">
      <w:pPr>
        <w:pStyle w:val="FootnoteText"/>
        <w:rPr>
          <w:lang w:val="en-US"/>
        </w:rPr>
      </w:pPr>
      <w:r>
        <w:rPr>
          <w:rStyle w:val="FootnoteReference"/>
        </w:rPr>
        <w:footnoteRef/>
      </w:r>
      <w:r>
        <w:t xml:space="preserve"> Australia and Brazil did not object to the joint request by the participants, but requested that the Appellate Body ensure that the rights of third participants are taken into account in setting the working schedule for this appeal.</w:t>
      </w:r>
    </w:p>
  </w:footnote>
  <w:footnote w:id="44">
    <w:p w:rsidR="00FD2727" w:rsidRPr="006C03AB" w:rsidRDefault="00FD2727">
      <w:pPr>
        <w:pStyle w:val="FootnoteText"/>
        <w:rPr>
          <w:lang w:val="en-US"/>
        </w:rPr>
      </w:pPr>
      <w:r>
        <w:rPr>
          <w:rStyle w:val="FootnoteReference"/>
        </w:rPr>
        <w:footnoteRef/>
      </w:r>
      <w:r>
        <w:t xml:space="preserve"> </w:t>
      </w:r>
      <w:r>
        <w:rPr>
          <w:lang w:val="en-US"/>
        </w:rPr>
        <w:t>The Procedural R</w:t>
      </w:r>
      <w:r w:rsidRPr="0043628F">
        <w:rPr>
          <w:lang w:val="en-US"/>
        </w:rPr>
        <w:t>uling</w:t>
      </w:r>
      <w:r>
        <w:rPr>
          <w:lang w:val="en-US"/>
        </w:rPr>
        <w:t xml:space="preserve"> of 25 October 2016</w:t>
      </w:r>
      <w:r w:rsidRPr="0043628F">
        <w:rPr>
          <w:lang w:val="en-US"/>
        </w:rPr>
        <w:t xml:space="preserve"> </w:t>
      </w:r>
      <w:r>
        <w:rPr>
          <w:lang w:val="en-US"/>
        </w:rPr>
        <w:t xml:space="preserve">and </w:t>
      </w:r>
      <w:r w:rsidRPr="006D263C">
        <w:t>Additional Procedures to Protect Sensitive Information</w:t>
      </w:r>
      <w:r>
        <w:rPr>
          <w:lang w:val="en-US"/>
        </w:rPr>
        <w:t xml:space="preserve"> </w:t>
      </w:r>
      <w:r w:rsidRPr="0043628F">
        <w:rPr>
          <w:lang w:val="en-US"/>
        </w:rPr>
        <w:t xml:space="preserve">are </w:t>
      </w:r>
      <w:r>
        <w:rPr>
          <w:lang w:val="en-US"/>
        </w:rPr>
        <w:t xml:space="preserve">contained in </w:t>
      </w:r>
      <w:r w:rsidRPr="00B36EF2">
        <w:rPr>
          <w:lang w:val="en-US"/>
        </w:rPr>
        <w:t>Annex D-1</w:t>
      </w:r>
      <w:r w:rsidRPr="0000440E">
        <w:rPr>
          <w:lang w:val="en-US"/>
        </w:rPr>
        <w:t xml:space="preserve"> of the Addendum to this Report, WT/DS316/AB/RW/Add.1</w:t>
      </w:r>
      <w:r>
        <w:rPr>
          <w:lang w:val="en-US"/>
        </w:rPr>
        <w:t xml:space="preserve">. The composition of the Division was communicated to the participants and third parties on 14 November 2016. </w:t>
      </w:r>
    </w:p>
  </w:footnote>
  <w:footnote w:id="45">
    <w:p w:rsidR="00FD2727" w:rsidRPr="006C03AB" w:rsidRDefault="00FD2727">
      <w:pPr>
        <w:pStyle w:val="FootnoteText"/>
        <w:rPr>
          <w:lang w:val="en-US"/>
        </w:rPr>
      </w:pPr>
      <w:r>
        <w:rPr>
          <w:rStyle w:val="FootnoteReference"/>
        </w:rPr>
        <w:footnoteRef/>
      </w:r>
      <w:r>
        <w:t xml:space="preserve"> </w:t>
      </w:r>
      <w:r w:rsidRPr="00B964AA">
        <w:rPr>
          <w:lang w:val="en-US"/>
        </w:rPr>
        <w:t xml:space="preserve">See </w:t>
      </w:r>
      <w:r>
        <w:rPr>
          <w:lang w:val="en-US"/>
        </w:rPr>
        <w:t>Appellate Body</w:t>
      </w:r>
      <w:r w:rsidRPr="00B964AA">
        <w:rPr>
          <w:lang w:val="en-US"/>
        </w:rPr>
        <w:t xml:space="preserve"> Report, </w:t>
      </w:r>
      <w:r>
        <w:rPr>
          <w:i/>
          <w:iCs/>
          <w:lang w:val="en-US"/>
        </w:rPr>
        <w:t>EC</w:t>
      </w:r>
      <w:r w:rsidRPr="00B964AA">
        <w:rPr>
          <w:i/>
          <w:iCs/>
          <w:lang w:val="en-US"/>
        </w:rPr>
        <w:t xml:space="preserve"> and </w:t>
      </w:r>
      <w:r>
        <w:rPr>
          <w:i/>
          <w:iCs/>
          <w:lang w:val="en-US"/>
        </w:rPr>
        <w:t>c</w:t>
      </w:r>
      <w:r w:rsidRPr="00B964AA">
        <w:rPr>
          <w:i/>
          <w:iCs/>
          <w:lang w:val="en-US"/>
        </w:rPr>
        <w:t xml:space="preserve">ertain </w:t>
      </w:r>
      <w:r>
        <w:rPr>
          <w:i/>
          <w:iCs/>
          <w:lang w:val="en-US"/>
        </w:rPr>
        <w:t>m</w:t>
      </w:r>
      <w:r w:rsidRPr="00B964AA">
        <w:rPr>
          <w:i/>
          <w:iCs/>
          <w:lang w:val="en-US"/>
        </w:rPr>
        <w:t>ember States –</w:t>
      </w:r>
      <w:r>
        <w:rPr>
          <w:i/>
          <w:iCs/>
          <w:lang w:val="en-US"/>
        </w:rPr>
        <w:t xml:space="preserve"> </w:t>
      </w:r>
      <w:r w:rsidRPr="00B964AA">
        <w:rPr>
          <w:i/>
          <w:iCs/>
          <w:lang w:val="en-US"/>
        </w:rPr>
        <w:t>Large Civil Aircraft</w:t>
      </w:r>
      <w:r w:rsidRPr="00B964AA">
        <w:rPr>
          <w:lang w:val="en-US"/>
        </w:rPr>
        <w:t>, Annex III, Procedural Ruling and Additional Procedures to</w:t>
      </w:r>
      <w:r>
        <w:rPr>
          <w:lang w:val="en-US"/>
        </w:rPr>
        <w:t xml:space="preserve"> Protect Sensitive Information, para. </w:t>
      </w:r>
      <w:r w:rsidRPr="00B964AA">
        <w:rPr>
          <w:lang w:val="en-US"/>
        </w:rPr>
        <w:t>11.</w:t>
      </w:r>
    </w:p>
  </w:footnote>
  <w:footnote w:id="46">
    <w:p w:rsidR="00FD2727" w:rsidRPr="006C03AB" w:rsidRDefault="00FD2727">
      <w:pPr>
        <w:pStyle w:val="FootnoteText"/>
        <w:rPr>
          <w:lang w:val="en-US"/>
        </w:rPr>
      </w:pPr>
      <w:r>
        <w:rPr>
          <w:rStyle w:val="FootnoteReference"/>
        </w:rPr>
        <w:footnoteRef/>
      </w:r>
      <w:r>
        <w:t xml:space="preserve"> </w:t>
      </w:r>
      <w:r w:rsidRPr="008752DF">
        <w:t>WT/</w:t>
      </w:r>
      <w:r>
        <w:t>DS316/30</w:t>
      </w:r>
      <w:r w:rsidRPr="004E1F73">
        <w:rPr>
          <w:szCs w:val="16"/>
        </w:rPr>
        <w:t>.</w:t>
      </w:r>
    </w:p>
  </w:footnote>
  <w:footnote w:id="47">
    <w:p w:rsidR="00FD2727" w:rsidRPr="006C03AB" w:rsidRDefault="00FD2727">
      <w:pPr>
        <w:pStyle w:val="FootnoteText"/>
        <w:rPr>
          <w:lang w:val="en-US"/>
        </w:rPr>
      </w:pPr>
      <w:r>
        <w:rPr>
          <w:rStyle w:val="FootnoteReference"/>
        </w:rPr>
        <w:footnoteRef/>
      </w:r>
      <w:r>
        <w:t xml:space="preserve"> </w:t>
      </w:r>
      <w:r w:rsidRPr="00AA2BD3">
        <w:rPr>
          <w:szCs w:val="16"/>
        </w:rPr>
        <w:t>Comments were also received from Canada, China, and Japan.</w:t>
      </w:r>
    </w:p>
  </w:footnote>
  <w:footnote w:id="48">
    <w:p w:rsidR="00FD2727" w:rsidRPr="006C03AB" w:rsidRDefault="00FD2727">
      <w:pPr>
        <w:pStyle w:val="FootnoteText"/>
        <w:rPr>
          <w:lang w:val="en-US"/>
        </w:rPr>
      </w:pPr>
      <w:r>
        <w:rPr>
          <w:rStyle w:val="FootnoteReference"/>
        </w:rPr>
        <w:footnoteRef/>
      </w:r>
      <w:r>
        <w:t xml:space="preserve"> </w:t>
      </w:r>
      <w:r w:rsidRPr="00AA2BD3">
        <w:rPr>
          <w:szCs w:val="16"/>
        </w:rPr>
        <w:t xml:space="preserve">Comments were also received from the </w:t>
      </w:r>
      <w:r>
        <w:rPr>
          <w:szCs w:val="16"/>
        </w:rPr>
        <w:t>United States</w:t>
      </w:r>
      <w:r w:rsidRPr="00AA2BD3">
        <w:rPr>
          <w:szCs w:val="16"/>
        </w:rPr>
        <w:t xml:space="preserve"> and Australia.</w:t>
      </w:r>
    </w:p>
  </w:footnote>
  <w:footnote w:id="49">
    <w:p w:rsidR="00FD2727" w:rsidRPr="006C03AB" w:rsidRDefault="00FD2727">
      <w:pPr>
        <w:pStyle w:val="FootnoteText"/>
        <w:rPr>
          <w:lang w:val="en-US"/>
        </w:rPr>
      </w:pPr>
      <w:r>
        <w:rPr>
          <w:rStyle w:val="FootnoteReference"/>
        </w:rPr>
        <w:footnoteRef/>
      </w:r>
      <w:r>
        <w:t xml:space="preserve"> See also Appellate Body Report, </w:t>
      </w:r>
      <w:r w:rsidRPr="00C0664E">
        <w:rPr>
          <w:i/>
        </w:rPr>
        <w:t>US – Tax Incentives</w:t>
      </w:r>
      <w:r>
        <w:t>, para. 1.5.</w:t>
      </w:r>
    </w:p>
  </w:footnote>
  <w:footnote w:id="50">
    <w:p w:rsidR="00FD2727" w:rsidRPr="006C03AB" w:rsidRDefault="00FD2727">
      <w:pPr>
        <w:pStyle w:val="FootnoteText"/>
        <w:rPr>
          <w:lang w:val="en-US"/>
        </w:rPr>
      </w:pPr>
      <w:r>
        <w:rPr>
          <w:rStyle w:val="FootnoteReference"/>
        </w:rPr>
        <w:footnoteRef/>
      </w:r>
      <w:r>
        <w:t xml:space="preserve"> </w:t>
      </w:r>
      <w:r w:rsidRPr="00974060">
        <w:t>WT/DS316/31</w:t>
      </w:r>
      <w:r>
        <w:t>.</w:t>
      </w:r>
    </w:p>
  </w:footnote>
  <w:footnote w:id="51">
    <w:p w:rsidR="00FD2727" w:rsidRPr="006C03AB" w:rsidRDefault="00FD2727" w:rsidP="00206326">
      <w:pPr>
        <w:pStyle w:val="FootnoteText"/>
        <w:rPr>
          <w:lang w:val="en-US"/>
        </w:rPr>
      </w:pPr>
      <w:r>
        <w:rPr>
          <w:rStyle w:val="FootnoteReference"/>
        </w:rPr>
        <w:footnoteRef/>
      </w:r>
      <w:r>
        <w:t xml:space="preserve"> </w:t>
      </w:r>
      <w:r w:rsidRPr="00974060">
        <w:t>WT/DS316</w:t>
      </w:r>
      <w:r w:rsidRPr="0026118D">
        <w:t>/32.</w:t>
      </w:r>
    </w:p>
  </w:footnote>
  <w:footnote w:id="52">
    <w:p w:rsidR="00FD2727" w:rsidRPr="006C03AB" w:rsidRDefault="00FD2727">
      <w:pPr>
        <w:pStyle w:val="FootnoteText"/>
        <w:rPr>
          <w:lang w:val="en-US"/>
        </w:rPr>
      </w:pPr>
      <w:r>
        <w:rPr>
          <w:rStyle w:val="FootnoteReference"/>
        </w:rPr>
        <w:footnoteRef/>
      </w:r>
      <w:r>
        <w:t xml:space="preserve"> </w:t>
      </w:r>
      <w:r w:rsidRPr="004E1F73">
        <w:rPr>
          <w:szCs w:val="16"/>
        </w:rPr>
        <w:t xml:space="preserve">Pursuant to </w:t>
      </w:r>
      <w:r>
        <w:rPr>
          <w:szCs w:val="16"/>
        </w:rPr>
        <w:t xml:space="preserve">Rules 22 and 23(4) </w:t>
      </w:r>
      <w:r w:rsidRPr="004E1F73">
        <w:rPr>
          <w:szCs w:val="16"/>
        </w:rPr>
        <w:t>of the Working Procedures.</w:t>
      </w:r>
    </w:p>
  </w:footnote>
  <w:footnote w:id="53">
    <w:p w:rsidR="00FD2727" w:rsidRPr="006C03AB" w:rsidRDefault="00FD2727">
      <w:pPr>
        <w:pStyle w:val="FootnoteText"/>
        <w:rPr>
          <w:lang w:val="en-US"/>
        </w:rPr>
      </w:pPr>
      <w:r>
        <w:rPr>
          <w:rStyle w:val="FootnoteReference"/>
        </w:rPr>
        <w:footnoteRef/>
      </w:r>
      <w:r>
        <w:t xml:space="preserve"> </w:t>
      </w:r>
      <w:r w:rsidRPr="004E1F73">
        <w:rPr>
          <w:szCs w:val="16"/>
        </w:rPr>
        <w:t>Pursuant to Rule 24(1) of the Working Procedures.</w:t>
      </w:r>
    </w:p>
  </w:footnote>
  <w:footnote w:id="54">
    <w:p w:rsidR="00FD2727" w:rsidRPr="006C03AB" w:rsidRDefault="00FD2727">
      <w:pPr>
        <w:pStyle w:val="FootnoteText"/>
        <w:rPr>
          <w:lang w:val="en-US"/>
        </w:rPr>
      </w:pPr>
      <w:r>
        <w:rPr>
          <w:rStyle w:val="FootnoteReference"/>
        </w:rPr>
        <w:footnoteRef/>
      </w:r>
      <w:r>
        <w:t xml:space="preserve"> Australia notified in writing that it would not be filing a third participant's submission. </w:t>
      </w:r>
      <w:r w:rsidRPr="000921A0">
        <w:t xml:space="preserve">For purposes of this appeal, we have interpreted </w:t>
      </w:r>
      <w:r>
        <w:t>Australia</w:t>
      </w:r>
      <w:r w:rsidRPr="000921A0">
        <w:t xml:space="preserve">'s action to be a notification expressing </w:t>
      </w:r>
      <w:r>
        <w:t>its</w:t>
      </w:r>
      <w:r w:rsidRPr="000921A0">
        <w:t xml:space="preserve"> intention to attend the oral hearing pursuant to Rule 24(</w:t>
      </w:r>
      <w:r>
        <w:t>2</w:t>
      </w:r>
      <w:r w:rsidRPr="000921A0">
        <w:t>) of the Working Procedures</w:t>
      </w:r>
      <w:r>
        <w:t>.</w:t>
      </w:r>
    </w:p>
  </w:footnote>
  <w:footnote w:id="55">
    <w:p w:rsidR="00FD2727" w:rsidRPr="006C03AB" w:rsidRDefault="00FD2727">
      <w:pPr>
        <w:pStyle w:val="FootnoteText"/>
        <w:rPr>
          <w:lang w:val="en-US"/>
        </w:rPr>
      </w:pPr>
      <w:r>
        <w:rPr>
          <w:rStyle w:val="FootnoteReference"/>
        </w:rPr>
        <w:footnoteRef/>
      </w:r>
      <w:r>
        <w:t xml:space="preserve"> Korea submitted its delegation list for the oral hearing. </w:t>
      </w:r>
      <w:r w:rsidRPr="000921A0">
        <w:rPr>
          <w:szCs w:val="16"/>
        </w:rPr>
        <w:t xml:space="preserve">For purposes of this appeal, we have interpreted Korea's action to be a notification expressing </w:t>
      </w:r>
      <w:r>
        <w:rPr>
          <w:szCs w:val="16"/>
        </w:rPr>
        <w:t>its</w:t>
      </w:r>
      <w:r w:rsidRPr="000921A0">
        <w:rPr>
          <w:szCs w:val="16"/>
        </w:rPr>
        <w:t xml:space="preserve"> intention to attend the oral hearing pursuant to Rule 24(4) of the Working Procedures.</w:t>
      </w:r>
    </w:p>
  </w:footnote>
  <w:footnote w:id="56">
    <w:p w:rsidR="00FD2727" w:rsidRPr="006C03AB" w:rsidRDefault="00FD2727" w:rsidP="00206326">
      <w:pPr>
        <w:pStyle w:val="FootnoteText"/>
        <w:rPr>
          <w:lang w:val="en-US"/>
        </w:rPr>
      </w:pPr>
      <w:r>
        <w:rPr>
          <w:rStyle w:val="FootnoteReference"/>
        </w:rPr>
        <w:footnoteRef/>
      </w:r>
      <w:r>
        <w:t xml:space="preserve"> The first session of the oral hearing was held from 2 to 5 May 2017 as scheduled and covered the following topics: (i) the Mühlenberger Loch and Bremen Airport measures; (ii) import substitution subsidies; (iii) withdrawal of subsidies/removal of adverse effects; (iv) the European Union's and the United States' conditional appeals regarding the expiry of pre</w:t>
      </w:r>
      <w:r>
        <w:noBreakHyphen/>
        <w:t>A350XWB LA/MSF; and (v) benefit.</w:t>
      </w:r>
    </w:p>
  </w:footnote>
  <w:footnote w:id="57">
    <w:p w:rsidR="00FD2727" w:rsidRPr="006C03AB" w:rsidRDefault="00FD2727">
      <w:pPr>
        <w:pStyle w:val="FootnoteText"/>
        <w:rPr>
          <w:lang w:val="en-US"/>
        </w:rPr>
      </w:pPr>
      <w:r>
        <w:rPr>
          <w:rStyle w:val="FootnoteReference"/>
        </w:rPr>
        <w:footnoteRef/>
      </w:r>
      <w:r>
        <w:t xml:space="preserve"> The participants requested that any potential disagreement as to whether BCI/HSBI was inadvertently included in the oral statements be resolved by the Division.</w:t>
      </w:r>
    </w:p>
  </w:footnote>
  <w:footnote w:id="58">
    <w:p w:rsidR="00FD2727" w:rsidRPr="006C03AB" w:rsidRDefault="00FD2727">
      <w:pPr>
        <w:pStyle w:val="FootnoteText"/>
        <w:rPr>
          <w:lang w:val="en-US"/>
        </w:rPr>
      </w:pPr>
      <w:r>
        <w:rPr>
          <w:rStyle w:val="FootnoteReference"/>
        </w:rPr>
        <w:footnoteRef/>
      </w:r>
      <w:r>
        <w:t xml:space="preserve"> </w:t>
      </w:r>
      <w:r w:rsidRPr="00631A58">
        <w:t xml:space="preserve">The Procedural Ruling of </w:t>
      </w:r>
      <w:r>
        <w:t>19 April 20</w:t>
      </w:r>
      <w:r w:rsidRPr="00631A58">
        <w:t>1</w:t>
      </w:r>
      <w:r>
        <w:t>7</w:t>
      </w:r>
      <w:r w:rsidRPr="00631A58">
        <w:t xml:space="preserve"> </w:t>
      </w:r>
      <w:r>
        <w:t>and Additional Procedures on the Conduct of the Oral Hearing</w:t>
      </w:r>
      <w:r w:rsidRPr="00631A58">
        <w:t xml:space="preserve"> are </w:t>
      </w:r>
      <w:r w:rsidRPr="00B36EF2">
        <w:t>contained in Annex D-2 of the Addendum</w:t>
      </w:r>
      <w:r w:rsidRPr="00631A58">
        <w:t xml:space="preserve"> to this Report, </w:t>
      </w:r>
      <w:r w:rsidRPr="00C95467">
        <w:t>WT/DS316/AB/RW/Add.1</w:t>
      </w:r>
      <w:r>
        <w:t>.</w:t>
      </w:r>
    </w:p>
  </w:footnote>
  <w:footnote w:id="59">
    <w:p w:rsidR="00FD2727" w:rsidRPr="006C03AB" w:rsidRDefault="00FD2727">
      <w:pPr>
        <w:pStyle w:val="FootnoteText"/>
        <w:rPr>
          <w:lang w:val="en-US"/>
        </w:rPr>
      </w:pPr>
      <w:r>
        <w:rPr>
          <w:rStyle w:val="FootnoteReference"/>
        </w:rPr>
        <w:footnoteRef/>
      </w:r>
      <w:r>
        <w:t xml:space="preserve"> There were no closing statements at the first session of the oral hearing. Korea did not make an opening statement at either of the sessions, and </w:t>
      </w:r>
      <w:r>
        <w:rPr>
          <w:rFonts w:cs="Arial"/>
        </w:rPr>
        <w:t>Australia did not make an opening statement at the second session. In addition, only the European Union, the United States, Canada, and Japan made closing statements at the end of the second session.</w:t>
      </w:r>
    </w:p>
  </w:footnote>
  <w:footnote w:id="60">
    <w:p w:rsidR="00FD2727" w:rsidRPr="006C03AB" w:rsidRDefault="00FD2727">
      <w:pPr>
        <w:pStyle w:val="FootnoteText"/>
        <w:rPr>
          <w:lang w:val="en-US"/>
        </w:rPr>
      </w:pPr>
      <w:r>
        <w:rPr>
          <w:rStyle w:val="FootnoteReference"/>
        </w:rPr>
        <w:footnoteRef/>
      </w:r>
      <w:r>
        <w:t xml:space="preserve"> China was not included in the video recording, having objected to opening its statements to public observation.</w:t>
      </w:r>
    </w:p>
  </w:footnote>
  <w:footnote w:id="61">
    <w:p w:rsidR="00FD2727" w:rsidRPr="006C03AB" w:rsidRDefault="00FD2727">
      <w:pPr>
        <w:pStyle w:val="FootnoteText"/>
        <w:rPr>
          <w:lang w:val="en-US"/>
        </w:rPr>
      </w:pPr>
      <w:r>
        <w:rPr>
          <w:rStyle w:val="FootnoteReference"/>
        </w:rPr>
        <w:footnoteRef/>
      </w:r>
      <w:r>
        <w:t xml:space="preserve"> China was not included in the audio recording, having objected to opening its statements to public observation.</w:t>
      </w:r>
    </w:p>
  </w:footnote>
  <w:footnote w:id="62">
    <w:p w:rsidR="00FD2727" w:rsidRPr="006C03AB" w:rsidRDefault="00FD2727" w:rsidP="00206326">
      <w:pPr>
        <w:pStyle w:val="FootnoteText"/>
        <w:rPr>
          <w:lang w:val="en-US"/>
        </w:rPr>
      </w:pPr>
      <w:r>
        <w:rPr>
          <w:rStyle w:val="FootnoteReference"/>
        </w:rPr>
        <w:footnoteRef/>
      </w:r>
      <w:r>
        <w:t xml:space="preserve"> The second session was held from 26 to 29 September 2017 as scheduled and covered the topics not covered in the first session, namely: (i) product market; (ii) non-subsidized like product; (iii) causation; (iv) displacement/impedance and lost sales; and (v) completion of the legal analysis.</w:t>
      </w:r>
    </w:p>
  </w:footnote>
  <w:footnote w:id="63">
    <w:p w:rsidR="00FD2727" w:rsidRPr="006C03AB" w:rsidRDefault="00FD2727">
      <w:pPr>
        <w:pStyle w:val="FootnoteText"/>
        <w:rPr>
          <w:lang w:val="en-US"/>
        </w:rPr>
      </w:pPr>
      <w:r>
        <w:rPr>
          <w:rStyle w:val="FootnoteReference"/>
        </w:rPr>
        <w:footnoteRef/>
      </w:r>
      <w:r>
        <w:t xml:space="preserve"> Pursuant to the Appellate Body's communication on "Executive Summaries of Written Submissions in Appellate Proceedings" and "Guidelines in Respect of Executive Summaries of Written Submissions in Appellate Proceedings" (WT/AB/23, 11 March 2015).</w:t>
      </w:r>
    </w:p>
  </w:footnote>
  <w:footnote w:id="64">
    <w:p w:rsidR="00FD2727" w:rsidRPr="006C03AB" w:rsidRDefault="00FD2727">
      <w:pPr>
        <w:pStyle w:val="FootnoteText"/>
        <w:rPr>
          <w:lang w:val="en-US"/>
        </w:rPr>
      </w:pPr>
      <w:r>
        <w:rPr>
          <w:rStyle w:val="FootnoteReference"/>
        </w:rPr>
        <w:footnoteRef/>
      </w:r>
      <w:r>
        <w:t xml:space="preserve"> Pursuant to the Appellate Body's communication on "Executive Summaries of Written Submissions in Appellate Proceedings" and "Guidelines in Respect of Executive Summaries of Written Submissions in Appellate Proceedings" (WT/AB/23, 11 March 2015).</w:t>
      </w:r>
    </w:p>
  </w:footnote>
  <w:footnote w:id="65">
    <w:p w:rsidR="00FD2727" w:rsidRPr="00857A13" w:rsidRDefault="00FD2727" w:rsidP="00BC385B">
      <w:pPr>
        <w:pStyle w:val="FootnoteText"/>
        <w:rPr>
          <w:lang w:val="en-US"/>
        </w:rPr>
      </w:pPr>
      <w:r>
        <w:rPr>
          <w:rStyle w:val="FootnoteReference"/>
        </w:rPr>
        <w:footnoteRef/>
      </w:r>
      <w:r>
        <w:t xml:space="preserve"> Unless indicated otherwise, the following issues are raised by the European Union.</w:t>
      </w:r>
    </w:p>
  </w:footnote>
  <w:footnote w:id="66">
    <w:p w:rsidR="00FD2727" w:rsidRPr="00E052A4" w:rsidRDefault="00FD2727" w:rsidP="00933169">
      <w:pPr>
        <w:pStyle w:val="FootnoteText"/>
      </w:pPr>
      <w:r>
        <w:rPr>
          <w:rStyle w:val="FootnoteReference"/>
        </w:rPr>
        <w:footnoteRef/>
      </w:r>
      <w:r>
        <w:t xml:space="preserve"> European Union's appellant's submission, para. 226.</w:t>
      </w:r>
    </w:p>
  </w:footnote>
  <w:footnote w:id="67">
    <w:p w:rsidR="00FD2727" w:rsidRPr="00F06133" w:rsidRDefault="00FD2727" w:rsidP="00933169">
      <w:pPr>
        <w:pStyle w:val="FootnoteText"/>
      </w:pPr>
      <w:r w:rsidRPr="00F06133">
        <w:rPr>
          <w:rStyle w:val="FootnoteReference"/>
        </w:rPr>
        <w:footnoteRef/>
      </w:r>
      <w:r w:rsidRPr="00F06133">
        <w:t xml:space="preserve"> </w:t>
      </w:r>
      <w:r>
        <w:t>European Union</w:t>
      </w:r>
      <w:r w:rsidRPr="00F06133">
        <w:t xml:space="preserve">'s appellant's submission, </w:t>
      </w:r>
      <w:r>
        <w:t>para. </w:t>
      </w:r>
      <w:r w:rsidRPr="00F06133">
        <w:t>244.</w:t>
      </w:r>
    </w:p>
  </w:footnote>
  <w:footnote w:id="68">
    <w:p w:rsidR="00FD2727" w:rsidRPr="00F06133" w:rsidRDefault="00FD2727" w:rsidP="00933169">
      <w:pPr>
        <w:pStyle w:val="FootnoteText"/>
      </w:pPr>
      <w:r w:rsidRPr="00F06133">
        <w:rPr>
          <w:rStyle w:val="FootnoteReference"/>
        </w:rPr>
        <w:footnoteRef/>
      </w:r>
      <w:r w:rsidRPr="00F06133">
        <w:t xml:space="preserve"> </w:t>
      </w:r>
      <w:r>
        <w:t>European Union</w:t>
      </w:r>
      <w:r w:rsidRPr="00F06133">
        <w:t xml:space="preserve">'s appellant's submission, </w:t>
      </w:r>
      <w:r>
        <w:t>para. </w:t>
      </w:r>
      <w:r w:rsidRPr="00F06133">
        <w:t>244.</w:t>
      </w:r>
    </w:p>
  </w:footnote>
  <w:footnote w:id="69">
    <w:p w:rsidR="00FD2727" w:rsidRPr="00F06133" w:rsidRDefault="00FD2727" w:rsidP="00933169">
      <w:pPr>
        <w:pStyle w:val="FootnoteText"/>
      </w:pPr>
      <w:r w:rsidRPr="00F06133">
        <w:rPr>
          <w:rStyle w:val="FootnoteReference"/>
        </w:rPr>
        <w:footnoteRef/>
      </w:r>
      <w:r w:rsidRPr="00F06133">
        <w:t xml:space="preserve"> </w:t>
      </w:r>
      <w:r>
        <w:t>European Union</w:t>
      </w:r>
      <w:r w:rsidRPr="00F06133">
        <w:t>'s appell</w:t>
      </w:r>
      <w:r>
        <w:t>ant's submission, paras. 258-262</w:t>
      </w:r>
      <w:r w:rsidRPr="00F06133">
        <w:t>.</w:t>
      </w:r>
    </w:p>
  </w:footnote>
  <w:footnote w:id="70">
    <w:p w:rsidR="00FD2727" w:rsidRDefault="00FD2727" w:rsidP="00933169">
      <w:pPr>
        <w:pStyle w:val="FootnoteText"/>
      </w:pPr>
      <w:r>
        <w:rPr>
          <w:rStyle w:val="FootnoteReference"/>
        </w:rPr>
        <w:footnoteRef/>
      </w:r>
      <w:r>
        <w:t xml:space="preserve"> European Union</w:t>
      </w:r>
      <w:r w:rsidRPr="00F06133">
        <w:t>'s a</w:t>
      </w:r>
      <w:r>
        <w:t>ppellant's submission, paras. 270-271</w:t>
      </w:r>
      <w:r w:rsidRPr="00F06133">
        <w:t>.</w:t>
      </w:r>
    </w:p>
  </w:footnote>
  <w:footnote w:id="71">
    <w:p w:rsidR="00FD2727" w:rsidRPr="00F06133" w:rsidRDefault="00FD2727" w:rsidP="00933169">
      <w:pPr>
        <w:pStyle w:val="FootnoteText"/>
      </w:pPr>
      <w:r w:rsidRPr="00F06133">
        <w:rPr>
          <w:rStyle w:val="FootnoteReference"/>
        </w:rPr>
        <w:footnoteRef/>
      </w:r>
      <w:r w:rsidRPr="00F06133">
        <w:t xml:space="preserve"> </w:t>
      </w:r>
      <w:r>
        <w:t>European Union</w:t>
      </w:r>
      <w:r w:rsidRPr="00F06133">
        <w:t xml:space="preserve">'s appellant's submission, </w:t>
      </w:r>
      <w:r>
        <w:t>para. </w:t>
      </w:r>
      <w:r w:rsidRPr="00F06133">
        <w:t>272.</w:t>
      </w:r>
    </w:p>
  </w:footnote>
  <w:footnote w:id="72">
    <w:p w:rsidR="00FD2727" w:rsidRPr="00F06133" w:rsidRDefault="00FD2727" w:rsidP="00933169">
      <w:pPr>
        <w:pStyle w:val="FootnoteText"/>
      </w:pPr>
      <w:r w:rsidRPr="00F06133">
        <w:rPr>
          <w:rStyle w:val="FootnoteReference"/>
        </w:rPr>
        <w:footnoteRef/>
      </w:r>
      <w:r w:rsidRPr="00F06133">
        <w:t xml:space="preserve"> Panel Report, </w:t>
      </w:r>
      <w:r>
        <w:t>para. </w:t>
      </w:r>
      <w:r w:rsidRPr="00F06133">
        <w:t xml:space="preserve">6.20 (referring to </w:t>
      </w:r>
      <w:r>
        <w:t>United States</w:t>
      </w:r>
      <w:r w:rsidRPr="00F06133">
        <w:t xml:space="preserve">' first written submission to the Panel, </w:t>
      </w:r>
      <w:r>
        <w:t>paras. </w:t>
      </w:r>
      <w:r w:rsidRPr="00F06133">
        <w:t>5 and</w:t>
      </w:r>
      <w:r>
        <w:t> </w:t>
      </w:r>
      <w:r w:rsidRPr="00F06133">
        <w:t>35).</w:t>
      </w:r>
    </w:p>
  </w:footnote>
  <w:footnote w:id="73">
    <w:p w:rsidR="00FD2727" w:rsidRPr="00F06133" w:rsidRDefault="00FD2727" w:rsidP="00933169">
      <w:pPr>
        <w:pStyle w:val="FootnoteText"/>
      </w:pPr>
      <w:r w:rsidRPr="00F06133">
        <w:rPr>
          <w:rStyle w:val="FootnoteReference"/>
        </w:rPr>
        <w:footnoteRef/>
      </w:r>
      <w:r w:rsidRPr="00F06133">
        <w:t xml:space="preserve"> Panel Report, </w:t>
      </w:r>
      <w:r>
        <w:t>paras. 5.75 and</w:t>
      </w:r>
      <w:r w:rsidRPr="00F06133">
        <w:t> 6.22</w:t>
      </w:r>
      <w:r>
        <w:t>.</w:t>
      </w:r>
      <w:r w:rsidRPr="00F06133">
        <w:t xml:space="preserve"> </w:t>
      </w:r>
    </w:p>
  </w:footnote>
  <w:footnote w:id="74">
    <w:p w:rsidR="00FD2727" w:rsidRPr="00F06133" w:rsidRDefault="00FD2727" w:rsidP="00933169">
      <w:pPr>
        <w:pStyle w:val="FootnoteText"/>
      </w:pPr>
      <w:r w:rsidRPr="00F06133">
        <w:rPr>
          <w:rStyle w:val="FootnoteReference"/>
        </w:rPr>
        <w:footnoteRef/>
      </w:r>
      <w:r w:rsidRPr="00F06133">
        <w:t xml:space="preserve"> See also </w:t>
      </w:r>
      <w:r>
        <w:t xml:space="preserve">Panel Report, </w:t>
      </w:r>
      <w:r w:rsidRPr="00F06133">
        <w:t xml:space="preserve">fn 109 to </w:t>
      </w:r>
      <w:r>
        <w:t>para. </w:t>
      </w:r>
      <w:r w:rsidRPr="00F06133">
        <w:t>6.42.</w:t>
      </w:r>
    </w:p>
  </w:footnote>
  <w:footnote w:id="75">
    <w:p w:rsidR="00FD2727" w:rsidRPr="00F06133" w:rsidRDefault="00FD2727" w:rsidP="00933169">
      <w:pPr>
        <w:pStyle w:val="FootnoteText"/>
      </w:pPr>
      <w:r w:rsidRPr="00F06133">
        <w:rPr>
          <w:rStyle w:val="FootnoteReference"/>
        </w:rPr>
        <w:footnoteRef/>
      </w:r>
      <w:r w:rsidRPr="00F06133">
        <w:t xml:space="preserve"> Panel Report, fn 53 to </w:t>
      </w:r>
      <w:r>
        <w:t>para. </w:t>
      </w:r>
      <w:r w:rsidRPr="00F06133">
        <w:t>6.3.</w:t>
      </w:r>
    </w:p>
  </w:footnote>
  <w:footnote w:id="76">
    <w:p w:rsidR="00FD2727" w:rsidRPr="00F06133" w:rsidRDefault="00FD2727" w:rsidP="00933169">
      <w:pPr>
        <w:pStyle w:val="FootnoteText"/>
        <w:keepNext/>
        <w:keepLines/>
      </w:pPr>
      <w:r w:rsidRPr="00F06133">
        <w:rPr>
          <w:rStyle w:val="FootnoteReference"/>
        </w:rPr>
        <w:footnoteRef/>
      </w:r>
      <w:r w:rsidRPr="00F06133">
        <w:t xml:space="preserve"> The second, and final, round of written submissions </w:t>
      </w:r>
      <w:r>
        <w:t xml:space="preserve">to the Panel </w:t>
      </w:r>
      <w:r w:rsidRPr="00F06133">
        <w:t>was concluded on 15</w:t>
      </w:r>
      <w:r>
        <w:t> January 20</w:t>
      </w:r>
      <w:r w:rsidRPr="00F06133">
        <w:t xml:space="preserve">13. </w:t>
      </w:r>
      <w:r w:rsidRPr="009C2940">
        <w:t>The Panel meeting with the parties in this dispute took place on 16-18</w:t>
      </w:r>
      <w:r>
        <w:t> April 20</w:t>
      </w:r>
      <w:r w:rsidRPr="009C2940">
        <w:t>13. The Panel issued its Interim Report to the parties on 11</w:t>
      </w:r>
      <w:r>
        <w:t> December 20</w:t>
      </w:r>
      <w:r w:rsidRPr="009C2940">
        <w:t>15</w:t>
      </w:r>
      <w:r w:rsidRPr="00F06133">
        <w:t>. The parties submitted their comments on the Interim Report on 22</w:t>
      </w:r>
      <w:r>
        <w:t> January 20</w:t>
      </w:r>
      <w:r w:rsidRPr="00F06133">
        <w:t>16, and responded to each other's</w:t>
      </w:r>
      <w:r>
        <w:t xml:space="preserve"> comments on 12 February 2016.</w:t>
      </w:r>
    </w:p>
  </w:footnote>
  <w:footnote w:id="77">
    <w:p w:rsidR="00FD2727" w:rsidRPr="00F06133" w:rsidRDefault="00FD2727" w:rsidP="00933169">
      <w:pPr>
        <w:pStyle w:val="FootnoteText"/>
      </w:pPr>
      <w:r w:rsidRPr="00F06133">
        <w:rPr>
          <w:rStyle w:val="FootnoteReference"/>
        </w:rPr>
        <w:footnoteRef/>
      </w:r>
      <w:r w:rsidRPr="00F06133">
        <w:t xml:space="preserve"> Panel Report, </w:t>
      </w:r>
      <w:r>
        <w:t>para. </w:t>
      </w:r>
      <w:r w:rsidRPr="00F06133">
        <w:t>5.74.</w:t>
      </w:r>
    </w:p>
  </w:footnote>
  <w:footnote w:id="78">
    <w:p w:rsidR="00FD2727" w:rsidRPr="00F06133" w:rsidRDefault="00FD2727" w:rsidP="00933169">
      <w:pPr>
        <w:pStyle w:val="FootnoteText"/>
      </w:pPr>
      <w:r w:rsidRPr="00F06133">
        <w:rPr>
          <w:rStyle w:val="FootnoteReference"/>
        </w:rPr>
        <w:footnoteRef/>
      </w:r>
      <w:r w:rsidRPr="00F06133">
        <w:t xml:space="preserve"> Panel Report, </w:t>
      </w:r>
      <w:r>
        <w:t>para. </w:t>
      </w:r>
      <w:r w:rsidRPr="00F06133">
        <w:t xml:space="preserve">5.74 (quoting </w:t>
      </w:r>
      <w:r>
        <w:t>Appellate Body</w:t>
      </w:r>
      <w:r w:rsidRPr="00F06133">
        <w:t xml:space="preserve"> Reports, </w:t>
      </w:r>
      <w:r w:rsidRPr="00F06133">
        <w:rPr>
          <w:i/>
        </w:rPr>
        <w:t>US – Continued Suspension</w:t>
      </w:r>
      <w:r>
        <w:rPr>
          <w:i/>
        </w:rPr>
        <w:t xml:space="preserve"> </w:t>
      </w:r>
      <w:r w:rsidRPr="00F06133">
        <w:rPr>
          <w:i/>
        </w:rPr>
        <w:t xml:space="preserve">/ </w:t>
      </w:r>
      <w:r>
        <w:rPr>
          <w:i/>
        </w:rPr>
        <w:t>Canada ‒ </w:t>
      </w:r>
      <w:r w:rsidRPr="00F06133">
        <w:rPr>
          <w:i/>
        </w:rPr>
        <w:t>Continued Suspension</w:t>
      </w:r>
      <w:r w:rsidRPr="00F06133">
        <w:t xml:space="preserve">, </w:t>
      </w:r>
      <w:r>
        <w:t>para. </w:t>
      </w:r>
      <w:r w:rsidRPr="00F06133">
        <w:t>358).</w:t>
      </w:r>
    </w:p>
  </w:footnote>
  <w:footnote w:id="79">
    <w:p w:rsidR="00FD2727" w:rsidRPr="00F06133" w:rsidRDefault="00FD2727" w:rsidP="00933169">
      <w:pPr>
        <w:pStyle w:val="FootnoteText"/>
      </w:pPr>
      <w:r w:rsidRPr="00F06133">
        <w:rPr>
          <w:rStyle w:val="FootnoteReference"/>
        </w:rPr>
        <w:footnoteRef/>
      </w:r>
      <w:r w:rsidRPr="00F06133">
        <w:t xml:space="preserve"> Panel Report, </w:t>
      </w:r>
      <w:r>
        <w:t>para. </w:t>
      </w:r>
      <w:r w:rsidRPr="00F06133">
        <w:t>5.75.</w:t>
      </w:r>
      <w:r>
        <w:t xml:space="preserve"> </w:t>
      </w:r>
      <w:r w:rsidRPr="00F06133">
        <w:t xml:space="preserve">The Panel noted that the </w:t>
      </w:r>
      <w:r>
        <w:t>United States</w:t>
      </w:r>
      <w:r w:rsidRPr="00F06133">
        <w:t xml:space="preserve"> neither sought a finding that the </w:t>
      </w:r>
      <w:r>
        <w:t>European Union</w:t>
      </w:r>
      <w:r w:rsidRPr="00F06133">
        <w:t xml:space="preserve"> ha</w:t>
      </w:r>
      <w:r>
        <w:t>d</w:t>
      </w:r>
      <w:r w:rsidRPr="00F06133">
        <w:t xml:space="preserve"> failed to comply with the recommendations and rulings of the DSB with respect to those measures, nor argued that those subsidies caused adverse effects after the end of the implementation period</w:t>
      </w:r>
      <w:r>
        <w:t>. (Ibid.)</w:t>
      </w:r>
    </w:p>
  </w:footnote>
  <w:footnote w:id="80">
    <w:p w:rsidR="00FD2727" w:rsidRPr="00F06133" w:rsidRDefault="00FD2727" w:rsidP="00933169">
      <w:pPr>
        <w:pStyle w:val="FootnoteText"/>
      </w:pPr>
      <w:r w:rsidRPr="00F06133">
        <w:rPr>
          <w:rStyle w:val="FootnoteReference"/>
        </w:rPr>
        <w:footnoteRef/>
      </w:r>
      <w:r w:rsidRPr="00F06133">
        <w:t xml:space="preserve"> Panel Report, </w:t>
      </w:r>
      <w:r>
        <w:t>para. </w:t>
      </w:r>
      <w:r w:rsidRPr="00F06133">
        <w:t>5.76 (</w:t>
      </w:r>
      <w:r>
        <w:t>quoting Article 21.5 of the DSU (</w:t>
      </w:r>
      <w:r w:rsidRPr="00F06133">
        <w:t>emphasis added by the Panel)</w:t>
      </w:r>
      <w:r>
        <w:t>).</w:t>
      </w:r>
    </w:p>
  </w:footnote>
  <w:footnote w:id="81">
    <w:p w:rsidR="00FD2727" w:rsidRPr="00F06133" w:rsidRDefault="00FD2727" w:rsidP="00933169">
      <w:pPr>
        <w:pStyle w:val="FootnoteText"/>
      </w:pPr>
      <w:r w:rsidRPr="00F06133">
        <w:rPr>
          <w:rStyle w:val="FootnoteReference"/>
        </w:rPr>
        <w:footnoteRef/>
      </w:r>
      <w:r w:rsidRPr="00F06133">
        <w:t xml:space="preserve"> Panel Report, </w:t>
      </w:r>
      <w:r>
        <w:t>para. </w:t>
      </w:r>
      <w:r w:rsidRPr="00F06133">
        <w:t>5.76.</w:t>
      </w:r>
    </w:p>
  </w:footnote>
  <w:footnote w:id="82">
    <w:p w:rsidR="00FD2727" w:rsidRPr="00F06133" w:rsidRDefault="00FD2727" w:rsidP="00933169">
      <w:pPr>
        <w:pStyle w:val="FootnoteText"/>
      </w:pPr>
      <w:r w:rsidRPr="00F06133">
        <w:rPr>
          <w:rStyle w:val="FootnoteReference"/>
        </w:rPr>
        <w:footnoteRef/>
      </w:r>
      <w:r w:rsidRPr="00F06133">
        <w:t xml:space="preserve"> Panel Report, </w:t>
      </w:r>
      <w:r>
        <w:t>para. </w:t>
      </w:r>
      <w:r w:rsidRPr="00F06133">
        <w:t>5.76.</w:t>
      </w:r>
    </w:p>
  </w:footnote>
  <w:footnote w:id="83">
    <w:p w:rsidR="00FD2727" w:rsidRPr="00F06133" w:rsidRDefault="00FD2727" w:rsidP="00933169">
      <w:pPr>
        <w:pStyle w:val="FootnoteText"/>
      </w:pPr>
      <w:r w:rsidRPr="00F06133">
        <w:rPr>
          <w:rStyle w:val="FootnoteReference"/>
        </w:rPr>
        <w:footnoteRef/>
      </w:r>
      <w:r w:rsidRPr="00F06133">
        <w:t xml:space="preserve"> Panel Report, </w:t>
      </w:r>
      <w:r>
        <w:t>para. </w:t>
      </w:r>
      <w:r w:rsidRPr="00F06133">
        <w:t>5.77.</w:t>
      </w:r>
    </w:p>
  </w:footnote>
  <w:footnote w:id="84">
    <w:p w:rsidR="00FD2727" w:rsidRPr="00F06133" w:rsidRDefault="00FD2727" w:rsidP="00933169">
      <w:pPr>
        <w:pStyle w:val="FootnoteText"/>
      </w:pPr>
      <w:r w:rsidRPr="00F06133">
        <w:rPr>
          <w:rStyle w:val="FootnoteReference"/>
        </w:rPr>
        <w:footnoteRef/>
      </w:r>
      <w:r w:rsidRPr="00F06133">
        <w:t xml:space="preserve"> Panel Report, </w:t>
      </w:r>
      <w:r>
        <w:t>para. </w:t>
      </w:r>
      <w:r w:rsidRPr="00F06133">
        <w:t xml:space="preserve">5.77 (quoting </w:t>
      </w:r>
      <w:r>
        <w:t>Appellate Body</w:t>
      </w:r>
      <w:r w:rsidRPr="00F06133">
        <w:t xml:space="preserve"> Reports, </w:t>
      </w:r>
      <w:r w:rsidRPr="00F06133">
        <w:rPr>
          <w:i/>
        </w:rPr>
        <w:t xml:space="preserve">US – Continued Suspension / </w:t>
      </w:r>
      <w:r>
        <w:rPr>
          <w:i/>
        </w:rPr>
        <w:t>Canada ‒ </w:t>
      </w:r>
      <w:r w:rsidRPr="00F06133">
        <w:rPr>
          <w:i/>
        </w:rPr>
        <w:t>Continued Suspension</w:t>
      </w:r>
      <w:r w:rsidRPr="00F06133">
        <w:t xml:space="preserve">, </w:t>
      </w:r>
      <w:r>
        <w:t>para. </w:t>
      </w:r>
      <w:r w:rsidRPr="00F06133">
        <w:t>3</w:t>
      </w:r>
      <w:r>
        <w:t>5</w:t>
      </w:r>
      <w:r w:rsidRPr="00F06133">
        <w:t>8).</w:t>
      </w:r>
    </w:p>
  </w:footnote>
  <w:footnote w:id="85">
    <w:p w:rsidR="00FD2727" w:rsidRPr="003A1A96" w:rsidRDefault="00FD2727" w:rsidP="00933169">
      <w:pPr>
        <w:pStyle w:val="FootnoteText"/>
      </w:pPr>
      <w:r>
        <w:rPr>
          <w:rStyle w:val="FootnoteReference"/>
        </w:rPr>
        <w:footnoteRef/>
      </w:r>
      <w:r>
        <w:t xml:space="preserve"> </w:t>
      </w:r>
      <w:r w:rsidRPr="003A1A96">
        <w:t xml:space="preserve">Panel Report, </w:t>
      </w:r>
      <w:r>
        <w:t>para. </w:t>
      </w:r>
      <w:r w:rsidRPr="003A1A96">
        <w:t>5.77.</w:t>
      </w:r>
    </w:p>
  </w:footnote>
  <w:footnote w:id="86">
    <w:p w:rsidR="00FD2727" w:rsidRPr="00F06133" w:rsidRDefault="00FD2727" w:rsidP="00933169">
      <w:pPr>
        <w:pStyle w:val="FootnoteText"/>
      </w:pPr>
      <w:r w:rsidRPr="00F06133">
        <w:rPr>
          <w:rStyle w:val="FootnoteReference"/>
        </w:rPr>
        <w:footnoteRef/>
      </w:r>
      <w:r w:rsidRPr="00F06133">
        <w:t xml:space="preserve"> Panel Report, </w:t>
      </w:r>
      <w:r>
        <w:t>para. </w:t>
      </w:r>
      <w:r w:rsidRPr="00F06133">
        <w:t>5.77.</w:t>
      </w:r>
    </w:p>
  </w:footnote>
  <w:footnote w:id="87">
    <w:p w:rsidR="00FD2727" w:rsidRPr="00F06133" w:rsidRDefault="00FD2727" w:rsidP="00933169">
      <w:pPr>
        <w:pStyle w:val="FootnoteText"/>
      </w:pPr>
      <w:r w:rsidRPr="00F06133">
        <w:rPr>
          <w:rStyle w:val="FootnoteReference"/>
        </w:rPr>
        <w:footnoteRef/>
      </w:r>
      <w:r w:rsidRPr="00F06133">
        <w:t xml:space="preserve"> Panel Report, </w:t>
      </w:r>
      <w:r>
        <w:t>para. </w:t>
      </w:r>
      <w:r w:rsidRPr="00F06133">
        <w:t>5.78.</w:t>
      </w:r>
    </w:p>
  </w:footnote>
  <w:footnote w:id="88">
    <w:p w:rsidR="00FD2727" w:rsidRPr="00F06133" w:rsidRDefault="00FD2727" w:rsidP="00933169">
      <w:pPr>
        <w:pStyle w:val="FootnoteText"/>
      </w:pPr>
      <w:r w:rsidRPr="00F06133">
        <w:rPr>
          <w:rStyle w:val="FootnoteReference"/>
        </w:rPr>
        <w:footnoteRef/>
      </w:r>
      <w:r w:rsidRPr="00F06133">
        <w:t xml:space="preserve"> Panel Report, </w:t>
      </w:r>
      <w:r>
        <w:t>para. </w:t>
      </w:r>
      <w:r w:rsidRPr="00F06133">
        <w:t>5.78.</w:t>
      </w:r>
    </w:p>
  </w:footnote>
  <w:footnote w:id="89">
    <w:p w:rsidR="00FD2727" w:rsidRDefault="00FD2727" w:rsidP="00933169">
      <w:pPr>
        <w:pStyle w:val="FootnoteText"/>
      </w:pPr>
      <w:r>
        <w:rPr>
          <w:rStyle w:val="FootnoteReference"/>
        </w:rPr>
        <w:footnoteRef/>
      </w:r>
      <w:r>
        <w:t xml:space="preserve"> Appellate Body</w:t>
      </w:r>
      <w:r w:rsidRPr="00F06133">
        <w:t xml:space="preserve"> Reports, </w:t>
      </w:r>
      <w:r w:rsidRPr="00F06133">
        <w:rPr>
          <w:i/>
        </w:rPr>
        <w:t>US – Continued Suspension / Canada – Continued Suspension</w:t>
      </w:r>
      <w:r>
        <w:t>, para. 340. See also paras. 336 and 339</w:t>
      </w:r>
      <w:r w:rsidRPr="00F06133">
        <w:t>.</w:t>
      </w:r>
    </w:p>
  </w:footnote>
  <w:footnote w:id="90">
    <w:p w:rsidR="00FD2727" w:rsidRPr="00F06133" w:rsidRDefault="00FD2727" w:rsidP="00933169">
      <w:pPr>
        <w:pStyle w:val="FootnoteText"/>
      </w:pPr>
      <w:r w:rsidRPr="00F06133">
        <w:rPr>
          <w:rStyle w:val="FootnoteReference"/>
        </w:rPr>
        <w:footnoteRef/>
      </w:r>
      <w:r w:rsidRPr="00F06133">
        <w:t xml:space="preserve"> </w:t>
      </w:r>
      <w:r>
        <w:t>Appellate Body</w:t>
      </w:r>
      <w:r w:rsidRPr="00F06133">
        <w:t xml:space="preserve"> Reports, </w:t>
      </w:r>
      <w:r>
        <w:rPr>
          <w:i/>
        </w:rPr>
        <w:t>US </w:t>
      </w:r>
      <w:r w:rsidRPr="00F06133">
        <w:rPr>
          <w:i/>
        </w:rPr>
        <w:t>– Continued Suspension / Canada – Continued Suspension</w:t>
      </w:r>
      <w:r w:rsidRPr="00F06133">
        <w:t xml:space="preserve">, </w:t>
      </w:r>
      <w:r>
        <w:t>para. </w:t>
      </w:r>
      <w:r w:rsidRPr="00F06133">
        <w:t>347.</w:t>
      </w:r>
    </w:p>
  </w:footnote>
  <w:footnote w:id="91">
    <w:p w:rsidR="00FD2727" w:rsidRDefault="00FD2727" w:rsidP="00933169">
      <w:pPr>
        <w:pStyle w:val="FootnoteText"/>
      </w:pPr>
      <w:r>
        <w:rPr>
          <w:rStyle w:val="FootnoteReference"/>
        </w:rPr>
        <w:footnoteRef/>
      </w:r>
      <w:r>
        <w:t xml:space="preserve"> Appellate Body</w:t>
      </w:r>
      <w:r w:rsidRPr="00F06133">
        <w:t xml:space="preserve"> Reports, </w:t>
      </w:r>
      <w:r w:rsidRPr="00F06133">
        <w:rPr>
          <w:i/>
        </w:rPr>
        <w:t>US – Continued Suspension / Canada – Continued Suspension</w:t>
      </w:r>
      <w:r w:rsidRPr="00F06133">
        <w:t xml:space="preserve">, </w:t>
      </w:r>
      <w:r>
        <w:t>para. </w:t>
      </w:r>
      <w:r w:rsidRPr="004C0918">
        <w:t>347.</w:t>
      </w:r>
      <w:r>
        <w:t xml:space="preserve"> </w:t>
      </w:r>
    </w:p>
  </w:footnote>
  <w:footnote w:id="92">
    <w:p w:rsidR="00FD2727" w:rsidRPr="009C2940" w:rsidRDefault="00FD2727" w:rsidP="00933169">
      <w:pPr>
        <w:pStyle w:val="FootnoteText"/>
      </w:pPr>
      <w:r>
        <w:rPr>
          <w:rStyle w:val="FootnoteReference"/>
        </w:rPr>
        <w:footnoteRef/>
      </w:r>
      <w:r>
        <w:t xml:space="preserve"> Appellate Body</w:t>
      </w:r>
      <w:r w:rsidRPr="00F06133">
        <w:t xml:space="preserve"> Reports, </w:t>
      </w:r>
      <w:r w:rsidRPr="00F06133">
        <w:rPr>
          <w:i/>
        </w:rPr>
        <w:t xml:space="preserve">US – Continued </w:t>
      </w:r>
      <w:r w:rsidRPr="009C2940">
        <w:rPr>
          <w:i/>
        </w:rPr>
        <w:t>Suspension / Canada – Continued Suspension</w:t>
      </w:r>
      <w:r w:rsidRPr="009C2940">
        <w:t xml:space="preserve">, </w:t>
      </w:r>
      <w:r>
        <w:t>para. </w:t>
      </w:r>
      <w:r w:rsidRPr="009C2940">
        <w:t>347.</w:t>
      </w:r>
    </w:p>
  </w:footnote>
  <w:footnote w:id="93">
    <w:p w:rsidR="00FD2727" w:rsidRPr="009C2940" w:rsidRDefault="00FD2727" w:rsidP="00933169">
      <w:pPr>
        <w:pStyle w:val="FootnoteText"/>
      </w:pPr>
      <w:r w:rsidRPr="009C2940">
        <w:rPr>
          <w:rStyle w:val="FootnoteReference"/>
        </w:rPr>
        <w:footnoteRef/>
      </w:r>
      <w:r w:rsidRPr="009C2940">
        <w:t xml:space="preserve"> </w:t>
      </w:r>
      <w:r>
        <w:t>Appellate Body</w:t>
      </w:r>
      <w:r w:rsidRPr="009C2940">
        <w:t xml:space="preserve"> Report, </w:t>
      </w:r>
      <w:r w:rsidRPr="009C2940">
        <w:rPr>
          <w:i/>
          <w:color w:val="000000"/>
          <w:szCs w:val="20"/>
          <w:shd w:val="clear" w:color="auto" w:fill="FFFFFF"/>
        </w:rPr>
        <w:t>US – FSC (</w:t>
      </w:r>
      <w:r>
        <w:rPr>
          <w:i/>
          <w:color w:val="000000"/>
          <w:szCs w:val="20"/>
          <w:shd w:val="clear" w:color="auto" w:fill="FFFFFF"/>
        </w:rPr>
        <w:t>Article </w:t>
      </w:r>
      <w:r w:rsidRPr="009C2940">
        <w:rPr>
          <w:i/>
          <w:color w:val="000000"/>
          <w:szCs w:val="20"/>
          <w:shd w:val="clear" w:color="auto" w:fill="FFFFFF"/>
        </w:rPr>
        <w:t>21.5 – EC II)</w:t>
      </w:r>
      <w:r w:rsidRPr="009C2940">
        <w:rPr>
          <w:color w:val="000000"/>
          <w:szCs w:val="20"/>
          <w:shd w:val="clear" w:color="auto" w:fill="FFFFFF"/>
        </w:rPr>
        <w:t xml:space="preserve">, </w:t>
      </w:r>
      <w:r>
        <w:rPr>
          <w:color w:val="000000"/>
          <w:szCs w:val="20"/>
          <w:shd w:val="clear" w:color="auto" w:fill="FFFFFF"/>
        </w:rPr>
        <w:t>para. </w:t>
      </w:r>
      <w:r w:rsidRPr="009C2940">
        <w:rPr>
          <w:color w:val="000000"/>
          <w:szCs w:val="20"/>
          <w:shd w:val="clear" w:color="auto" w:fill="FFFFFF"/>
        </w:rPr>
        <w:t xml:space="preserve">59. The </w:t>
      </w:r>
      <w:r>
        <w:rPr>
          <w:color w:val="000000"/>
          <w:szCs w:val="20"/>
          <w:shd w:val="clear" w:color="auto" w:fill="FFFFFF"/>
        </w:rPr>
        <w:t>Appellate Body</w:t>
      </w:r>
      <w:r w:rsidRPr="009C2940">
        <w:rPr>
          <w:color w:val="000000"/>
          <w:szCs w:val="20"/>
          <w:shd w:val="clear" w:color="auto" w:fill="FFFFFF"/>
        </w:rPr>
        <w:t xml:space="preserve"> further explained that, "</w:t>
      </w:r>
      <w:r w:rsidRPr="009C2940">
        <w:rPr>
          <w:szCs w:val="22"/>
        </w:rPr>
        <w:t xml:space="preserve">given that </w:t>
      </w:r>
      <w:r>
        <w:rPr>
          <w:szCs w:val="22"/>
        </w:rPr>
        <w:t>Article </w:t>
      </w:r>
      <w:r w:rsidRPr="009C2940">
        <w:rPr>
          <w:szCs w:val="22"/>
        </w:rPr>
        <w:t xml:space="preserve">21.5 deals with compliance proceedings, </w:t>
      </w:r>
      <w:r>
        <w:rPr>
          <w:szCs w:val="22"/>
        </w:rPr>
        <w:t>Article </w:t>
      </w:r>
      <w:r w:rsidRPr="009C2940">
        <w:rPr>
          <w:szCs w:val="22"/>
        </w:rPr>
        <w:t xml:space="preserve">6.2 needs to be interpreted in the light of </w:t>
      </w:r>
      <w:r>
        <w:rPr>
          <w:szCs w:val="22"/>
        </w:rPr>
        <w:t>Article </w:t>
      </w:r>
      <w:r w:rsidRPr="009C2940">
        <w:rPr>
          <w:szCs w:val="22"/>
        </w:rPr>
        <w:t xml:space="preserve">21.5. In other words, the requirements of </w:t>
      </w:r>
      <w:r>
        <w:rPr>
          <w:szCs w:val="22"/>
        </w:rPr>
        <w:t>Article </w:t>
      </w:r>
      <w:r w:rsidRPr="009C2940">
        <w:rPr>
          <w:szCs w:val="22"/>
        </w:rPr>
        <w:t xml:space="preserve">6.2, as they apply to an original panel request, need to be adapted to a panel request under </w:t>
      </w:r>
      <w:r>
        <w:rPr>
          <w:szCs w:val="22"/>
        </w:rPr>
        <w:t>Article </w:t>
      </w:r>
      <w:r w:rsidRPr="009C2940">
        <w:rPr>
          <w:szCs w:val="22"/>
        </w:rPr>
        <w:t>21.5". (Ibid.)</w:t>
      </w:r>
    </w:p>
  </w:footnote>
  <w:footnote w:id="94">
    <w:p w:rsidR="00FD2727" w:rsidRDefault="00FD2727" w:rsidP="00933169">
      <w:pPr>
        <w:pStyle w:val="FootnoteText"/>
      </w:pPr>
      <w:r w:rsidRPr="009C2940">
        <w:rPr>
          <w:rStyle w:val="FootnoteReference"/>
        </w:rPr>
        <w:footnoteRef/>
      </w:r>
      <w:r w:rsidRPr="009C2940">
        <w:t xml:space="preserve"> </w:t>
      </w:r>
      <w:r>
        <w:t>Appellate Body</w:t>
      </w:r>
      <w:r w:rsidRPr="009C2940">
        <w:t xml:space="preserve"> Report, </w:t>
      </w:r>
      <w:r w:rsidRPr="009C2940">
        <w:rPr>
          <w:i/>
          <w:color w:val="000000"/>
          <w:szCs w:val="20"/>
          <w:shd w:val="clear" w:color="auto" w:fill="FFFFFF"/>
        </w:rPr>
        <w:t>US – FSC (</w:t>
      </w:r>
      <w:r>
        <w:rPr>
          <w:i/>
          <w:color w:val="000000"/>
          <w:szCs w:val="20"/>
          <w:shd w:val="clear" w:color="auto" w:fill="FFFFFF"/>
        </w:rPr>
        <w:t>Article </w:t>
      </w:r>
      <w:r w:rsidRPr="009C2940">
        <w:rPr>
          <w:i/>
          <w:color w:val="000000"/>
          <w:szCs w:val="20"/>
          <w:shd w:val="clear" w:color="auto" w:fill="FFFFFF"/>
        </w:rPr>
        <w:t>21.5 – EC II)</w:t>
      </w:r>
      <w:r w:rsidRPr="009C2940">
        <w:rPr>
          <w:color w:val="000000"/>
          <w:szCs w:val="20"/>
          <w:shd w:val="clear" w:color="auto" w:fill="FFFFFF"/>
        </w:rPr>
        <w:t xml:space="preserve">, </w:t>
      </w:r>
      <w:r>
        <w:rPr>
          <w:color w:val="000000"/>
          <w:szCs w:val="20"/>
          <w:shd w:val="clear" w:color="auto" w:fill="FFFFFF"/>
        </w:rPr>
        <w:t>paras. 61 and 93</w:t>
      </w:r>
      <w:r w:rsidRPr="00F06133">
        <w:rPr>
          <w:color w:val="000000"/>
          <w:szCs w:val="20"/>
          <w:shd w:val="clear" w:color="auto" w:fill="FFFFFF"/>
        </w:rPr>
        <w:t>.</w:t>
      </w:r>
    </w:p>
  </w:footnote>
  <w:footnote w:id="95">
    <w:p w:rsidR="00FD2727" w:rsidRPr="00F06133" w:rsidRDefault="00FD2727" w:rsidP="00933169">
      <w:pPr>
        <w:pStyle w:val="FootnoteText"/>
      </w:pPr>
      <w:r w:rsidRPr="00F06133">
        <w:rPr>
          <w:rStyle w:val="FootnoteReference"/>
        </w:rPr>
        <w:footnoteRef/>
      </w:r>
      <w:r w:rsidRPr="00F06133">
        <w:t xml:space="preserve"> </w:t>
      </w:r>
      <w:r>
        <w:t>Appellate Body</w:t>
      </w:r>
      <w:r w:rsidRPr="00F06133">
        <w:t xml:space="preserve"> Report, </w:t>
      </w:r>
      <w:r w:rsidRPr="00F06133">
        <w:rPr>
          <w:i/>
        </w:rPr>
        <w:t>US – Oil Country Tubular Goods Sunset Reviews (</w:t>
      </w:r>
      <w:r>
        <w:rPr>
          <w:i/>
        </w:rPr>
        <w:t>Article </w:t>
      </w:r>
      <w:r w:rsidRPr="00F06133">
        <w:rPr>
          <w:i/>
        </w:rPr>
        <w:t>21.5 – Argentina)</w:t>
      </w:r>
      <w:r w:rsidRPr="00F06133">
        <w:t xml:space="preserve">, </w:t>
      </w:r>
      <w:r>
        <w:t>para. </w:t>
      </w:r>
      <w:r w:rsidRPr="00F06133">
        <w:t>151.</w:t>
      </w:r>
    </w:p>
  </w:footnote>
  <w:footnote w:id="96">
    <w:p w:rsidR="00FD2727" w:rsidRPr="00F06133" w:rsidRDefault="00FD2727" w:rsidP="00933169">
      <w:pPr>
        <w:pStyle w:val="FootnoteText"/>
      </w:pPr>
      <w:r w:rsidRPr="00F06133">
        <w:rPr>
          <w:rStyle w:val="FootnoteReference"/>
        </w:rPr>
        <w:footnoteRef/>
      </w:r>
      <w:r w:rsidRPr="00F06133">
        <w:t xml:space="preserve"> </w:t>
      </w:r>
      <w:r>
        <w:t>Appellate Body</w:t>
      </w:r>
      <w:r w:rsidRPr="00F06133">
        <w:t xml:space="preserve"> Report, </w:t>
      </w:r>
      <w:r w:rsidRPr="00F06133">
        <w:rPr>
          <w:i/>
        </w:rPr>
        <w:t>EC – Bed Linen (</w:t>
      </w:r>
      <w:r>
        <w:rPr>
          <w:i/>
        </w:rPr>
        <w:t>Article </w:t>
      </w:r>
      <w:r w:rsidRPr="00F06133">
        <w:rPr>
          <w:i/>
        </w:rPr>
        <w:t>21.5 – India)</w:t>
      </w:r>
      <w:r w:rsidRPr="00F06133">
        <w:t xml:space="preserve">, </w:t>
      </w:r>
      <w:r>
        <w:t>para. </w:t>
      </w:r>
      <w:r w:rsidRPr="00F06133">
        <w:t>78.</w:t>
      </w:r>
    </w:p>
  </w:footnote>
  <w:footnote w:id="97">
    <w:p w:rsidR="00FD2727" w:rsidRPr="00F06133" w:rsidRDefault="00FD2727" w:rsidP="00933169">
      <w:pPr>
        <w:pStyle w:val="FootnoteText"/>
      </w:pPr>
      <w:r w:rsidRPr="00F06133">
        <w:rPr>
          <w:rStyle w:val="FootnoteReference"/>
        </w:rPr>
        <w:footnoteRef/>
      </w:r>
      <w:r w:rsidRPr="00F06133">
        <w:t xml:space="preserve"> </w:t>
      </w:r>
      <w:r>
        <w:t>European Union</w:t>
      </w:r>
      <w:r w:rsidRPr="00F06133">
        <w:t xml:space="preserve">'s appellant's submission, </w:t>
      </w:r>
      <w:r>
        <w:t>para. </w:t>
      </w:r>
      <w:r w:rsidRPr="00F06133">
        <w:t>244.</w:t>
      </w:r>
    </w:p>
  </w:footnote>
  <w:footnote w:id="98">
    <w:p w:rsidR="00FD2727" w:rsidRDefault="00FD2727" w:rsidP="00933169">
      <w:pPr>
        <w:pStyle w:val="FootnoteText"/>
      </w:pPr>
      <w:r>
        <w:rPr>
          <w:rStyle w:val="FootnoteReference"/>
        </w:rPr>
        <w:footnoteRef/>
      </w:r>
      <w:r>
        <w:t xml:space="preserve"> As the Panel rightly observed, the Appellate Body's discussion of the "hypothetical" scenario was premised on the existence of a "disagreement" between the parties, namely, whether the ongoing suspension of concessions continued to be justified under Article 22.8 of the DSU. (See Panel Report, para. 5.77)</w:t>
      </w:r>
    </w:p>
  </w:footnote>
  <w:footnote w:id="99">
    <w:p w:rsidR="00FD2727" w:rsidRDefault="00FD2727" w:rsidP="00933169">
      <w:pPr>
        <w:pStyle w:val="FootnoteText"/>
      </w:pPr>
      <w:r>
        <w:rPr>
          <w:rStyle w:val="FootnoteReference"/>
        </w:rPr>
        <w:footnoteRef/>
      </w:r>
      <w:r>
        <w:t xml:space="preserve"> Panel Report, para. 5.75.</w:t>
      </w:r>
    </w:p>
  </w:footnote>
  <w:footnote w:id="100">
    <w:p w:rsidR="00FD2727" w:rsidRPr="00F06133" w:rsidRDefault="00FD2727" w:rsidP="00933169">
      <w:pPr>
        <w:pStyle w:val="FootnoteText"/>
        <w:keepNext/>
        <w:keepLines/>
      </w:pPr>
      <w:r w:rsidRPr="002D62D8">
        <w:rPr>
          <w:rStyle w:val="FootnoteReference"/>
        </w:rPr>
        <w:footnoteRef/>
      </w:r>
      <w:r w:rsidRPr="002D62D8">
        <w:t xml:space="preserve"> </w:t>
      </w:r>
      <w:r>
        <w:t xml:space="preserve">In requesting the Panel to rule on the </w:t>
      </w:r>
      <w:r w:rsidRPr="009C2940">
        <w:t>two</w:t>
      </w:r>
      <w:r>
        <w:t xml:space="preserve"> measures at issue, the European Union relied on the Appellate Body's statement in </w:t>
      </w:r>
      <w:r w:rsidRPr="008B1FE5">
        <w:rPr>
          <w:i/>
        </w:rPr>
        <w:t>US – Continued Suspension / Canada – Continued Suspension</w:t>
      </w:r>
      <w:r>
        <w:rPr>
          <w:i/>
        </w:rPr>
        <w:t xml:space="preserve"> </w:t>
      </w:r>
      <w:r w:rsidRPr="00D34FDE">
        <w:t>tha</w:t>
      </w:r>
      <w:r w:rsidRPr="00CA45A5">
        <w:t>t,</w:t>
      </w:r>
      <w:r>
        <w:t xml:space="preserve"> "a</w:t>
      </w:r>
      <w:r w:rsidRPr="008B1FE5">
        <w:t xml:space="preserve">bsent any rebuttal by the original complainant, the </w:t>
      </w:r>
      <w:r>
        <w:t>Article </w:t>
      </w:r>
      <w:r w:rsidRPr="008B1FE5">
        <w:t xml:space="preserve">21.5 panel will make its determination on the basis of a </w:t>
      </w:r>
      <w:r>
        <w:rPr>
          <w:i/>
        </w:rPr>
        <w:t>prima </w:t>
      </w:r>
      <w:r w:rsidRPr="008B1FE5">
        <w:rPr>
          <w:i/>
        </w:rPr>
        <w:t xml:space="preserve">facie </w:t>
      </w:r>
      <w:r w:rsidRPr="008B1FE5">
        <w:t>case presented by the original respondent that its implementing measure has brought it into compliance with the DSB's recommendations and rulings</w:t>
      </w:r>
      <w:r>
        <w:t>". (</w:t>
      </w:r>
      <w:r w:rsidRPr="00F06133">
        <w:t xml:space="preserve">Panel Report, </w:t>
      </w:r>
      <w:r>
        <w:t>para. </w:t>
      </w:r>
      <w:r w:rsidRPr="00F06133">
        <w:t xml:space="preserve">5.74 (quoting </w:t>
      </w:r>
      <w:r>
        <w:t>Appellate Body</w:t>
      </w:r>
      <w:r w:rsidRPr="00F06133">
        <w:t xml:space="preserve"> Reports, </w:t>
      </w:r>
      <w:r>
        <w:rPr>
          <w:i/>
        </w:rPr>
        <w:t>US </w:t>
      </w:r>
      <w:r w:rsidRPr="00F06133">
        <w:rPr>
          <w:i/>
        </w:rPr>
        <w:t>– Continued Suspension / Canada – Continued Suspension</w:t>
      </w:r>
      <w:r w:rsidRPr="00F06133">
        <w:t xml:space="preserve">, </w:t>
      </w:r>
      <w:r>
        <w:t>para. </w:t>
      </w:r>
      <w:r w:rsidRPr="00F06133">
        <w:t>358)</w:t>
      </w:r>
      <w:r w:rsidRPr="00CA45A5">
        <w:t>)</w:t>
      </w:r>
      <w:r>
        <w:t xml:space="preserve"> This statement by the Appellate Body discussed</w:t>
      </w:r>
      <w:r w:rsidRPr="008B1FE5">
        <w:t xml:space="preserve"> the specific situation where an original respondent </w:t>
      </w:r>
      <w:r>
        <w:t xml:space="preserve">has </w:t>
      </w:r>
      <w:r w:rsidRPr="008B1FE5">
        <w:t>initiate</w:t>
      </w:r>
      <w:r>
        <w:t>d</w:t>
      </w:r>
      <w:r w:rsidRPr="008B1FE5">
        <w:t xml:space="preserve"> </w:t>
      </w:r>
      <w:r>
        <w:t>Article </w:t>
      </w:r>
      <w:r w:rsidRPr="008B1FE5">
        <w:t xml:space="preserve">21.5 proceedings against the original complainant, and the original complainant </w:t>
      </w:r>
      <w:r>
        <w:t xml:space="preserve">has </w:t>
      </w:r>
      <w:r w:rsidRPr="008B1FE5">
        <w:t>refuse</w:t>
      </w:r>
      <w:r>
        <w:t>d</w:t>
      </w:r>
      <w:r w:rsidRPr="008B1FE5">
        <w:t xml:space="preserve"> to participate in </w:t>
      </w:r>
      <w:r>
        <w:t>the Article </w:t>
      </w:r>
      <w:r w:rsidRPr="008B1FE5">
        <w:t xml:space="preserve">21.5 proceedings initiated by the original respondent. </w:t>
      </w:r>
      <w:r>
        <w:t>T</w:t>
      </w:r>
      <w:r w:rsidRPr="008B1FE5">
        <w:t xml:space="preserve">he </w:t>
      </w:r>
      <w:r>
        <w:t>Appellate Body</w:t>
      </w:r>
      <w:r w:rsidRPr="008B1FE5">
        <w:t xml:space="preserve"> explained that</w:t>
      </w:r>
      <w:r>
        <w:t>,</w:t>
      </w:r>
      <w:r w:rsidRPr="008B1FE5">
        <w:t xml:space="preserve"> </w:t>
      </w:r>
      <w:r>
        <w:t>i</w:t>
      </w:r>
      <w:r w:rsidRPr="008B1FE5">
        <w:t xml:space="preserve">n such proceedings initiated by the original respondent, a "defending party {i.e. the original complainant} who refuses to participate in dispute settlement proceedings will lose the opportunity to defend its position and will risk a finding in favour of the complaining party {i.e. the original respondent} that has established a </w:t>
      </w:r>
      <w:r w:rsidRPr="008B1FE5">
        <w:rPr>
          <w:i/>
        </w:rPr>
        <w:t xml:space="preserve">prima facie </w:t>
      </w:r>
      <w:r w:rsidRPr="008B1FE5">
        <w:t>case".</w:t>
      </w:r>
      <w:r>
        <w:t xml:space="preserve"> (Appellate Body</w:t>
      </w:r>
      <w:r w:rsidRPr="00F06133">
        <w:t xml:space="preserve"> Reports, </w:t>
      </w:r>
      <w:r w:rsidRPr="00F06133">
        <w:rPr>
          <w:i/>
        </w:rPr>
        <w:t>US – Continued Suspension / Canada – Continued Suspension</w:t>
      </w:r>
      <w:r w:rsidRPr="00F06133">
        <w:t xml:space="preserve">, </w:t>
      </w:r>
      <w:r>
        <w:t>para. </w:t>
      </w:r>
      <w:r w:rsidRPr="00F06133">
        <w:t>358</w:t>
      </w:r>
      <w:r>
        <w:t>) See also Panel Report, para. 5.77.</w:t>
      </w:r>
    </w:p>
  </w:footnote>
  <w:footnote w:id="101">
    <w:p w:rsidR="00FD2727" w:rsidRDefault="00FD2727" w:rsidP="00933169">
      <w:pPr>
        <w:pStyle w:val="FootnoteText"/>
      </w:pPr>
      <w:r>
        <w:rPr>
          <w:rStyle w:val="FootnoteReference"/>
        </w:rPr>
        <w:footnoteRef/>
      </w:r>
      <w:r>
        <w:t xml:space="preserve"> Appellate Body</w:t>
      </w:r>
      <w:r w:rsidRPr="00F06133">
        <w:t xml:space="preserve"> Reports, </w:t>
      </w:r>
      <w:r w:rsidRPr="00F06133">
        <w:rPr>
          <w:i/>
        </w:rPr>
        <w:t>US – Continued Suspension / Canada – Continued Suspension</w:t>
      </w:r>
      <w:r w:rsidRPr="00F06133">
        <w:t xml:space="preserve">, </w:t>
      </w:r>
      <w:r>
        <w:t>para. </w:t>
      </w:r>
      <w:r w:rsidRPr="004C0918">
        <w:t>347.</w:t>
      </w:r>
      <w:r>
        <w:t xml:space="preserve"> </w:t>
      </w:r>
    </w:p>
  </w:footnote>
  <w:footnote w:id="102">
    <w:p w:rsidR="00FD2727" w:rsidRPr="00F06133" w:rsidRDefault="00FD2727" w:rsidP="00933169">
      <w:pPr>
        <w:pStyle w:val="FootnoteText"/>
      </w:pPr>
      <w:r w:rsidRPr="00F06133">
        <w:rPr>
          <w:rStyle w:val="FootnoteReference"/>
        </w:rPr>
        <w:footnoteRef/>
      </w:r>
      <w:r w:rsidRPr="00F06133">
        <w:t xml:space="preserve"> </w:t>
      </w:r>
      <w:r>
        <w:t>European Union</w:t>
      </w:r>
      <w:r w:rsidRPr="00F06133">
        <w:t xml:space="preserve">'s appellant's submission, </w:t>
      </w:r>
      <w:r>
        <w:t>para. </w:t>
      </w:r>
      <w:r w:rsidRPr="00F06133">
        <w:t>256.</w:t>
      </w:r>
    </w:p>
  </w:footnote>
  <w:footnote w:id="103">
    <w:p w:rsidR="00FD2727" w:rsidRPr="00F06133" w:rsidRDefault="00FD2727" w:rsidP="00933169">
      <w:pPr>
        <w:pStyle w:val="FootnoteText"/>
      </w:pPr>
      <w:r w:rsidRPr="00F06133">
        <w:rPr>
          <w:rStyle w:val="FootnoteReference"/>
        </w:rPr>
        <w:footnoteRef/>
      </w:r>
      <w:r w:rsidRPr="00F06133">
        <w:t xml:space="preserve"> </w:t>
      </w:r>
      <w:r>
        <w:t>European Union</w:t>
      </w:r>
      <w:r w:rsidRPr="00F06133">
        <w:t xml:space="preserve">'s appellant's submission, </w:t>
      </w:r>
      <w:r>
        <w:t>para. </w:t>
      </w:r>
      <w:r w:rsidRPr="00F06133">
        <w:t>25</w:t>
      </w:r>
      <w:r>
        <w:t>7</w:t>
      </w:r>
      <w:r w:rsidRPr="00F06133">
        <w:t>.</w:t>
      </w:r>
    </w:p>
  </w:footnote>
  <w:footnote w:id="104">
    <w:p w:rsidR="00FD2727" w:rsidRDefault="00FD2727" w:rsidP="00933169">
      <w:pPr>
        <w:pStyle w:val="FootnoteText"/>
      </w:pPr>
      <w:r>
        <w:rPr>
          <w:rStyle w:val="FootnoteReference"/>
        </w:rPr>
        <w:footnoteRef/>
      </w:r>
      <w:r>
        <w:t xml:space="preserve"> </w:t>
      </w:r>
      <w:r w:rsidRPr="002F2A6B">
        <w:t>WT/DS316/23</w:t>
      </w:r>
      <w:r>
        <w:t>.</w:t>
      </w:r>
    </w:p>
  </w:footnote>
  <w:footnote w:id="105">
    <w:p w:rsidR="00FD2727" w:rsidRPr="00F06133" w:rsidRDefault="00FD2727" w:rsidP="00933169">
      <w:pPr>
        <w:pStyle w:val="FootnoteText"/>
      </w:pPr>
      <w:r w:rsidRPr="00F06133">
        <w:rPr>
          <w:rStyle w:val="FootnoteReference"/>
        </w:rPr>
        <w:footnoteRef/>
      </w:r>
      <w:r w:rsidRPr="00F06133">
        <w:t xml:space="preserve"> </w:t>
      </w:r>
      <w:r>
        <w:t>European Union</w:t>
      </w:r>
      <w:r w:rsidRPr="00F06133">
        <w:t xml:space="preserve">'s appellant's submission, </w:t>
      </w:r>
      <w:r>
        <w:t>paras. </w:t>
      </w:r>
      <w:r w:rsidRPr="00F06133">
        <w:t>258</w:t>
      </w:r>
      <w:r>
        <w:t>-</w:t>
      </w:r>
      <w:r w:rsidRPr="00F06133">
        <w:t>259.</w:t>
      </w:r>
      <w:r w:rsidRPr="002F2A6B">
        <w:t xml:space="preserve"> </w:t>
      </w:r>
      <w:r>
        <w:t>At the oral hearing, the European Union asserted that the United States' compliance panel request incorporated the entire Compliance Communication by the European Union.</w:t>
      </w:r>
    </w:p>
  </w:footnote>
  <w:footnote w:id="106">
    <w:p w:rsidR="00FD2727" w:rsidRPr="00F06133" w:rsidRDefault="00FD2727" w:rsidP="00933169">
      <w:pPr>
        <w:pStyle w:val="FootnoteText"/>
      </w:pPr>
      <w:r w:rsidRPr="00F06133">
        <w:rPr>
          <w:rStyle w:val="FootnoteReference"/>
        </w:rPr>
        <w:footnoteRef/>
      </w:r>
      <w:r w:rsidRPr="00F06133">
        <w:t xml:space="preserve"> </w:t>
      </w:r>
      <w:r>
        <w:t>European Union</w:t>
      </w:r>
      <w:r w:rsidRPr="00F06133">
        <w:t xml:space="preserve">'s appellant's submission, </w:t>
      </w:r>
      <w:r>
        <w:t>para. </w:t>
      </w:r>
      <w:r w:rsidRPr="00F06133">
        <w:t>260.</w:t>
      </w:r>
    </w:p>
  </w:footnote>
  <w:footnote w:id="107">
    <w:p w:rsidR="00FD2727" w:rsidRDefault="00FD2727" w:rsidP="00933169">
      <w:pPr>
        <w:pStyle w:val="FootnoteText"/>
      </w:pPr>
      <w:r>
        <w:rPr>
          <w:rStyle w:val="FootnoteReference"/>
        </w:rPr>
        <w:footnoteRef/>
      </w:r>
      <w:r>
        <w:t xml:space="preserve"> United States' appellee's submission, para. 177.</w:t>
      </w:r>
    </w:p>
  </w:footnote>
  <w:footnote w:id="108">
    <w:p w:rsidR="00FD2727" w:rsidRPr="00F06133" w:rsidRDefault="00FD2727" w:rsidP="00933169">
      <w:pPr>
        <w:pStyle w:val="FootnoteText"/>
      </w:pPr>
      <w:r w:rsidRPr="00F06133">
        <w:rPr>
          <w:rStyle w:val="FootnoteReference"/>
        </w:rPr>
        <w:footnoteRef/>
      </w:r>
      <w:r w:rsidRPr="00F06133">
        <w:t xml:space="preserve"> </w:t>
      </w:r>
      <w:r>
        <w:t>United States</w:t>
      </w:r>
      <w:r w:rsidRPr="00F06133">
        <w:t xml:space="preserve">' first written submission to the Panel, fn 13 to </w:t>
      </w:r>
      <w:r>
        <w:t>para. </w:t>
      </w:r>
      <w:r w:rsidRPr="00F06133">
        <w:t>5.</w:t>
      </w:r>
    </w:p>
  </w:footnote>
  <w:footnote w:id="109">
    <w:p w:rsidR="00FD2727" w:rsidRPr="00F06133" w:rsidRDefault="00FD2727" w:rsidP="00933169">
      <w:pPr>
        <w:pStyle w:val="FootnoteText"/>
      </w:pPr>
      <w:r w:rsidRPr="00F06133">
        <w:rPr>
          <w:rStyle w:val="FootnoteReference"/>
        </w:rPr>
        <w:footnoteRef/>
      </w:r>
      <w:r w:rsidRPr="00F06133">
        <w:t xml:space="preserve"> </w:t>
      </w:r>
      <w:r>
        <w:t>United States</w:t>
      </w:r>
      <w:r w:rsidRPr="00F06133">
        <w:t xml:space="preserve">' first written submission to the Panel, fn 64 to </w:t>
      </w:r>
      <w:r>
        <w:t>para. </w:t>
      </w:r>
      <w:r w:rsidRPr="00F06133">
        <w:t>35.</w:t>
      </w:r>
    </w:p>
  </w:footnote>
  <w:footnote w:id="110">
    <w:p w:rsidR="00FD2727" w:rsidRDefault="00FD2727" w:rsidP="00933169">
      <w:pPr>
        <w:pStyle w:val="FootnoteText"/>
      </w:pPr>
      <w:r>
        <w:rPr>
          <w:rStyle w:val="FootnoteReference"/>
        </w:rPr>
        <w:footnoteRef/>
      </w:r>
      <w:r>
        <w:t xml:space="preserve"> United States' response to questioning at the oral hearing.</w:t>
      </w:r>
    </w:p>
  </w:footnote>
  <w:footnote w:id="111">
    <w:p w:rsidR="00FD2727" w:rsidRDefault="00FD2727" w:rsidP="00933169">
      <w:pPr>
        <w:pStyle w:val="FootnoteText"/>
      </w:pPr>
      <w:r>
        <w:rPr>
          <w:rStyle w:val="FootnoteReference"/>
        </w:rPr>
        <w:footnoteRef/>
      </w:r>
      <w:r>
        <w:t xml:space="preserve"> See United States</w:t>
      </w:r>
      <w:r w:rsidRPr="00406D1E">
        <w:t xml:space="preserve">' compliance panel request, </w:t>
      </w:r>
      <w:r>
        <w:t>para. 5.</w:t>
      </w:r>
    </w:p>
  </w:footnote>
  <w:footnote w:id="112">
    <w:p w:rsidR="00FD2727" w:rsidRDefault="00FD2727" w:rsidP="00933169">
      <w:pPr>
        <w:pStyle w:val="FootnoteText"/>
      </w:pPr>
      <w:r>
        <w:rPr>
          <w:rStyle w:val="FootnoteReference"/>
        </w:rPr>
        <w:footnoteRef/>
      </w:r>
      <w:r>
        <w:t xml:space="preserve"> United States</w:t>
      </w:r>
      <w:r w:rsidRPr="00F06133">
        <w:t>' first written subm</w:t>
      </w:r>
      <w:r>
        <w:t xml:space="preserve">ission to the Panel, para. 97. </w:t>
      </w:r>
    </w:p>
  </w:footnote>
  <w:footnote w:id="113">
    <w:p w:rsidR="00FD2727" w:rsidRPr="00F06133" w:rsidRDefault="00FD2727" w:rsidP="00933169">
      <w:pPr>
        <w:pStyle w:val="FootnoteText"/>
      </w:pPr>
      <w:r w:rsidRPr="00F06133">
        <w:rPr>
          <w:rStyle w:val="FootnoteReference"/>
        </w:rPr>
        <w:footnoteRef/>
      </w:r>
      <w:r w:rsidRPr="00F06133">
        <w:t xml:space="preserve"> </w:t>
      </w:r>
      <w:r>
        <w:t>United States</w:t>
      </w:r>
      <w:r w:rsidRPr="00F06133">
        <w:t xml:space="preserve">' second written submission to the Panel, </w:t>
      </w:r>
      <w:r>
        <w:t>para. </w:t>
      </w:r>
      <w:r w:rsidRPr="00F06133">
        <w:t>265.</w:t>
      </w:r>
    </w:p>
  </w:footnote>
  <w:footnote w:id="114">
    <w:p w:rsidR="00FD2727" w:rsidRPr="00F06133" w:rsidRDefault="00FD2727" w:rsidP="00933169">
      <w:pPr>
        <w:pStyle w:val="FootnoteText"/>
      </w:pPr>
      <w:r w:rsidRPr="00F06133">
        <w:rPr>
          <w:rStyle w:val="FootnoteReference"/>
        </w:rPr>
        <w:footnoteRef/>
      </w:r>
      <w:r w:rsidRPr="00F06133">
        <w:t xml:space="preserve"> </w:t>
      </w:r>
      <w:r>
        <w:t>United States</w:t>
      </w:r>
      <w:r w:rsidRPr="00F06133">
        <w:t>' second written subm</w:t>
      </w:r>
      <w:r>
        <w:t xml:space="preserve">ission to the Panel, para. 52. </w:t>
      </w:r>
    </w:p>
  </w:footnote>
  <w:footnote w:id="115">
    <w:p w:rsidR="00FD2727" w:rsidRPr="00F06133" w:rsidRDefault="00FD2727" w:rsidP="00933169">
      <w:pPr>
        <w:pStyle w:val="FootnoteText"/>
      </w:pPr>
      <w:r w:rsidRPr="00F06133">
        <w:rPr>
          <w:rStyle w:val="FootnoteReference"/>
        </w:rPr>
        <w:footnoteRef/>
      </w:r>
      <w:r w:rsidRPr="00F06133">
        <w:t xml:space="preserve"> </w:t>
      </w:r>
      <w:r>
        <w:t>European Union</w:t>
      </w:r>
      <w:r w:rsidRPr="00F06133">
        <w:t xml:space="preserve">'s appellant's submission, </w:t>
      </w:r>
      <w:r>
        <w:t>para. </w:t>
      </w:r>
      <w:r w:rsidRPr="00F06133">
        <w:t xml:space="preserve">260 (quoting </w:t>
      </w:r>
      <w:r>
        <w:t>United States</w:t>
      </w:r>
      <w:r w:rsidRPr="00F06133">
        <w:t xml:space="preserve">' second written submission to the Panel, </w:t>
      </w:r>
      <w:r>
        <w:t>section</w:t>
      </w:r>
      <w:r w:rsidRPr="009C2940">
        <w:t xml:space="preserve"> </w:t>
      </w:r>
      <w:r>
        <w:t>IV.C.4</w:t>
      </w:r>
      <w:r w:rsidRPr="00F06133">
        <w:t>).</w:t>
      </w:r>
      <w:r>
        <w:t xml:space="preserve"> </w:t>
      </w:r>
    </w:p>
  </w:footnote>
  <w:footnote w:id="116">
    <w:p w:rsidR="00FD2727" w:rsidRPr="00F06133" w:rsidRDefault="00FD2727" w:rsidP="00933169">
      <w:pPr>
        <w:pStyle w:val="FootnoteText"/>
      </w:pPr>
      <w:r w:rsidRPr="00F06133">
        <w:rPr>
          <w:rStyle w:val="FootnoteReference"/>
        </w:rPr>
        <w:footnoteRef/>
      </w:r>
      <w:r w:rsidRPr="00F06133">
        <w:t xml:space="preserve"> </w:t>
      </w:r>
      <w:r>
        <w:t>United States</w:t>
      </w:r>
      <w:r w:rsidRPr="00F06133">
        <w:t xml:space="preserve">' second written submission to the Panel, </w:t>
      </w:r>
      <w:r>
        <w:t>para. </w:t>
      </w:r>
      <w:r w:rsidRPr="00F06133">
        <w:t>265.</w:t>
      </w:r>
    </w:p>
  </w:footnote>
  <w:footnote w:id="117">
    <w:p w:rsidR="00FD2727" w:rsidRPr="00F06133" w:rsidRDefault="00FD2727" w:rsidP="00933169">
      <w:pPr>
        <w:pStyle w:val="FootnoteText"/>
      </w:pPr>
      <w:r w:rsidRPr="00F06133">
        <w:rPr>
          <w:rStyle w:val="FootnoteReference"/>
        </w:rPr>
        <w:footnoteRef/>
      </w:r>
      <w:r w:rsidRPr="00F06133">
        <w:t xml:space="preserve"> </w:t>
      </w:r>
      <w:r>
        <w:t>European Union</w:t>
      </w:r>
      <w:r w:rsidRPr="00F06133">
        <w:t xml:space="preserve">'s second written submission to the Panel, </w:t>
      </w:r>
      <w:r>
        <w:t>para. </w:t>
      </w:r>
      <w:r w:rsidRPr="00F06133">
        <w:t>72. (fn omitted)</w:t>
      </w:r>
    </w:p>
  </w:footnote>
  <w:footnote w:id="118">
    <w:p w:rsidR="00FD2727" w:rsidRDefault="00FD2727" w:rsidP="00933169">
      <w:pPr>
        <w:pStyle w:val="FootnoteText"/>
      </w:pPr>
      <w:r>
        <w:rPr>
          <w:rStyle w:val="FootnoteReference"/>
        </w:rPr>
        <w:footnoteRef/>
      </w:r>
      <w:r>
        <w:t xml:space="preserve"> Panel Report, para. 5.75.</w:t>
      </w:r>
    </w:p>
  </w:footnote>
  <w:footnote w:id="119">
    <w:p w:rsidR="00FD2727" w:rsidRDefault="00FD2727" w:rsidP="00933169">
      <w:pPr>
        <w:pStyle w:val="FootnoteText"/>
      </w:pPr>
      <w:r>
        <w:rPr>
          <w:rStyle w:val="FootnoteReference"/>
        </w:rPr>
        <w:footnoteRef/>
      </w:r>
      <w:r>
        <w:t xml:space="preserve"> United States' response to questioning at the oral hearing.</w:t>
      </w:r>
    </w:p>
  </w:footnote>
  <w:footnote w:id="120">
    <w:p w:rsidR="00FD2727" w:rsidRPr="00F06133" w:rsidRDefault="00FD2727" w:rsidP="00933169">
      <w:pPr>
        <w:pStyle w:val="FootnoteText"/>
      </w:pPr>
      <w:r w:rsidRPr="00F06133">
        <w:rPr>
          <w:rStyle w:val="FootnoteReference"/>
        </w:rPr>
        <w:footnoteRef/>
      </w:r>
      <w:r w:rsidRPr="00F06133">
        <w:t xml:space="preserve"> </w:t>
      </w:r>
      <w:r>
        <w:t>European Union</w:t>
      </w:r>
      <w:r w:rsidRPr="00F06133">
        <w:t xml:space="preserve">'s appellant's submission, </w:t>
      </w:r>
      <w:r>
        <w:t>para. </w:t>
      </w:r>
      <w:r w:rsidRPr="00F06133">
        <w:t xml:space="preserve">257 (quoting </w:t>
      </w:r>
      <w:r>
        <w:t>Appellate Body</w:t>
      </w:r>
      <w:r w:rsidRPr="00F06133">
        <w:t xml:space="preserve"> Reports, </w:t>
      </w:r>
      <w:r>
        <w:rPr>
          <w:i/>
        </w:rPr>
        <w:t>US </w:t>
      </w:r>
      <w:r w:rsidRPr="00F06133">
        <w:rPr>
          <w:i/>
        </w:rPr>
        <w:t>– Continued Suspension / Canada – Continued Suspension</w:t>
      </w:r>
      <w:r w:rsidRPr="00F06133">
        <w:t xml:space="preserve">, </w:t>
      </w:r>
      <w:r>
        <w:t>para. </w:t>
      </w:r>
      <w:r w:rsidRPr="00F06133">
        <w:t>347).</w:t>
      </w:r>
    </w:p>
  </w:footnote>
  <w:footnote w:id="121">
    <w:p w:rsidR="00FD2727" w:rsidRPr="00EA1328" w:rsidRDefault="00FD2727" w:rsidP="00933169">
      <w:pPr>
        <w:pStyle w:val="FootnoteText"/>
      </w:pPr>
      <w:r>
        <w:rPr>
          <w:rStyle w:val="FootnoteReference"/>
        </w:rPr>
        <w:footnoteRef/>
      </w:r>
      <w:r>
        <w:t xml:space="preserve"> Our understanding is confirmed by the United States' responses to questioning during the first session of the oral hearing in this appeal.</w:t>
      </w:r>
    </w:p>
  </w:footnote>
  <w:footnote w:id="122">
    <w:p w:rsidR="00FD2727" w:rsidRPr="002C0F6B" w:rsidRDefault="00FD2727" w:rsidP="00933169">
      <w:pPr>
        <w:pStyle w:val="FootnoteText"/>
      </w:pPr>
      <w:r>
        <w:rPr>
          <w:rStyle w:val="FootnoteReference"/>
        </w:rPr>
        <w:footnoteRef/>
      </w:r>
      <w:r>
        <w:t xml:space="preserve"> Panel Report, para. 5.77.</w:t>
      </w:r>
    </w:p>
  </w:footnote>
  <w:footnote w:id="123">
    <w:p w:rsidR="00FD2727" w:rsidRPr="00593810" w:rsidRDefault="00FD2727" w:rsidP="00933169">
      <w:pPr>
        <w:pStyle w:val="FootnoteText"/>
      </w:pPr>
      <w:r>
        <w:rPr>
          <w:rStyle w:val="FootnoteReference"/>
        </w:rPr>
        <w:footnoteRef/>
      </w:r>
      <w:r>
        <w:t xml:space="preserve"> At </w:t>
      </w:r>
      <w:r w:rsidRPr="00D34FDE">
        <w:t xml:space="preserve">the oral hearing in </w:t>
      </w:r>
      <w:r>
        <w:t>this appeal</w:t>
      </w:r>
      <w:r w:rsidRPr="00D34FDE">
        <w:t xml:space="preserve">, the </w:t>
      </w:r>
      <w:r>
        <w:t>United States</w:t>
      </w:r>
      <w:r w:rsidRPr="00D34FDE">
        <w:t xml:space="preserve"> confirmed</w:t>
      </w:r>
      <w:r>
        <w:t xml:space="preserve"> that it would not challenge the Bremen Airport and Mühlenberger Loch measures in new proceedings under Article 21.5 of the DSU given its view that the subsidies arising out of these measures did not cause adverse effects in the post-implementation period. (United States' response to questioning at the oral hearing)</w:t>
      </w:r>
    </w:p>
  </w:footnote>
  <w:footnote w:id="124">
    <w:p w:rsidR="00FD2727" w:rsidRPr="00F06133" w:rsidRDefault="00FD2727" w:rsidP="00933169">
      <w:pPr>
        <w:pStyle w:val="FootnoteText"/>
      </w:pPr>
      <w:r w:rsidRPr="00F06133">
        <w:rPr>
          <w:rStyle w:val="FootnoteReference"/>
        </w:rPr>
        <w:footnoteRef/>
      </w:r>
      <w:r w:rsidRPr="00F06133">
        <w:t xml:space="preserve"> </w:t>
      </w:r>
      <w:r>
        <w:t>European Union</w:t>
      </w:r>
      <w:r w:rsidRPr="00F06133">
        <w:t xml:space="preserve">'s appellant's submission, </w:t>
      </w:r>
      <w:r>
        <w:t>para. </w:t>
      </w:r>
      <w:r w:rsidRPr="00F06133">
        <w:t>271.</w:t>
      </w:r>
    </w:p>
  </w:footnote>
  <w:footnote w:id="125">
    <w:p w:rsidR="00FD2727" w:rsidRPr="00F06133" w:rsidRDefault="00FD2727" w:rsidP="00933169">
      <w:pPr>
        <w:pStyle w:val="FootnoteText"/>
      </w:pPr>
      <w:r w:rsidRPr="00F06133">
        <w:rPr>
          <w:rStyle w:val="FootnoteReference"/>
        </w:rPr>
        <w:footnoteRef/>
      </w:r>
      <w:r w:rsidRPr="00F06133">
        <w:t xml:space="preserve"> </w:t>
      </w:r>
      <w:r>
        <w:t>European Union</w:t>
      </w:r>
      <w:r w:rsidRPr="00F06133">
        <w:t xml:space="preserve">'s appellant's submission, </w:t>
      </w:r>
      <w:r>
        <w:t>para. </w:t>
      </w:r>
      <w:r w:rsidRPr="00F06133">
        <w:t xml:space="preserve">264 (quoting </w:t>
      </w:r>
      <w:r>
        <w:t>Appellate Body</w:t>
      </w:r>
      <w:r w:rsidRPr="00F06133">
        <w:t xml:space="preserve"> Report, </w:t>
      </w:r>
      <w:r w:rsidRPr="00F06133">
        <w:rPr>
          <w:i/>
        </w:rPr>
        <w:t>Mexico – Taxes on Soft Drinks</w:t>
      </w:r>
      <w:r w:rsidRPr="00F06133">
        <w:t xml:space="preserve">, </w:t>
      </w:r>
      <w:r>
        <w:t>para. </w:t>
      </w:r>
      <w:r w:rsidRPr="00F06133">
        <w:t>51).</w:t>
      </w:r>
    </w:p>
  </w:footnote>
  <w:footnote w:id="126">
    <w:p w:rsidR="00FD2727" w:rsidRPr="00F06133" w:rsidRDefault="00FD2727" w:rsidP="00933169">
      <w:pPr>
        <w:pStyle w:val="FootnoteText"/>
      </w:pPr>
      <w:r w:rsidRPr="00F06133">
        <w:rPr>
          <w:rStyle w:val="FootnoteReference"/>
        </w:rPr>
        <w:footnoteRef/>
      </w:r>
      <w:r w:rsidRPr="00F06133">
        <w:t xml:space="preserve"> </w:t>
      </w:r>
      <w:r>
        <w:t>European Union</w:t>
      </w:r>
      <w:r w:rsidRPr="00F06133">
        <w:t xml:space="preserve">'s appellant's submission, </w:t>
      </w:r>
      <w:r>
        <w:t>para. </w:t>
      </w:r>
      <w:r w:rsidRPr="00F06133">
        <w:t>269.</w:t>
      </w:r>
    </w:p>
  </w:footnote>
  <w:footnote w:id="127">
    <w:p w:rsidR="00FD2727" w:rsidRPr="00F06133" w:rsidRDefault="00FD2727" w:rsidP="00933169">
      <w:pPr>
        <w:pStyle w:val="FootnoteText"/>
      </w:pPr>
      <w:r w:rsidRPr="00F06133">
        <w:rPr>
          <w:rStyle w:val="FootnoteReference"/>
        </w:rPr>
        <w:footnoteRef/>
      </w:r>
      <w:r w:rsidRPr="00F06133">
        <w:t xml:space="preserve"> </w:t>
      </w:r>
      <w:r>
        <w:t>Appellate Body</w:t>
      </w:r>
      <w:r w:rsidRPr="00F06133">
        <w:t xml:space="preserve"> Report, </w:t>
      </w:r>
      <w:r w:rsidRPr="00F06133">
        <w:rPr>
          <w:i/>
        </w:rPr>
        <w:t>Mexico – Taxes on Soft Drinks</w:t>
      </w:r>
      <w:r w:rsidRPr="00F06133">
        <w:t xml:space="preserve">, </w:t>
      </w:r>
      <w:r>
        <w:t xml:space="preserve">paras. 46 and </w:t>
      </w:r>
      <w:r w:rsidRPr="00F06133">
        <w:t>51.</w:t>
      </w:r>
    </w:p>
  </w:footnote>
  <w:footnote w:id="128">
    <w:p w:rsidR="00FD2727" w:rsidRDefault="00FD2727" w:rsidP="00933169">
      <w:pPr>
        <w:pStyle w:val="FootnoteText"/>
      </w:pPr>
      <w:r>
        <w:rPr>
          <w:rStyle w:val="FootnoteReference"/>
        </w:rPr>
        <w:footnoteRef/>
      </w:r>
      <w:r>
        <w:t xml:space="preserve"> For example, a panel may validly decline to examine and rule on a particular claim for reasons of judicial economy provided it resolves the dispute at hand.</w:t>
      </w:r>
    </w:p>
  </w:footnote>
  <w:footnote w:id="129">
    <w:p w:rsidR="00FD2727" w:rsidRDefault="00FD2727" w:rsidP="00933169">
      <w:pPr>
        <w:pStyle w:val="FootnoteText"/>
        <w:keepNext/>
        <w:keepLines/>
      </w:pPr>
      <w:r>
        <w:rPr>
          <w:rStyle w:val="FootnoteReference"/>
        </w:rPr>
        <w:footnoteRef/>
      </w:r>
      <w:r>
        <w:t xml:space="preserve"> We note that, </w:t>
      </w:r>
      <w:r w:rsidRPr="0064461E">
        <w:t xml:space="preserve">by virtue of </w:t>
      </w:r>
      <w:r>
        <w:t>Article </w:t>
      </w:r>
      <w:r w:rsidRPr="0064461E">
        <w:t xml:space="preserve">1.2 of the DSU, the DSU (including </w:t>
      </w:r>
      <w:r>
        <w:t>Article </w:t>
      </w:r>
      <w:r w:rsidRPr="0064461E">
        <w:t>21.5</w:t>
      </w:r>
      <w:r w:rsidRPr="008C3C33">
        <w:t>) applies "subject to such special or additional rules and procedures" as listed in Appendix 2 to the DS</w:t>
      </w:r>
      <w:r>
        <w:t>U. Articles 7.2 through 7.10 of the SCM Agreement</w:t>
      </w:r>
      <w:r w:rsidRPr="008C3C33">
        <w:t xml:space="preserve"> are listed in Appendix 2</w:t>
      </w:r>
      <w:r w:rsidRPr="002F3E0E">
        <w:t xml:space="preserve"> </w:t>
      </w:r>
      <w:r w:rsidRPr="008C3C33">
        <w:t>to the DS</w:t>
      </w:r>
      <w:r>
        <w:t>U</w:t>
      </w:r>
      <w:r w:rsidRPr="008C3C33">
        <w:t>.</w:t>
      </w:r>
      <w:r>
        <w:t xml:space="preserve"> Article 7.10 states that, "{i}n the event that a party to the dispute requests arbitration under paragraph 6 of Article 22 of the DSU, the arbitrator shall determine whether the countermeasures are commensurate with the degree and nature of the adverse effects determined to exist".</w:t>
      </w:r>
    </w:p>
  </w:footnote>
  <w:footnote w:id="130">
    <w:p w:rsidR="00FD2727" w:rsidRPr="00D34FDE" w:rsidRDefault="00FD2727" w:rsidP="00933169">
      <w:pPr>
        <w:pStyle w:val="FootnoteText"/>
        <w:rPr>
          <w:i/>
        </w:rPr>
      </w:pPr>
      <w:r w:rsidRPr="00F06133">
        <w:rPr>
          <w:rStyle w:val="FootnoteReference"/>
        </w:rPr>
        <w:footnoteRef/>
      </w:r>
      <w:r w:rsidRPr="00F06133">
        <w:t xml:space="preserve"> Panel Report, </w:t>
      </w:r>
      <w:r>
        <w:t>para. </w:t>
      </w:r>
      <w:r w:rsidRPr="00F06133">
        <w:t>5.78.</w:t>
      </w:r>
      <w:r>
        <w:t xml:space="preserve"> We also note the Panel's observation that "the United States does not challenge the European Union's alleged 'withdrawal' of the subsidies in relation to the Bremen Airport runway extension and the M</w:t>
      </w:r>
      <w:r w:rsidRPr="00F06133">
        <w:t>ühlenberger</w:t>
      </w:r>
      <w:r>
        <w:t xml:space="preserve"> Loch aircraft assembly site, both of which were found to cause adverse effects in the original proceeding." The Panel went on to state the European Union's position that "the terms of these subsidies were aligned to a market benchmark before the end of the implementation period". (Panel Report, fn 1847 to para. 6.1102) The Panel's observations make clear that it did not find the measures taken to comply at issue in these Article 21.5 proceedings to have WTO-inconsistent effects.</w:t>
      </w:r>
    </w:p>
  </w:footnote>
  <w:footnote w:id="131">
    <w:p w:rsidR="00FD2727" w:rsidRPr="00E41F05" w:rsidRDefault="00FD2727" w:rsidP="00206326">
      <w:pPr>
        <w:pStyle w:val="FootnoteText"/>
        <w:keepLines/>
      </w:pPr>
      <w:r w:rsidRPr="00E41F05">
        <w:rPr>
          <w:rStyle w:val="FootnoteReference"/>
        </w:rPr>
        <w:footnoteRef/>
      </w:r>
      <w:r w:rsidRPr="00E41F05">
        <w:t xml:space="preserve"> </w:t>
      </w:r>
      <w:r>
        <w:t>United States</w:t>
      </w:r>
      <w:r w:rsidRPr="00E41F05">
        <w:t xml:space="preserve">' other appellant's submission, </w:t>
      </w:r>
      <w:r>
        <w:t>para. </w:t>
      </w:r>
      <w:r w:rsidRPr="00E41F05">
        <w:t xml:space="preserve">23. </w:t>
      </w:r>
    </w:p>
  </w:footnote>
  <w:footnote w:id="132">
    <w:p w:rsidR="00FD2727" w:rsidRPr="00E41F05" w:rsidRDefault="00FD2727" w:rsidP="00206326">
      <w:pPr>
        <w:pStyle w:val="FootnoteText"/>
        <w:keepLines/>
      </w:pPr>
      <w:r w:rsidRPr="00E41F05">
        <w:rPr>
          <w:rStyle w:val="FootnoteReference"/>
        </w:rPr>
        <w:footnoteRef/>
      </w:r>
      <w:r w:rsidRPr="00E41F05">
        <w:t xml:space="preserve"> Panel Report, </w:t>
      </w:r>
      <w:r>
        <w:t>paras. </w:t>
      </w:r>
      <w:r w:rsidRPr="00E41F05">
        <w:t xml:space="preserve">6.754-6.773. Before the Panel, the </w:t>
      </w:r>
      <w:r>
        <w:t>United States</w:t>
      </w:r>
      <w:r w:rsidRPr="00E41F05">
        <w:t xml:space="preserve"> argued that the </w:t>
      </w:r>
      <w:r w:rsidRPr="00B14A7D">
        <w:t xml:space="preserve">relevant </w:t>
      </w:r>
      <w:r>
        <w:t xml:space="preserve">four </w:t>
      </w:r>
      <w:r w:rsidRPr="00B14A7D">
        <w:t>member States</w:t>
      </w:r>
      <w:r w:rsidRPr="00E41F05">
        <w:t xml:space="preserve"> granted A350XWB LA/MSF to Airbus in exchange for commitments to locate certain LCA production activities in the member States' territories and then use the LCA components made in such domestic production in downstream LCA production activities. The </w:t>
      </w:r>
      <w:r>
        <w:t>United States</w:t>
      </w:r>
      <w:r w:rsidRPr="00E41F05">
        <w:t xml:space="preserve"> characterized this exchange of commitments as "</w:t>
      </w:r>
      <w:r w:rsidRPr="00B14A7D">
        <w:t>Workshare Agreements</w:t>
      </w:r>
      <w:r w:rsidRPr="00E41F05">
        <w:t xml:space="preserve">". (Ibid., </w:t>
      </w:r>
      <w:r>
        <w:t>para. </w:t>
      </w:r>
      <w:r w:rsidRPr="00E41F05">
        <w:t>6.780)</w:t>
      </w:r>
    </w:p>
  </w:footnote>
  <w:footnote w:id="133">
    <w:p w:rsidR="00FD2727" w:rsidRPr="00F61C98" w:rsidRDefault="00FD2727">
      <w:pPr>
        <w:pStyle w:val="FootnoteText"/>
        <w:rPr>
          <w:lang w:val="en-US"/>
        </w:rPr>
      </w:pPr>
      <w:r>
        <w:rPr>
          <w:rStyle w:val="FootnoteReference"/>
        </w:rPr>
        <w:footnoteRef/>
      </w:r>
      <w:r>
        <w:t xml:space="preserve"> </w:t>
      </w:r>
      <w:r>
        <w:rPr>
          <w:lang w:val="en-US"/>
        </w:rPr>
        <w:t>Panel Report, para. 6.774.</w:t>
      </w:r>
    </w:p>
  </w:footnote>
  <w:footnote w:id="134">
    <w:p w:rsidR="00FD2727" w:rsidRPr="00E41F05" w:rsidRDefault="00FD2727" w:rsidP="00B36EF2">
      <w:pPr>
        <w:pStyle w:val="FootnoteText"/>
        <w:keepNext/>
        <w:keepLines/>
      </w:pPr>
      <w:r w:rsidRPr="00E41F05">
        <w:rPr>
          <w:rStyle w:val="FootnoteReference"/>
        </w:rPr>
        <w:footnoteRef/>
      </w:r>
      <w:r w:rsidRPr="00E41F05">
        <w:t xml:space="preserve"> Panel Report, </w:t>
      </w:r>
      <w:r>
        <w:t>para. </w:t>
      </w:r>
      <w:r w:rsidRPr="00E41F05">
        <w:t xml:space="preserve">6.774. In this regard, the Panel noted that: (i) the </w:t>
      </w:r>
      <w:r w:rsidRPr="00E41F05">
        <w:rPr>
          <w:b/>
        </w:rPr>
        <w:t>[</w:t>
      </w:r>
      <w:r w:rsidRPr="00C8434D">
        <w:rPr>
          <w:b/>
          <w:szCs w:val="16"/>
        </w:rPr>
        <w:t>BCI</w:t>
      </w:r>
      <w:r w:rsidRPr="00E41F05">
        <w:rPr>
          <w:b/>
        </w:rPr>
        <w:t>]</w:t>
      </w:r>
      <w:r w:rsidRPr="00E41F05">
        <w:t xml:space="preserve"> contracts appear to condition subsidy payments on the recipient </w:t>
      </w:r>
      <w:r w:rsidRPr="00E41F05">
        <w:rPr>
          <w:b/>
        </w:rPr>
        <w:t>[</w:t>
      </w:r>
      <w:r w:rsidRPr="00C8434D">
        <w:rPr>
          <w:b/>
          <w:szCs w:val="16"/>
        </w:rPr>
        <w:t>BCI</w:t>
      </w:r>
      <w:r w:rsidRPr="00E41F05">
        <w:rPr>
          <w:b/>
        </w:rPr>
        <w:t xml:space="preserve">] </w:t>
      </w:r>
      <w:r w:rsidRPr="00E41F05">
        <w:t xml:space="preserve">on the development and/or production phases of the A350XWB project in the territory of the grantor (Domestic A350XWB Employment Contingency); (ii) the </w:t>
      </w:r>
      <w:r w:rsidRPr="00E41F05">
        <w:rPr>
          <w:b/>
        </w:rPr>
        <w:t>[</w:t>
      </w:r>
      <w:r w:rsidRPr="00C8434D">
        <w:rPr>
          <w:b/>
          <w:szCs w:val="16"/>
        </w:rPr>
        <w:t>BCI</w:t>
      </w:r>
      <w:r w:rsidRPr="00E41F05">
        <w:rPr>
          <w:b/>
        </w:rPr>
        <w:t>]</w:t>
      </w:r>
      <w:r w:rsidRPr="00E41F05">
        <w:t xml:space="preserve"> contract appears to condition subsidy payments on the recipient maintaining a</w:t>
      </w:r>
      <w:r w:rsidRPr="00E41F05">
        <w:rPr>
          <w:b/>
        </w:rPr>
        <w:t xml:space="preserve"> [</w:t>
      </w:r>
      <w:r w:rsidRPr="00C8434D">
        <w:rPr>
          <w:b/>
          <w:szCs w:val="16"/>
        </w:rPr>
        <w:t>BCI</w:t>
      </w:r>
      <w:r w:rsidRPr="00E41F05">
        <w:rPr>
          <w:b/>
        </w:rPr>
        <w:t>]</w:t>
      </w:r>
      <w:r w:rsidRPr="00E41F05">
        <w:t xml:space="preserve"> (Domestic A350XWB Workshare Contingency); and (iii) the </w:t>
      </w:r>
      <w:r w:rsidRPr="00E41F05">
        <w:rPr>
          <w:b/>
        </w:rPr>
        <w:t>[</w:t>
      </w:r>
      <w:r w:rsidRPr="00C8434D">
        <w:rPr>
          <w:b/>
          <w:szCs w:val="16"/>
        </w:rPr>
        <w:t>BCI</w:t>
      </w:r>
      <w:r w:rsidRPr="00E41F05">
        <w:rPr>
          <w:b/>
        </w:rPr>
        <w:t>]</w:t>
      </w:r>
      <w:r w:rsidRPr="00E41F05">
        <w:t xml:space="preserve"> contract appears to condition subsidy payments on the recipient maintaining certain</w:t>
      </w:r>
      <w:r w:rsidRPr="00E41F05">
        <w:rPr>
          <w:b/>
        </w:rPr>
        <w:t xml:space="preserve"> [</w:t>
      </w:r>
      <w:r w:rsidRPr="00C8434D">
        <w:rPr>
          <w:b/>
          <w:szCs w:val="16"/>
        </w:rPr>
        <w:t>BCI</w:t>
      </w:r>
      <w:r w:rsidRPr="00E41F05">
        <w:rPr>
          <w:b/>
        </w:rPr>
        <w:t>]</w:t>
      </w:r>
      <w:r w:rsidRPr="00E41F05">
        <w:t xml:space="preserve"> (Domes</w:t>
      </w:r>
      <w:r>
        <w:t>tic Non</w:t>
      </w:r>
      <w:r>
        <w:noBreakHyphen/>
      </w:r>
      <w:r w:rsidRPr="00E41F05">
        <w:t>A350XWB Workshare Contingency). (Ibid.)</w:t>
      </w:r>
    </w:p>
  </w:footnote>
  <w:footnote w:id="135">
    <w:p w:rsidR="00FD2727" w:rsidRPr="00E41F05" w:rsidRDefault="00FD2727" w:rsidP="00206326">
      <w:pPr>
        <w:pStyle w:val="FootnoteText"/>
        <w:keepLines/>
      </w:pPr>
      <w:r w:rsidRPr="00E41F05">
        <w:rPr>
          <w:rStyle w:val="FootnoteReference"/>
        </w:rPr>
        <w:footnoteRef/>
      </w:r>
      <w:r w:rsidRPr="00E41F05">
        <w:t xml:space="preserve"> Panel Report, </w:t>
      </w:r>
      <w:r>
        <w:t>para. </w:t>
      </w:r>
      <w:r w:rsidRPr="00E41F05">
        <w:t xml:space="preserve">6.775. For purposes of its subsequent analysis, the Panel "assume{d} </w:t>
      </w:r>
      <w:r w:rsidRPr="00E41F05">
        <w:rPr>
          <w:i/>
        </w:rPr>
        <w:t>arguendo</w:t>
      </w:r>
      <w:r w:rsidRPr="00E41F05">
        <w:t>" that all the contingencies it had identified actually exist and, when satisfied, result in the manufacture of LCA</w:t>
      </w:r>
      <w:r w:rsidRPr="00E41F05">
        <w:noBreakHyphen/>
        <w:t xml:space="preserve">related goods in the territories of the respective grantors. (Ibid., </w:t>
      </w:r>
      <w:r>
        <w:t>para. </w:t>
      </w:r>
      <w:r w:rsidRPr="00E41F05">
        <w:t>6.776)</w:t>
      </w:r>
    </w:p>
  </w:footnote>
  <w:footnote w:id="136">
    <w:p w:rsidR="00FD2727" w:rsidRPr="00E41F05" w:rsidRDefault="00FD2727" w:rsidP="00206326">
      <w:pPr>
        <w:pStyle w:val="FootnoteText"/>
      </w:pPr>
      <w:r w:rsidRPr="00E41F05">
        <w:rPr>
          <w:rStyle w:val="FootnoteReference"/>
        </w:rPr>
        <w:footnoteRef/>
      </w:r>
      <w:r w:rsidRPr="00E41F05">
        <w:t xml:space="preserve"> Panel Report, </w:t>
      </w:r>
      <w:r>
        <w:t>para. </w:t>
      </w:r>
      <w:r w:rsidRPr="00E41F05">
        <w:t>6.780.</w:t>
      </w:r>
    </w:p>
  </w:footnote>
  <w:footnote w:id="137">
    <w:p w:rsidR="00FD2727" w:rsidRPr="00E41F05" w:rsidRDefault="00FD2727" w:rsidP="00206326">
      <w:pPr>
        <w:pStyle w:val="FootnoteText"/>
        <w:keepLines/>
      </w:pPr>
      <w:r w:rsidRPr="00E41F05">
        <w:rPr>
          <w:rStyle w:val="FootnoteReference"/>
        </w:rPr>
        <w:footnoteRef/>
      </w:r>
      <w:r w:rsidRPr="00E41F05">
        <w:t xml:space="preserve"> Panel Report, </w:t>
      </w:r>
      <w:r>
        <w:t>para. </w:t>
      </w:r>
      <w:r w:rsidRPr="00E41F05">
        <w:t>6.781. In particular, the Panel considered that the publicly available information was "a vague and ambiguous foundation upon which to establish the existence of any material agreements between Airbus and the relevant member States regarding the domestic production and use of LCA components beyond what the A350XWB LA/MSF contracts themselves exhibit". (Ibid.)</w:t>
      </w:r>
    </w:p>
  </w:footnote>
  <w:footnote w:id="138">
    <w:p w:rsidR="00FD2727" w:rsidRPr="00E41F05" w:rsidRDefault="00FD2727" w:rsidP="00206326">
      <w:pPr>
        <w:pStyle w:val="FootnoteText"/>
        <w:keepLines/>
      </w:pPr>
      <w:r w:rsidRPr="00E41F05">
        <w:rPr>
          <w:rStyle w:val="FootnoteReference"/>
        </w:rPr>
        <w:footnoteRef/>
      </w:r>
      <w:r w:rsidRPr="00E41F05">
        <w:t xml:space="preserve"> Panel Report, </w:t>
      </w:r>
      <w:r>
        <w:t>para. </w:t>
      </w:r>
      <w:r w:rsidRPr="00E41F05">
        <w:t xml:space="preserve">6.783 (referring to </w:t>
      </w:r>
      <w:r>
        <w:t>Appellate Body</w:t>
      </w:r>
      <w:r w:rsidRPr="00E41F05">
        <w:t xml:space="preserve"> Report, </w:t>
      </w:r>
      <w:r w:rsidRPr="00E41F05">
        <w:rPr>
          <w:i/>
        </w:rPr>
        <w:t>Canada – Autos</w:t>
      </w:r>
      <w:r w:rsidRPr="00E41F05">
        <w:t xml:space="preserve">, </w:t>
      </w:r>
      <w:r>
        <w:t>para. </w:t>
      </w:r>
      <w:r w:rsidRPr="00E41F05">
        <w:t>140).</w:t>
      </w:r>
    </w:p>
  </w:footnote>
  <w:footnote w:id="139">
    <w:p w:rsidR="00FD2727" w:rsidRPr="00E41F05" w:rsidRDefault="00FD2727" w:rsidP="00206326">
      <w:pPr>
        <w:pStyle w:val="FootnoteText"/>
        <w:keepLines/>
      </w:pPr>
      <w:r w:rsidRPr="00E41F05">
        <w:rPr>
          <w:rStyle w:val="FootnoteReference"/>
        </w:rPr>
        <w:footnoteRef/>
      </w:r>
      <w:r w:rsidRPr="00E41F05">
        <w:t xml:space="preserve"> Panel Report, </w:t>
      </w:r>
      <w:r>
        <w:t>para. </w:t>
      </w:r>
      <w:r w:rsidRPr="00E41F05">
        <w:t xml:space="preserve">6.785. </w:t>
      </w:r>
      <w:r>
        <w:t>(fn omitted)</w:t>
      </w:r>
    </w:p>
  </w:footnote>
  <w:footnote w:id="140">
    <w:p w:rsidR="00FD2727" w:rsidRPr="00E41F05" w:rsidRDefault="00FD2727" w:rsidP="00206326">
      <w:pPr>
        <w:pStyle w:val="FootnoteText"/>
        <w:keepLines/>
      </w:pPr>
      <w:r w:rsidRPr="00E41F05">
        <w:rPr>
          <w:rStyle w:val="FootnoteReference"/>
        </w:rPr>
        <w:footnoteRef/>
      </w:r>
      <w:r w:rsidRPr="00E41F05">
        <w:t xml:space="preserve"> Panel Report, </w:t>
      </w:r>
      <w:r>
        <w:t>para. </w:t>
      </w:r>
      <w:r w:rsidRPr="00E41F05">
        <w:t>6.786.</w:t>
      </w:r>
    </w:p>
  </w:footnote>
  <w:footnote w:id="141">
    <w:p w:rsidR="00FD2727" w:rsidRPr="00E41F05" w:rsidRDefault="00FD2727" w:rsidP="00206326">
      <w:pPr>
        <w:pStyle w:val="FootnoteText"/>
        <w:keepLines/>
      </w:pPr>
      <w:r w:rsidRPr="00E41F05">
        <w:rPr>
          <w:rStyle w:val="FootnoteReference"/>
        </w:rPr>
        <w:footnoteRef/>
      </w:r>
      <w:r w:rsidRPr="00E41F05">
        <w:t xml:space="preserve"> Panel Report, </w:t>
      </w:r>
      <w:r>
        <w:t>para. </w:t>
      </w:r>
      <w:r w:rsidRPr="00E41F05">
        <w:t xml:space="preserve">6.787. In particular, the Panel noted that "disciplining such effects under </w:t>
      </w:r>
      <w:r>
        <w:t>Article </w:t>
      </w:r>
      <w:r w:rsidRPr="00E41F05">
        <w:t>3.1(b) of the </w:t>
      </w:r>
      <w:r>
        <w:t>SCM Agreement</w:t>
      </w:r>
      <w:r w:rsidRPr="00E41F05">
        <w:t xml:space="preserve"> transforms the provision into an effects</w:t>
      </w:r>
      <w:r w:rsidRPr="00E41F05">
        <w:noBreakHyphen/>
        <w:t>based provision, thereby significantly blurring … the line between the disciplines of Part II of the </w:t>
      </w:r>
      <w:r>
        <w:t>SCM Agreement</w:t>
      </w:r>
      <w:r w:rsidRPr="00E41F05">
        <w:t xml:space="preserve"> and the effects-based disciplines on actionable subsidies contained in Part III of the </w:t>
      </w:r>
      <w:r>
        <w:t>SCM Agreement</w:t>
      </w:r>
      <w:r w:rsidRPr="00E41F05">
        <w:t>." (Ibid.)</w:t>
      </w:r>
    </w:p>
  </w:footnote>
  <w:footnote w:id="142">
    <w:p w:rsidR="00FD2727" w:rsidRPr="00E41F05" w:rsidRDefault="00FD2727" w:rsidP="00206326">
      <w:pPr>
        <w:pStyle w:val="FootnoteText"/>
      </w:pPr>
      <w:r w:rsidRPr="00E41F05">
        <w:rPr>
          <w:rStyle w:val="FootnoteReference"/>
        </w:rPr>
        <w:footnoteRef/>
      </w:r>
      <w:r w:rsidRPr="00E41F05">
        <w:t xml:space="preserve"> Panel Report, </w:t>
      </w:r>
      <w:r>
        <w:t>para. </w:t>
      </w:r>
      <w:r w:rsidRPr="00E41F05">
        <w:t>6.788. (</w:t>
      </w:r>
      <w:r w:rsidRPr="00B14A7D">
        <w:t>emphasis</w:t>
      </w:r>
      <w:r w:rsidRPr="00E41F05">
        <w:t xml:space="preserve"> original)</w:t>
      </w:r>
    </w:p>
  </w:footnote>
  <w:footnote w:id="143">
    <w:p w:rsidR="00FD2727" w:rsidRPr="00E41F05" w:rsidRDefault="00FD2727" w:rsidP="00206326">
      <w:pPr>
        <w:pStyle w:val="FootnoteText"/>
        <w:keepLines/>
      </w:pPr>
      <w:r w:rsidRPr="00E41F05">
        <w:rPr>
          <w:rStyle w:val="FootnoteReference"/>
        </w:rPr>
        <w:footnoteRef/>
      </w:r>
      <w:r w:rsidRPr="00E41F05">
        <w:t xml:space="preserve"> Panel Report, </w:t>
      </w:r>
      <w:r>
        <w:t>para. </w:t>
      </w:r>
      <w:r w:rsidRPr="00E41F05">
        <w:t xml:space="preserve">6.788. </w:t>
      </w:r>
      <w:r>
        <w:t>(fn omitted)</w:t>
      </w:r>
    </w:p>
  </w:footnote>
  <w:footnote w:id="144">
    <w:p w:rsidR="00FD2727" w:rsidRPr="00E41F05" w:rsidRDefault="00FD2727" w:rsidP="00206326">
      <w:pPr>
        <w:pStyle w:val="FootnoteText"/>
        <w:keepLines/>
      </w:pPr>
      <w:r w:rsidRPr="00E41F05">
        <w:rPr>
          <w:rStyle w:val="FootnoteReference"/>
        </w:rPr>
        <w:footnoteRef/>
      </w:r>
      <w:r w:rsidRPr="00E41F05">
        <w:t xml:space="preserve"> Panel Report, </w:t>
      </w:r>
      <w:r>
        <w:t>para. </w:t>
      </w:r>
      <w:r w:rsidRPr="00E41F05">
        <w:t xml:space="preserve">6.788. </w:t>
      </w:r>
      <w:r>
        <w:t>(fn omitted)</w:t>
      </w:r>
    </w:p>
  </w:footnote>
  <w:footnote w:id="145">
    <w:p w:rsidR="00FD2727" w:rsidRPr="00E41F05" w:rsidRDefault="00FD2727" w:rsidP="00206326">
      <w:pPr>
        <w:pStyle w:val="FootnoteText"/>
        <w:keepLines/>
      </w:pPr>
      <w:r w:rsidRPr="00E41F05">
        <w:rPr>
          <w:rStyle w:val="FootnoteReference"/>
        </w:rPr>
        <w:footnoteRef/>
      </w:r>
      <w:r w:rsidRPr="00E41F05">
        <w:t xml:space="preserve"> Panel Report, </w:t>
      </w:r>
      <w:r>
        <w:t>para. </w:t>
      </w:r>
      <w:r w:rsidRPr="00E41F05">
        <w:t>6.790.</w:t>
      </w:r>
    </w:p>
  </w:footnote>
  <w:footnote w:id="146">
    <w:p w:rsidR="00FD2727" w:rsidRPr="00E41F05" w:rsidRDefault="00FD2727">
      <w:pPr>
        <w:pStyle w:val="FootnoteText"/>
      </w:pPr>
      <w:r w:rsidRPr="00E41F05">
        <w:rPr>
          <w:rStyle w:val="FootnoteReference"/>
        </w:rPr>
        <w:footnoteRef/>
      </w:r>
      <w:r w:rsidRPr="00E41F05">
        <w:t xml:space="preserve"> </w:t>
      </w:r>
      <w:r>
        <w:t>United States</w:t>
      </w:r>
      <w:r w:rsidRPr="00E41F05">
        <w:t xml:space="preserve">' Notice of Other Appeal, </w:t>
      </w:r>
      <w:r>
        <w:t>para. </w:t>
      </w:r>
      <w:r w:rsidRPr="00E41F05">
        <w:t xml:space="preserve">1; other appellant's submission, </w:t>
      </w:r>
      <w:r>
        <w:t>paras. 20</w:t>
      </w:r>
      <w:r w:rsidRPr="00E41F05">
        <w:t>-22.</w:t>
      </w:r>
    </w:p>
  </w:footnote>
  <w:footnote w:id="147">
    <w:p w:rsidR="00FD2727" w:rsidRPr="00E41F05" w:rsidRDefault="00FD2727" w:rsidP="00206326">
      <w:pPr>
        <w:pStyle w:val="FootnoteText"/>
      </w:pPr>
      <w:r w:rsidRPr="00E41F05">
        <w:rPr>
          <w:rStyle w:val="FootnoteReference"/>
        </w:rPr>
        <w:footnoteRef/>
      </w:r>
      <w:r w:rsidRPr="00E41F05">
        <w:t xml:space="preserve"> </w:t>
      </w:r>
      <w:r>
        <w:t>United States</w:t>
      </w:r>
      <w:r w:rsidRPr="00E41F05">
        <w:t xml:space="preserve">' other appellant's submission, </w:t>
      </w:r>
      <w:r>
        <w:t>para. </w:t>
      </w:r>
      <w:r w:rsidRPr="00E41F05">
        <w:t>23.</w:t>
      </w:r>
    </w:p>
  </w:footnote>
  <w:footnote w:id="148">
    <w:p w:rsidR="00FD2727" w:rsidRPr="00E41F05" w:rsidRDefault="00FD2727" w:rsidP="00206326">
      <w:pPr>
        <w:pStyle w:val="FootnoteText"/>
        <w:keepLines/>
      </w:pPr>
      <w:r w:rsidRPr="00E41F05">
        <w:rPr>
          <w:rStyle w:val="FootnoteReference"/>
        </w:rPr>
        <w:footnoteRef/>
      </w:r>
      <w:r w:rsidRPr="00E41F05">
        <w:t xml:space="preserve"> </w:t>
      </w:r>
      <w:r>
        <w:t>United States</w:t>
      </w:r>
      <w:r w:rsidRPr="00E41F05">
        <w:t xml:space="preserve">' other appellant's submission, </w:t>
      </w:r>
      <w:r>
        <w:t>para. </w:t>
      </w:r>
      <w:r w:rsidRPr="00E41F05">
        <w:t xml:space="preserve">25. In addition, according to the </w:t>
      </w:r>
      <w:r>
        <w:t>United States</w:t>
      </w:r>
      <w:r w:rsidRPr="00E41F05">
        <w:t xml:space="preserve">, this interpretation "assumes that any good completed in a domestic territory is 'domestic' for purposes of </w:t>
      </w:r>
      <w:r>
        <w:t>Article </w:t>
      </w:r>
      <w:r w:rsidRPr="00E41F05">
        <w:t>3.1(b), without the need to examine the significance of the operations undertaken in the domestic territory, the proportion of foreign content contained in the good, rules of origin, or any other considerations." (Ibid.)</w:t>
      </w:r>
    </w:p>
  </w:footnote>
  <w:footnote w:id="149">
    <w:p w:rsidR="00FD2727" w:rsidRPr="00E41F05" w:rsidRDefault="00FD2727" w:rsidP="00206326">
      <w:pPr>
        <w:pStyle w:val="FootnoteText"/>
        <w:keepLines/>
      </w:pPr>
      <w:r w:rsidRPr="00E41F05">
        <w:rPr>
          <w:rStyle w:val="FootnoteReference"/>
        </w:rPr>
        <w:footnoteRef/>
      </w:r>
      <w:r w:rsidRPr="00E41F05">
        <w:t xml:space="preserve"> </w:t>
      </w:r>
      <w:r>
        <w:t>United States</w:t>
      </w:r>
      <w:r w:rsidRPr="00E41F05">
        <w:t xml:space="preserve">' other appellant's submission, </w:t>
      </w:r>
      <w:r>
        <w:t>para. </w:t>
      </w:r>
      <w:r w:rsidRPr="00E41F05">
        <w:t>26.</w:t>
      </w:r>
    </w:p>
  </w:footnote>
  <w:footnote w:id="150">
    <w:p w:rsidR="00FD2727" w:rsidRPr="00E41F05" w:rsidRDefault="00FD2727" w:rsidP="00206326">
      <w:pPr>
        <w:pStyle w:val="FootnoteText"/>
        <w:keepLines/>
      </w:pPr>
      <w:r w:rsidRPr="00E41F05">
        <w:rPr>
          <w:rStyle w:val="FootnoteReference"/>
        </w:rPr>
        <w:footnoteRef/>
      </w:r>
      <w:r w:rsidRPr="00E41F05">
        <w:t xml:space="preserve"> </w:t>
      </w:r>
      <w:r>
        <w:t>United States</w:t>
      </w:r>
      <w:r w:rsidRPr="00E41F05">
        <w:t xml:space="preserve">' other appellant's submission, </w:t>
      </w:r>
      <w:r>
        <w:t>para. </w:t>
      </w:r>
      <w:r w:rsidRPr="00E41F05">
        <w:t>29.</w:t>
      </w:r>
    </w:p>
  </w:footnote>
  <w:footnote w:id="151">
    <w:p w:rsidR="00FD2727" w:rsidRPr="00E41F05" w:rsidRDefault="00FD2727" w:rsidP="00206326">
      <w:pPr>
        <w:pStyle w:val="FootnoteText"/>
      </w:pPr>
      <w:r w:rsidRPr="00E41F05">
        <w:rPr>
          <w:rStyle w:val="FootnoteReference"/>
        </w:rPr>
        <w:footnoteRef/>
      </w:r>
      <w:r w:rsidRPr="00E41F05">
        <w:t xml:space="preserve"> </w:t>
      </w:r>
      <w:r>
        <w:t>United States</w:t>
      </w:r>
      <w:r w:rsidRPr="00E41F05">
        <w:t xml:space="preserve">' other appellant's submission, </w:t>
      </w:r>
      <w:r>
        <w:t>para. </w:t>
      </w:r>
      <w:r w:rsidRPr="00E41F05">
        <w:t>31.</w:t>
      </w:r>
    </w:p>
  </w:footnote>
  <w:footnote w:id="152">
    <w:p w:rsidR="00FD2727" w:rsidRPr="009343AF" w:rsidRDefault="00FD2727">
      <w:pPr>
        <w:pStyle w:val="FootnoteText"/>
        <w:rPr>
          <w:b/>
        </w:rPr>
      </w:pPr>
      <w:r>
        <w:rPr>
          <w:rStyle w:val="FootnoteReference"/>
        </w:rPr>
        <w:footnoteRef/>
      </w:r>
      <w:r>
        <w:t xml:space="preserve"> </w:t>
      </w:r>
      <w:r>
        <w:rPr>
          <w:b/>
        </w:rPr>
        <w:t>[</w:t>
      </w:r>
      <w:r w:rsidRPr="00C8434D">
        <w:rPr>
          <w:b/>
          <w:szCs w:val="16"/>
        </w:rPr>
        <w:t>BCI</w:t>
      </w:r>
      <w:r>
        <w:rPr>
          <w:b/>
        </w:rPr>
        <w:t>]</w:t>
      </w:r>
    </w:p>
  </w:footnote>
  <w:footnote w:id="153">
    <w:p w:rsidR="00FD2727" w:rsidRPr="00E41F05" w:rsidRDefault="00FD2727" w:rsidP="00206326">
      <w:pPr>
        <w:pStyle w:val="FootnoteText"/>
        <w:keepLines/>
      </w:pPr>
      <w:r w:rsidRPr="00E41F05">
        <w:rPr>
          <w:rStyle w:val="FootnoteReference"/>
        </w:rPr>
        <w:footnoteRef/>
      </w:r>
      <w:r w:rsidRPr="00E41F05">
        <w:t xml:space="preserve"> </w:t>
      </w:r>
      <w:r>
        <w:t>United States</w:t>
      </w:r>
      <w:r w:rsidRPr="00E41F05">
        <w:t xml:space="preserve">' other appellant's submission, </w:t>
      </w:r>
      <w:r>
        <w:t>para. </w:t>
      </w:r>
      <w:r w:rsidRPr="00E41F05">
        <w:t>34 (referring to French A350XWB</w:t>
      </w:r>
      <w:r w:rsidRPr="00E41F05">
        <w:rPr>
          <w:i/>
        </w:rPr>
        <w:t xml:space="preserve"> Protocole</w:t>
      </w:r>
      <w:r>
        <w:t xml:space="preserve"> (Panel </w:t>
      </w:r>
      <w:r w:rsidRPr="00E41F05">
        <w:t>Exhibit EU-(</w:t>
      </w:r>
      <w:r>
        <w:t>Article </w:t>
      </w:r>
      <w:r w:rsidRPr="00E41F05">
        <w:t xml:space="preserve">13)-03 (BCI)); Panel Report, </w:t>
      </w:r>
      <w:r>
        <w:t>para. </w:t>
      </w:r>
      <w:r w:rsidRPr="00E41F05">
        <w:t xml:space="preserve">6.757). </w:t>
      </w:r>
    </w:p>
  </w:footnote>
  <w:footnote w:id="154">
    <w:p w:rsidR="00FD2727" w:rsidRPr="00E41F05" w:rsidRDefault="00FD2727" w:rsidP="00206326">
      <w:pPr>
        <w:pStyle w:val="FootnoteText"/>
        <w:keepLines/>
      </w:pPr>
      <w:r w:rsidRPr="00E41F05">
        <w:rPr>
          <w:rStyle w:val="FootnoteReference"/>
        </w:rPr>
        <w:footnoteRef/>
      </w:r>
      <w:r w:rsidRPr="00E41F05">
        <w:t xml:space="preserve"> </w:t>
      </w:r>
      <w:r>
        <w:t>United States</w:t>
      </w:r>
      <w:r w:rsidRPr="00E41F05">
        <w:t xml:space="preserve">' other appellant's submission, </w:t>
      </w:r>
      <w:r>
        <w:t>para. </w:t>
      </w:r>
      <w:r w:rsidRPr="00E41F05">
        <w:t xml:space="preserve">34. </w:t>
      </w:r>
    </w:p>
  </w:footnote>
  <w:footnote w:id="155">
    <w:p w:rsidR="00FD2727" w:rsidRPr="00E41F05" w:rsidRDefault="00FD2727" w:rsidP="00206326">
      <w:pPr>
        <w:pStyle w:val="FootnoteText"/>
        <w:keepLines/>
      </w:pPr>
      <w:r w:rsidRPr="00E41F05">
        <w:rPr>
          <w:rStyle w:val="FootnoteReference"/>
        </w:rPr>
        <w:footnoteRef/>
      </w:r>
      <w:r w:rsidRPr="00E41F05">
        <w:t xml:space="preserve"> </w:t>
      </w:r>
      <w:r>
        <w:t>United States</w:t>
      </w:r>
      <w:r w:rsidRPr="00E41F05">
        <w:t xml:space="preserve">' other appellant's submission, </w:t>
      </w:r>
      <w:r>
        <w:t>para. </w:t>
      </w:r>
      <w:r w:rsidRPr="00E41F05">
        <w:t xml:space="preserve">34. </w:t>
      </w:r>
      <w:r>
        <w:t>(fn omitted)</w:t>
      </w:r>
    </w:p>
  </w:footnote>
  <w:footnote w:id="156">
    <w:p w:rsidR="00FD2727" w:rsidRPr="00E41F05" w:rsidRDefault="00FD2727" w:rsidP="00206326">
      <w:pPr>
        <w:pStyle w:val="FootnoteText"/>
        <w:keepLines/>
      </w:pPr>
      <w:r w:rsidRPr="00E41F05">
        <w:rPr>
          <w:rStyle w:val="FootnoteReference"/>
        </w:rPr>
        <w:footnoteRef/>
      </w:r>
      <w:r w:rsidRPr="00E41F05">
        <w:t xml:space="preserve"> </w:t>
      </w:r>
      <w:r>
        <w:t>United States</w:t>
      </w:r>
      <w:r w:rsidRPr="00E41F05">
        <w:t xml:space="preserve">' other appellant's submission, </w:t>
      </w:r>
      <w:r>
        <w:t>para. </w:t>
      </w:r>
      <w:r w:rsidRPr="00E41F05">
        <w:t>34.</w:t>
      </w:r>
    </w:p>
  </w:footnote>
  <w:footnote w:id="157">
    <w:p w:rsidR="00FD2727" w:rsidRPr="00E41F05" w:rsidRDefault="00FD2727" w:rsidP="00206326">
      <w:pPr>
        <w:pStyle w:val="FootnoteText"/>
        <w:keepLines/>
      </w:pPr>
      <w:r w:rsidRPr="00E41F05">
        <w:rPr>
          <w:rStyle w:val="FootnoteReference"/>
        </w:rPr>
        <w:footnoteRef/>
      </w:r>
      <w:r w:rsidRPr="00E41F05">
        <w:t xml:space="preserve"> </w:t>
      </w:r>
      <w:r>
        <w:t>United States</w:t>
      </w:r>
      <w:r w:rsidRPr="00E41F05">
        <w:t xml:space="preserve">' other appellant's submission, </w:t>
      </w:r>
      <w:r>
        <w:t>para. </w:t>
      </w:r>
      <w:r w:rsidRPr="00E41F05">
        <w:t>35.</w:t>
      </w:r>
    </w:p>
  </w:footnote>
  <w:footnote w:id="158">
    <w:p w:rsidR="00FD2727" w:rsidRPr="00E41F05" w:rsidRDefault="00FD2727" w:rsidP="00206326">
      <w:pPr>
        <w:pStyle w:val="FootnoteText"/>
        <w:keepLines/>
      </w:pPr>
      <w:r w:rsidRPr="00E41F05">
        <w:rPr>
          <w:rStyle w:val="FootnoteReference"/>
        </w:rPr>
        <w:footnoteRef/>
      </w:r>
      <w:r w:rsidRPr="00E41F05">
        <w:t xml:space="preserve"> </w:t>
      </w:r>
      <w:r>
        <w:t>United States</w:t>
      </w:r>
      <w:r w:rsidRPr="00E41F05">
        <w:t xml:space="preserve">' other appellant's submission, </w:t>
      </w:r>
      <w:r>
        <w:t>para. </w:t>
      </w:r>
      <w:r w:rsidRPr="00E41F05">
        <w:t>35.</w:t>
      </w:r>
    </w:p>
  </w:footnote>
  <w:footnote w:id="159">
    <w:p w:rsidR="00FD2727" w:rsidRPr="00E41F05" w:rsidRDefault="00FD2727" w:rsidP="00206326">
      <w:pPr>
        <w:pStyle w:val="FootnoteText"/>
        <w:keepLines/>
      </w:pPr>
      <w:r w:rsidRPr="00E41F05">
        <w:rPr>
          <w:rStyle w:val="FootnoteReference"/>
        </w:rPr>
        <w:footnoteRef/>
      </w:r>
      <w:r w:rsidRPr="00E41F05">
        <w:t xml:space="preserve"> </w:t>
      </w:r>
      <w:r>
        <w:t>European Union</w:t>
      </w:r>
      <w:r w:rsidRPr="00E41F05">
        <w:t xml:space="preserve">'s appellee's submission, </w:t>
      </w:r>
      <w:r>
        <w:t>para. </w:t>
      </w:r>
      <w:r w:rsidRPr="00E41F05">
        <w:t>86.</w:t>
      </w:r>
    </w:p>
  </w:footnote>
  <w:footnote w:id="160">
    <w:p w:rsidR="00FD2727" w:rsidRPr="00E41F05" w:rsidRDefault="00FD2727" w:rsidP="00206326">
      <w:pPr>
        <w:pStyle w:val="FootnoteText"/>
        <w:keepLines/>
      </w:pPr>
      <w:r w:rsidRPr="00E41F05">
        <w:rPr>
          <w:rStyle w:val="FootnoteReference"/>
        </w:rPr>
        <w:footnoteRef/>
      </w:r>
      <w:r w:rsidRPr="00E41F05">
        <w:t xml:space="preserve"> </w:t>
      </w:r>
      <w:r>
        <w:t>European Union</w:t>
      </w:r>
      <w:r w:rsidRPr="00E41F05">
        <w:t xml:space="preserve">'s appellee's submission, </w:t>
      </w:r>
      <w:r>
        <w:t>para. </w:t>
      </w:r>
      <w:r w:rsidRPr="00E41F05">
        <w:t xml:space="preserve">119 (quoting </w:t>
      </w:r>
      <w:r>
        <w:t>United States</w:t>
      </w:r>
      <w:r w:rsidRPr="00E41F05">
        <w:t xml:space="preserve">' Notice of Other Appeal, </w:t>
      </w:r>
      <w:r>
        <w:t>para. </w:t>
      </w:r>
      <w:r w:rsidRPr="00E41F05">
        <w:t>1).</w:t>
      </w:r>
    </w:p>
  </w:footnote>
  <w:footnote w:id="161">
    <w:p w:rsidR="00FD2727" w:rsidRPr="00E41F05" w:rsidRDefault="00FD2727" w:rsidP="00206326">
      <w:pPr>
        <w:pStyle w:val="FootnoteText"/>
        <w:keepLines/>
      </w:pPr>
      <w:r w:rsidRPr="00E41F05">
        <w:rPr>
          <w:rStyle w:val="FootnoteReference"/>
        </w:rPr>
        <w:footnoteRef/>
      </w:r>
      <w:r w:rsidRPr="00E41F05">
        <w:t xml:space="preserve"> </w:t>
      </w:r>
      <w:r>
        <w:t>European Union</w:t>
      </w:r>
      <w:r w:rsidRPr="00E41F05">
        <w:t xml:space="preserve">'s appellee's submission, </w:t>
      </w:r>
      <w:r>
        <w:t>para. </w:t>
      </w:r>
      <w:r w:rsidRPr="00E41F05">
        <w:t>119.</w:t>
      </w:r>
    </w:p>
  </w:footnote>
  <w:footnote w:id="162">
    <w:p w:rsidR="00FD2727" w:rsidRPr="00E41F05" w:rsidRDefault="00FD2727" w:rsidP="00206326">
      <w:pPr>
        <w:pStyle w:val="FootnoteText"/>
        <w:keepLines/>
      </w:pPr>
      <w:r w:rsidRPr="00E41F05">
        <w:rPr>
          <w:rStyle w:val="FootnoteReference"/>
        </w:rPr>
        <w:footnoteRef/>
      </w:r>
      <w:r w:rsidRPr="00E41F05">
        <w:t xml:space="preserve"> </w:t>
      </w:r>
      <w:r>
        <w:t>European Union</w:t>
      </w:r>
      <w:r w:rsidRPr="00E41F05">
        <w:t xml:space="preserve">'s appellee's submission, </w:t>
      </w:r>
      <w:r>
        <w:t>para. </w:t>
      </w:r>
      <w:r w:rsidRPr="00E41F05">
        <w:t xml:space="preserve">120 (quoting </w:t>
      </w:r>
      <w:r>
        <w:t>United States</w:t>
      </w:r>
      <w:r w:rsidRPr="00E41F05">
        <w:t xml:space="preserve">' other appellant’s submission, </w:t>
      </w:r>
      <w:r>
        <w:t>para. </w:t>
      </w:r>
      <w:r w:rsidRPr="00E41F05">
        <w:t xml:space="preserve">21) and </w:t>
      </w:r>
      <w:r>
        <w:t>para. </w:t>
      </w:r>
      <w:r w:rsidRPr="00E41F05">
        <w:t>121.</w:t>
      </w:r>
    </w:p>
  </w:footnote>
  <w:footnote w:id="163">
    <w:p w:rsidR="00FD2727" w:rsidRPr="00E41F05" w:rsidRDefault="00FD2727" w:rsidP="00206326">
      <w:pPr>
        <w:pStyle w:val="FootnoteText"/>
        <w:keepLines/>
      </w:pPr>
      <w:r w:rsidRPr="00E41F05">
        <w:rPr>
          <w:rStyle w:val="FootnoteReference"/>
        </w:rPr>
        <w:footnoteRef/>
      </w:r>
      <w:r w:rsidRPr="00E41F05">
        <w:t xml:space="preserve"> </w:t>
      </w:r>
      <w:r>
        <w:t>European Union</w:t>
      </w:r>
      <w:r w:rsidRPr="00E41F05">
        <w:t xml:space="preserve">'s appellee's submission, </w:t>
      </w:r>
      <w:r>
        <w:t>para. </w:t>
      </w:r>
      <w:r w:rsidRPr="00E41F05">
        <w:t>148.</w:t>
      </w:r>
    </w:p>
  </w:footnote>
  <w:footnote w:id="164">
    <w:p w:rsidR="00FD2727" w:rsidRPr="00E41F05" w:rsidRDefault="00FD2727" w:rsidP="00206326">
      <w:pPr>
        <w:pStyle w:val="FootnoteText"/>
        <w:keepLines/>
      </w:pPr>
      <w:r w:rsidRPr="00E41F05">
        <w:rPr>
          <w:rStyle w:val="FootnoteReference"/>
        </w:rPr>
        <w:footnoteRef/>
      </w:r>
      <w:r w:rsidRPr="00E41F05">
        <w:t xml:space="preserve"> </w:t>
      </w:r>
      <w:r>
        <w:t>European Union</w:t>
      </w:r>
      <w:r w:rsidRPr="00E41F05">
        <w:t xml:space="preserve">'s appellee's submission, </w:t>
      </w:r>
      <w:r>
        <w:t>para. </w:t>
      </w:r>
      <w:r w:rsidRPr="00E41F05">
        <w:t>185.</w:t>
      </w:r>
    </w:p>
  </w:footnote>
  <w:footnote w:id="165">
    <w:p w:rsidR="00FD2727" w:rsidRPr="00B14A7D" w:rsidRDefault="00FD2727" w:rsidP="00206326">
      <w:pPr>
        <w:pStyle w:val="FootnoteText"/>
        <w:keepLines/>
      </w:pPr>
      <w:r w:rsidRPr="00B14A7D">
        <w:rPr>
          <w:rStyle w:val="FootnoteReference"/>
        </w:rPr>
        <w:footnoteRef/>
      </w:r>
      <w:r w:rsidRPr="00B14A7D">
        <w:t xml:space="preserve"> </w:t>
      </w:r>
      <w:r>
        <w:t>European Union</w:t>
      </w:r>
      <w:r w:rsidRPr="00B14A7D">
        <w:t xml:space="preserve">'s appellee's submission, </w:t>
      </w:r>
      <w:r>
        <w:t>para. </w:t>
      </w:r>
      <w:r w:rsidRPr="00B14A7D">
        <w:t xml:space="preserve">192. (emphasis original) </w:t>
      </w:r>
    </w:p>
  </w:footnote>
  <w:footnote w:id="166">
    <w:p w:rsidR="00FD2727" w:rsidRPr="00B14A7D" w:rsidRDefault="00FD2727" w:rsidP="00206326">
      <w:pPr>
        <w:pStyle w:val="FootnoteText"/>
        <w:keepLines/>
      </w:pPr>
      <w:r w:rsidRPr="00B14A7D">
        <w:rPr>
          <w:rStyle w:val="FootnoteReference"/>
        </w:rPr>
        <w:footnoteRef/>
      </w:r>
      <w:r w:rsidRPr="00B14A7D">
        <w:t xml:space="preserve"> </w:t>
      </w:r>
      <w:r>
        <w:t>European Union</w:t>
      </w:r>
      <w:r w:rsidRPr="00B14A7D">
        <w:t xml:space="preserve">'s appellee's submission, </w:t>
      </w:r>
      <w:r>
        <w:t>para. </w:t>
      </w:r>
      <w:r w:rsidRPr="00B14A7D">
        <w:t xml:space="preserve">194 (quoting </w:t>
      </w:r>
      <w:r>
        <w:t>Appellate Body</w:t>
      </w:r>
      <w:r w:rsidRPr="00B14A7D">
        <w:t xml:space="preserve"> Report, </w:t>
      </w:r>
      <w:r w:rsidRPr="00B14A7D">
        <w:rPr>
          <w:i/>
        </w:rPr>
        <w:t>EC and certain member States ‒ Large Civil Aircraft</w:t>
      </w:r>
      <w:r w:rsidRPr="00B14A7D">
        <w:t xml:space="preserve">, </w:t>
      </w:r>
      <w:r>
        <w:t>para. </w:t>
      </w:r>
      <w:r w:rsidRPr="00B14A7D">
        <w:t xml:space="preserve">1054) and </w:t>
      </w:r>
      <w:r>
        <w:t>para. </w:t>
      </w:r>
      <w:r w:rsidRPr="00B14A7D">
        <w:t>195.</w:t>
      </w:r>
    </w:p>
  </w:footnote>
  <w:footnote w:id="167">
    <w:p w:rsidR="00FD2727" w:rsidRPr="00B14A7D" w:rsidRDefault="00FD2727" w:rsidP="00206326">
      <w:pPr>
        <w:pStyle w:val="FootnoteText"/>
        <w:keepLines/>
      </w:pPr>
      <w:r w:rsidRPr="00B14A7D">
        <w:rPr>
          <w:rStyle w:val="FootnoteReference"/>
        </w:rPr>
        <w:footnoteRef/>
      </w:r>
      <w:r w:rsidRPr="00B14A7D">
        <w:t xml:space="preserve"> </w:t>
      </w:r>
      <w:r>
        <w:t>European Union</w:t>
      </w:r>
      <w:r w:rsidRPr="00B14A7D">
        <w:t xml:space="preserve">'s appellee's submission, </w:t>
      </w:r>
      <w:r>
        <w:t>para. </w:t>
      </w:r>
      <w:r w:rsidRPr="00B14A7D">
        <w:t xml:space="preserve">196. (emphasis original) </w:t>
      </w:r>
    </w:p>
  </w:footnote>
  <w:footnote w:id="168">
    <w:p w:rsidR="00FD2727" w:rsidRPr="00B14A7D" w:rsidRDefault="00FD2727" w:rsidP="00206326">
      <w:pPr>
        <w:pStyle w:val="FootnoteText"/>
        <w:keepLines/>
      </w:pPr>
      <w:r w:rsidRPr="00B14A7D">
        <w:rPr>
          <w:rStyle w:val="FootnoteReference"/>
        </w:rPr>
        <w:footnoteRef/>
      </w:r>
      <w:r w:rsidRPr="00B14A7D">
        <w:t xml:space="preserve"> </w:t>
      </w:r>
      <w:r>
        <w:t>European Union</w:t>
      </w:r>
      <w:r w:rsidRPr="00B14A7D">
        <w:t xml:space="preserve">'s appellee's submission, </w:t>
      </w:r>
      <w:r>
        <w:t>para. </w:t>
      </w:r>
      <w:r w:rsidRPr="00B14A7D">
        <w:t>215. (emphasis omitted)</w:t>
      </w:r>
    </w:p>
  </w:footnote>
  <w:footnote w:id="169">
    <w:p w:rsidR="00FD2727" w:rsidRPr="00E41F05" w:rsidRDefault="00FD2727">
      <w:pPr>
        <w:pStyle w:val="FootnoteText"/>
      </w:pPr>
      <w:r w:rsidRPr="00B14A7D">
        <w:rPr>
          <w:rStyle w:val="FootnoteReference"/>
        </w:rPr>
        <w:footnoteRef/>
      </w:r>
      <w:r w:rsidRPr="00B14A7D">
        <w:t xml:space="preserve"> </w:t>
      </w:r>
      <w:r>
        <w:t>European Union</w:t>
      </w:r>
      <w:r w:rsidRPr="00B14A7D">
        <w:t xml:space="preserve">'s appellee's submission, </w:t>
      </w:r>
      <w:r>
        <w:t>para. </w:t>
      </w:r>
      <w:r w:rsidRPr="00B14A7D">
        <w:t xml:space="preserve">217 (quoting </w:t>
      </w:r>
      <w:r>
        <w:t>United States</w:t>
      </w:r>
      <w:r w:rsidRPr="00B14A7D">
        <w:t xml:space="preserve">' other appellant's submission, </w:t>
      </w:r>
      <w:r>
        <w:t>paras. </w:t>
      </w:r>
      <w:r w:rsidRPr="00B14A7D">
        <w:t>26, 34, 36, 40, 42, 44, 46, 48, 50, 52, and 54 (emphasis added by the</w:t>
      </w:r>
      <w:r w:rsidRPr="00E41F05">
        <w:t xml:space="preserve"> </w:t>
      </w:r>
      <w:r>
        <w:t>European Union</w:t>
      </w:r>
      <w:r w:rsidRPr="00E41F05">
        <w:t xml:space="preserve">)) and </w:t>
      </w:r>
      <w:r>
        <w:t>paras. </w:t>
      </w:r>
      <w:r w:rsidRPr="00E41F05">
        <w:t>227, 238, and 248.</w:t>
      </w:r>
    </w:p>
  </w:footnote>
  <w:footnote w:id="170">
    <w:p w:rsidR="00FD2727" w:rsidRPr="00E41F05" w:rsidRDefault="00FD2727">
      <w:pPr>
        <w:pStyle w:val="FootnoteText"/>
      </w:pPr>
      <w:r w:rsidRPr="00E41F05">
        <w:rPr>
          <w:rStyle w:val="FootnoteReference"/>
        </w:rPr>
        <w:footnoteRef/>
      </w:r>
      <w:r w:rsidRPr="00E41F05">
        <w:t xml:space="preserve"> </w:t>
      </w:r>
      <w:r>
        <w:t>European Union</w:t>
      </w:r>
      <w:r w:rsidRPr="00E41F05">
        <w:t xml:space="preserve">'s appellee's submission, </w:t>
      </w:r>
      <w:r>
        <w:t>para. </w:t>
      </w:r>
      <w:r w:rsidRPr="00E41F05">
        <w:t xml:space="preserve">217 (quoting </w:t>
      </w:r>
      <w:r>
        <w:t>United States</w:t>
      </w:r>
      <w:r w:rsidRPr="00E41F05">
        <w:t xml:space="preserve">' other appellant's submission, </w:t>
      </w:r>
      <w:r>
        <w:t>paras. </w:t>
      </w:r>
      <w:r w:rsidRPr="00E41F05">
        <w:t xml:space="preserve">34 and 36) and </w:t>
      </w:r>
      <w:r>
        <w:t>paras. </w:t>
      </w:r>
      <w:r w:rsidRPr="00E41F05">
        <w:t xml:space="preserve">227, 238, and 248. </w:t>
      </w:r>
    </w:p>
  </w:footnote>
  <w:footnote w:id="171">
    <w:p w:rsidR="00FD2727" w:rsidRPr="00E41F05" w:rsidRDefault="00FD2727" w:rsidP="00206326">
      <w:pPr>
        <w:pStyle w:val="FootnoteText"/>
        <w:keepLines/>
      </w:pPr>
      <w:r w:rsidRPr="00E41F05">
        <w:rPr>
          <w:rStyle w:val="FootnoteReference"/>
        </w:rPr>
        <w:footnoteRef/>
      </w:r>
      <w:r w:rsidRPr="00E41F05">
        <w:t xml:space="preserve"> Namely, </w:t>
      </w:r>
      <w:r>
        <w:t>Article </w:t>
      </w:r>
      <w:r w:rsidRPr="00E41F05">
        <w:t xml:space="preserve">9.1 of the French A350XWB </w:t>
      </w:r>
      <w:r w:rsidRPr="00E41F05">
        <w:rPr>
          <w:i/>
        </w:rPr>
        <w:t xml:space="preserve">Protocole </w:t>
      </w:r>
      <w:r w:rsidRPr="00E41F05">
        <w:t>(Panel Exhibit EU-(</w:t>
      </w:r>
      <w:r>
        <w:t>Article </w:t>
      </w:r>
      <w:r w:rsidRPr="00E41F05">
        <w:t xml:space="preserve">13)-03 (BCI)), </w:t>
      </w:r>
      <w:r w:rsidRPr="00E41F05">
        <w:rPr>
          <w:b/>
        </w:rPr>
        <w:t>[</w:t>
      </w:r>
      <w:r w:rsidRPr="00C8434D">
        <w:rPr>
          <w:b/>
          <w:szCs w:val="16"/>
        </w:rPr>
        <w:t>BCI</w:t>
      </w:r>
      <w:r w:rsidRPr="00E41F05">
        <w:rPr>
          <w:b/>
        </w:rPr>
        <w:t>]</w:t>
      </w:r>
      <w:r w:rsidRPr="00E41F05">
        <w:t xml:space="preserve"> of the German KfW A350XWB Loan Agreement (Panel Exhibit EU-(</w:t>
      </w:r>
      <w:r>
        <w:t>Article </w:t>
      </w:r>
      <w:r w:rsidRPr="00E41F05">
        <w:t>13)-</w:t>
      </w:r>
      <w:r>
        <w:t>14-ENG</w:t>
      </w:r>
      <w:r w:rsidRPr="00E41F05">
        <w:t xml:space="preserve"> (BCI)), Clause 11 of the Spanish A350XWB </w:t>
      </w:r>
      <w:r w:rsidRPr="00E41F05">
        <w:rPr>
          <w:i/>
        </w:rPr>
        <w:t xml:space="preserve">Convenio </w:t>
      </w:r>
      <w:r w:rsidRPr="00E41F05">
        <w:t>(Panel Exhibit EU-(</w:t>
      </w:r>
      <w:r>
        <w:t>Article </w:t>
      </w:r>
      <w:r w:rsidRPr="00E41F05">
        <w:t>13)-</w:t>
      </w:r>
      <w:r>
        <w:t>29</w:t>
      </w:r>
      <w:r w:rsidRPr="00E41F05">
        <w:t xml:space="preserve"> (BCI)), and Section 21.14 of the UK A350XWB Repayable Investment Agreement (Panel Exhibit EU-(</w:t>
      </w:r>
      <w:r>
        <w:t>Article </w:t>
      </w:r>
      <w:r w:rsidRPr="00E41F05">
        <w:t>13)-</w:t>
      </w:r>
      <w:r>
        <w:t>30</w:t>
      </w:r>
      <w:r w:rsidRPr="00E41F05">
        <w:t xml:space="preserve"> (BCI)).</w:t>
      </w:r>
    </w:p>
  </w:footnote>
  <w:footnote w:id="172">
    <w:p w:rsidR="00FD2727" w:rsidRPr="00E41F05" w:rsidRDefault="00FD2727" w:rsidP="00206326">
      <w:pPr>
        <w:pStyle w:val="FootnoteText"/>
        <w:keepLines/>
      </w:pPr>
      <w:r w:rsidRPr="00E41F05">
        <w:rPr>
          <w:rStyle w:val="FootnoteReference"/>
        </w:rPr>
        <w:footnoteRef/>
      </w:r>
      <w:r w:rsidRPr="00E41F05">
        <w:t xml:space="preserve"> </w:t>
      </w:r>
      <w:r>
        <w:t>European Union</w:t>
      </w:r>
      <w:r w:rsidRPr="00E41F05">
        <w:t xml:space="preserve">'s appellee's submission, </w:t>
      </w:r>
      <w:r>
        <w:t>para. </w:t>
      </w:r>
      <w:r w:rsidRPr="00E41F05">
        <w:t xml:space="preserve">217 (referring to </w:t>
      </w:r>
      <w:r>
        <w:t>United States</w:t>
      </w:r>
      <w:r w:rsidRPr="00E41F05">
        <w:t xml:space="preserve">' other appellant's submission, </w:t>
      </w:r>
      <w:r>
        <w:t>paras. </w:t>
      </w:r>
      <w:r w:rsidRPr="00E41F05">
        <w:t xml:space="preserve">35, 37, 41, 43, 45, 47, 49, 51, 53, and 55) and </w:t>
      </w:r>
      <w:r>
        <w:t>paras. </w:t>
      </w:r>
      <w:r w:rsidRPr="00E41F05">
        <w:t xml:space="preserve">227, 238, and 248. </w:t>
      </w:r>
    </w:p>
  </w:footnote>
  <w:footnote w:id="173">
    <w:p w:rsidR="00FD2727" w:rsidRPr="00E41F05" w:rsidRDefault="00FD2727" w:rsidP="00206326">
      <w:pPr>
        <w:pStyle w:val="FootnoteText"/>
      </w:pPr>
      <w:r w:rsidRPr="00E41F05">
        <w:rPr>
          <w:rStyle w:val="FootnoteReference"/>
        </w:rPr>
        <w:footnoteRef/>
      </w:r>
      <w:r w:rsidRPr="00E41F05">
        <w:t xml:space="preserve"> </w:t>
      </w:r>
      <w:r>
        <w:t>European Union</w:t>
      </w:r>
      <w:r w:rsidRPr="00E41F05">
        <w:t xml:space="preserve">'s appellee's submission, </w:t>
      </w:r>
      <w:r>
        <w:t>paras. </w:t>
      </w:r>
      <w:r w:rsidRPr="00E41F05">
        <w:t xml:space="preserve">114-144. </w:t>
      </w:r>
    </w:p>
  </w:footnote>
  <w:footnote w:id="174">
    <w:p w:rsidR="00FD2727" w:rsidRPr="00E41F05" w:rsidRDefault="00FD2727" w:rsidP="00206326">
      <w:pPr>
        <w:pStyle w:val="FootnoteText"/>
      </w:pPr>
      <w:r w:rsidRPr="00E41F05">
        <w:rPr>
          <w:rStyle w:val="FootnoteReference"/>
        </w:rPr>
        <w:footnoteRef/>
      </w:r>
      <w:r w:rsidRPr="00E41F05">
        <w:t xml:space="preserve"> </w:t>
      </w:r>
      <w:r>
        <w:t>European Union</w:t>
      </w:r>
      <w:r w:rsidRPr="00E41F05">
        <w:t xml:space="preserve">'s appellee's submission, </w:t>
      </w:r>
      <w:r>
        <w:t>paras. </w:t>
      </w:r>
      <w:r w:rsidRPr="00E41F05">
        <w:t>116-117.</w:t>
      </w:r>
    </w:p>
  </w:footnote>
  <w:footnote w:id="175">
    <w:p w:rsidR="00FD2727" w:rsidRPr="00E41F05" w:rsidRDefault="00FD2727" w:rsidP="00206326">
      <w:pPr>
        <w:pStyle w:val="FootnoteText"/>
      </w:pPr>
      <w:r w:rsidRPr="00E41F05">
        <w:rPr>
          <w:rStyle w:val="FootnoteReference"/>
        </w:rPr>
        <w:footnoteRef/>
      </w:r>
      <w:r w:rsidRPr="00E41F05">
        <w:t xml:space="preserve"> </w:t>
      </w:r>
      <w:r>
        <w:t>European Union</w:t>
      </w:r>
      <w:r w:rsidRPr="00E41F05">
        <w:t xml:space="preserve">'s appellee's submission, </w:t>
      </w:r>
      <w:r>
        <w:t>paras. </w:t>
      </w:r>
      <w:r w:rsidRPr="00E41F05">
        <w:t>145-147.</w:t>
      </w:r>
    </w:p>
  </w:footnote>
  <w:footnote w:id="176">
    <w:p w:rsidR="00FD2727" w:rsidRPr="00E41F05" w:rsidRDefault="00FD2727" w:rsidP="00206326">
      <w:pPr>
        <w:pStyle w:val="FootnoteText"/>
        <w:keepLines/>
      </w:pPr>
      <w:r w:rsidRPr="00E41F05">
        <w:rPr>
          <w:rStyle w:val="FootnoteReference"/>
        </w:rPr>
        <w:footnoteRef/>
      </w:r>
      <w:r w:rsidRPr="00E41F05">
        <w:t xml:space="preserve"> </w:t>
      </w:r>
      <w:r>
        <w:t>European Union</w:t>
      </w:r>
      <w:r w:rsidRPr="00E41F05">
        <w:t xml:space="preserve">'s appellee's submission, </w:t>
      </w:r>
      <w:r>
        <w:t>paras. </w:t>
      </w:r>
      <w:r w:rsidRPr="00E41F05">
        <w:t>148-183.</w:t>
      </w:r>
    </w:p>
  </w:footnote>
  <w:footnote w:id="177">
    <w:p w:rsidR="00FD2727" w:rsidRPr="00E41F05" w:rsidRDefault="00FD2727" w:rsidP="00206326">
      <w:pPr>
        <w:pStyle w:val="FootnoteText"/>
      </w:pPr>
      <w:r w:rsidRPr="00E41F05">
        <w:rPr>
          <w:rStyle w:val="FootnoteReference"/>
        </w:rPr>
        <w:footnoteRef/>
      </w:r>
      <w:r w:rsidRPr="00E41F05">
        <w:t xml:space="preserve"> </w:t>
      </w:r>
      <w:r>
        <w:rPr>
          <w:szCs w:val="22"/>
        </w:rPr>
        <w:t>Article </w:t>
      </w:r>
      <w:r w:rsidRPr="00E41F05">
        <w:rPr>
          <w:szCs w:val="22"/>
        </w:rPr>
        <w:t>3.2 also provides that "{r}</w:t>
      </w:r>
      <w:r w:rsidRPr="00E41F05">
        <w:rPr>
          <w:color w:val="000000"/>
        </w:rPr>
        <w:t>ecommendations and rulings of the DSB cannot add to or diminish the rights and obligations provided in the covered agreements."</w:t>
      </w:r>
    </w:p>
  </w:footnote>
  <w:footnote w:id="178">
    <w:p w:rsidR="00FD2727" w:rsidRPr="00E41F05" w:rsidRDefault="00FD2727" w:rsidP="00B23811">
      <w:pPr>
        <w:pStyle w:val="FootnoteText"/>
        <w:keepNext/>
        <w:keepLines/>
      </w:pPr>
      <w:r w:rsidRPr="00E41F05">
        <w:rPr>
          <w:rStyle w:val="FootnoteReference"/>
        </w:rPr>
        <w:footnoteRef/>
      </w:r>
      <w:r w:rsidRPr="00E41F05">
        <w:t xml:space="preserve"> Therefore, while </w:t>
      </w:r>
      <w:r>
        <w:t>Article </w:t>
      </w:r>
      <w:r w:rsidRPr="00E41F05">
        <w:t xml:space="preserve">17.13 clarifies that the </w:t>
      </w:r>
      <w:r>
        <w:t>Appellate Body</w:t>
      </w:r>
      <w:r w:rsidRPr="00E41F05">
        <w:t xml:space="preserve"> "may uphold, modify or reverse the legal findings and conclusions of the panel", </w:t>
      </w:r>
      <w:r>
        <w:t>Article </w:t>
      </w:r>
      <w:r w:rsidRPr="00E41F05">
        <w:t xml:space="preserve">17.12 confirms that the </w:t>
      </w:r>
      <w:r>
        <w:t>Appellate Body</w:t>
      </w:r>
      <w:r w:rsidRPr="00E41F05">
        <w:t>'s mandate in addressing a panel's "legal findings and conclusions" on appeal is not limited to these actions.</w:t>
      </w:r>
      <w:r w:rsidRPr="00E41F05">
        <w:rPr>
          <w:szCs w:val="22"/>
        </w:rPr>
        <w:t xml:space="preserve"> </w:t>
      </w:r>
      <w:r w:rsidRPr="00E41F05">
        <w:t xml:space="preserve">For instance, in </w:t>
      </w:r>
      <w:r w:rsidRPr="00E41F05">
        <w:rPr>
          <w:i/>
        </w:rPr>
        <w:t>US – Carbon Steel (India)</w:t>
      </w:r>
      <w:r w:rsidRPr="00E41F05">
        <w:t>,</w:t>
      </w:r>
      <w:r w:rsidRPr="00E41F05">
        <w:rPr>
          <w:i/>
        </w:rPr>
        <w:t xml:space="preserve"> </w:t>
      </w:r>
      <w:r w:rsidRPr="00E41F05">
        <w:t>India argued that "the </w:t>
      </w:r>
      <w:r>
        <w:t>United States</w:t>
      </w:r>
      <w:r w:rsidRPr="00E41F05">
        <w:t xml:space="preserve">' request for the </w:t>
      </w:r>
      <w:r>
        <w:t>Appellate Body</w:t>
      </w:r>
      <w:r w:rsidRPr="00E41F05">
        <w:t xml:space="preserve"> to clarify the meaning of </w:t>
      </w:r>
      <w:r>
        <w:t>Article </w:t>
      </w:r>
      <w:r w:rsidRPr="00E41F05">
        <w:t xml:space="preserve">1.1(a)(1) of the </w:t>
      </w:r>
      <w:r>
        <w:t>SCM Agreement</w:t>
      </w:r>
      <w:r w:rsidRPr="00E41F05">
        <w:t xml:space="preserve"> should be rejected because, in seeking such a clarification, the </w:t>
      </w:r>
      <w:r>
        <w:t>United States</w:t>
      </w:r>
      <w:r w:rsidRPr="00E41F05">
        <w:t xml:space="preserve"> {was} not challenging 'issues of law covered in the panel report and legal interpretations developed by the panel'." (</w:t>
      </w:r>
      <w:r>
        <w:t>Appellate Body</w:t>
      </w:r>
      <w:r w:rsidRPr="00E41F05">
        <w:t xml:space="preserve"> Report, </w:t>
      </w:r>
      <w:r w:rsidRPr="00E41F05">
        <w:rPr>
          <w:i/>
        </w:rPr>
        <w:t>US – Carbon Steel (India)</w:t>
      </w:r>
      <w:r w:rsidRPr="00E41F05">
        <w:t xml:space="preserve">, </w:t>
      </w:r>
      <w:r>
        <w:t>para. </w:t>
      </w:r>
      <w:r w:rsidRPr="00E41F05">
        <w:t xml:space="preserve">4.13) Based on its analysis, the </w:t>
      </w:r>
      <w:r>
        <w:t>Appellate Body</w:t>
      </w:r>
      <w:r w:rsidRPr="00E41F05">
        <w:t xml:space="preserve"> found, however, that the </w:t>
      </w:r>
      <w:r>
        <w:t>United States</w:t>
      </w:r>
      <w:r w:rsidRPr="00E41F05">
        <w:t xml:space="preserve">' "request for clarification" fell within the ambit of that appeal, and the </w:t>
      </w:r>
      <w:r>
        <w:t>Appellate Body</w:t>
      </w:r>
      <w:r w:rsidRPr="00E41F05">
        <w:t xml:space="preserve"> was therefore required to adjudicate it. (Ibid., </w:t>
      </w:r>
      <w:r>
        <w:t>para. </w:t>
      </w:r>
      <w:r w:rsidRPr="00E41F05">
        <w:t xml:space="preserve">4.15) See also </w:t>
      </w:r>
      <w:r>
        <w:t>Appellate Body</w:t>
      </w:r>
      <w:r w:rsidRPr="00E41F05">
        <w:t xml:space="preserve"> Reports, </w:t>
      </w:r>
      <w:r w:rsidRPr="00E41F05">
        <w:rPr>
          <w:i/>
          <w:color w:val="000000"/>
          <w:szCs w:val="16"/>
        </w:rPr>
        <w:t>China – HP-SSST (Japan) / China – HP-SSST (EU)</w:t>
      </w:r>
      <w:r w:rsidRPr="00E41F05">
        <w:rPr>
          <w:color w:val="000000"/>
          <w:szCs w:val="16"/>
        </w:rPr>
        <w:t xml:space="preserve">, </w:t>
      </w:r>
      <w:r>
        <w:rPr>
          <w:color w:val="000000"/>
          <w:szCs w:val="16"/>
        </w:rPr>
        <w:t>para. </w:t>
      </w:r>
      <w:r w:rsidRPr="00E41F05">
        <w:rPr>
          <w:color w:val="000000"/>
          <w:szCs w:val="16"/>
        </w:rPr>
        <w:t>5.310.</w:t>
      </w:r>
    </w:p>
  </w:footnote>
  <w:footnote w:id="179">
    <w:p w:rsidR="00FD2727" w:rsidRPr="00E41F05" w:rsidRDefault="00FD2727">
      <w:pPr>
        <w:pStyle w:val="FootnoteText"/>
      </w:pPr>
      <w:r w:rsidRPr="00E41F05">
        <w:rPr>
          <w:rStyle w:val="FootnoteReference"/>
        </w:rPr>
        <w:footnoteRef/>
      </w:r>
      <w:r w:rsidRPr="00E41F05">
        <w:t xml:space="preserve"> </w:t>
      </w:r>
      <w:r>
        <w:t>Appellate Body</w:t>
      </w:r>
      <w:r w:rsidRPr="00E41F05">
        <w:t xml:space="preserve"> Report, </w:t>
      </w:r>
      <w:r w:rsidRPr="00E41F05">
        <w:rPr>
          <w:i/>
        </w:rPr>
        <w:t>US – Stainless Steel (Mexico)</w:t>
      </w:r>
      <w:r w:rsidRPr="00E41F05">
        <w:t xml:space="preserve">, </w:t>
      </w:r>
      <w:r>
        <w:t>para. </w:t>
      </w:r>
      <w:r w:rsidRPr="00E41F05">
        <w:t>161.</w:t>
      </w:r>
    </w:p>
  </w:footnote>
  <w:footnote w:id="180">
    <w:p w:rsidR="00FD2727" w:rsidRPr="00E41F05" w:rsidRDefault="00FD2727" w:rsidP="00206326">
      <w:pPr>
        <w:pStyle w:val="FootnoteText"/>
      </w:pPr>
      <w:r w:rsidRPr="00E41F05">
        <w:rPr>
          <w:rStyle w:val="FootnoteReference"/>
        </w:rPr>
        <w:footnoteRef/>
      </w:r>
      <w:r w:rsidRPr="00E41F05">
        <w:t xml:space="preserve"> </w:t>
      </w:r>
      <w:r>
        <w:t>European Union</w:t>
      </w:r>
      <w:r w:rsidRPr="00E41F05">
        <w:t xml:space="preserve">'s appellee's submission, </w:t>
      </w:r>
      <w:r>
        <w:t>para. </w:t>
      </w:r>
      <w:r w:rsidRPr="00E41F05">
        <w:t xml:space="preserve">120 (quoting </w:t>
      </w:r>
      <w:r>
        <w:t>United States</w:t>
      </w:r>
      <w:r w:rsidRPr="00E41F05">
        <w:t xml:space="preserve">' other appellant's submission, </w:t>
      </w:r>
      <w:r>
        <w:t>para. </w:t>
      </w:r>
      <w:r w:rsidRPr="00E41F05">
        <w:t>21</w:t>
      </w:r>
      <w:r>
        <w:t>).</w:t>
      </w:r>
      <w:r w:rsidRPr="00E41F05">
        <w:t xml:space="preserve"> (emphasis original)</w:t>
      </w:r>
    </w:p>
  </w:footnote>
  <w:footnote w:id="181">
    <w:p w:rsidR="00FD2727" w:rsidRPr="00E41F05" w:rsidRDefault="00FD2727" w:rsidP="00206326">
      <w:pPr>
        <w:pStyle w:val="FootnoteText"/>
      </w:pPr>
      <w:r w:rsidRPr="00E41F05">
        <w:rPr>
          <w:rStyle w:val="FootnoteReference"/>
        </w:rPr>
        <w:footnoteRef/>
      </w:r>
      <w:r w:rsidRPr="00E41F05">
        <w:t xml:space="preserve"> </w:t>
      </w:r>
      <w:r>
        <w:t>United States</w:t>
      </w:r>
      <w:r w:rsidRPr="00E41F05">
        <w:t>' Notice of Other Appeal, p</w:t>
      </w:r>
      <w:r>
        <w:t>ara</w:t>
      </w:r>
      <w:r w:rsidRPr="00E41F05">
        <w:t>. 1. (fn omitted)</w:t>
      </w:r>
    </w:p>
  </w:footnote>
  <w:footnote w:id="182">
    <w:p w:rsidR="00FD2727" w:rsidRPr="00E41F05" w:rsidRDefault="00FD2727" w:rsidP="00206326">
      <w:pPr>
        <w:pStyle w:val="FootnoteText"/>
        <w:keepLines/>
      </w:pPr>
      <w:r w:rsidRPr="00E41F05">
        <w:rPr>
          <w:rStyle w:val="FootnoteReference"/>
        </w:rPr>
        <w:footnoteRef/>
      </w:r>
      <w:r w:rsidRPr="00E41F05">
        <w:t xml:space="preserve"> </w:t>
      </w:r>
      <w:r>
        <w:t>United States</w:t>
      </w:r>
      <w:r w:rsidRPr="00E41F05">
        <w:t xml:space="preserve">' other appellant's submission, </w:t>
      </w:r>
      <w:r>
        <w:t>para. </w:t>
      </w:r>
      <w:r w:rsidRPr="00E41F05">
        <w:t>23. (emphasis added)</w:t>
      </w:r>
    </w:p>
  </w:footnote>
  <w:footnote w:id="183">
    <w:p w:rsidR="00FD2727" w:rsidRPr="00E41F05" w:rsidRDefault="00FD2727">
      <w:pPr>
        <w:pStyle w:val="FootnoteText"/>
      </w:pPr>
      <w:r w:rsidRPr="00E41F05">
        <w:rPr>
          <w:rStyle w:val="FootnoteReference"/>
        </w:rPr>
        <w:footnoteRef/>
      </w:r>
      <w:r w:rsidRPr="00E41F05">
        <w:t xml:space="preserve"> </w:t>
      </w:r>
      <w:r>
        <w:t>United States</w:t>
      </w:r>
      <w:r w:rsidRPr="00E41F05">
        <w:t xml:space="preserve">' other appellant's submission, </w:t>
      </w:r>
      <w:r>
        <w:t>para. 20</w:t>
      </w:r>
      <w:r w:rsidRPr="00E41F05">
        <w:t xml:space="preserve"> (referring to Panel Report, </w:t>
      </w:r>
      <w:r>
        <w:t>para. </w:t>
      </w:r>
      <w:r w:rsidRPr="00E41F05">
        <w:t>6.790).</w:t>
      </w:r>
    </w:p>
  </w:footnote>
  <w:footnote w:id="184">
    <w:p w:rsidR="00FD2727" w:rsidRPr="00E41F05" w:rsidRDefault="00FD2727" w:rsidP="00206326">
      <w:pPr>
        <w:pStyle w:val="FootnoteText"/>
      </w:pPr>
      <w:r w:rsidRPr="00E41F05">
        <w:rPr>
          <w:rStyle w:val="FootnoteReference"/>
        </w:rPr>
        <w:footnoteRef/>
      </w:r>
      <w:r w:rsidRPr="00E41F05">
        <w:t xml:space="preserve"> </w:t>
      </w:r>
      <w:r>
        <w:t>United States</w:t>
      </w:r>
      <w:r w:rsidRPr="00E41F05">
        <w:t xml:space="preserve">' other appellant's submission, </w:t>
      </w:r>
      <w:r>
        <w:t>paras. 20</w:t>
      </w:r>
      <w:r w:rsidRPr="00E41F05">
        <w:t xml:space="preserve">-21. </w:t>
      </w:r>
    </w:p>
  </w:footnote>
  <w:footnote w:id="185">
    <w:p w:rsidR="00FD2727" w:rsidRPr="00E41F05" w:rsidRDefault="00FD2727" w:rsidP="00206326">
      <w:pPr>
        <w:pStyle w:val="FootnoteText"/>
      </w:pPr>
      <w:r w:rsidRPr="00E41F05">
        <w:rPr>
          <w:rStyle w:val="FootnoteReference"/>
        </w:rPr>
        <w:footnoteRef/>
      </w:r>
      <w:r w:rsidRPr="00E41F05">
        <w:t xml:space="preserve"> </w:t>
      </w:r>
      <w:r>
        <w:t>United States</w:t>
      </w:r>
      <w:r w:rsidRPr="00E41F05">
        <w:t xml:space="preserve">' other appellant's submission, </w:t>
      </w:r>
      <w:r>
        <w:t>para. </w:t>
      </w:r>
      <w:r w:rsidRPr="00E41F05">
        <w:t>22.</w:t>
      </w:r>
    </w:p>
  </w:footnote>
  <w:footnote w:id="186">
    <w:p w:rsidR="00FD2727" w:rsidRPr="00E41F05" w:rsidRDefault="00FD2727" w:rsidP="00206326">
      <w:pPr>
        <w:pStyle w:val="FootnoteText"/>
        <w:keepLines/>
      </w:pPr>
      <w:r w:rsidRPr="00E41F05">
        <w:rPr>
          <w:rStyle w:val="FootnoteReference"/>
        </w:rPr>
        <w:footnoteRef/>
      </w:r>
      <w:r w:rsidRPr="00E41F05">
        <w:t xml:space="preserve"> </w:t>
      </w:r>
      <w:r>
        <w:t>United States</w:t>
      </w:r>
      <w:r w:rsidRPr="00E41F05">
        <w:t xml:space="preserve">' other appellant's submission, </w:t>
      </w:r>
      <w:r>
        <w:t>para. </w:t>
      </w:r>
      <w:r w:rsidRPr="00E41F05">
        <w:t xml:space="preserve">23. </w:t>
      </w:r>
    </w:p>
  </w:footnote>
  <w:footnote w:id="187">
    <w:p w:rsidR="00FD2727" w:rsidRPr="00E41F05" w:rsidRDefault="00FD2727" w:rsidP="00206326">
      <w:pPr>
        <w:pStyle w:val="FootnoteText"/>
        <w:keepLines/>
      </w:pPr>
      <w:r w:rsidRPr="00E41F05">
        <w:rPr>
          <w:rStyle w:val="FootnoteReference"/>
        </w:rPr>
        <w:footnoteRef/>
      </w:r>
      <w:r w:rsidRPr="00E41F05">
        <w:t xml:space="preserve"> </w:t>
      </w:r>
      <w:r>
        <w:t>United States</w:t>
      </w:r>
      <w:r w:rsidRPr="00E41F05">
        <w:t xml:space="preserve">' other appellant's submission, </w:t>
      </w:r>
      <w:r>
        <w:t>paras. </w:t>
      </w:r>
      <w:r w:rsidRPr="00E41F05">
        <w:t>19-20 and 27.</w:t>
      </w:r>
    </w:p>
  </w:footnote>
  <w:footnote w:id="188">
    <w:p w:rsidR="00FD2727" w:rsidRPr="00E41F05" w:rsidRDefault="00FD2727" w:rsidP="00206326">
      <w:pPr>
        <w:pStyle w:val="FootnoteText"/>
        <w:keepLines/>
      </w:pPr>
      <w:r w:rsidRPr="00E41F05">
        <w:rPr>
          <w:rStyle w:val="FootnoteReference"/>
        </w:rPr>
        <w:footnoteRef/>
      </w:r>
      <w:r w:rsidRPr="00E41F05">
        <w:t xml:space="preserve"> </w:t>
      </w:r>
      <w:r>
        <w:t>United States</w:t>
      </w:r>
      <w:r w:rsidRPr="00E41F05">
        <w:t xml:space="preserve">' other appellant's submission, </w:t>
      </w:r>
      <w:r>
        <w:t>paras. </w:t>
      </w:r>
      <w:r w:rsidRPr="00E41F05">
        <w:t>21, 25, and 28.</w:t>
      </w:r>
    </w:p>
  </w:footnote>
  <w:footnote w:id="189">
    <w:p w:rsidR="00FD2727" w:rsidRPr="00E41F05" w:rsidRDefault="00FD2727" w:rsidP="00206326">
      <w:pPr>
        <w:pStyle w:val="FootnoteText"/>
        <w:keepLines/>
      </w:pPr>
      <w:r w:rsidRPr="00E41F05">
        <w:rPr>
          <w:rStyle w:val="FootnoteReference"/>
        </w:rPr>
        <w:footnoteRef/>
      </w:r>
      <w:r w:rsidRPr="00E41F05">
        <w:t xml:space="preserve"> </w:t>
      </w:r>
      <w:r>
        <w:t>United States</w:t>
      </w:r>
      <w:r w:rsidRPr="00E41F05">
        <w:t xml:space="preserve">' other appellant's submission, </w:t>
      </w:r>
      <w:r>
        <w:t>paras. </w:t>
      </w:r>
      <w:r w:rsidRPr="00E41F05">
        <w:t xml:space="preserve">23, 26, and 29. The </w:t>
      </w:r>
      <w:r>
        <w:t>United States</w:t>
      </w:r>
      <w:r w:rsidRPr="00E41F05">
        <w:t xml:space="preserve"> further requests that we complete the legal analysis and find that the four A350XWB LA/MSF contracts at issue are inconsistent with </w:t>
      </w:r>
      <w:r>
        <w:t>Article </w:t>
      </w:r>
      <w:r w:rsidRPr="00E41F05">
        <w:t>3.1(b).</w:t>
      </w:r>
    </w:p>
  </w:footnote>
  <w:footnote w:id="190">
    <w:p w:rsidR="00FD2727" w:rsidRPr="00E41F05" w:rsidRDefault="00FD2727" w:rsidP="00B23811">
      <w:pPr>
        <w:pStyle w:val="FootnoteText"/>
        <w:keepNext/>
        <w:keepLines/>
      </w:pPr>
      <w:r w:rsidRPr="00E41F05">
        <w:rPr>
          <w:rStyle w:val="FootnoteReference"/>
        </w:rPr>
        <w:footnoteRef/>
      </w:r>
      <w:r w:rsidRPr="00E41F05">
        <w:t xml:space="preserve"> We recall that, pursuant to Rule 23(2)(c)(ii)(A) of the Working Procedures, a Notice of Other Appeal shall include "a brief statement of the nature of the other appeal, including … identification of the alleged errors in the issues of law covered in the panel report and legal interpretations developed by the panel". In turn, pursuant to Rules 21(2)(b)(i) and 23(3), an other appellant's submission shall set out "a precise statement of the grounds for the appeal, including the specific allegations of errors in the issues of law covered in the panel report and legal interpretations developed by the panel, and the legal arg</w:t>
      </w:r>
      <w:r>
        <w:t>uments in support thereof". The </w:t>
      </w:r>
      <w:r w:rsidRPr="00E41F05">
        <w:t>Working Procedures therefore contemplate that a Notice of Other Appeal will</w:t>
      </w:r>
      <w:r>
        <w:t xml:space="preserve"> identify "alleged errors", and </w:t>
      </w:r>
      <w:r w:rsidRPr="00E41F05">
        <w:t>that an other appellant's submission will set out "specific allegations of errors" with regard to a panel's interpretation and/or application of the covered agreements.</w:t>
      </w:r>
    </w:p>
  </w:footnote>
  <w:footnote w:id="191">
    <w:p w:rsidR="00FD2727" w:rsidRPr="00E41F05" w:rsidRDefault="00FD2727" w:rsidP="00206326">
      <w:pPr>
        <w:pStyle w:val="FootnoteText"/>
      </w:pPr>
      <w:r w:rsidRPr="00E41F05">
        <w:rPr>
          <w:rStyle w:val="FootnoteReference"/>
        </w:rPr>
        <w:footnoteRef/>
      </w:r>
      <w:r w:rsidRPr="00E41F05">
        <w:t xml:space="preserve"> </w:t>
      </w:r>
      <w:r>
        <w:t>European Union</w:t>
      </w:r>
      <w:r w:rsidRPr="00E41F05">
        <w:t xml:space="preserve">'s appellee's submission, </w:t>
      </w:r>
      <w:r>
        <w:t>para. </w:t>
      </w:r>
      <w:r w:rsidRPr="00E41F05">
        <w:t xml:space="preserve">121 (referring to </w:t>
      </w:r>
      <w:r>
        <w:t>Appellate Body</w:t>
      </w:r>
      <w:r w:rsidRPr="00E41F05">
        <w:t xml:space="preserve"> Reports, </w:t>
      </w:r>
      <w:r w:rsidRPr="00E41F05">
        <w:rPr>
          <w:i/>
        </w:rPr>
        <w:t>US – COOL (</w:t>
      </w:r>
      <w:r>
        <w:rPr>
          <w:i/>
        </w:rPr>
        <w:t>Article </w:t>
      </w:r>
      <w:r w:rsidRPr="00E41F05">
        <w:rPr>
          <w:i/>
        </w:rPr>
        <w:t>21.5 – Canada and Mexico)</w:t>
      </w:r>
      <w:r w:rsidRPr="00E41F05">
        <w:t xml:space="preserve">, </w:t>
      </w:r>
      <w:r>
        <w:t>para. </w:t>
      </w:r>
      <w:r w:rsidRPr="00E41F05">
        <w:t>5.378).</w:t>
      </w:r>
    </w:p>
  </w:footnote>
  <w:footnote w:id="192">
    <w:p w:rsidR="00FD2727" w:rsidRPr="00E41F05" w:rsidRDefault="00FD2727" w:rsidP="00206326">
      <w:pPr>
        <w:pStyle w:val="FootnoteText"/>
        <w:keepLines/>
      </w:pPr>
      <w:r w:rsidRPr="00E41F05">
        <w:rPr>
          <w:rStyle w:val="FootnoteReference"/>
        </w:rPr>
        <w:footnoteRef/>
      </w:r>
      <w:r w:rsidRPr="00E41F05">
        <w:t xml:space="preserve"> </w:t>
      </w:r>
      <w:r>
        <w:t>European Union</w:t>
      </w:r>
      <w:r w:rsidRPr="00E41F05">
        <w:t xml:space="preserve">'s appellee's submission, </w:t>
      </w:r>
      <w:r>
        <w:t>para. </w:t>
      </w:r>
      <w:r w:rsidRPr="00E41F05">
        <w:t>125. (</w:t>
      </w:r>
      <w:r w:rsidRPr="00B14A7D">
        <w:t>emphasis</w:t>
      </w:r>
      <w:r w:rsidRPr="00E41F05">
        <w:t xml:space="preserve"> original)</w:t>
      </w:r>
    </w:p>
  </w:footnote>
  <w:footnote w:id="193">
    <w:p w:rsidR="00FD2727" w:rsidRPr="00E41F05" w:rsidRDefault="00FD2727" w:rsidP="00206326">
      <w:pPr>
        <w:pStyle w:val="FootnoteText"/>
        <w:keepLines/>
      </w:pPr>
      <w:r w:rsidRPr="00E41F05">
        <w:rPr>
          <w:rStyle w:val="FootnoteReference"/>
        </w:rPr>
        <w:footnoteRef/>
      </w:r>
      <w:r w:rsidRPr="00E41F05">
        <w:t xml:space="preserve"> </w:t>
      </w:r>
      <w:r>
        <w:t>European Union</w:t>
      </w:r>
      <w:r w:rsidRPr="00E41F05">
        <w:t xml:space="preserve">'s appellee's submission, </w:t>
      </w:r>
      <w:r>
        <w:t>para. </w:t>
      </w:r>
      <w:r w:rsidRPr="00E41F05">
        <w:t>130.</w:t>
      </w:r>
    </w:p>
  </w:footnote>
  <w:footnote w:id="194">
    <w:p w:rsidR="00FD2727" w:rsidRPr="00E41F05" w:rsidRDefault="00FD2727">
      <w:pPr>
        <w:pStyle w:val="FootnoteText"/>
      </w:pPr>
      <w:r w:rsidRPr="00E41F05">
        <w:rPr>
          <w:rStyle w:val="FootnoteReference"/>
        </w:rPr>
        <w:footnoteRef/>
      </w:r>
      <w:r w:rsidRPr="00E41F05">
        <w:t xml:space="preserve"> </w:t>
      </w:r>
      <w:r>
        <w:t>United States</w:t>
      </w:r>
      <w:r w:rsidRPr="00E41F05">
        <w:t xml:space="preserve">' other appellant's submission, </w:t>
      </w:r>
      <w:r>
        <w:t>para. </w:t>
      </w:r>
      <w:r w:rsidRPr="00E41F05">
        <w:t>23.</w:t>
      </w:r>
    </w:p>
  </w:footnote>
  <w:footnote w:id="195">
    <w:p w:rsidR="00FD2727" w:rsidRPr="00E41F05" w:rsidRDefault="00FD2727">
      <w:pPr>
        <w:pStyle w:val="FootnoteText"/>
      </w:pPr>
      <w:r w:rsidRPr="00E41F05">
        <w:rPr>
          <w:rStyle w:val="FootnoteReference"/>
        </w:rPr>
        <w:footnoteRef/>
      </w:r>
      <w:r w:rsidRPr="00E41F05">
        <w:t xml:space="preserve"> </w:t>
      </w:r>
      <w:r>
        <w:t>European Union</w:t>
      </w:r>
      <w:r w:rsidRPr="00E41F05">
        <w:t xml:space="preserve">'s appellee's submission, </w:t>
      </w:r>
      <w:r>
        <w:t>paras. </w:t>
      </w:r>
      <w:r w:rsidRPr="00E41F05">
        <w:t>145-146 (referring to Rules 21(2)(b)(i) and 23(3) of the Working Procedures).</w:t>
      </w:r>
      <w:r>
        <w:t xml:space="preserve"> (emphasis original)</w:t>
      </w:r>
    </w:p>
  </w:footnote>
  <w:footnote w:id="196">
    <w:p w:rsidR="00FD2727" w:rsidRPr="00E41F05" w:rsidRDefault="00FD2727" w:rsidP="00206326">
      <w:pPr>
        <w:pStyle w:val="FootnoteText"/>
        <w:keepLines/>
      </w:pPr>
      <w:r w:rsidRPr="00E41F05">
        <w:rPr>
          <w:rStyle w:val="FootnoteReference"/>
        </w:rPr>
        <w:footnoteRef/>
      </w:r>
      <w:r w:rsidRPr="00E41F05">
        <w:t xml:space="preserve"> </w:t>
      </w:r>
      <w:r>
        <w:t>European Union</w:t>
      </w:r>
      <w:r w:rsidRPr="00E41F05">
        <w:t xml:space="preserve">'s appellee's submission, </w:t>
      </w:r>
      <w:r>
        <w:t>para. </w:t>
      </w:r>
      <w:r w:rsidRPr="00E41F05">
        <w:t>146.</w:t>
      </w:r>
    </w:p>
  </w:footnote>
  <w:footnote w:id="197">
    <w:p w:rsidR="00FD2727" w:rsidRPr="00E41F05" w:rsidRDefault="00FD2727" w:rsidP="00206326">
      <w:pPr>
        <w:pStyle w:val="FootnoteText"/>
      </w:pPr>
      <w:r w:rsidRPr="00E41F05">
        <w:rPr>
          <w:rStyle w:val="FootnoteReference"/>
        </w:rPr>
        <w:footnoteRef/>
      </w:r>
      <w:r w:rsidRPr="00E41F05">
        <w:t xml:space="preserve"> </w:t>
      </w:r>
      <w:r>
        <w:t>United States</w:t>
      </w:r>
      <w:r w:rsidRPr="00E41F05">
        <w:t xml:space="preserve">' other appellant's submission, </w:t>
      </w:r>
      <w:r>
        <w:t>paras. </w:t>
      </w:r>
      <w:r w:rsidRPr="00E41F05">
        <w:t>25-26. </w:t>
      </w:r>
    </w:p>
  </w:footnote>
  <w:footnote w:id="198">
    <w:p w:rsidR="00FD2727" w:rsidRPr="00E41F05" w:rsidRDefault="00FD2727" w:rsidP="00206326">
      <w:pPr>
        <w:pStyle w:val="FootnoteText"/>
      </w:pPr>
      <w:r w:rsidRPr="00E41F05">
        <w:rPr>
          <w:rStyle w:val="FootnoteReference"/>
        </w:rPr>
        <w:footnoteRef/>
      </w:r>
      <w:r w:rsidRPr="00E41F05">
        <w:t xml:space="preserve"> </w:t>
      </w:r>
      <w:r>
        <w:t>United States</w:t>
      </w:r>
      <w:r w:rsidRPr="00E41F05">
        <w:t xml:space="preserve">' other appellant's submission, </w:t>
      </w:r>
      <w:r>
        <w:t>para. </w:t>
      </w:r>
      <w:r w:rsidRPr="00E41F05">
        <w:t>27.</w:t>
      </w:r>
    </w:p>
  </w:footnote>
  <w:footnote w:id="199">
    <w:p w:rsidR="00FD2727" w:rsidRPr="00E41F05" w:rsidRDefault="00FD2727" w:rsidP="00206326">
      <w:pPr>
        <w:pStyle w:val="FootnoteText"/>
      </w:pPr>
      <w:r w:rsidRPr="00E41F05">
        <w:rPr>
          <w:rStyle w:val="FootnoteReference"/>
        </w:rPr>
        <w:footnoteRef/>
      </w:r>
      <w:r w:rsidRPr="00E41F05">
        <w:t xml:space="preserve"> </w:t>
      </w:r>
      <w:r>
        <w:t>United States</w:t>
      </w:r>
      <w:r w:rsidRPr="00E41F05">
        <w:t xml:space="preserve">' other appellant's submission, </w:t>
      </w:r>
      <w:r>
        <w:t>para. </w:t>
      </w:r>
      <w:r w:rsidRPr="00E41F05">
        <w:t xml:space="preserve">28. </w:t>
      </w:r>
    </w:p>
  </w:footnote>
  <w:footnote w:id="200">
    <w:p w:rsidR="00FD2727" w:rsidRPr="00E41F05" w:rsidRDefault="00FD2727" w:rsidP="00206326">
      <w:pPr>
        <w:pStyle w:val="FootnoteText"/>
        <w:keepLines/>
      </w:pPr>
      <w:r w:rsidRPr="00E41F05">
        <w:rPr>
          <w:rStyle w:val="FootnoteReference"/>
        </w:rPr>
        <w:footnoteRef/>
      </w:r>
      <w:r w:rsidRPr="00E41F05">
        <w:t xml:space="preserve"> See </w:t>
      </w:r>
      <w:r>
        <w:t>Appellate Body</w:t>
      </w:r>
      <w:r w:rsidRPr="00E41F05">
        <w:t xml:space="preserve"> Report, </w:t>
      </w:r>
      <w:r w:rsidRPr="00E41F05">
        <w:rPr>
          <w:i/>
        </w:rPr>
        <w:t>EC – Tariff Preferences</w:t>
      </w:r>
      <w:r w:rsidRPr="00E41F05">
        <w:t xml:space="preserve">, </w:t>
      </w:r>
      <w:r>
        <w:t>para. </w:t>
      </w:r>
      <w:r w:rsidRPr="00E41F05">
        <w:t xml:space="preserve">105. </w:t>
      </w:r>
    </w:p>
  </w:footnote>
  <w:footnote w:id="201">
    <w:p w:rsidR="00FD2727" w:rsidRPr="00E41F05" w:rsidRDefault="00FD2727">
      <w:pPr>
        <w:pStyle w:val="FootnoteText"/>
      </w:pPr>
      <w:r w:rsidRPr="00E41F05">
        <w:rPr>
          <w:rStyle w:val="FootnoteReference"/>
        </w:rPr>
        <w:footnoteRef/>
      </w:r>
      <w:r w:rsidRPr="00E41F05">
        <w:t xml:space="preserve"> </w:t>
      </w:r>
      <w:r>
        <w:t>United States</w:t>
      </w:r>
      <w:r w:rsidRPr="00E41F05">
        <w:t xml:space="preserve">' other appellant's submission, </w:t>
      </w:r>
      <w:r>
        <w:t>para. </w:t>
      </w:r>
      <w:r w:rsidRPr="00E41F05">
        <w:t>22.</w:t>
      </w:r>
    </w:p>
  </w:footnote>
  <w:footnote w:id="202">
    <w:p w:rsidR="00FD2727" w:rsidRPr="00E41F05" w:rsidRDefault="00FD2727" w:rsidP="00206326">
      <w:pPr>
        <w:pStyle w:val="FootnoteText"/>
        <w:keepLines/>
      </w:pPr>
      <w:r w:rsidRPr="00E41F05">
        <w:rPr>
          <w:rStyle w:val="FootnoteReference"/>
        </w:rPr>
        <w:footnoteRef/>
      </w:r>
      <w:r w:rsidRPr="00E41F05">
        <w:t xml:space="preserve"> </w:t>
      </w:r>
      <w:r>
        <w:t>European Union</w:t>
      </w:r>
      <w:r w:rsidRPr="00E41F05">
        <w:t xml:space="preserve">'s appellee's submission, </w:t>
      </w:r>
      <w:r>
        <w:t>para. </w:t>
      </w:r>
      <w:r w:rsidRPr="00E41F05">
        <w:t>168.</w:t>
      </w:r>
    </w:p>
  </w:footnote>
  <w:footnote w:id="203">
    <w:p w:rsidR="00FD2727" w:rsidRPr="00E41F05" w:rsidRDefault="00FD2727" w:rsidP="00206326">
      <w:pPr>
        <w:pStyle w:val="FootnoteText"/>
        <w:keepLines/>
      </w:pPr>
      <w:r w:rsidRPr="00E41F05">
        <w:rPr>
          <w:rStyle w:val="FootnoteReference"/>
        </w:rPr>
        <w:footnoteRef/>
      </w:r>
      <w:r w:rsidRPr="00E41F05">
        <w:t xml:space="preserve"> </w:t>
      </w:r>
      <w:r>
        <w:t>European Union</w:t>
      </w:r>
      <w:r w:rsidRPr="00E41F05">
        <w:t xml:space="preserve">'s appellee's submission, </w:t>
      </w:r>
      <w:r>
        <w:t>para. </w:t>
      </w:r>
      <w:r w:rsidRPr="00E41F05">
        <w:t>172. (</w:t>
      </w:r>
      <w:r w:rsidRPr="00B14A7D">
        <w:t>emphasis</w:t>
      </w:r>
      <w:r w:rsidRPr="00E41F05">
        <w:t xml:space="preserve"> original)</w:t>
      </w:r>
    </w:p>
  </w:footnote>
  <w:footnote w:id="204">
    <w:p w:rsidR="00FD2727" w:rsidRPr="00E41F05" w:rsidRDefault="00FD2727" w:rsidP="00206326">
      <w:pPr>
        <w:pStyle w:val="FootnoteText"/>
        <w:keepLines/>
      </w:pPr>
      <w:r w:rsidRPr="00E41F05">
        <w:rPr>
          <w:rStyle w:val="FootnoteReference"/>
        </w:rPr>
        <w:footnoteRef/>
      </w:r>
      <w:r w:rsidRPr="00E41F05">
        <w:t xml:space="preserve"> </w:t>
      </w:r>
      <w:r>
        <w:t>European Union</w:t>
      </w:r>
      <w:r w:rsidRPr="00E41F05">
        <w:t xml:space="preserve">'s appellee's submission, </w:t>
      </w:r>
      <w:r>
        <w:t>paras. </w:t>
      </w:r>
      <w:r w:rsidRPr="00E41F05">
        <w:t>181-182. (</w:t>
      </w:r>
      <w:r w:rsidRPr="00B14A7D">
        <w:t>emphasis</w:t>
      </w:r>
      <w:r w:rsidRPr="00E41F05">
        <w:t xml:space="preserve"> original) We recall that the </w:t>
      </w:r>
      <w:r w:rsidRPr="00E41F05">
        <w:rPr>
          <w:b/>
        </w:rPr>
        <w:t>[</w:t>
      </w:r>
      <w:r w:rsidRPr="00C8434D">
        <w:rPr>
          <w:b/>
          <w:szCs w:val="16"/>
        </w:rPr>
        <w:t>BCI</w:t>
      </w:r>
      <w:r w:rsidRPr="00E41F05">
        <w:rPr>
          <w:b/>
        </w:rPr>
        <w:t xml:space="preserve">] </w:t>
      </w:r>
      <w:r w:rsidRPr="00E41F05">
        <w:t>clauses</w:t>
      </w:r>
      <w:r w:rsidRPr="00E41F05">
        <w:rPr>
          <w:b/>
        </w:rPr>
        <w:t xml:space="preserve"> </w:t>
      </w:r>
      <w:r w:rsidRPr="00E41F05">
        <w:t xml:space="preserve">on which the </w:t>
      </w:r>
      <w:r>
        <w:t>United States</w:t>
      </w:r>
      <w:r w:rsidRPr="00E41F05">
        <w:t xml:space="preserve"> relies are </w:t>
      </w:r>
      <w:r>
        <w:t>Article </w:t>
      </w:r>
      <w:r w:rsidRPr="00E41F05">
        <w:t xml:space="preserve">9.1 of the French A350XWB </w:t>
      </w:r>
      <w:r w:rsidRPr="00E41F05">
        <w:rPr>
          <w:i/>
        </w:rPr>
        <w:t xml:space="preserve">Protocole </w:t>
      </w:r>
      <w:r>
        <w:t>(Panel </w:t>
      </w:r>
      <w:r w:rsidRPr="00E41F05">
        <w:t>Exhibit EU-(</w:t>
      </w:r>
      <w:r>
        <w:t>Article </w:t>
      </w:r>
      <w:r w:rsidRPr="00E41F05">
        <w:t xml:space="preserve">13)-03 (BCI)), </w:t>
      </w:r>
      <w:r w:rsidRPr="00E41F05">
        <w:rPr>
          <w:b/>
        </w:rPr>
        <w:t>[</w:t>
      </w:r>
      <w:r w:rsidRPr="00C8434D">
        <w:rPr>
          <w:b/>
          <w:szCs w:val="16"/>
        </w:rPr>
        <w:t>BCI</w:t>
      </w:r>
      <w:r w:rsidRPr="00E41F05">
        <w:rPr>
          <w:b/>
        </w:rPr>
        <w:t xml:space="preserve">] </w:t>
      </w:r>
      <w:r w:rsidRPr="00E41F05">
        <w:t>of the KfW A350XWB L</w:t>
      </w:r>
      <w:r>
        <w:t>oan Agreement (Panel Exhibit EU</w:t>
      </w:r>
      <w:r>
        <w:noBreakHyphen/>
      </w:r>
      <w:r w:rsidRPr="00E41F05">
        <w:t>(</w:t>
      </w:r>
      <w:r>
        <w:t>Article </w:t>
      </w:r>
      <w:r w:rsidRPr="00E41F05">
        <w:t>13)-</w:t>
      </w:r>
      <w:r>
        <w:t>14-ENG</w:t>
      </w:r>
      <w:r w:rsidRPr="00E41F05">
        <w:t xml:space="preserve"> (BCI)), Clause 11 of the Spanish LA/MSF </w:t>
      </w:r>
      <w:r w:rsidRPr="00E41F05">
        <w:rPr>
          <w:i/>
        </w:rPr>
        <w:t xml:space="preserve">Convenio </w:t>
      </w:r>
      <w:r w:rsidRPr="00E41F05">
        <w:t>(Panel Exhibit EU-(</w:t>
      </w:r>
      <w:r>
        <w:t>Article </w:t>
      </w:r>
      <w:r w:rsidRPr="00E41F05">
        <w:t>13)-</w:t>
      </w:r>
      <w:r>
        <w:t>29</w:t>
      </w:r>
      <w:r w:rsidRPr="00E41F05">
        <w:t xml:space="preserve"> (BCI)), and </w:t>
      </w:r>
      <w:r>
        <w:t>Article </w:t>
      </w:r>
      <w:r w:rsidRPr="00E41F05">
        <w:t>21.14 of the UK A350XWB Repayable Investm</w:t>
      </w:r>
      <w:r>
        <w:t>ent Agreement (Panel Exhibit EU</w:t>
      </w:r>
      <w:r>
        <w:noBreakHyphen/>
      </w:r>
      <w:r w:rsidRPr="00E41F05">
        <w:t>(</w:t>
      </w:r>
      <w:r>
        <w:t>Article 13)</w:t>
      </w:r>
      <w:r>
        <w:noBreakHyphen/>
        <w:t>30</w:t>
      </w:r>
      <w:r w:rsidRPr="00E41F05">
        <w:t xml:space="preserve"> (BCI)).</w:t>
      </w:r>
    </w:p>
  </w:footnote>
  <w:footnote w:id="205">
    <w:p w:rsidR="00FD2727" w:rsidRPr="00E41F05" w:rsidRDefault="00FD2727" w:rsidP="00206326">
      <w:pPr>
        <w:pStyle w:val="FootnoteText"/>
        <w:keepLines/>
      </w:pPr>
      <w:r w:rsidRPr="00E41F05">
        <w:rPr>
          <w:rStyle w:val="FootnoteReference"/>
        </w:rPr>
        <w:footnoteRef/>
      </w:r>
      <w:r w:rsidRPr="00E41F05">
        <w:t xml:space="preserve"> See e.g. </w:t>
      </w:r>
      <w:r>
        <w:t>Appellate Body</w:t>
      </w:r>
      <w:r w:rsidRPr="00E41F05">
        <w:t xml:space="preserve"> Report, </w:t>
      </w:r>
      <w:r w:rsidRPr="00E41F05">
        <w:rPr>
          <w:i/>
        </w:rPr>
        <w:t>Canada – Aircraft</w:t>
      </w:r>
      <w:r w:rsidRPr="00E41F05">
        <w:t xml:space="preserve">, </w:t>
      </w:r>
      <w:r>
        <w:t>para. </w:t>
      </w:r>
      <w:r w:rsidRPr="00E41F05">
        <w:t>211.</w:t>
      </w:r>
    </w:p>
  </w:footnote>
  <w:footnote w:id="206">
    <w:p w:rsidR="00FD2727" w:rsidRPr="00E41F05" w:rsidRDefault="00FD2727" w:rsidP="00206326">
      <w:pPr>
        <w:pStyle w:val="FootnoteText"/>
        <w:keepLines/>
      </w:pPr>
      <w:r w:rsidRPr="00E41F05">
        <w:rPr>
          <w:rStyle w:val="FootnoteReference"/>
        </w:rPr>
        <w:footnoteRef/>
      </w:r>
      <w:r w:rsidRPr="00E41F05">
        <w:t xml:space="preserve"> </w:t>
      </w:r>
      <w:r>
        <w:t>Appellate Body</w:t>
      </w:r>
      <w:r w:rsidRPr="00E41F05">
        <w:t xml:space="preserve"> Reports, </w:t>
      </w:r>
      <w:r w:rsidRPr="00E41F05">
        <w:rPr>
          <w:i/>
        </w:rPr>
        <w:t>Canada – Aircraft</w:t>
      </w:r>
      <w:r w:rsidRPr="00E41F05">
        <w:t xml:space="preserve">, </w:t>
      </w:r>
      <w:r>
        <w:t>para. </w:t>
      </w:r>
      <w:r w:rsidRPr="00E41F05">
        <w:t xml:space="preserve">211; </w:t>
      </w:r>
      <w:r w:rsidRPr="00E41F05">
        <w:rPr>
          <w:i/>
        </w:rPr>
        <w:t>US – FSC</w:t>
      </w:r>
      <w:r w:rsidRPr="00E41F05">
        <w:t xml:space="preserve">, </w:t>
      </w:r>
      <w:r>
        <w:t>paras. </w:t>
      </w:r>
      <w:r w:rsidRPr="00E41F05">
        <w:t xml:space="preserve">102-103. </w:t>
      </w:r>
    </w:p>
  </w:footnote>
  <w:footnote w:id="207">
    <w:p w:rsidR="00FD2727" w:rsidRPr="00E41F05" w:rsidRDefault="00FD2727" w:rsidP="00206326">
      <w:pPr>
        <w:pStyle w:val="FootnoteText"/>
        <w:keepLines/>
      </w:pPr>
      <w:r w:rsidRPr="00E41F05">
        <w:rPr>
          <w:rStyle w:val="FootnoteReference"/>
        </w:rPr>
        <w:footnoteRef/>
      </w:r>
      <w:r w:rsidRPr="00E41F05">
        <w:t xml:space="preserve"> </w:t>
      </w:r>
      <w:r>
        <w:t>Appellate Body</w:t>
      </w:r>
      <w:r w:rsidRPr="00E41F05">
        <w:t xml:space="preserve"> Report, </w:t>
      </w:r>
      <w:r w:rsidRPr="00E41F05">
        <w:rPr>
          <w:i/>
        </w:rPr>
        <w:t>US – FSC</w:t>
      </w:r>
      <w:r w:rsidRPr="00E41F05">
        <w:t xml:space="preserve">, </w:t>
      </w:r>
      <w:r>
        <w:t>paras. </w:t>
      </w:r>
      <w:r w:rsidRPr="00E41F05">
        <w:t xml:space="preserve">102-103. Similarly, in </w:t>
      </w:r>
      <w:r w:rsidRPr="00E41F05">
        <w:rPr>
          <w:i/>
        </w:rPr>
        <w:t>US – COOL (</w:t>
      </w:r>
      <w:r>
        <w:rPr>
          <w:i/>
        </w:rPr>
        <w:t>Article </w:t>
      </w:r>
      <w:r w:rsidRPr="00E41F05">
        <w:rPr>
          <w:i/>
        </w:rPr>
        <w:t>21.5 ‒ Canada and Mexico)</w:t>
      </w:r>
      <w:r w:rsidRPr="00E41F05">
        <w:t xml:space="preserve">, the </w:t>
      </w:r>
      <w:r>
        <w:t>Appellate Body</w:t>
      </w:r>
      <w:r w:rsidRPr="00E41F05">
        <w:t xml:space="preserve"> </w:t>
      </w:r>
      <w:r>
        <w:t>observed that it could not</w:t>
      </w:r>
      <w:r w:rsidRPr="00E41F05">
        <w:t xml:space="preserve"> consider a new argument on appeal</w:t>
      </w:r>
      <w:r>
        <w:t>, if</w:t>
      </w:r>
      <w:r w:rsidRPr="00E41F05">
        <w:t xml:space="preserve"> that would have required it "to address legal issues quite different from those which confronted the {p}anel and which may well {have} require{d} proof of new facts". (</w:t>
      </w:r>
      <w:r>
        <w:t>Appellate Body</w:t>
      </w:r>
      <w:r w:rsidRPr="00E41F05">
        <w:t xml:space="preserve"> Reports, </w:t>
      </w:r>
      <w:r w:rsidRPr="00E41F05">
        <w:rPr>
          <w:i/>
        </w:rPr>
        <w:t>US – COOL (</w:t>
      </w:r>
      <w:r>
        <w:rPr>
          <w:i/>
        </w:rPr>
        <w:t>Article </w:t>
      </w:r>
      <w:r w:rsidRPr="00E41F05">
        <w:rPr>
          <w:i/>
        </w:rPr>
        <w:t>21.5 – Canada and Mexico)</w:t>
      </w:r>
      <w:r w:rsidRPr="00E41F05">
        <w:t xml:space="preserve">, </w:t>
      </w:r>
      <w:r>
        <w:t>para. </w:t>
      </w:r>
      <w:r w:rsidRPr="00E41F05">
        <w:t xml:space="preserve">5.349 (quoting </w:t>
      </w:r>
      <w:r>
        <w:t>Appellate Body</w:t>
      </w:r>
      <w:r w:rsidRPr="00E41F05">
        <w:t xml:space="preserve"> Report, </w:t>
      </w:r>
      <w:r w:rsidRPr="00E41F05">
        <w:rPr>
          <w:i/>
        </w:rPr>
        <w:t>US – FSC</w:t>
      </w:r>
      <w:r w:rsidRPr="00E41F05">
        <w:t xml:space="preserve">, </w:t>
      </w:r>
      <w:r>
        <w:t>para. </w:t>
      </w:r>
      <w:r w:rsidRPr="00E41F05">
        <w:t>103))</w:t>
      </w:r>
    </w:p>
  </w:footnote>
  <w:footnote w:id="208">
    <w:p w:rsidR="00FD2727" w:rsidRPr="00E41F05" w:rsidRDefault="00FD2727" w:rsidP="00206326">
      <w:pPr>
        <w:pStyle w:val="FootnoteText"/>
        <w:keepNext/>
        <w:keepLines/>
      </w:pPr>
      <w:r w:rsidRPr="00E41F05">
        <w:rPr>
          <w:rStyle w:val="FootnoteReference"/>
        </w:rPr>
        <w:footnoteRef/>
      </w:r>
      <w:r w:rsidRPr="00E41F05">
        <w:t xml:space="preserve"> The </w:t>
      </w:r>
      <w:r>
        <w:t>United States</w:t>
      </w:r>
      <w:r w:rsidRPr="00E41F05">
        <w:t xml:space="preserve"> argued before the Panel that "all four A350XWB LA/MSF contracts are conditioned on Airbus producing specific Airbus LCA components in the relevant member States' territories", that "{t}hose components, therefore, become domestic goods of the relevant member States, and are then used in downstream Airbus LCA production activity" and, "therefore, that the contracts 'effectively require{} Airbus to source a large part of its components' from domestic sources." (Panel Report, </w:t>
      </w:r>
      <w:r>
        <w:t>para. </w:t>
      </w:r>
      <w:r w:rsidRPr="00E41F05">
        <w:t xml:space="preserve">6.748 (quoting </w:t>
      </w:r>
      <w:r>
        <w:t>United States</w:t>
      </w:r>
      <w:r w:rsidRPr="00E41F05">
        <w:t xml:space="preserve">' first written submission to the Panel, </w:t>
      </w:r>
      <w:r>
        <w:t>para. </w:t>
      </w:r>
      <w:r w:rsidRPr="00E41F05">
        <w:t>239</w:t>
      </w:r>
      <w:r>
        <w:t>;</w:t>
      </w:r>
      <w:r w:rsidRPr="00E41F05">
        <w:t xml:space="preserve"> referring to second written submission to the Panel, </w:t>
      </w:r>
      <w:r>
        <w:t>paras. </w:t>
      </w:r>
      <w:r w:rsidRPr="00E41F05">
        <w:t xml:space="preserve">338-355)) On appeal, the </w:t>
      </w:r>
      <w:r>
        <w:t>United States</w:t>
      </w:r>
      <w:r w:rsidRPr="00E41F05">
        <w:t xml:space="preserve"> argues that "there is no question that, in manufacturing finished A350 XWBs", Airbus must use the </w:t>
      </w:r>
      <w:r w:rsidRPr="00E41F05">
        <w:rPr>
          <w:b/>
        </w:rPr>
        <w:t>[</w:t>
      </w:r>
      <w:r w:rsidRPr="00C8434D">
        <w:rPr>
          <w:b/>
          <w:szCs w:val="16"/>
        </w:rPr>
        <w:t>BCI</w:t>
      </w:r>
      <w:r w:rsidRPr="00E41F05">
        <w:rPr>
          <w:b/>
        </w:rPr>
        <w:t>]</w:t>
      </w:r>
      <w:r w:rsidRPr="00E41F05">
        <w:t>. (</w:t>
      </w:r>
      <w:r>
        <w:t>United States</w:t>
      </w:r>
      <w:r w:rsidRPr="00E41F05">
        <w:t xml:space="preserve">' other appellant's submission, </w:t>
      </w:r>
      <w:r>
        <w:t>paras. </w:t>
      </w:r>
      <w:r w:rsidRPr="00E41F05">
        <w:t>34, 36, 40, 42, 44, 46, 48, 50, 52, 54, 59, 63, and 68)</w:t>
      </w:r>
    </w:p>
  </w:footnote>
  <w:footnote w:id="209">
    <w:p w:rsidR="00FD2727" w:rsidRPr="00E41F05" w:rsidRDefault="00FD2727" w:rsidP="00206326">
      <w:pPr>
        <w:pStyle w:val="FootnoteText"/>
        <w:rPr>
          <w:b/>
        </w:rPr>
      </w:pPr>
      <w:r w:rsidRPr="00E41F05">
        <w:rPr>
          <w:rStyle w:val="FootnoteReference"/>
        </w:rPr>
        <w:footnoteRef/>
      </w:r>
      <w:r w:rsidRPr="00E41F05">
        <w:t xml:space="preserve"> </w:t>
      </w:r>
      <w:r>
        <w:t>Appellate Body</w:t>
      </w:r>
      <w:r w:rsidRPr="00E41F05">
        <w:t xml:space="preserve"> Report, </w:t>
      </w:r>
      <w:r w:rsidRPr="00E41F05">
        <w:rPr>
          <w:i/>
        </w:rPr>
        <w:t>Canada – Aircraft</w:t>
      </w:r>
      <w:r w:rsidRPr="00E41F05">
        <w:t xml:space="preserve">, </w:t>
      </w:r>
      <w:r>
        <w:t>para. </w:t>
      </w:r>
      <w:r w:rsidRPr="00E41F05">
        <w:t xml:space="preserve">211. See also </w:t>
      </w:r>
      <w:r>
        <w:t>Appellate Body</w:t>
      </w:r>
      <w:r w:rsidRPr="00E41F05">
        <w:t xml:space="preserve"> Report, </w:t>
      </w:r>
      <w:r w:rsidRPr="00E41F05">
        <w:rPr>
          <w:i/>
        </w:rPr>
        <w:t>EC – Export Subsidies on Sugar</w:t>
      </w:r>
      <w:r w:rsidRPr="00E41F05">
        <w:t xml:space="preserve">, </w:t>
      </w:r>
      <w:r>
        <w:t>paras. </w:t>
      </w:r>
      <w:r w:rsidRPr="00E41F05">
        <w:t xml:space="preserve">240-242. </w:t>
      </w:r>
    </w:p>
  </w:footnote>
  <w:footnote w:id="210">
    <w:p w:rsidR="00FD2727" w:rsidRPr="00E41F05" w:rsidRDefault="00FD2727" w:rsidP="00206326">
      <w:pPr>
        <w:pStyle w:val="FootnoteText"/>
      </w:pPr>
      <w:r w:rsidRPr="00E41F05">
        <w:rPr>
          <w:rStyle w:val="FootnoteReference"/>
        </w:rPr>
        <w:footnoteRef/>
      </w:r>
      <w:r w:rsidRPr="00E41F05">
        <w:t xml:space="preserve"> </w:t>
      </w:r>
      <w:r>
        <w:t>Appellate Body</w:t>
      </w:r>
      <w:r w:rsidRPr="00E41F05">
        <w:t xml:space="preserve"> Report, </w:t>
      </w:r>
      <w:r w:rsidRPr="00E41F05">
        <w:rPr>
          <w:i/>
        </w:rPr>
        <w:t>US – Countervailing and Anti-Dumping Measures (China)</w:t>
      </w:r>
      <w:r w:rsidRPr="00E41F05">
        <w:t xml:space="preserve">, </w:t>
      </w:r>
      <w:r>
        <w:t>para. </w:t>
      </w:r>
      <w:r w:rsidRPr="00E41F05">
        <w:t xml:space="preserve">4.99 (quoting </w:t>
      </w:r>
      <w:r>
        <w:rPr>
          <w:szCs w:val="16"/>
        </w:rPr>
        <w:t>Appellate Body</w:t>
      </w:r>
      <w:r w:rsidRPr="00E41F05">
        <w:rPr>
          <w:szCs w:val="16"/>
        </w:rPr>
        <w:t xml:space="preserve"> Reports, </w:t>
      </w:r>
      <w:r w:rsidRPr="00E41F05">
        <w:rPr>
          <w:i/>
          <w:szCs w:val="16"/>
        </w:rPr>
        <w:t>China – Auto Parts</w:t>
      </w:r>
      <w:r w:rsidRPr="00E41F05">
        <w:rPr>
          <w:szCs w:val="16"/>
        </w:rPr>
        <w:t xml:space="preserve">, </w:t>
      </w:r>
      <w:r>
        <w:rPr>
          <w:szCs w:val="16"/>
        </w:rPr>
        <w:t>para. </w:t>
      </w:r>
      <w:r w:rsidRPr="00E41F05">
        <w:rPr>
          <w:szCs w:val="16"/>
        </w:rPr>
        <w:t>225</w:t>
      </w:r>
      <w:r w:rsidRPr="00E41F05">
        <w:t>).</w:t>
      </w:r>
    </w:p>
  </w:footnote>
  <w:footnote w:id="211">
    <w:p w:rsidR="00FD2727" w:rsidRPr="00E41F05" w:rsidRDefault="00FD2727" w:rsidP="00206326">
      <w:pPr>
        <w:pStyle w:val="FootnoteText"/>
        <w:keepLines/>
      </w:pPr>
      <w:r w:rsidRPr="00E41F05">
        <w:rPr>
          <w:rStyle w:val="FootnoteReference"/>
        </w:rPr>
        <w:footnoteRef/>
      </w:r>
      <w:r w:rsidRPr="00E41F05">
        <w:t xml:space="preserve"> </w:t>
      </w:r>
      <w:r>
        <w:t>Appellate Body</w:t>
      </w:r>
      <w:r w:rsidRPr="00E41F05">
        <w:t xml:space="preserve"> Reports, </w:t>
      </w:r>
      <w:r w:rsidRPr="00E41F05">
        <w:rPr>
          <w:i/>
        </w:rPr>
        <w:t>China – Auto Parts</w:t>
      </w:r>
      <w:r w:rsidRPr="00E41F05">
        <w:t xml:space="preserve">, </w:t>
      </w:r>
      <w:r>
        <w:t>para. </w:t>
      </w:r>
      <w:r w:rsidRPr="00E41F05">
        <w:t>238.</w:t>
      </w:r>
    </w:p>
  </w:footnote>
  <w:footnote w:id="212">
    <w:p w:rsidR="00FD2727" w:rsidRPr="00E41F05" w:rsidRDefault="00FD2727" w:rsidP="00206326">
      <w:pPr>
        <w:pStyle w:val="FootnoteText"/>
        <w:keepLines/>
      </w:pPr>
      <w:r w:rsidRPr="00E41F05">
        <w:rPr>
          <w:rStyle w:val="FootnoteReference"/>
        </w:rPr>
        <w:footnoteRef/>
      </w:r>
      <w:r w:rsidRPr="00E41F05">
        <w:t xml:space="preserve"> </w:t>
      </w:r>
      <w:r>
        <w:t>Appellate Body</w:t>
      </w:r>
      <w:r w:rsidRPr="00E41F05">
        <w:t xml:space="preserve"> Reports, </w:t>
      </w:r>
      <w:r w:rsidRPr="00E41F05">
        <w:rPr>
          <w:i/>
        </w:rPr>
        <w:t>China – Auto Parts</w:t>
      </w:r>
      <w:r w:rsidRPr="00E41F05">
        <w:t xml:space="preserve">, </w:t>
      </w:r>
      <w:r>
        <w:t>paras. </w:t>
      </w:r>
      <w:r w:rsidRPr="00E41F05">
        <w:t>225</w:t>
      </w:r>
      <w:r w:rsidRPr="00E41F05">
        <w:noBreakHyphen/>
        <w:t xml:space="preserve">245; </w:t>
      </w:r>
      <w:r w:rsidRPr="00E41F05">
        <w:rPr>
          <w:i/>
        </w:rPr>
        <w:t>China – Publications and Audiovisual Products</w:t>
      </w:r>
      <w:r w:rsidRPr="00E41F05">
        <w:t xml:space="preserve">, </w:t>
      </w:r>
      <w:r>
        <w:t>para. </w:t>
      </w:r>
      <w:r w:rsidRPr="00E41F05">
        <w:t>177.</w:t>
      </w:r>
    </w:p>
  </w:footnote>
  <w:footnote w:id="213">
    <w:p w:rsidR="00FD2727" w:rsidRPr="00E41F05" w:rsidRDefault="00FD2727" w:rsidP="00206326">
      <w:pPr>
        <w:pStyle w:val="FootnoteText"/>
        <w:keepLines/>
      </w:pPr>
      <w:r w:rsidRPr="00E41F05">
        <w:rPr>
          <w:rStyle w:val="FootnoteReference"/>
        </w:rPr>
        <w:footnoteRef/>
      </w:r>
      <w:r w:rsidRPr="00E41F05">
        <w:t xml:space="preserve"> </w:t>
      </w:r>
      <w:r>
        <w:rPr>
          <w:szCs w:val="16"/>
        </w:rPr>
        <w:t>Appellate Body</w:t>
      </w:r>
      <w:r w:rsidRPr="00E41F05">
        <w:rPr>
          <w:szCs w:val="16"/>
        </w:rPr>
        <w:t xml:space="preserve"> Reports, </w:t>
      </w:r>
      <w:r w:rsidRPr="00E41F05">
        <w:rPr>
          <w:i/>
          <w:szCs w:val="16"/>
        </w:rPr>
        <w:t>US – Countervailing and Anti-Dumping Measures (China)</w:t>
      </w:r>
      <w:r w:rsidRPr="00E41F05">
        <w:rPr>
          <w:szCs w:val="16"/>
        </w:rPr>
        <w:t xml:space="preserve">, </w:t>
      </w:r>
      <w:r>
        <w:rPr>
          <w:szCs w:val="16"/>
        </w:rPr>
        <w:t>para. </w:t>
      </w:r>
      <w:r w:rsidRPr="00E41F05">
        <w:rPr>
          <w:szCs w:val="16"/>
        </w:rPr>
        <w:t>4.99;</w:t>
      </w:r>
      <w:r w:rsidRPr="00E41F05">
        <w:t xml:space="preserve"> </w:t>
      </w:r>
      <w:r>
        <w:rPr>
          <w:i/>
        </w:rPr>
        <w:t>China </w:t>
      </w:r>
      <w:r w:rsidRPr="00E41F05">
        <w:rPr>
          <w:i/>
        </w:rPr>
        <w:t>– Auto Parts</w:t>
      </w:r>
      <w:r w:rsidRPr="00E41F05">
        <w:t xml:space="preserve">, </w:t>
      </w:r>
      <w:r>
        <w:t>para. </w:t>
      </w:r>
      <w:r w:rsidRPr="00E41F05">
        <w:t xml:space="preserve">225. </w:t>
      </w:r>
    </w:p>
  </w:footnote>
  <w:footnote w:id="214">
    <w:p w:rsidR="00FD2727" w:rsidRPr="00E41F05" w:rsidRDefault="00FD2727" w:rsidP="00206326">
      <w:pPr>
        <w:pStyle w:val="FootnoteText"/>
      </w:pPr>
      <w:r w:rsidRPr="00E41F05">
        <w:rPr>
          <w:rStyle w:val="FootnoteReference"/>
        </w:rPr>
        <w:footnoteRef/>
      </w:r>
      <w:r w:rsidRPr="00E41F05">
        <w:t xml:space="preserve"> </w:t>
      </w:r>
      <w:r>
        <w:t>Appellate Body</w:t>
      </w:r>
      <w:r w:rsidRPr="00E41F05">
        <w:t xml:space="preserve"> Report, </w:t>
      </w:r>
      <w:r w:rsidRPr="00E41F05">
        <w:rPr>
          <w:i/>
          <w:spacing w:val="-2"/>
        </w:rPr>
        <w:t>US – Offset Act (Byrd Amendment)</w:t>
      </w:r>
      <w:r w:rsidRPr="00E41F05">
        <w:t xml:space="preserve">, </w:t>
      </w:r>
      <w:r>
        <w:t>para. </w:t>
      </w:r>
      <w:r w:rsidRPr="00E41F05">
        <w:t xml:space="preserve">222. See also </w:t>
      </w:r>
      <w:r>
        <w:t>Appellate Body</w:t>
      </w:r>
      <w:r w:rsidRPr="00E41F05">
        <w:t xml:space="preserve"> Report, </w:t>
      </w:r>
      <w:r w:rsidRPr="00E41F05">
        <w:rPr>
          <w:i/>
        </w:rPr>
        <w:t>Chile – Price Band System (</w:t>
      </w:r>
      <w:r>
        <w:rPr>
          <w:i/>
        </w:rPr>
        <w:t>Article </w:t>
      </w:r>
      <w:r w:rsidRPr="00E41F05">
        <w:rPr>
          <w:i/>
        </w:rPr>
        <w:t>21.5 – Argentina)</w:t>
      </w:r>
      <w:r w:rsidRPr="00E41F05">
        <w:t xml:space="preserve">, </w:t>
      </w:r>
      <w:r>
        <w:t>paras. </w:t>
      </w:r>
      <w:r w:rsidRPr="00E41F05">
        <w:t>13-15.</w:t>
      </w:r>
    </w:p>
  </w:footnote>
  <w:footnote w:id="215">
    <w:p w:rsidR="00FD2727" w:rsidRPr="00E41F05" w:rsidRDefault="00FD2727" w:rsidP="00206326">
      <w:pPr>
        <w:pStyle w:val="FootnoteText"/>
        <w:keepLines/>
      </w:pPr>
      <w:r w:rsidRPr="00E41F05">
        <w:rPr>
          <w:rStyle w:val="FootnoteReference"/>
        </w:rPr>
        <w:footnoteRef/>
      </w:r>
      <w:r w:rsidRPr="00E41F05">
        <w:t xml:space="preserve"> See </w:t>
      </w:r>
      <w:r>
        <w:t>Appellate Body</w:t>
      </w:r>
      <w:r w:rsidRPr="00E41F05">
        <w:t xml:space="preserve"> Report, </w:t>
      </w:r>
      <w:r w:rsidRPr="00E41F05">
        <w:rPr>
          <w:i/>
        </w:rPr>
        <w:t>Canada – Aircraft (</w:t>
      </w:r>
      <w:r>
        <w:rPr>
          <w:i/>
        </w:rPr>
        <w:t>Article </w:t>
      </w:r>
      <w:r w:rsidRPr="00E41F05">
        <w:rPr>
          <w:i/>
        </w:rPr>
        <w:t>21.5 – Brazil)</w:t>
      </w:r>
      <w:r w:rsidRPr="00E41F05">
        <w:t xml:space="preserve">, </w:t>
      </w:r>
      <w:r>
        <w:t>para. </w:t>
      </w:r>
      <w:r w:rsidRPr="00E41F05">
        <w:t>47.</w:t>
      </w:r>
    </w:p>
  </w:footnote>
  <w:footnote w:id="216">
    <w:p w:rsidR="00FD2727" w:rsidRPr="00E41F05" w:rsidRDefault="00FD2727" w:rsidP="00206326">
      <w:pPr>
        <w:pStyle w:val="FootnoteText"/>
      </w:pPr>
      <w:r w:rsidRPr="00E41F05">
        <w:rPr>
          <w:rStyle w:val="FootnoteReference"/>
        </w:rPr>
        <w:footnoteRef/>
      </w:r>
      <w:r w:rsidRPr="00E41F05">
        <w:t xml:space="preserve"> In accordance with </w:t>
      </w:r>
      <w:r>
        <w:t>Article </w:t>
      </w:r>
      <w:r w:rsidRPr="00E41F05">
        <w:t xml:space="preserve">2.3 of the </w:t>
      </w:r>
      <w:r>
        <w:t>SCM Agreement</w:t>
      </w:r>
      <w:r w:rsidRPr="00E41F05">
        <w:t xml:space="preserve">, any subsidy falling under the provisions of </w:t>
      </w:r>
      <w:r>
        <w:t>Article </w:t>
      </w:r>
      <w:r w:rsidRPr="00E41F05">
        <w:t xml:space="preserve">3 shall be deemed to be "specific". A complaining Member that is able to prove the existence of such a prohibited subsidy need not demonstrate that the subsidy also causes adverse effects to the interests of other Members within the meaning of Articles 5 and 6 of the </w:t>
      </w:r>
      <w:r>
        <w:t>SCM Agreement</w:t>
      </w:r>
      <w:r w:rsidRPr="00E41F05">
        <w:t>.</w:t>
      </w:r>
    </w:p>
  </w:footnote>
  <w:footnote w:id="217">
    <w:p w:rsidR="00FD2727" w:rsidRPr="003A1A96" w:rsidRDefault="00FD2727" w:rsidP="00206326">
      <w:pPr>
        <w:pStyle w:val="FootnoteText"/>
        <w:keepLines/>
        <w:rPr>
          <w:lang w:val="es-ES"/>
        </w:rPr>
      </w:pPr>
      <w:r w:rsidRPr="00E41F05">
        <w:rPr>
          <w:rStyle w:val="FootnoteReference"/>
        </w:rPr>
        <w:footnoteRef/>
      </w:r>
      <w:r w:rsidRPr="003A1A96">
        <w:rPr>
          <w:lang w:val="es-ES"/>
        </w:rPr>
        <w:t xml:space="preserve"> </w:t>
      </w:r>
      <w:r>
        <w:rPr>
          <w:lang w:val="es-ES"/>
        </w:rPr>
        <w:t>Appellate Body</w:t>
      </w:r>
      <w:r w:rsidRPr="003A1A96">
        <w:rPr>
          <w:lang w:val="es-ES"/>
        </w:rPr>
        <w:t xml:space="preserve"> Report, </w:t>
      </w:r>
      <w:r w:rsidRPr="003A1A96">
        <w:rPr>
          <w:i/>
          <w:lang w:val="es-ES"/>
        </w:rPr>
        <w:t>Canada – Autos</w:t>
      </w:r>
      <w:r w:rsidRPr="003A1A96">
        <w:rPr>
          <w:lang w:val="es-ES"/>
        </w:rPr>
        <w:t xml:space="preserve">, </w:t>
      </w:r>
      <w:r>
        <w:rPr>
          <w:lang w:val="es-ES"/>
        </w:rPr>
        <w:t>para. </w:t>
      </w:r>
      <w:r w:rsidRPr="003A1A96">
        <w:rPr>
          <w:lang w:val="es-ES"/>
        </w:rPr>
        <w:t>123.</w:t>
      </w:r>
    </w:p>
  </w:footnote>
  <w:footnote w:id="218">
    <w:p w:rsidR="00FD2727" w:rsidRPr="00E41F05" w:rsidRDefault="00FD2727" w:rsidP="00206326">
      <w:pPr>
        <w:pStyle w:val="FootnoteText"/>
        <w:keepLines/>
      </w:pPr>
      <w:r w:rsidRPr="00E41F05">
        <w:rPr>
          <w:rStyle w:val="FootnoteReference"/>
        </w:rPr>
        <w:footnoteRef/>
      </w:r>
      <w:r w:rsidRPr="003A1A96">
        <w:rPr>
          <w:lang w:val="es-ES"/>
        </w:rPr>
        <w:t xml:space="preserve"> </w:t>
      </w:r>
      <w:r>
        <w:rPr>
          <w:lang w:val="es-ES"/>
        </w:rPr>
        <w:t>Appellate Body</w:t>
      </w:r>
      <w:r w:rsidRPr="003A1A96">
        <w:rPr>
          <w:lang w:val="es-ES"/>
        </w:rPr>
        <w:t xml:space="preserve"> Report, </w:t>
      </w:r>
      <w:r w:rsidRPr="003A1A96">
        <w:rPr>
          <w:i/>
          <w:lang w:val="es-ES"/>
        </w:rPr>
        <w:t>Canada – Autos</w:t>
      </w:r>
      <w:r w:rsidRPr="003A1A96">
        <w:rPr>
          <w:lang w:val="es-ES"/>
        </w:rPr>
        <w:t xml:space="preserve">, </w:t>
      </w:r>
      <w:r>
        <w:rPr>
          <w:lang w:val="es-ES"/>
        </w:rPr>
        <w:t>para. </w:t>
      </w:r>
      <w:r w:rsidRPr="00E41F05">
        <w:t xml:space="preserve">123 (referring to </w:t>
      </w:r>
      <w:r>
        <w:t>Appellate Body</w:t>
      </w:r>
      <w:r w:rsidRPr="00E41F05">
        <w:t xml:space="preserve"> Report, </w:t>
      </w:r>
      <w:r>
        <w:rPr>
          <w:i/>
        </w:rPr>
        <w:t>Canada ‒ </w:t>
      </w:r>
      <w:r w:rsidRPr="00E41F05">
        <w:rPr>
          <w:i/>
        </w:rPr>
        <w:t>Aircraft</w:t>
      </w:r>
      <w:r w:rsidRPr="00E41F05">
        <w:t>,</w:t>
      </w:r>
      <w:r w:rsidRPr="00E41F05">
        <w:rPr>
          <w:i/>
        </w:rPr>
        <w:t xml:space="preserve"> </w:t>
      </w:r>
      <w:r>
        <w:t>para. </w:t>
      </w:r>
      <w:r w:rsidRPr="00E41F05">
        <w:t>166).</w:t>
      </w:r>
    </w:p>
  </w:footnote>
  <w:footnote w:id="219">
    <w:p w:rsidR="00FD2727" w:rsidRPr="00B14A7D" w:rsidRDefault="00FD2727" w:rsidP="00206326">
      <w:pPr>
        <w:pStyle w:val="FootnoteText"/>
      </w:pPr>
      <w:r w:rsidRPr="00E41F05">
        <w:rPr>
          <w:rStyle w:val="FootnoteReference"/>
        </w:rPr>
        <w:footnoteRef/>
      </w:r>
      <w:r w:rsidRPr="00E41F05">
        <w:t xml:space="preserve"> For instance, the </w:t>
      </w:r>
      <w:r>
        <w:t>Appellate Body</w:t>
      </w:r>
      <w:r w:rsidRPr="00E41F05">
        <w:t xml:space="preserve"> observed in </w:t>
      </w:r>
      <w:r w:rsidRPr="00E41F05">
        <w:rPr>
          <w:i/>
        </w:rPr>
        <w:t>Canada – Autos</w:t>
      </w:r>
      <w:r w:rsidRPr="00E41F05">
        <w:t xml:space="preserve"> that the measure at issue in that case </w:t>
      </w:r>
      <w:r w:rsidRPr="00B14A7D">
        <w:t xml:space="preserve">would be inconsistent with </w:t>
      </w:r>
      <w:r>
        <w:t>Article </w:t>
      </w:r>
      <w:r w:rsidRPr="00B14A7D">
        <w:t xml:space="preserve">3.1(b) if "the use of domestic goods {was} a necessity and thus {} required as a </w:t>
      </w:r>
      <w:r w:rsidRPr="00B14A7D">
        <w:rPr>
          <w:i/>
        </w:rPr>
        <w:t xml:space="preserve">condition </w:t>
      </w:r>
      <w:r w:rsidRPr="00B14A7D">
        <w:t>for eligibility" under the measure. (</w:t>
      </w:r>
      <w:r>
        <w:t>Appellate Body</w:t>
      </w:r>
      <w:r w:rsidRPr="00B14A7D">
        <w:t xml:space="preserve"> Report, </w:t>
      </w:r>
      <w:r w:rsidRPr="00B14A7D">
        <w:rPr>
          <w:i/>
        </w:rPr>
        <w:t>Canada – Autos</w:t>
      </w:r>
      <w:r w:rsidRPr="00B14A7D">
        <w:t xml:space="preserve">, </w:t>
      </w:r>
      <w:r>
        <w:t>para. </w:t>
      </w:r>
      <w:r w:rsidRPr="00B14A7D">
        <w:t xml:space="preserve">130 (emphasis original)) </w:t>
      </w:r>
    </w:p>
  </w:footnote>
  <w:footnote w:id="220">
    <w:p w:rsidR="00FD2727" w:rsidRPr="00B14A7D" w:rsidRDefault="00FD2727" w:rsidP="00206326">
      <w:pPr>
        <w:pStyle w:val="FootnoteText"/>
        <w:keepLines/>
      </w:pPr>
      <w:r w:rsidRPr="00B14A7D">
        <w:rPr>
          <w:rStyle w:val="FootnoteReference"/>
        </w:rPr>
        <w:footnoteRef/>
      </w:r>
      <w:r w:rsidRPr="003E742D">
        <w:t xml:space="preserve"> Appellate Body Report, </w:t>
      </w:r>
      <w:r w:rsidRPr="003E742D">
        <w:rPr>
          <w:i/>
        </w:rPr>
        <w:t>Canada – Autos</w:t>
      </w:r>
      <w:r w:rsidRPr="003E742D">
        <w:t>, para. </w:t>
      </w:r>
      <w:r w:rsidRPr="00B14A7D">
        <w:t xml:space="preserve">126. The link between "contingency" and "conditionality" is also borne out by the text of </w:t>
      </w:r>
      <w:r>
        <w:t>Article </w:t>
      </w:r>
      <w:r w:rsidRPr="00B14A7D">
        <w:t xml:space="preserve">3.1(b), which states that import substitution contingency can be the sole or "one of several other </w:t>
      </w:r>
      <w:r w:rsidRPr="00B14A7D">
        <w:rPr>
          <w:i/>
        </w:rPr>
        <w:t>conditions</w:t>
      </w:r>
      <w:r w:rsidRPr="00B14A7D">
        <w:t>". (</w:t>
      </w:r>
      <w:r>
        <w:t>Appellate Body</w:t>
      </w:r>
      <w:r w:rsidRPr="00B14A7D">
        <w:t xml:space="preserve"> Report, </w:t>
      </w:r>
      <w:r w:rsidRPr="00B14A7D">
        <w:rPr>
          <w:i/>
        </w:rPr>
        <w:t>Canada – Aircraft</w:t>
      </w:r>
      <w:r w:rsidRPr="00B14A7D">
        <w:t xml:space="preserve">, </w:t>
      </w:r>
      <w:r>
        <w:t>para. </w:t>
      </w:r>
      <w:r w:rsidRPr="00B14A7D">
        <w:t xml:space="preserve">166 (emphasis added by the </w:t>
      </w:r>
      <w:r>
        <w:t>Appellate Body</w:t>
      </w:r>
      <w:r w:rsidRPr="00B14A7D">
        <w:t xml:space="preserve">)) </w:t>
      </w:r>
      <w:r w:rsidRPr="00B14A7D">
        <w:rPr>
          <w:snapToGrid w:val="0"/>
          <w:lang w:eastAsia="en-US"/>
        </w:rPr>
        <w:t xml:space="preserve">As with </w:t>
      </w:r>
      <w:r>
        <w:rPr>
          <w:snapToGrid w:val="0"/>
          <w:lang w:eastAsia="en-US"/>
        </w:rPr>
        <w:t>Article </w:t>
      </w:r>
      <w:r w:rsidRPr="00B14A7D">
        <w:rPr>
          <w:snapToGrid w:val="0"/>
          <w:lang w:eastAsia="en-US"/>
        </w:rPr>
        <w:t xml:space="preserve">3.1(a), this "relationship of conditionality or dependence" lies at the "very heart" of the legal standard in </w:t>
      </w:r>
      <w:r>
        <w:rPr>
          <w:snapToGrid w:val="0"/>
          <w:lang w:eastAsia="en-US"/>
        </w:rPr>
        <w:t>Article </w:t>
      </w:r>
      <w:r w:rsidRPr="00B14A7D">
        <w:rPr>
          <w:snapToGrid w:val="0"/>
          <w:lang w:eastAsia="en-US"/>
        </w:rPr>
        <w:t xml:space="preserve">3.1(b) of the </w:t>
      </w:r>
      <w:r>
        <w:rPr>
          <w:snapToGrid w:val="0"/>
          <w:lang w:eastAsia="en-US"/>
        </w:rPr>
        <w:t>SCM Agreement</w:t>
      </w:r>
      <w:r w:rsidRPr="00B14A7D">
        <w:rPr>
          <w:snapToGrid w:val="0"/>
          <w:lang w:eastAsia="en-US"/>
        </w:rPr>
        <w:t>. (</w:t>
      </w:r>
      <w:r>
        <w:t>Appellate Body</w:t>
      </w:r>
      <w:r w:rsidRPr="00B14A7D">
        <w:t xml:space="preserve"> Reports, </w:t>
      </w:r>
      <w:r w:rsidRPr="00B14A7D">
        <w:rPr>
          <w:i/>
        </w:rPr>
        <w:t>Canada – Aircraft</w:t>
      </w:r>
      <w:r w:rsidRPr="00B14A7D">
        <w:t xml:space="preserve">, </w:t>
      </w:r>
      <w:r>
        <w:t>para. </w:t>
      </w:r>
      <w:r w:rsidRPr="00B14A7D">
        <w:t xml:space="preserve">171; </w:t>
      </w:r>
      <w:r w:rsidRPr="00B14A7D">
        <w:rPr>
          <w:i/>
        </w:rPr>
        <w:t>Canada – Aircraft (</w:t>
      </w:r>
      <w:r>
        <w:rPr>
          <w:i/>
        </w:rPr>
        <w:t>Article </w:t>
      </w:r>
      <w:r w:rsidRPr="00B14A7D">
        <w:rPr>
          <w:i/>
        </w:rPr>
        <w:t>21.5 – Brazil)</w:t>
      </w:r>
      <w:r w:rsidRPr="00B14A7D">
        <w:t xml:space="preserve">, </w:t>
      </w:r>
      <w:r>
        <w:t>para. </w:t>
      </w:r>
      <w:r w:rsidRPr="00B14A7D">
        <w:t>47</w:t>
      </w:r>
      <w:r w:rsidRPr="00B14A7D">
        <w:rPr>
          <w:snapToGrid w:val="0"/>
          <w:lang w:eastAsia="en-US"/>
        </w:rPr>
        <w:t>)</w:t>
      </w:r>
    </w:p>
  </w:footnote>
  <w:footnote w:id="221">
    <w:p w:rsidR="00FD2727" w:rsidRPr="00E41F05" w:rsidRDefault="00FD2727" w:rsidP="00206326">
      <w:pPr>
        <w:pStyle w:val="FootnoteText"/>
        <w:keepLines/>
      </w:pPr>
      <w:r w:rsidRPr="00B14A7D">
        <w:rPr>
          <w:rStyle w:val="FootnoteReference"/>
        </w:rPr>
        <w:footnoteRef/>
      </w:r>
      <w:r w:rsidRPr="00B14A7D">
        <w:t xml:space="preserve"> </w:t>
      </w:r>
      <w:r>
        <w:t>Appellate Body</w:t>
      </w:r>
      <w:r w:rsidRPr="00B14A7D">
        <w:t xml:space="preserve"> Report, </w:t>
      </w:r>
      <w:r w:rsidRPr="00B14A7D">
        <w:rPr>
          <w:i/>
        </w:rPr>
        <w:t>US – Carbon Steel (India)</w:t>
      </w:r>
      <w:r w:rsidRPr="00B14A7D">
        <w:t xml:space="preserve">, </w:t>
      </w:r>
      <w:r>
        <w:t>para. </w:t>
      </w:r>
      <w:r w:rsidRPr="00B14A7D">
        <w:t>4.374 and fn 1009 thereto (referring to</w:t>
      </w:r>
      <w:r w:rsidRPr="00E41F05">
        <w:t xml:space="preserve"> </w:t>
      </w:r>
      <w:r w:rsidRPr="00E41F05">
        <w:rPr>
          <w:i/>
        </w:rPr>
        <w:t>Shorter Oxford English Dictionary</w:t>
      </w:r>
      <w:r w:rsidRPr="00E41F05">
        <w:t>, 6th edn, A. Stevenson (ed.) (Oxford University Press,</w:t>
      </w:r>
      <w:r>
        <w:t> 20</w:t>
      </w:r>
      <w:r w:rsidRPr="00E41F05">
        <w:t>07), Vol. 2, p. 3484).</w:t>
      </w:r>
    </w:p>
  </w:footnote>
  <w:footnote w:id="222">
    <w:p w:rsidR="00FD2727" w:rsidRPr="00E41F05" w:rsidRDefault="00FD2727" w:rsidP="00206326">
      <w:pPr>
        <w:pStyle w:val="FootnoteText"/>
      </w:pPr>
      <w:r w:rsidRPr="00E41F05">
        <w:rPr>
          <w:rStyle w:val="FootnoteReference"/>
        </w:rPr>
        <w:footnoteRef/>
      </w:r>
      <w:r w:rsidRPr="00E41F05">
        <w:t xml:space="preserve"> </w:t>
      </w:r>
      <w:r>
        <w:t>Appellate Body</w:t>
      </w:r>
      <w:r w:rsidRPr="00E41F05">
        <w:t xml:space="preserve"> Report, </w:t>
      </w:r>
      <w:r w:rsidRPr="00E41F05">
        <w:rPr>
          <w:i/>
        </w:rPr>
        <w:t>US – Tax Incentives</w:t>
      </w:r>
      <w:r w:rsidRPr="00E41F05">
        <w:t xml:space="preserve">, </w:t>
      </w:r>
      <w:r>
        <w:t>para. </w:t>
      </w:r>
      <w:r w:rsidRPr="00E41F05">
        <w:t>5.8.</w:t>
      </w:r>
    </w:p>
  </w:footnote>
  <w:footnote w:id="223">
    <w:p w:rsidR="00FD2727" w:rsidRPr="00E41F05" w:rsidRDefault="00FD2727" w:rsidP="00206326">
      <w:pPr>
        <w:pStyle w:val="FootnoteText"/>
      </w:pPr>
      <w:r w:rsidRPr="00E41F05">
        <w:rPr>
          <w:rStyle w:val="FootnoteReference"/>
        </w:rPr>
        <w:footnoteRef/>
      </w:r>
      <w:r w:rsidRPr="00E41F05">
        <w:t xml:space="preserve"> </w:t>
      </w:r>
      <w:r>
        <w:t>Appellate Body</w:t>
      </w:r>
      <w:r w:rsidRPr="00E41F05">
        <w:t xml:space="preserve"> Report, </w:t>
      </w:r>
      <w:r w:rsidRPr="00E41F05">
        <w:rPr>
          <w:i/>
        </w:rPr>
        <w:t>US – Tax Incentives</w:t>
      </w:r>
      <w:r w:rsidRPr="00E41F05">
        <w:t xml:space="preserve">, </w:t>
      </w:r>
      <w:r>
        <w:t>para. </w:t>
      </w:r>
      <w:r w:rsidRPr="00E41F05">
        <w:t>5.9. This term may refer to any type of good that may be used by the subsidy recipient, including parts or components that are incorporated into another good, materials or substances that are consumed in the production process of another good, or tools or instruments that are used in the production process. (Ibid.)</w:t>
      </w:r>
    </w:p>
  </w:footnote>
  <w:footnote w:id="224">
    <w:p w:rsidR="00FD2727" w:rsidRPr="00E41F05" w:rsidRDefault="00FD2727" w:rsidP="00206326">
      <w:pPr>
        <w:pStyle w:val="FootnoteText"/>
      </w:pPr>
      <w:r w:rsidRPr="00E41F05">
        <w:rPr>
          <w:rStyle w:val="FootnoteReference"/>
        </w:rPr>
        <w:footnoteRef/>
      </w:r>
      <w:r w:rsidRPr="00E41F05">
        <w:t xml:space="preserve"> </w:t>
      </w:r>
      <w:r>
        <w:t>Appellate Body</w:t>
      </w:r>
      <w:r w:rsidRPr="00E41F05">
        <w:t xml:space="preserve"> Report, </w:t>
      </w:r>
      <w:r w:rsidRPr="00E41F05">
        <w:rPr>
          <w:i/>
        </w:rPr>
        <w:t>US – Tax Incentives</w:t>
      </w:r>
      <w:r w:rsidRPr="00E41F05">
        <w:t xml:space="preserve">, </w:t>
      </w:r>
      <w:r>
        <w:t>para. </w:t>
      </w:r>
      <w:r w:rsidRPr="00E41F05">
        <w:t>5.11.</w:t>
      </w:r>
    </w:p>
  </w:footnote>
  <w:footnote w:id="225">
    <w:p w:rsidR="00FD2727" w:rsidRPr="003A1A96" w:rsidRDefault="00FD2727" w:rsidP="00206326">
      <w:pPr>
        <w:pStyle w:val="FootnoteText"/>
        <w:keepLines/>
        <w:rPr>
          <w:lang w:val="es-ES"/>
        </w:rPr>
      </w:pPr>
      <w:r w:rsidRPr="00E41F05">
        <w:rPr>
          <w:rStyle w:val="FootnoteReference"/>
        </w:rPr>
        <w:footnoteRef/>
      </w:r>
      <w:r w:rsidRPr="00E41F05">
        <w:t xml:space="preserve"> </w:t>
      </w:r>
      <w:r>
        <w:t>Appellate Body</w:t>
      </w:r>
      <w:r w:rsidRPr="00E41F05">
        <w:t xml:space="preserve"> Reports, </w:t>
      </w:r>
      <w:r w:rsidRPr="00E41F05">
        <w:rPr>
          <w:i/>
        </w:rPr>
        <w:t>Canada – Aircraft</w:t>
      </w:r>
      <w:r w:rsidRPr="00E41F05">
        <w:t xml:space="preserve">, </w:t>
      </w:r>
      <w:r>
        <w:t>para. </w:t>
      </w:r>
      <w:r w:rsidRPr="003A1A96">
        <w:rPr>
          <w:lang w:val="es-ES"/>
        </w:rPr>
        <w:t xml:space="preserve">167; </w:t>
      </w:r>
      <w:r w:rsidRPr="003A1A96">
        <w:rPr>
          <w:i/>
          <w:lang w:val="es-ES"/>
        </w:rPr>
        <w:t>Canada – Autos</w:t>
      </w:r>
      <w:r w:rsidRPr="003A1A96">
        <w:rPr>
          <w:lang w:val="es-ES"/>
        </w:rPr>
        <w:t xml:space="preserve">, </w:t>
      </w:r>
      <w:r>
        <w:rPr>
          <w:lang w:val="es-ES"/>
        </w:rPr>
        <w:t>para. </w:t>
      </w:r>
      <w:r w:rsidRPr="003A1A96">
        <w:rPr>
          <w:lang w:val="es-ES"/>
        </w:rPr>
        <w:t>143.</w:t>
      </w:r>
    </w:p>
  </w:footnote>
  <w:footnote w:id="226">
    <w:p w:rsidR="00FD2727" w:rsidRPr="00C8434D" w:rsidRDefault="00FD2727" w:rsidP="00206326">
      <w:pPr>
        <w:pStyle w:val="FootnoteText"/>
        <w:keepLines/>
      </w:pPr>
      <w:r w:rsidRPr="00E41F05">
        <w:rPr>
          <w:rStyle w:val="FootnoteReference"/>
        </w:rPr>
        <w:footnoteRef/>
      </w:r>
      <w:r w:rsidRPr="003A1A96">
        <w:rPr>
          <w:lang w:val="es-ES"/>
        </w:rPr>
        <w:t xml:space="preserve"> </w:t>
      </w:r>
      <w:r>
        <w:rPr>
          <w:lang w:val="es-ES"/>
        </w:rPr>
        <w:t>Appellate Body</w:t>
      </w:r>
      <w:r w:rsidRPr="003A1A96">
        <w:rPr>
          <w:lang w:val="es-ES"/>
        </w:rPr>
        <w:t xml:space="preserve"> Report, </w:t>
      </w:r>
      <w:r w:rsidRPr="003A1A96">
        <w:rPr>
          <w:i/>
          <w:lang w:val="es-ES"/>
        </w:rPr>
        <w:t>Canada – Autos</w:t>
      </w:r>
      <w:r w:rsidRPr="003A1A96">
        <w:rPr>
          <w:lang w:val="es-ES"/>
        </w:rPr>
        <w:t xml:space="preserve">, </w:t>
      </w:r>
      <w:r>
        <w:rPr>
          <w:lang w:val="es-ES"/>
        </w:rPr>
        <w:t>paras. </w:t>
      </w:r>
      <w:r w:rsidRPr="00C8434D">
        <w:t xml:space="preserve">100 and 123. </w:t>
      </w:r>
    </w:p>
  </w:footnote>
  <w:footnote w:id="227">
    <w:p w:rsidR="00FD2727" w:rsidRPr="00E41F05" w:rsidRDefault="00FD2727" w:rsidP="00206326">
      <w:pPr>
        <w:pStyle w:val="FootnoteText"/>
      </w:pPr>
      <w:r w:rsidRPr="00E41F05">
        <w:rPr>
          <w:rStyle w:val="FootnoteReference"/>
        </w:rPr>
        <w:footnoteRef/>
      </w:r>
      <w:r w:rsidRPr="00C8434D">
        <w:t xml:space="preserve"> Appellate Body Report, </w:t>
      </w:r>
      <w:r w:rsidRPr="00C8434D">
        <w:rPr>
          <w:i/>
        </w:rPr>
        <w:t>Canada – Aircraft</w:t>
      </w:r>
      <w:r w:rsidRPr="00C8434D">
        <w:t>, para. </w:t>
      </w:r>
      <w:r w:rsidRPr="00E41F05">
        <w:t>167.</w:t>
      </w:r>
    </w:p>
  </w:footnote>
  <w:footnote w:id="228">
    <w:p w:rsidR="00FD2727" w:rsidRPr="00E41F05" w:rsidRDefault="00FD2727" w:rsidP="00206326">
      <w:pPr>
        <w:pStyle w:val="FootnoteText"/>
        <w:keepLines/>
      </w:pPr>
      <w:r w:rsidRPr="00B14A7D">
        <w:rPr>
          <w:rStyle w:val="FootnoteReference"/>
        </w:rPr>
        <w:footnoteRef/>
      </w:r>
      <w:r w:rsidRPr="00B14A7D">
        <w:t xml:space="preserve"> </w:t>
      </w:r>
      <w:r>
        <w:t>Appellate Body</w:t>
      </w:r>
      <w:r w:rsidRPr="00B14A7D">
        <w:t xml:space="preserve"> Report, </w:t>
      </w:r>
      <w:r w:rsidRPr="00B14A7D">
        <w:rPr>
          <w:i/>
        </w:rPr>
        <w:t>Canada – Aircraft</w:t>
      </w:r>
      <w:r w:rsidRPr="00B14A7D">
        <w:t xml:space="preserve">, </w:t>
      </w:r>
      <w:r>
        <w:t>para. </w:t>
      </w:r>
      <w:r w:rsidRPr="00B14A7D">
        <w:t>167. (emphasis original)</w:t>
      </w:r>
    </w:p>
  </w:footnote>
  <w:footnote w:id="229">
    <w:p w:rsidR="00FD2727" w:rsidRPr="00E41F05" w:rsidRDefault="00FD2727" w:rsidP="00206326">
      <w:pPr>
        <w:pStyle w:val="FootnoteText"/>
        <w:keepLines/>
      </w:pPr>
      <w:r w:rsidRPr="00E41F05">
        <w:rPr>
          <w:rStyle w:val="FootnoteReference"/>
        </w:rPr>
        <w:footnoteRef/>
      </w:r>
      <w:r w:rsidRPr="00E41F05">
        <w:t xml:space="preserve"> </w:t>
      </w:r>
      <w:r>
        <w:t>Appellate Body</w:t>
      </w:r>
      <w:r w:rsidRPr="00E41F05">
        <w:t xml:space="preserve"> Report, </w:t>
      </w:r>
      <w:r w:rsidRPr="00E41F05">
        <w:rPr>
          <w:i/>
        </w:rPr>
        <w:t>US – Tax Incentives</w:t>
      </w:r>
      <w:r w:rsidRPr="00E41F05">
        <w:t xml:space="preserve">, </w:t>
      </w:r>
      <w:r>
        <w:t>para. </w:t>
      </w:r>
      <w:r w:rsidRPr="00E41F05">
        <w:t xml:space="preserve">5.12 (referring to </w:t>
      </w:r>
      <w:r>
        <w:t>Appellate Body</w:t>
      </w:r>
      <w:r w:rsidRPr="00E41F05">
        <w:t xml:space="preserve"> Report, </w:t>
      </w:r>
      <w:r>
        <w:rPr>
          <w:i/>
        </w:rPr>
        <w:t>EC and </w:t>
      </w:r>
      <w:r w:rsidRPr="00E41F05">
        <w:rPr>
          <w:i/>
        </w:rPr>
        <w:t>certain member States – Large Civil Aircraft</w:t>
      </w:r>
      <w:r w:rsidRPr="00E41F05">
        <w:t xml:space="preserve">, </w:t>
      </w:r>
      <w:r>
        <w:t>para. </w:t>
      </w:r>
      <w:r w:rsidRPr="00E41F05">
        <w:t xml:space="preserve">1046). </w:t>
      </w:r>
    </w:p>
  </w:footnote>
  <w:footnote w:id="230">
    <w:p w:rsidR="00FD2727" w:rsidRPr="00E41F05" w:rsidRDefault="00FD2727" w:rsidP="00206326">
      <w:pPr>
        <w:pStyle w:val="FootnoteText"/>
      </w:pPr>
      <w:r w:rsidRPr="00E41F05">
        <w:rPr>
          <w:rStyle w:val="FootnoteReference"/>
        </w:rPr>
        <w:footnoteRef/>
      </w:r>
      <w:r w:rsidRPr="00E41F05">
        <w:t xml:space="preserve"> </w:t>
      </w:r>
      <w:r>
        <w:t>Appellate Body</w:t>
      </w:r>
      <w:r w:rsidRPr="00E41F05">
        <w:t xml:space="preserve"> Report, </w:t>
      </w:r>
      <w:r w:rsidRPr="00E41F05">
        <w:rPr>
          <w:i/>
        </w:rPr>
        <w:t>US – Tax Incentives</w:t>
      </w:r>
      <w:r w:rsidRPr="00E41F05">
        <w:t xml:space="preserve">, </w:t>
      </w:r>
      <w:r>
        <w:t>para. </w:t>
      </w:r>
      <w:r w:rsidRPr="00E41F05">
        <w:t xml:space="preserve">5.13. In that report, the </w:t>
      </w:r>
      <w:r>
        <w:t>Appellate Body</w:t>
      </w:r>
      <w:r w:rsidRPr="00E41F05">
        <w:t xml:space="preserve"> mentioned that, for instance, factual circumstances potentially relevant to an assessment of whether a subsidy is </w:t>
      </w:r>
      <w:r w:rsidRPr="00E41F05">
        <w:rPr>
          <w:i/>
        </w:rPr>
        <w:t>de facto</w:t>
      </w:r>
      <w:r w:rsidRPr="00E41F05">
        <w:t xml:space="preserve"> contingent may include the existence of a multi-stage production process, the level of specialization of the subsidized inputs, or the level of integration of the production chain in the relevant industry. (Ibid., fn 49 to </w:t>
      </w:r>
      <w:r>
        <w:t>para. </w:t>
      </w:r>
      <w:r w:rsidRPr="00E41F05">
        <w:t>5.13</w:t>
      </w:r>
      <w:r>
        <w:t>)</w:t>
      </w:r>
    </w:p>
  </w:footnote>
  <w:footnote w:id="231">
    <w:p w:rsidR="00FD2727" w:rsidRPr="00E41F05" w:rsidRDefault="00FD2727" w:rsidP="00206326">
      <w:pPr>
        <w:pStyle w:val="FootnoteText"/>
      </w:pPr>
      <w:r w:rsidRPr="00E41F05">
        <w:rPr>
          <w:rStyle w:val="FootnoteReference"/>
        </w:rPr>
        <w:footnoteRef/>
      </w:r>
      <w:r w:rsidRPr="00E41F05">
        <w:t xml:space="preserve"> </w:t>
      </w:r>
      <w:r>
        <w:t>Appellate Body</w:t>
      </w:r>
      <w:r w:rsidRPr="00E41F05">
        <w:t xml:space="preserve"> Report, </w:t>
      </w:r>
      <w:r w:rsidRPr="00E41F05">
        <w:rPr>
          <w:i/>
        </w:rPr>
        <w:t>US – Tax Incentives</w:t>
      </w:r>
      <w:r w:rsidRPr="00E41F05">
        <w:t xml:space="preserve">, </w:t>
      </w:r>
      <w:r>
        <w:t>para. </w:t>
      </w:r>
      <w:r w:rsidRPr="00E41F05">
        <w:t>5.13.</w:t>
      </w:r>
    </w:p>
  </w:footnote>
  <w:footnote w:id="232">
    <w:p w:rsidR="00FD2727" w:rsidRPr="00E41F05" w:rsidRDefault="00FD2727" w:rsidP="00206326">
      <w:pPr>
        <w:pStyle w:val="FootnoteText"/>
        <w:keepLines/>
      </w:pPr>
      <w:r w:rsidRPr="00E41F05">
        <w:rPr>
          <w:rStyle w:val="FootnoteReference"/>
        </w:rPr>
        <w:footnoteRef/>
      </w:r>
      <w:r w:rsidRPr="00E41F05">
        <w:t xml:space="preserve"> </w:t>
      </w:r>
      <w:r>
        <w:t>Appellate Body</w:t>
      </w:r>
      <w:r w:rsidRPr="00E41F05">
        <w:t xml:space="preserve"> Report, </w:t>
      </w:r>
      <w:r w:rsidRPr="00E41F05">
        <w:rPr>
          <w:i/>
        </w:rPr>
        <w:t>Canada – Aircraft (</w:t>
      </w:r>
      <w:r>
        <w:rPr>
          <w:i/>
        </w:rPr>
        <w:t>Article </w:t>
      </w:r>
      <w:r w:rsidRPr="00E41F05">
        <w:rPr>
          <w:i/>
        </w:rPr>
        <w:t>21.5 – Brazil)</w:t>
      </w:r>
      <w:r w:rsidRPr="00E41F05">
        <w:t xml:space="preserve">, fn 46 to </w:t>
      </w:r>
      <w:r>
        <w:t>para. </w:t>
      </w:r>
      <w:r w:rsidRPr="00E41F05">
        <w:t xml:space="preserve">47 (quoting </w:t>
      </w:r>
      <w:r>
        <w:t>Appellate Body</w:t>
      </w:r>
      <w:r w:rsidRPr="00E41F05">
        <w:t xml:space="preserve"> Report, </w:t>
      </w:r>
      <w:r w:rsidRPr="00E41F05">
        <w:rPr>
          <w:i/>
        </w:rPr>
        <w:t>Canada – Aircraft</w:t>
      </w:r>
      <w:r w:rsidRPr="00E41F05">
        <w:t xml:space="preserve">, </w:t>
      </w:r>
      <w:r>
        <w:t>para. </w:t>
      </w:r>
      <w:r w:rsidRPr="00E41F05">
        <w:t xml:space="preserve">167). </w:t>
      </w:r>
    </w:p>
  </w:footnote>
  <w:footnote w:id="233">
    <w:p w:rsidR="00FD2727" w:rsidRPr="00E41F05" w:rsidRDefault="00FD2727" w:rsidP="00206326">
      <w:pPr>
        <w:pStyle w:val="FootnoteText"/>
        <w:keepLines/>
        <w:rPr>
          <w:szCs w:val="16"/>
        </w:rPr>
      </w:pPr>
      <w:r w:rsidRPr="00E41F05">
        <w:rPr>
          <w:rStyle w:val="FootnoteReference"/>
          <w:szCs w:val="16"/>
        </w:rPr>
        <w:footnoteRef/>
      </w:r>
      <w:r w:rsidRPr="00E41F05">
        <w:rPr>
          <w:szCs w:val="16"/>
        </w:rPr>
        <w:t xml:space="preserve"> </w:t>
      </w:r>
      <w:r>
        <w:t>Appellate Body</w:t>
      </w:r>
      <w:r w:rsidRPr="00E41F05">
        <w:t xml:space="preserve"> Report, </w:t>
      </w:r>
      <w:r w:rsidRPr="00E41F05">
        <w:rPr>
          <w:i/>
        </w:rPr>
        <w:t>US – Tax Incentives</w:t>
      </w:r>
      <w:r w:rsidRPr="00E41F05">
        <w:t xml:space="preserve">, </w:t>
      </w:r>
      <w:r>
        <w:t>para. </w:t>
      </w:r>
      <w:r w:rsidRPr="00E41F05">
        <w:t>5.14.</w:t>
      </w:r>
    </w:p>
  </w:footnote>
  <w:footnote w:id="234">
    <w:p w:rsidR="00FD2727" w:rsidRPr="00E41F05" w:rsidRDefault="00FD2727" w:rsidP="00206326">
      <w:pPr>
        <w:pStyle w:val="FootnoteText"/>
      </w:pPr>
      <w:r w:rsidRPr="00E41F05">
        <w:rPr>
          <w:rStyle w:val="FootnoteReference"/>
        </w:rPr>
        <w:footnoteRef/>
      </w:r>
      <w:r w:rsidRPr="00E41F05">
        <w:t xml:space="preserve"> </w:t>
      </w:r>
      <w:r>
        <w:t>Appellate Body</w:t>
      </w:r>
      <w:r w:rsidRPr="00E41F05">
        <w:t xml:space="preserve"> Report, </w:t>
      </w:r>
      <w:r w:rsidRPr="00E41F05">
        <w:rPr>
          <w:i/>
        </w:rPr>
        <w:t>US – Tax Incentives</w:t>
      </w:r>
      <w:r w:rsidRPr="00E41F05">
        <w:t xml:space="preserve">, </w:t>
      </w:r>
      <w:r>
        <w:t>para. </w:t>
      </w:r>
      <w:r w:rsidRPr="00E41F05">
        <w:t xml:space="preserve">5.15. (referring to </w:t>
      </w:r>
      <w:r>
        <w:t>Appellate Body</w:t>
      </w:r>
      <w:r w:rsidRPr="00E41F05">
        <w:t xml:space="preserve"> Report, </w:t>
      </w:r>
      <w:r>
        <w:rPr>
          <w:i/>
        </w:rPr>
        <w:t>Canada </w:t>
      </w:r>
      <w:r w:rsidRPr="00E41F05">
        <w:rPr>
          <w:i/>
        </w:rPr>
        <w:t>– Aircraft (</w:t>
      </w:r>
      <w:r>
        <w:rPr>
          <w:i/>
        </w:rPr>
        <w:t>Article </w:t>
      </w:r>
      <w:r w:rsidRPr="00E41F05">
        <w:rPr>
          <w:i/>
        </w:rPr>
        <w:t>21.5 – Brazil)</w:t>
      </w:r>
      <w:r w:rsidRPr="00E41F05">
        <w:t xml:space="preserve">, </w:t>
      </w:r>
      <w:r>
        <w:t>para. </w:t>
      </w:r>
      <w:r w:rsidRPr="00E41F05">
        <w:t>47).</w:t>
      </w:r>
    </w:p>
  </w:footnote>
  <w:footnote w:id="235">
    <w:p w:rsidR="00FD2727" w:rsidRPr="00E41F05" w:rsidRDefault="00FD2727" w:rsidP="00206326">
      <w:pPr>
        <w:pStyle w:val="FootnoteText"/>
      </w:pPr>
      <w:r w:rsidRPr="00E41F05">
        <w:rPr>
          <w:rStyle w:val="FootnoteReference"/>
        </w:rPr>
        <w:footnoteRef/>
      </w:r>
      <w:r w:rsidRPr="00E41F05">
        <w:t xml:space="preserve"> </w:t>
      </w:r>
      <w:r>
        <w:t>Appellate Body</w:t>
      </w:r>
      <w:r w:rsidRPr="00E41F05">
        <w:t xml:space="preserve"> Report, </w:t>
      </w:r>
      <w:r w:rsidRPr="00E41F05">
        <w:rPr>
          <w:i/>
        </w:rPr>
        <w:t>US – Tax Incentives</w:t>
      </w:r>
      <w:r w:rsidRPr="00E41F05">
        <w:t xml:space="preserve">, </w:t>
      </w:r>
      <w:r>
        <w:t>para. </w:t>
      </w:r>
      <w:r w:rsidRPr="00E41F05">
        <w:t>5.15</w:t>
      </w:r>
      <w:r w:rsidRPr="00E41F05">
        <w:rPr>
          <w:szCs w:val="16"/>
        </w:rPr>
        <w:t>.</w:t>
      </w:r>
    </w:p>
  </w:footnote>
  <w:footnote w:id="236">
    <w:p w:rsidR="00FD2727" w:rsidRPr="00E41F05" w:rsidRDefault="00FD2727" w:rsidP="00206326">
      <w:pPr>
        <w:pStyle w:val="FootnoteText"/>
        <w:keepLines/>
      </w:pPr>
      <w:r w:rsidRPr="00E41F05">
        <w:rPr>
          <w:rStyle w:val="FootnoteReference"/>
        </w:rPr>
        <w:footnoteRef/>
      </w:r>
      <w:r w:rsidRPr="00E41F05">
        <w:t xml:space="preserve"> See </w:t>
      </w:r>
      <w:r>
        <w:t>Appellate Body</w:t>
      </w:r>
      <w:r w:rsidRPr="00E41F05">
        <w:t xml:space="preserve"> Report, </w:t>
      </w:r>
      <w:r w:rsidRPr="00E41F05">
        <w:rPr>
          <w:i/>
        </w:rPr>
        <w:t>US – Tax Incentives</w:t>
      </w:r>
      <w:r w:rsidRPr="00E41F05">
        <w:t xml:space="preserve">, </w:t>
      </w:r>
      <w:r>
        <w:t>para. </w:t>
      </w:r>
      <w:r w:rsidRPr="00E41F05">
        <w:t>5.16</w:t>
      </w:r>
      <w:r w:rsidRPr="00E41F05">
        <w:rPr>
          <w:szCs w:val="16"/>
        </w:rPr>
        <w:t>.</w:t>
      </w:r>
    </w:p>
  </w:footnote>
  <w:footnote w:id="237">
    <w:p w:rsidR="00FD2727" w:rsidRPr="00E41F05" w:rsidRDefault="00FD2727" w:rsidP="00206326">
      <w:pPr>
        <w:pStyle w:val="FootnoteText"/>
      </w:pPr>
      <w:r w:rsidRPr="00E41F05">
        <w:rPr>
          <w:rStyle w:val="FootnoteReference"/>
        </w:rPr>
        <w:footnoteRef/>
      </w:r>
      <w:r w:rsidRPr="00E41F05">
        <w:t xml:space="preserve"> </w:t>
      </w:r>
      <w:r>
        <w:t>Appellate Body</w:t>
      </w:r>
      <w:r w:rsidRPr="00E41F05">
        <w:t xml:space="preserve"> Report, </w:t>
      </w:r>
      <w:r w:rsidRPr="00E41F05">
        <w:rPr>
          <w:i/>
        </w:rPr>
        <w:t>US – Tax Incentives</w:t>
      </w:r>
      <w:r w:rsidRPr="00E41F05">
        <w:t xml:space="preserve">, </w:t>
      </w:r>
      <w:r>
        <w:t>para. </w:t>
      </w:r>
      <w:r w:rsidRPr="00E41F05">
        <w:t>5.16.</w:t>
      </w:r>
    </w:p>
  </w:footnote>
  <w:footnote w:id="238">
    <w:p w:rsidR="00FD2727" w:rsidRPr="00E41F05" w:rsidRDefault="00FD2727" w:rsidP="00206326">
      <w:pPr>
        <w:pStyle w:val="FootnoteText"/>
      </w:pPr>
      <w:r w:rsidRPr="00E41F05">
        <w:rPr>
          <w:rStyle w:val="FootnoteReference"/>
        </w:rPr>
        <w:footnoteRef/>
      </w:r>
      <w:r w:rsidRPr="00E41F05">
        <w:t xml:space="preserve"> </w:t>
      </w:r>
      <w:r>
        <w:t>Appellate Body</w:t>
      </w:r>
      <w:r w:rsidRPr="00E41F05">
        <w:t xml:space="preserve"> Report, </w:t>
      </w:r>
      <w:r w:rsidRPr="00E41F05">
        <w:rPr>
          <w:i/>
        </w:rPr>
        <w:t>US – Tax Incentives</w:t>
      </w:r>
      <w:r w:rsidRPr="00E41F05">
        <w:t xml:space="preserve">, </w:t>
      </w:r>
      <w:r>
        <w:t>para. </w:t>
      </w:r>
      <w:r w:rsidRPr="00E41F05">
        <w:t>5.18.</w:t>
      </w:r>
    </w:p>
  </w:footnote>
  <w:footnote w:id="239">
    <w:p w:rsidR="00FD2727" w:rsidRPr="00E41F05" w:rsidRDefault="00FD2727" w:rsidP="00206326">
      <w:pPr>
        <w:pStyle w:val="FootnoteText"/>
        <w:keepLines/>
      </w:pPr>
      <w:r w:rsidRPr="00E41F05">
        <w:rPr>
          <w:rStyle w:val="FootnoteReference"/>
        </w:rPr>
        <w:footnoteRef/>
      </w:r>
      <w:r w:rsidRPr="00E41F05">
        <w:t xml:space="preserve"> See Panel Report, </w:t>
      </w:r>
      <w:r>
        <w:t>paras. </w:t>
      </w:r>
      <w:r w:rsidRPr="00E41F05">
        <w:t>6.777-6.778.</w:t>
      </w:r>
    </w:p>
  </w:footnote>
  <w:footnote w:id="240">
    <w:p w:rsidR="00FD2727" w:rsidRPr="00E41F05" w:rsidRDefault="00FD2727" w:rsidP="00206326">
      <w:pPr>
        <w:pStyle w:val="FootnoteText"/>
      </w:pPr>
      <w:r w:rsidRPr="00E41F05">
        <w:rPr>
          <w:rStyle w:val="FootnoteReference"/>
        </w:rPr>
        <w:footnoteRef/>
      </w:r>
      <w:r w:rsidRPr="00E41F05">
        <w:t xml:space="preserve"> Panel Report, </w:t>
      </w:r>
      <w:r>
        <w:t>para. </w:t>
      </w:r>
      <w:r w:rsidRPr="00E41F05">
        <w:t xml:space="preserve">6.778 (referring to </w:t>
      </w:r>
      <w:r>
        <w:t>Appellate Body</w:t>
      </w:r>
      <w:r w:rsidRPr="00E41F05">
        <w:t xml:space="preserve"> Report, </w:t>
      </w:r>
      <w:r w:rsidRPr="00E41F05">
        <w:rPr>
          <w:i/>
        </w:rPr>
        <w:t>Canada – Autos</w:t>
      </w:r>
      <w:r w:rsidRPr="00E41F05">
        <w:t xml:space="preserve">, </w:t>
      </w:r>
      <w:r>
        <w:t>paras. </w:t>
      </w:r>
      <w:r w:rsidRPr="00E41F05">
        <w:t>139-143).</w:t>
      </w:r>
    </w:p>
  </w:footnote>
  <w:footnote w:id="241">
    <w:p w:rsidR="00FD2727" w:rsidRPr="00E41F05" w:rsidRDefault="00FD2727" w:rsidP="00206326">
      <w:pPr>
        <w:pStyle w:val="FootnoteText"/>
      </w:pPr>
      <w:r w:rsidRPr="00E41F05">
        <w:rPr>
          <w:rStyle w:val="FootnoteReference"/>
        </w:rPr>
        <w:footnoteRef/>
      </w:r>
      <w:r w:rsidRPr="00E41F05">
        <w:t xml:space="preserve"> Panel Report, </w:t>
      </w:r>
      <w:r>
        <w:t>para. </w:t>
      </w:r>
      <w:r w:rsidRPr="00E41F05">
        <w:t xml:space="preserve">6.778. </w:t>
      </w:r>
    </w:p>
  </w:footnote>
  <w:footnote w:id="242">
    <w:p w:rsidR="00FD2727" w:rsidRPr="00E41F05" w:rsidRDefault="00FD2727">
      <w:pPr>
        <w:pStyle w:val="FootnoteText"/>
      </w:pPr>
      <w:r w:rsidRPr="00E41F05">
        <w:rPr>
          <w:rStyle w:val="FootnoteReference"/>
        </w:rPr>
        <w:footnoteRef/>
      </w:r>
      <w:r w:rsidRPr="00E41F05">
        <w:t xml:space="preserve"> Panel Report, </w:t>
      </w:r>
      <w:r>
        <w:t>paras. </w:t>
      </w:r>
      <w:r w:rsidRPr="00E41F05">
        <w:t>6.782-6.789.</w:t>
      </w:r>
    </w:p>
  </w:footnote>
  <w:footnote w:id="243">
    <w:p w:rsidR="00FD2727" w:rsidRPr="00E41F05" w:rsidRDefault="00FD2727">
      <w:pPr>
        <w:pStyle w:val="FootnoteText"/>
      </w:pPr>
      <w:r w:rsidRPr="00E41F05">
        <w:rPr>
          <w:rStyle w:val="FootnoteReference"/>
        </w:rPr>
        <w:footnoteRef/>
      </w:r>
      <w:r w:rsidRPr="00E41F05">
        <w:t xml:space="preserve"> </w:t>
      </w:r>
      <w:r>
        <w:t>Appellate Body</w:t>
      </w:r>
      <w:r w:rsidRPr="00E41F05">
        <w:t xml:space="preserve"> Report, </w:t>
      </w:r>
      <w:r w:rsidRPr="00E41F05">
        <w:rPr>
          <w:i/>
        </w:rPr>
        <w:t>US – Tax Incentives</w:t>
      </w:r>
      <w:r w:rsidRPr="00E41F05">
        <w:t xml:space="preserve">, </w:t>
      </w:r>
      <w:r>
        <w:t>para. </w:t>
      </w:r>
      <w:r w:rsidRPr="00E41F05">
        <w:t>5.49.</w:t>
      </w:r>
    </w:p>
  </w:footnote>
  <w:footnote w:id="244">
    <w:p w:rsidR="00FD2727" w:rsidRPr="00E41F05" w:rsidRDefault="00FD2727">
      <w:pPr>
        <w:pStyle w:val="FootnoteText"/>
      </w:pPr>
      <w:r w:rsidRPr="00E41F05">
        <w:rPr>
          <w:rStyle w:val="FootnoteReference"/>
        </w:rPr>
        <w:footnoteRef/>
      </w:r>
      <w:r w:rsidRPr="00E41F05">
        <w:t xml:space="preserve"> </w:t>
      </w:r>
      <w:r>
        <w:t>Appellate Body</w:t>
      </w:r>
      <w:r w:rsidRPr="00E41F05">
        <w:t xml:space="preserve"> Report, </w:t>
      </w:r>
      <w:r w:rsidRPr="00E41F05">
        <w:rPr>
          <w:i/>
        </w:rPr>
        <w:t>US – Tax Incentives</w:t>
      </w:r>
      <w:r w:rsidRPr="00E41F05">
        <w:t xml:space="preserve">, </w:t>
      </w:r>
      <w:r>
        <w:t>para. </w:t>
      </w:r>
      <w:r w:rsidRPr="00E41F05">
        <w:t>5.18.</w:t>
      </w:r>
    </w:p>
  </w:footnote>
  <w:footnote w:id="245">
    <w:p w:rsidR="00FD2727" w:rsidRPr="00E41F05" w:rsidRDefault="00FD2727" w:rsidP="00206326">
      <w:pPr>
        <w:pStyle w:val="FootnoteText"/>
        <w:keepLines/>
      </w:pPr>
      <w:r w:rsidRPr="00E41F05">
        <w:rPr>
          <w:rStyle w:val="FootnoteReference"/>
        </w:rPr>
        <w:footnoteRef/>
      </w:r>
      <w:r w:rsidRPr="00E41F05">
        <w:t xml:space="preserve"> </w:t>
      </w:r>
      <w:r>
        <w:t>Appellate Body</w:t>
      </w:r>
      <w:r w:rsidRPr="00E41F05">
        <w:t xml:space="preserve"> Report, </w:t>
      </w:r>
      <w:r w:rsidRPr="00E41F05">
        <w:rPr>
          <w:i/>
        </w:rPr>
        <w:t>Canada – Aircraft</w:t>
      </w:r>
      <w:r w:rsidRPr="00E41F05">
        <w:t xml:space="preserve">, </w:t>
      </w:r>
      <w:r>
        <w:t>para. </w:t>
      </w:r>
      <w:r w:rsidRPr="00E41F05">
        <w:t xml:space="preserve">167. </w:t>
      </w:r>
    </w:p>
  </w:footnote>
  <w:footnote w:id="246">
    <w:p w:rsidR="00FD2727" w:rsidRPr="00E41F05" w:rsidRDefault="00FD2727">
      <w:pPr>
        <w:pStyle w:val="FootnoteText"/>
      </w:pPr>
      <w:r w:rsidRPr="00E41F05">
        <w:rPr>
          <w:rStyle w:val="FootnoteReference"/>
        </w:rPr>
        <w:footnoteRef/>
      </w:r>
      <w:r w:rsidRPr="00E41F05">
        <w:t xml:space="preserve"> </w:t>
      </w:r>
      <w:r>
        <w:t>Appellate Body</w:t>
      </w:r>
      <w:r w:rsidRPr="00E41F05">
        <w:t xml:space="preserve"> Report, </w:t>
      </w:r>
      <w:r w:rsidRPr="00E41F05">
        <w:rPr>
          <w:i/>
        </w:rPr>
        <w:t>US – Tax Incentives</w:t>
      </w:r>
      <w:r w:rsidRPr="00E41F05">
        <w:t xml:space="preserve">, </w:t>
      </w:r>
      <w:r>
        <w:t>para. </w:t>
      </w:r>
      <w:r w:rsidRPr="00E41F05">
        <w:t>5.50.</w:t>
      </w:r>
    </w:p>
  </w:footnote>
  <w:footnote w:id="247">
    <w:p w:rsidR="00FD2727" w:rsidRPr="00E41F05" w:rsidRDefault="00FD2727">
      <w:pPr>
        <w:pStyle w:val="FootnoteText"/>
      </w:pPr>
      <w:r w:rsidRPr="00E41F05">
        <w:rPr>
          <w:rStyle w:val="FootnoteReference"/>
        </w:rPr>
        <w:footnoteRef/>
      </w:r>
      <w:r w:rsidRPr="00E41F05">
        <w:t xml:space="preserve"> </w:t>
      </w:r>
      <w:r>
        <w:t>Appellate Body</w:t>
      </w:r>
      <w:r w:rsidRPr="00E41F05">
        <w:t xml:space="preserve"> Report, </w:t>
      </w:r>
      <w:r w:rsidRPr="00E41F05">
        <w:rPr>
          <w:i/>
        </w:rPr>
        <w:t>US – Tax Incentives</w:t>
      </w:r>
      <w:r w:rsidRPr="00E41F05">
        <w:t xml:space="preserve">, </w:t>
      </w:r>
      <w:r>
        <w:t>para. </w:t>
      </w:r>
      <w:r w:rsidRPr="00E41F05">
        <w:t>5.50.</w:t>
      </w:r>
    </w:p>
  </w:footnote>
  <w:footnote w:id="248">
    <w:p w:rsidR="00FD2727" w:rsidRPr="00E41F05" w:rsidRDefault="00FD2727">
      <w:pPr>
        <w:pStyle w:val="FootnoteText"/>
      </w:pPr>
      <w:r w:rsidRPr="00E41F05">
        <w:rPr>
          <w:rStyle w:val="FootnoteReference"/>
        </w:rPr>
        <w:footnoteRef/>
      </w:r>
      <w:r w:rsidRPr="00E41F05">
        <w:t xml:space="preserve"> Panel Report, </w:t>
      </w:r>
      <w:r>
        <w:t>para. </w:t>
      </w:r>
      <w:r w:rsidRPr="00E41F05">
        <w:t>6.783.</w:t>
      </w:r>
    </w:p>
  </w:footnote>
  <w:footnote w:id="249">
    <w:p w:rsidR="00FD2727" w:rsidRPr="00E41F05" w:rsidRDefault="00FD2727">
      <w:pPr>
        <w:pStyle w:val="FootnoteText"/>
      </w:pPr>
      <w:r w:rsidRPr="00E41F05">
        <w:rPr>
          <w:rStyle w:val="FootnoteReference"/>
        </w:rPr>
        <w:footnoteRef/>
      </w:r>
      <w:r w:rsidRPr="00E41F05">
        <w:t xml:space="preserve"> Panel Report, </w:t>
      </w:r>
      <w:r>
        <w:t>para. </w:t>
      </w:r>
      <w:r w:rsidRPr="00E41F05">
        <w:t xml:space="preserve">6.785. </w:t>
      </w:r>
    </w:p>
  </w:footnote>
  <w:footnote w:id="250">
    <w:p w:rsidR="00FD2727" w:rsidRPr="00E41F05" w:rsidRDefault="00FD2727" w:rsidP="00206326">
      <w:pPr>
        <w:pStyle w:val="FootnoteText"/>
        <w:keepLines/>
      </w:pPr>
      <w:r w:rsidRPr="00E41F05">
        <w:rPr>
          <w:rStyle w:val="FootnoteReference"/>
        </w:rPr>
        <w:footnoteRef/>
      </w:r>
      <w:r w:rsidRPr="00E41F05">
        <w:t xml:space="preserve"> Panel Report, </w:t>
      </w:r>
      <w:r>
        <w:t>para. </w:t>
      </w:r>
      <w:r w:rsidRPr="00E41F05">
        <w:t xml:space="preserve">6.785. </w:t>
      </w:r>
      <w:r>
        <w:t>(fn omitted)</w:t>
      </w:r>
    </w:p>
  </w:footnote>
  <w:footnote w:id="251">
    <w:p w:rsidR="00FD2727" w:rsidRPr="00E41F05" w:rsidRDefault="00FD2727">
      <w:pPr>
        <w:pStyle w:val="FootnoteText"/>
      </w:pPr>
      <w:r w:rsidRPr="00E41F05">
        <w:rPr>
          <w:rStyle w:val="FootnoteReference"/>
        </w:rPr>
        <w:footnoteRef/>
      </w:r>
      <w:r w:rsidRPr="00E41F05">
        <w:t xml:space="preserve"> </w:t>
      </w:r>
      <w:r>
        <w:t>Appellate Body</w:t>
      </w:r>
      <w:r w:rsidRPr="00E41F05">
        <w:t xml:space="preserve"> Report, </w:t>
      </w:r>
      <w:r w:rsidRPr="00E41F05">
        <w:rPr>
          <w:i/>
        </w:rPr>
        <w:t>US – Tax Incentives</w:t>
      </w:r>
      <w:r w:rsidRPr="00E41F05">
        <w:t xml:space="preserve">, </w:t>
      </w:r>
      <w:r>
        <w:t>para. </w:t>
      </w:r>
      <w:r w:rsidRPr="00E41F05">
        <w:t>5.16.</w:t>
      </w:r>
    </w:p>
  </w:footnote>
  <w:footnote w:id="252">
    <w:p w:rsidR="00FD2727" w:rsidRPr="00E41F05" w:rsidRDefault="00FD2727">
      <w:pPr>
        <w:pStyle w:val="FootnoteText"/>
      </w:pPr>
      <w:r w:rsidRPr="00E41F05">
        <w:rPr>
          <w:rStyle w:val="FootnoteReference"/>
        </w:rPr>
        <w:footnoteRef/>
      </w:r>
      <w:r w:rsidRPr="00E41F05">
        <w:t xml:space="preserve"> Panel Report, </w:t>
      </w:r>
      <w:r>
        <w:t>para. </w:t>
      </w:r>
      <w:r w:rsidRPr="00E41F05">
        <w:t>6.785.</w:t>
      </w:r>
      <w:r>
        <w:t xml:space="preserve"> (fn omitted)</w:t>
      </w:r>
    </w:p>
  </w:footnote>
  <w:footnote w:id="253">
    <w:p w:rsidR="00FD2727" w:rsidRPr="00E41F05" w:rsidRDefault="00FD2727">
      <w:pPr>
        <w:pStyle w:val="FootnoteText"/>
      </w:pPr>
      <w:r w:rsidRPr="00E41F05">
        <w:rPr>
          <w:rStyle w:val="FootnoteReference"/>
        </w:rPr>
        <w:footnoteRef/>
      </w:r>
      <w:r w:rsidRPr="00E41F05">
        <w:t xml:space="preserve"> Panel Report, </w:t>
      </w:r>
      <w:r>
        <w:t>para. </w:t>
      </w:r>
      <w:r w:rsidRPr="00E41F05">
        <w:t xml:space="preserve">6.786 (referring to Panel Reports, </w:t>
      </w:r>
      <w:r w:rsidRPr="00E41F05">
        <w:rPr>
          <w:i/>
        </w:rPr>
        <w:t>Indonesia – Autos</w:t>
      </w:r>
      <w:r w:rsidRPr="00E41F05">
        <w:t xml:space="preserve">; </w:t>
      </w:r>
      <w:r w:rsidRPr="00E41F05">
        <w:rPr>
          <w:i/>
        </w:rPr>
        <w:t>US – Upland Cotton</w:t>
      </w:r>
      <w:r w:rsidRPr="00E41F05">
        <w:t xml:space="preserve">; </w:t>
      </w:r>
      <w:r>
        <w:t>Appellate Body</w:t>
      </w:r>
      <w:r w:rsidRPr="00E41F05">
        <w:t xml:space="preserve"> Report, </w:t>
      </w:r>
      <w:r w:rsidRPr="00E41F05">
        <w:rPr>
          <w:i/>
        </w:rPr>
        <w:t>Canada – Autos</w:t>
      </w:r>
      <w:r w:rsidRPr="00E41F05">
        <w:t xml:space="preserve">, </w:t>
      </w:r>
      <w:r>
        <w:t>paras. </w:t>
      </w:r>
      <w:r w:rsidRPr="00E41F05">
        <w:t>118-146).</w:t>
      </w:r>
      <w:r>
        <w:t xml:space="preserve"> (additional text in fn 1418 thereto omitted)</w:t>
      </w:r>
    </w:p>
  </w:footnote>
  <w:footnote w:id="254">
    <w:p w:rsidR="00FD2727" w:rsidRPr="00E41F05" w:rsidRDefault="00FD2727">
      <w:pPr>
        <w:pStyle w:val="FootnoteText"/>
      </w:pPr>
      <w:r w:rsidRPr="00B14A7D">
        <w:rPr>
          <w:rStyle w:val="FootnoteReference"/>
        </w:rPr>
        <w:footnoteRef/>
      </w:r>
      <w:r w:rsidRPr="00B14A7D">
        <w:t xml:space="preserve"> Panel Report, </w:t>
      </w:r>
      <w:r>
        <w:t>para. </w:t>
      </w:r>
      <w:r w:rsidRPr="00B14A7D">
        <w:t>6.786. (emphasis original</w:t>
      </w:r>
      <w:r>
        <w:t>; fn omitted</w:t>
      </w:r>
      <w:r w:rsidRPr="00B14A7D">
        <w:t>)</w:t>
      </w:r>
    </w:p>
  </w:footnote>
  <w:footnote w:id="255">
    <w:p w:rsidR="00FD2727" w:rsidRPr="00E41F05" w:rsidRDefault="00FD2727" w:rsidP="00206326">
      <w:pPr>
        <w:pStyle w:val="FootnoteText"/>
        <w:keepLines/>
      </w:pPr>
      <w:r w:rsidRPr="00E41F05">
        <w:rPr>
          <w:rStyle w:val="FootnoteReference"/>
        </w:rPr>
        <w:footnoteRef/>
      </w:r>
      <w:r w:rsidRPr="00E41F05">
        <w:t xml:space="preserve"> Panel Report, </w:t>
      </w:r>
      <w:r>
        <w:t>para. </w:t>
      </w:r>
      <w:r w:rsidRPr="00E41F05">
        <w:t>6.786.</w:t>
      </w:r>
    </w:p>
  </w:footnote>
  <w:footnote w:id="256">
    <w:p w:rsidR="00FD2727" w:rsidRPr="00E41F05" w:rsidRDefault="00FD2727">
      <w:pPr>
        <w:pStyle w:val="FootnoteText"/>
      </w:pPr>
      <w:r w:rsidRPr="00E41F05">
        <w:rPr>
          <w:rStyle w:val="FootnoteReference"/>
        </w:rPr>
        <w:footnoteRef/>
      </w:r>
      <w:r w:rsidRPr="00E41F05">
        <w:t xml:space="preserve"> Panel Report, </w:t>
      </w:r>
      <w:r>
        <w:t>paras. </w:t>
      </w:r>
      <w:r w:rsidRPr="00E41F05">
        <w:t>6.786 and 6.788.</w:t>
      </w:r>
    </w:p>
  </w:footnote>
  <w:footnote w:id="257">
    <w:p w:rsidR="00FD2727" w:rsidRPr="00E41F05" w:rsidRDefault="00FD2727" w:rsidP="00206326">
      <w:pPr>
        <w:pStyle w:val="FootnoteText"/>
      </w:pPr>
      <w:r w:rsidRPr="00B14A7D">
        <w:rPr>
          <w:rStyle w:val="FootnoteReference"/>
        </w:rPr>
        <w:footnoteRef/>
      </w:r>
      <w:r w:rsidRPr="00B14A7D">
        <w:t xml:space="preserve"> Panel Report, fn 1422 to </w:t>
      </w:r>
      <w:r>
        <w:t>para. </w:t>
      </w:r>
      <w:r w:rsidRPr="00B14A7D">
        <w:t>6.788. (emphasis original)</w:t>
      </w:r>
    </w:p>
  </w:footnote>
  <w:footnote w:id="258">
    <w:p w:rsidR="00FD2727" w:rsidRPr="00E41F05" w:rsidRDefault="00FD2727">
      <w:pPr>
        <w:pStyle w:val="FootnoteText"/>
      </w:pPr>
      <w:r w:rsidRPr="00E41F05">
        <w:rPr>
          <w:rStyle w:val="FootnoteReference"/>
        </w:rPr>
        <w:footnoteRef/>
      </w:r>
      <w:r w:rsidRPr="00E41F05">
        <w:t xml:space="preserve"> Panel Report, </w:t>
      </w:r>
      <w:r>
        <w:t>para. </w:t>
      </w:r>
      <w:r w:rsidRPr="00E41F05">
        <w:t>6.787.</w:t>
      </w:r>
    </w:p>
  </w:footnote>
  <w:footnote w:id="259">
    <w:p w:rsidR="00FD2727" w:rsidRPr="00E41F05" w:rsidRDefault="00FD2727">
      <w:pPr>
        <w:pStyle w:val="FootnoteText"/>
      </w:pPr>
      <w:r w:rsidRPr="00E41F05">
        <w:rPr>
          <w:rStyle w:val="FootnoteReference"/>
        </w:rPr>
        <w:footnoteRef/>
      </w:r>
      <w:r w:rsidRPr="00E41F05">
        <w:t xml:space="preserve"> See </w:t>
      </w:r>
      <w:r>
        <w:t>Appellate Body</w:t>
      </w:r>
      <w:r w:rsidRPr="00E41F05">
        <w:t xml:space="preserve"> Report, </w:t>
      </w:r>
      <w:r w:rsidRPr="00E41F05">
        <w:rPr>
          <w:i/>
        </w:rPr>
        <w:t>US – Tax Incentives</w:t>
      </w:r>
      <w:r w:rsidRPr="00E41F05">
        <w:t xml:space="preserve">, </w:t>
      </w:r>
      <w:r>
        <w:t>para. </w:t>
      </w:r>
      <w:r w:rsidRPr="00E41F05">
        <w:t>5.18.</w:t>
      </w:r>
    </w:p>
  </w:footnote>
  <w:footnote w:id="260">
    <w:p w:rsidR="00FD2727" w:rsidRPr="00E41F05" w:rsidRDefault="00FD2727" w:rsidP="00206326">
      <w:pPr>
        <w:pStyle w:val="FootnoteText"/>
      </w:pPr>
      <w:r w:rsidRPr="00E41F05">
        <w:rPr>
          <w:rStyle w:val="FootnoteReference"/>
        </w:rPr>
        <w:footnoteRef/>
      </w:r>
      <w:r w:rsidRPr="00E41F05">
        <w:t xml:space="preserve"> Panel Report, </w:t>
      </w:r>
      <w:r>
        <w:t>para. </w:t>
      </w:r>
      <w:r w:rsidRPr="00E41F05">
        <w:t>6.786.</w:t>
      </w:r>
    </w:p>
  </w:footnote>
  <w:footnote w:id="261">
    <w:p w:rsidR="00FD2727" w:rsidRPr="00E41F05" w:rsidRDefault="00FD2727" w:rsidP="00206326">
      <w:pPr>
        <w:pStyle w:val="FootnoteText"/>
      </w:pPr>
      <w:r w:rsidRPr="00E41F05">
        <w:rPr>
          <w:rStyle w:val="FootnoteReference"/>
        </w:rPr>
        <w:footnoteRef/>
      </w:r>
      <w:r w:rsidRPr="00E41F05">
        <w:t xml:space="preserve"> Panel Report, </w:t>
      </w:r>
      <w:r>
        <w:t>para. </w:t>
      </w:r>
      <w:r w:rsidRPr="00E41F05">
        <w:t>6.788.</w:t>
      </w:r>
      <w:r>
        <w:t xml:space="preserve"> (fn omitted)</w:t>
      </w:r>
    </w:p>
  </w:footnote>
  <w:footnote w:id="262">
    <w:p w:rsidR="00FD2727" w:rsidRPr="00E41F05" w:rsidRDefault="00FD2727">
      <w:pPr>
        <w:pStyle w:val="FootnoteText"/>
      </w:pPr>
      <w:r w:rsidRPr="00E41F05">
        <w:rPr>
          <w:rStyle w:val="FootnoteReference"/>
        </w:rPr>
        <w:footnoteRef/>
      </w:r>
      <w:r w:rsidRPr="00E41F05">
        <w:t xml:space="preserve"> Panel Report, </w:t>
      </w:r>
      <w:r>
        <w:t>para. </w:t>
      </w:r>
      <w:r w:rsidRPr="00E41F05">
        <w:t>6.788.</w:t>
      </w:r>
    </w:p>
  </w:footnote>
  <w:footnote w:id="263">
    <w:p w:rsidR="00FD2727" w:rsidRPr="00E41F05" w:rsidRDefault="00FD2727">
      <w:pPr>
        <w:pStyle w:val="FootnoteText"/>
      </w:pPr>
      <w:r w:rsidRPr="00E41F05">
        <w:rPr>
          <w:rStyle w:val="FootnoteReference"/>
        </w:rPr>
        <w:footnoteRef/>
      </w:r>
      <w:r w:rsidRPr="00E41F05">
        <w:t xml:space="preserve"> See </w:t>
      </w:r>
      <w:r>
        <w:t>Appellate Body</w:t>
      </w:r>
      <w:r w:rsidRPr="00E41F05">
        <w:t xml:space="preserve"> Reports, </w:t>
      </w:r>
      <w:r w:rsidRPr="00E41F05">
        <w:rPr>
          <w:i/>
        </w:rPr>
        <w:t>Canada – Renewable Energy / Canada – Feed-in Tariff Program</w:t>
      </w:r>
      <w:r w:rsidRPr="00E41F05">
        <w:t xml:space="preserve">, </w:t>
      </w:r>
      <w:r>
        <w:t>para. </w:t>
      </w:r>
      <w:r w:rsidRPr="00E41F05">
        <w:t>5.5.</w:t>
      </w:r>
    </w:p>
  </w:footnote>
  <w:footnote w:id="264">
    <w:p w:rsidR="00FD2727" w:rsidRPr="00E41F05" w:rsidRDefault="00FD2727">
      <w:pPr>
        <w:pStyle w:val="FootnoteText"/>
      </w:pPr>
      <w:r w:rsidRPr="00E41F05">
        <w:rPr>
          <w:rStyle w:val="FootnoteReference"/>
        </w:rPr>
        <w:footnoteRef/>
      </w:r>
      <w:r w:rsidRPr="00E41F05">
        <w:t xml:space="preserve"> See </w:t>
      </w:r>
      <w:r>
        <w:t>Appellate Body</w:t>
      </w:r>
      <w:r w:rsidRPr="00E41F05">
        <w:t xml:space="preserve"> Report, </w:t>
      </w:r>
      <w:r w:rsidRPr="00E41F05">
        <w:rPr>
          <w:i/>
        </w:rPr>
        <w:t>US – Tax Incentives</w:t>
      </w:r>
      <w:r w:rsidRPr="00E41F05">
        <w:t xml:space="preserve">, </w:t>
      </w:r>
      <w:r>
        <w:t>para. </w:t>
      </w:r>
      <w:r w:rsidRPr="00E41F05">
        <w:t>5.49.</w:t>
      </w:r>
    </w:p>
  </w:footnote>
  <w:footnote w:id="265">
    <w:p w:rsidR="00FD2727" w:rsidRPr="00E41F05" w:rsidRDefault="00FD2727">
      <w:pPr>
        <w:pStyle w:val="FootnoteText"/>
      </w:pPr>
      <w:r w:rsidRPr="00B14A7D">
        <w:rPr>
          <w:rStyle w:val="FootnoteReference"/>
        </w:rPr>
        <w:footnoteRef/>
      </w:r>
      <w:r w:rsidRPr="00B14A7D">
        <w:t xml:space="preserve"> Panel Report, </w:t>
      </w:r>
      <w:r>
        <w:t>para. </w:t>
      </w:r>
      <w:r w:rsidRPr="00B14A7D">
        <w:t>6.786. (</w:t>
      </w:r>
      <w:r w:rsidRPr="0083583F">
        <w:t>emphasis</w:t>
      </w:r>
      <w:r w:rsidRPr="00B14A7D">
        <w:t xml:space="preserve"> added)</w:t>
      </w:r>
    </w:p>
  </w:footnote>
  <w:footnote w:id="266">
    <w:p w:rsidR="00FD2727" w:rsidRPr="00E41F05" w:rsidRDefault="00FD2727" w:rsidP="00206326">
      <w:pPr>
        <w:pStyle w:val="FootnoteText"/>
      </w:pPr>
      <w:r w:rsidRPr="00E41F05">
        <w:rPr>
          <w:rStyle w:val="FootnoteReference"/>
        </w:rPr>
        <w:footnoteRef/>
      </w:r>
      <w:r w:rsidRPr="00E41F05">
        <w:t xml:space="preserve"> Panel Report, </w:t>
      </w:r>
      <w:r>
        <w:t>para. </w:t>
      </w:r>
      <w:r w:rsidRPr="00E41F05">
        <w:t>6.786.</w:t>
      </w:r>
      <w:r>
        <w:t xml:space="preserve"> (emphasis original; fn omitted)</w:t>
      </w:r>
    </w:p>
  </w:footnote>
  <w:footnote w:id="267">
    <w:p w:rsidR="00FD2727" w:rsidRPr="00E41F05" w:rsidRDefault="00FD2727" w:rsidP="00206326">
      <w:pPr>
        <w:pStyle w:val="FootnoteText"/>
        <w:tabs>
          <w:tab w:val="left" w:pos="6586"/>
        </w:tabs>
      </w:pPr>
      <w:r w:rsidRPr="00E41F05">
        <w:rPr>
          <w:rStyle w:val="FootnoteReference"/>
        </w:rPr>
        <w:footnoteRef/>
      </w:r>
      <w:r w:rsidRPr="00E41F05">
        <w:t xml:space="preserve"> </w:t>
      </w:r>
      <w:r>
        <w:t>United States</w:t>
      </w:r>
      <w:r w:rsidRPr="00E41F05">
        <w:t xml:space="preserve">' other appellant's submission, </w:t>
      </w:r>
      <w:r>
        <w:t>para. </w:t>
      </w:r>
      <w:r w:rsidRPr="00E41F05">
        <w:t>25.</w:t>
      </w:r>
      <w:r w:rsidRPr="00E41F05">
        <w:tab/>
      </w:r>
    </w:p>
  </w:footnote>
  <w:footnote w:id="268">
    <w:p w:rsidR="00FD2727" w:rsidRPr="00E41F05" w:rsidRDefault="00FD2727">
      <w:pPr>
        <w:pStyle w:val="FootnoteText"/>
      </w:pPr>
      <w:r w:rsidRPr="00E41F05">
        <w:rPr>
          <w:rStyle w:val="FootnoteReference"/>
        </w:rPr>
        <w:footnoteRef/>
      </w:r>
      <w:r w:rsidRPr="00E41F05">
        <w:t xml:space="preserve"> </w:t>
      </w:r>
      <w:r>
        <w:t>Appellate Body</w:t>
      </w:r>
      <w:r w:rsidRPr="00E41F05">
        <w:t xml:space="preserve"> Report, </w:t>
      </w:r>
      <w:r w:rsidRPr="00E41F05">
        <w:rPr>
          <w:i/>
        </w:rPr>
        <w:t>US – Tax Incentives</w:t>
      </w:r>
      <w:r w:rsidRPr="00E41F05">
        <w:t xml:space="preserve">, </w:t>
      </w:r>
      <w:r>
        <w:t>para. </w:t>
      </w:r>
      <w:r w:rsidRPr="00E41F05">
        <w:t>5.73.</w:t>
      </w:r>
    </w:p>
  </w:footnote>
  <w:footnote w:id="269">
    <w:p w:rsidR="00FD2727" w:rsidRPr="00E41F05" w:rsidRDefault="00FD2727">
      <w:pPr>
        <w:pStyle w:val="FootnoteText"/>
      </w:pPr>
      <w:r w:rsidRPr="00E41F05">
        <w:rPr>
          <w:rStyle w:val="FootnoteReference"/>
        </w:rPr>
        <w:footnoteRef/>
      </w:r>
      <w:r w:rsidRPr="00E41F05">
        <w:t xml:space="preserve"> </w:t>
      </w:r>
      <w:r>
        <w:t>Appellate Body</w:t>
      </w:r>
      <w:r w:rsidRPr="00E41F05">
        <w:t xml:space="preserve"> Report, </w:t>
      </w:r>
      <w:r w:rsidRPr="00E41F05">
        <w:rPr>
          <w:i/>
        </w:rPr>
        <w:t>US – Tax Incentives</w:t>
      </w:r>
      <w:r w:rsidRPr="00E41F05">
        <w:t xml:space="preserve">, </w:t>
      </w:r>
      <w:r>
        <w:t>para. </w:t>
      </w:r>
      <w:r w:rsidRPr="00E41F05">
        <w:t>5.49.</w:t>
      </w:r>
    </w:p>
  </w:footnote>
  <w:footnote w:id="270">
    <w:p w:rsidR="00FD2727" w:rsidRPr="00E41F05" w:rsidRDefault="00FD2727">
      <w:pPr>
        <w:pStyle w:val="FootnoteText"/>
      </w:pPr>
      <w:r w:rsidRPr="00E41F05">
        <w:rPr>
          <w:rStyle w:val="FootnoteReference"/>
        </w:rPr>
        <w:footnoteRef/>
      </w:r>
      <w:r w:rsidRPr="00E41F05">
        <w:t xml:space="preserve"> </w:t>
      </w:r>
      <w:r>
        <w:t>Appellate Body</w:t>
      </w:r>
      <w:r w:rsidRPr="00E41F05">
        <w:t xml:space="preserve"> Report, </w:t>
      </w:r>
      <w:r w:rsidRPr="00E41F05">
        <w:rPr>
          <w:i/>
        </w:rPr>
        <w:t>US – Tax Incentives</w:t>
      </w:r>
      <w:r w:rsidRPr="00E41F05">
        <w:t xml:space="preserve">, </w:t>
      </w:r>
      <w:r>
        <w:t>paras. </w:t>
      </w:r>
      <w:r w:rsidRPr="00E41F05">
        <w:t>5.48 and 5.50.</w:t>
      </w:r>
    </w:p>
  </w:footnote>
  <w:footnote w:id="271">
    <w:p w:rsidR="00FD2727" w:rsidRPr="00E41F05" w:rsidRDefault="00FD2727">
      <w:pPr>
        <w:pStyle w:val="FootnoteText"/>
      </w:pPr>
      <w:r w:rsidRPr="00E41F05">
        <w:rPr>
          <w:rStyle w:val="FootnoteReference"/>
        </w:rPr>
        <w:footnoteRef/>
      </w:r>
      <w:r w:rsidRPr="00E41F05">
        <w:t xml:space="preserve"> </w:t>
      </w:r>
      <w:r>
        <w:t>Appellate Body</w:t>
      </w:r>
      <w:r w:rsidRPr="00E41F05">
        <w:t xml:space="preserve"> Report, </w:t>
      </w:r>
      <w:r w:rsidRPr="00E41F05">
        <w:rPr>
          <w:i/>
        </w:rPr>
        <w:t>US – Tax Incentives</w:t>
      </w:r>
      <w:r w:rsidRPr="00E41F05">
        <w:t xml:space="preserve">, </w:t>
      </w:r>
      <w:r>
        <w:t>para. </w:t>
      </w:r>
      <w:r w:rsidRPr="00E41F05">
        <w:t>5.50.</w:t>
      </w:r>
    </w:p>
  </w:footnote>
  <w:footnote w:id="272">
    <w:p w:rsidR="00FD2727" w:rsidRPr="00E41F05" w:rsidRDefault="00FD2727" w:rsidP="0007161B">
      <w:pPr>
        <w:pStyle w:val="FootnoteText"/>
        <w:keepNext/>
        <w:keepLines/>
      </w:pPr>
      <w:r w:rsidRPr="00E41F05">
        <w:rPr>
          <w:rStyle w:val="FootnoteReference"/>
        </w:rPr>
        <w:footnoteRef/>
      </w:r>
      <w:r w:rsidRPr="00E41F05">
        <w:t xml:space="preserve"> We recall that the </w:t>
      </w:r>
      <w:r>
        <w:t>United States</w:t>
      </w:r>
      <w:r w:rsidRPr="00E41F05">
        <w:t xml:space="preserve"> argues that the Panel erred in its application of </w:t>
      </w:r>
      <w:r>
        <w:t>Article </w:t>
      </w:r>
      <w:r w:rsidRPr="00E41F05">
        <w:t xml:space="preserve">3.1(b) of the </w:t>
      </w:r>
      <w:r>
        <w:t>SCM Agreement</w:t>
      </w:r>
      <w:r w:rsidRPr="00E41F05">
        <w:t xml:space="preserve"> and requests us to </w:t>
      </w:r>
      <w:r w:rsidRPr="0045371C">
        <w:t>reverse</w:t>
      </w:r>
      <w:r w:rsidRPr="00E41F05">
        <w:rPr>
          <w:i/>
        </w:rPr>
        <w:t xml:space="preserve"> </w:t>
      </w:r>
      <w:r w:rsidRPr="00E41F05">
        <w:t xml:space="preserve">the Panel's findings that the French, German, Spanish, and UK LA/MSF for the A350XWB are not inconsistent with </w:t>
      </w:r>
      <w:r>
        <w:t>Article </w:t>
      </w:r>
      <w:r w:rsidRPr="00E41F05">
        <w:t>3.1(b) "</w:t>
      </w:r>
      <w:r w:rsidRPr="0045371C">
        <w:rPr>
          <w:i/>
        </w:rPr>
        <w:t>to the extent that</w:t>
      </w:r>
      <w:r w:rsidRPr="00E41F05">
        <w:t xml:space="preserve"> the </w:t>
      </w:r>
      <w:r>
        <w:t>Appellate Body</w:t>
      </w:r>
      <w:r w:rsidRPr="00E41F05">
        <w:t xml:space="preserve"> considers that … the Panel's interpretation of {</w:t>
      </w:r>
      <w:r>
        <w:t>Article </w:t>
      </w:r>
      <w:r w:rsidRPr="00E41F05">
        <w:t>3.1(b)} is incorrect". (</w:t>
      </w:r>
      <w:r>
        <w:t>United States</w:t>
      </w:r>
      <w:r w:rsidRPr="00E41F05">
        <w:t xml:space="preserve">' other appellant's submission, </w:t>
      </w:r>
      <w:r>
        <w:t>para. </w:t>
      </w:r>
      <w:r w:rsidRPr="00E41F05">
        <w:t xml:space="preserve">23 (emphasis added)) Moreover, at the oral hearing, the </w:t>
      </w:r>
      <w:r>
        <w:t>United States</w:t>
      </w:r>
      <w:r w:rsidRPr="00E41F05">
        <w:t xml:space="preserve"> confirmed that what it is appealing is the interpretation of </w:t>
      </w:r>
      <w:r>
        <w:t>Article </w:t>
      </w:r>
      <w:r w:rsidRPr="00E41F05">
        <w:t>3.1(b) adopted by the Panel in the present case.</w:t>
      </w:r>
    </w:p>
  </w:footnote>
  <w:footnote w:id="273">
    <w:p w:rsidR="00FD2727" w:rsidRPr="00E41F05" w:rsidRDefault="00FD2727" w:rsidP="00206326">
      <w:pPr>
        <w:pStyle w:val="FootnoteText"/>
      </w:pPr>
      <w:r w:rsidRPr="00E41F05">
        <w:rPr>
          <w:rStyle w:val="FootnoteReference"/>
        </w:rPr>
        <w:footnoteRef/>
      </w:r>
      <w:r w:rsidRPr="00E41F05">
        <w:t xml:space="preserve"> The </w:t>
      </w:r>
      <w:r>
        <w:t>United States</w:t>
      </w:r>
      <w:r w:rsidRPr="00E41F05">
        <w:t xml:space="preserve"> raises on appeal the relevance of the so-called </w:t>
      </w:r>
      <w:r w:rsidRPr="00E41F05">
        <w:rPr>
          <w:b/>
        </w:rPr>
        <w:t>[</w:t>
      </w:r>
      <w:r w:rsidRPr="00C8434D">
        <w:rPr>
          <w:b/>
          <w:szCs w:val="16"/>
        </w:rPr>
        <w:t>BCI</w:t>
      </w:r>
      <w:r w:rsidRPr="00E41F05">
        <w:rPr>
          <w:b/>
        </w:rPr>
        <w:t>]</w:t>
      </w:r>
      <w:r w:rsidRPr="00E41F05">
        <w:t xml:space="preserve"> clauses in the four A350XWB LA/MSF contracts, arguing that, in light of those clauses, if </w:t>
      </w:r>
      <w:r w:rsidRPr="00E41F05">
        <w:rPr>
          <w:b/>
        </w:rPr>
        <w:t>[</w:t>
      </w:r>
      <w:r w:rsidRPr="00C8434D">
        <w:rPr>
          <w:b/>
          <w:szCs w:val="16"/>
        </w:rPr>
        <w:t>BCI</w:t>
      </w:r>
      <w:r w:rsidRPr="00E41F05">
        <w:rPr>
          <w:b/>
          <w:szCs w:val="16"/>
        </w:rPr>
        <w:t>]</w:t>
      </w:r>
      <w:r w:rsidRPr="00E41F05">
        <w:rPr>
          <w:szCs w:val="16"/>
        </w:rPr>
        <w:t xml:space="preserve">, Airbus would </w:t>
      </w:r>
      <w:r w:rsidRPr="00E41F05">
        <w:rPr>
          <w:b/>
          <w:szCs w:val="16"/>
        </w:rPr>
        <w:t>[</w:t>
      </w:r>
      <w:r w:rsidRPr="00C8434D">
        <w:rPr>
          <w:b/>
          <w:szCs w:val="16"/>
        </w:rPr>
        <w:t>BCI</w:t>
      </w:r>
      <w:r w:rsidRPr="00E41F05">
        <w:rPr>
          <w:b/>
          <w:szCs w:val="16"/>
        </w:rPr>
        <w:t>]</w:t>
      </w:r>
      <w:r w:rsidRPr="00E41F05">
        <w:rPr>
          <w:szCs w:val="16"/>
        </w:rPr>
        <w:t xml:space="preserve"> the A350XWB LA/MSF</w:t>
      </w:r>
      <w:r w:rsidRPr="00E41F05">
        <w:t xml:space="preserve">. (See e.g. </w:t>
      </w:r>
      <w:r>
        <w:t>United States</w:t>
      </w:r>
      <w:r w:rsidRPr="00E41F05">
        <w:t xml:space="preserve">' other appellant's submission, </w:t>
      </w:r>
      <w:r>
        <w:t>para. </w:t>
      </w:r>
      <w:r w:rsidRPr="00E41F05">
        <w:t>35)</w:t>
      </w:r>
    </w:p>
  </w:footnote>
  <w:footnote w:id="274">
    <w:p w:rsidR="00FD2727" w:rsidRPr="00E41F05" w:rsidRDefault="00FD2727" w:rsidP="00206326">
      <w:pPr>
        <w:pStyle w:val="FootnoteText"/>
      </w:pPr>
      <w:r w:rsidRPr="00E41F05">
        <w:rPr>
          <w:rStyle w:val="FootnoteReference"/>
        </w:rPr>
        <w:footnoteRef/>
      </w:r>
      <w:r w:rsidRPr="00E41F05">
        <w:t xml:space="preserve"> </w:t>
      </w:r>
      <w:r>
        <w:t>Appellate Body</w:t>
      </w:r>
      <w:r w:rsidRPr="00E41F05">
        <w:t xml:space="preserve"> Report, </w:t>
      </w:r>
      <w:r w:rsidRPr="00E41F05">
        <w:rPr>
          <w:i/>
          <w:spacing w:val="-2"/>
        </w:rPr>
        <w:t>US – Offset Act (Byrd Amendment)</w:t>
      </w:r>
      <w:r w:rsidRPr="00E41F05">
        <w:t xml:space="preserve">, </w:t>
      </w:r>
      <w:r>
        <w:t>para. </w:t>
      </w:r>
      <w:r w:rsidRPr="00E41F05">
        <w:t xml:space="preserve">222. See also </w:t>
      </w:r>
      <w:r>
        <w:t>Appellate Body</w:t>
      </w:r>
      <w:r w:rsidRPr="00E41F05">
        <w:t xml:space="preserve"> Report, </w:t>
      </w:r>
      <w:r w:rsidRPr="00E41F05">
        <w:rPr>
          <w:i/>
        </w:rPr>
        <w:t>Chile – Price Band</w:t>
      </w:r>
      <w:r>
        <w:rPr>
          <w:i/>
        </w:rPr>
        <w:t xml:space="preserve"> System</w:t>
      </w:r>
      <w:r w:rsidRPr="00E41F05">
        <w:rPr>
          <w:i/>
        </w:rPr>
        <w:t xml:space="preserve"> (</w:t>
      </w:r>
      <w:r>
        <w:rPr>
          <w:i/>
        </w:rPr>
        <w:t>Article </w:t>
      </w:r>
      <w:r w:rsidRPr="00E41F05">
        <w:rPr>
          <w:i/>
        </w:rPr>
        <w:t>21.5 – Argentina)</w:t>
      </w:r>
      <w:r w:rsidRPr="00E41F05">
        <w:t xml:space="preserve">, </w:t>
      </w:r>
      <w:r>
        <w:t>para. </w:t>
      </w:r>
      <w:r w:rsidRPr="00E41F05">
        <w:t>13.</w:t>
      </w:r>
    </w:p>
  </w:footnote>
  <w:footnote w:id="275">
    <w:p w:rsidR="00FD2727" w:rsidRPr="00E41F05" w:rsidRDefault="00FD2727" w:rsidP="00206326">
      <w:pPr>
        <w:pStyle w:val="FootnoteText"/>
      </w:pPr>
      <w:r w:rsidRPr="00E41F05">
        <w:rPr>
          <w:rStyle w:val="FootnoteReference"/>
        </w:rPr>
        <w:footnoteRef/>
      </w:r>
      <w:r w:rsidRPr="00E41F05">
        <w:t xml:space="preserve"> Panel Report, </w:t>
      </w:r>
      <w:r>
        <w:t>para. </w:t>
      </w:r>
      <w:r w:rsidRPr="00E41F05">
        <w:t>6.790.</w:t>
      </w:r>
    </w:p>
  </w:footnote>
  <w:footnote w:id="276">
    <w:p w:rsidR="00FD2727" w:rsidRPr="00855372" w:rsidRDefault="00FD2727" w:rsidP="00206326">
      <w:pPr>
        <w:pStyle w:val="FootnoteText"/>
        <w:keepLines/>
      </w:pPr>
      <w:r>
        <w:rPr>
          <w:rStyle w:val="FootnoteReference"/>
        </w:rPr>
        <w:footnoteRef/>
      </w:r>
      <w:r>
        <w:t xml:space="preserve"> European Union</w:t>
      </w:r>
      <w:r w:rsidRPr="006A1E9A">
        <w:t xml:space="preserve">'s Notice of Appeal, </w:t>
      </w:r>
      <w:r>
        <w:t>paras. </w:t>
      </w:r>
      <w:r w:rsidRPr="006A1E9A">
        <w:t xml:space="preserve">6-15; appellant's submission, </w:t>
      </w:r>
      <w:r>
        <w:t>paras. </w:t>
      </w:r>
      <w:r w:rsidRPr="006A1E9A">
        <w:t>276 and 328.</w:t>
      </w:r>
    </w:p>
  </w:footnote>
  <w:footnote w:id="277">
    <w:p w:rsidR="00FD2727" w:rsidRPr="0097319F" w:rsidRDefault="00FD2727" w:rsidP="00206326">
      <w:pPr>
        <w:pStyle w:val="FootnoteText"/>
        <w:keepLines/>
      </w:pPr>
      <w:r w:rsidRPr="006477CA">
        <w:rPr>
          <w:rStyle w:val="FootnoteReference"/>
        </w:rPr>
        <w:footnoteRef/>
      </w:r>
      <w:r w:rsidRPr="006477CA">
        <w:t xml:space="preserve"> </w:t>
      </w:r>
      <w:r>
        <w:t xml:space="preserve">In referring to </w:t>
      </w:r>
      <w:r w:rsidRPr="0097319F">
        <w:t xml:space="preserve">the expected rates of return for each of the </w:t>
      </w:r>
      <w:r>
        <w:t xml:space="preserve">four </w:t>
      </w:r>
      <w:r w:rsidRPr="0097319F">
        <w:t>A350XWB LA/MSF contracts</w:t>
      </w:r>
      <w:r>
        <w:t>,</w:t>
      </w:r>
      <w:r w:rsidRPr="006477CA">
        <w:t xml:space="preserve"> the </w:t>
      </w:r>
      <w:r>
        <w:t>United States</w:t>
      </w:r>
      <w:r w:rsidRPr="006477CA">
        <w:t xml:space="preserve"> used the terms "rate of return" and "interest rate"</w:t>
      </w:r>
      <w:r>
        <w:t>. In turn</w:t>
      </w:r>
      <w:r w:rsidRPr="006477CA">
        <w:t xml:space="preserve">, the </w:t>
      </w:r>
      <w:r>
        <w:t>European Union</w:t>
      </w:r>
      <w:r w:rsidRPr="00264244">
        <w:t xml:space="preserve"> referred t</w:t>
      </w:r>
      <w:r w:rsidRPr="005435FA">
        <w:t>o</w:t>
      </w:r>
      <w:r>
        <w:t xml:space="preserve"> </w:t>
      </w:r>
      <w:r w:rsidRPr="0097319F">
        <w:t xml:space="preserve">the expected rates of return </w:t>
      </w:r>
      <w:r>
        <w:t>as</w:t>
      </w:r>
      <w:r w:rsidRPr="005435FA">
        <w:t xml:space="preserve"> the "internal </w:t>
      </w:r>
      <w:r w:rsidRPr="00A453EC">
        <w:t xml:space="preserve">rate of return" (IRR) of the A350XWB LA/MSF contracts. The Panel decided to use "rates of return" as a generic term, and referred to the </w:t>
      </w:r>
      <w:r>
        <w:t>European Union</w:t>
      </w:r>
      <w:r w:rsidRPr="006477CA">
        <w:t>'s proposed rates</w:t>
      </w:r>
      <w:r>
        <w:t xml:space="preserve"> for the A350XWB LA/MSF contracts</w:t>
      </w:r>
      <w:r w:rsidRPr="006477CA">
        <w:t xml:space="preserve"> as "internal rates of return", or </w:t>
      </w:r>
      <w:r w:rsidRPr="00845341">
        <w:t>"</w:t>
      </w:r>
      <w:r w:rsidRPr="00264244">
        <w:t>IRR estimates</w:t>
      </w:r>
      <w:r w:rsidRPr="005435FA">
        <w:t>"</w:t>
      </w:r>
      <w:r>
        <w:t>. (</w:t>
      </w:r>
      <w:r w:rsidRPr="006477CA">
        <w:t xml:space="preserve">Panel Report, fn 485 </w:t>
      </w:r>
      <w:r>
        <w:t>to para. </w:t>
      </w:r>
      <w:r w:rsidRPr="006477CA">
        <w:t>6.306</w:t>
      </w:r>
      <w:r>
        <w:t>)</w:t>
      </w:r>
    </w:p>
  </w:footnote>
  <w:footnote w:id="278">
    <w:p w:rsidR="00FD2727" w:rsidRDefault="00FD2727" w:rsidP="00206326">
      <w:pPr>
        <w:pStyle w:val="FootnoteText"/>
        <w:keepLines/>
      </w:pPr>
      <w:r>
        <w:rPr>
          <w:rStyle w:val="FootnoteReference"/>
        </w:rPr>
        <w:footnoteRef/>
      </w:r>
      <w:r>
        <w:t xml:space="preserve"> </w:t>
      </w:r>
      <w:r w:rsidRPr="006477CA">
        <w:t xml:space="preserve">Panel Report, </w:t>
      </w:r>
      <w:r>
        <w:t>para. </w:t>
      </w:r>
      <w:r w:rsidRPr="006477CA">
        <w:t>6.3</w:t>
      </w:r>
      <w:r>
        <w:t>50.</w:t>
      </w:r>
    </w:p>
  </w:footnote>
  <w:footnote w:id="279">
    <w:p w:rsidR="00FD2727" w:rsidRPr="006477CA" w:rsidRDefault="00FD2727" w:rsidP="00206326">
      <w:pPr>
        <w:pStyle w:val="FootnoteText"/>
        <w:keepLines/>
      </w:pPr>
      <w:r w:rsidRPr="006477CA">
        <w:rPr>
          <w:rStyle w:val="FootnoteReference"/>
        </w:rPr>
        <w:footnoteRef/>
      </w:r>
      <w:r w:rsidRPr="006477CA">
        <w:t xml:space="preserve"> </w:t>
      </w:r>
      <w:r w:rsidRPr="008920B2">
        <w:t xml:space="preserve">As explained in more detail below, </w:t>
      </w:r>
      <w:r>
        <w:t xml:space="preserve">the European Union proposed determining the corporate borrowing rate on the basis of bond data of Airbus' parent </w:t>
      </w:r>
      <w:r w:rsidRPr="00A453EC">
        <w:t xml:space="preserve">company, EADS. In particular, the </w:t>
      </w:r>
      <w:r>
        <w:t>European Union</w:t>
      </w:r>
      <w:r w:rsidRPr="00A453EC">
        <w:t xml:space="preserve"> proposed using the EADS Finance B.V. 5.5% coupon 03/18 medium-term note (MTN), a bond</w:t>
      </w:r>
      <w:r w:rsidRPr="008920B2">
        <w:t xml:space="preserve"> issued </w:t>
      </w:r>
      <w:r>
        <w:t xml:space="preserve">on </w:t>
      </w:r>
      <w:r w:rsidRPr="008920B2">
        <w:t>24</w:t>
      </w:r>
      <w:r>
        <w:t> September 20</w:t>
      </w:r>
      <w:r w:rsidRPr="008920B2">
        <w:t xml:space="preserve">03 and maturing </w:t>
      </w:r>
      <w:r>
        <w:t xml:space="preserve">on </w:t>
      </w:r>
      <w:r w:rsidRPr="008920B2">
        <w:t>25</w:t>
      </w:r>
      <w:r>
        <w:t> September 20</w:t>
      </w:r>
      <w:r w:rsidRPr="008920B2">
        <w:t xml:space="preserve">18. (Panel Report, </w:t>
      </w:r>
      <w:r>
        <w:t>paras. 6.357-</w:t>
      </w:r>
      <w:r w:rsidRPr="008920B2">
        <w:t>6.358)</w:t>
      </w:r>
    </w:p>
  </w:footnote>
  <w:footnote w:id="280">
    <w:p w:rsidR="00FD2727" w:rsidRPr="006477CA" w:rsidRDefault="00FD2727" w:rsidP="00206326">
      <w:pPr>
        <w:pStyle w:val="FootnoteText"/>
        <w:keepLines/>
      </w:pPr>
      <w:r w:rsidRPr="006477CA">
        <w:rPr>
          <w:rStyle w:val="FootnoteReference"/>
        </w:rPr>
        <w:footnoteRef/>
      </w:r>
      <w:r w:rsidRPr="006477CA">
        <w:t xml:space="preserve"> </w:t>
      </w:r>
      <w:r>
        <w:t>European Union</w:t>
      </w:r>
      <w:r w:rsidRPr="006477CA">
        <w:t xml:space="preserve">'s appellant's submission, </w:t>
      </w:r>
      <w:r>
        <w:t>para. </w:t>
      </w:r>
      <w:r w:rsidRPr="006477CA">
        <w:t xml:space="preserve">319 (quoting Panel Report, </w:t>
      </w:r>
      <w:r>
        <w:t>para. </w:t>
      </w:r>
      <w:r w:rsidRPr="006477CA">
        <w:t>6.389).</w:t>
      </w:r>
    </w:p>
  </w:footnote>
  <w:footnote w:id="281">
    <w:p w:rsidR="00FD2727" w:rsidRPr="006477CA" w:rsidRDefault="00FD2727" w:rsidP="00206326">
      <w:pPr>
        <w:pStyle w:val="FootnoteText"/>
        <w:keepLines/>
      </w:pPr>
      <w:r w:rsidRPr="006477CA">
        <w:rPr>
          <w:rStyle w:val="FootnoteReference"/>
        </w:rPr>
        <w:footnoteRef/>
      </w:r>
      <w:r w:rsidRPr="006477CA">
        <w:t xml:space="preserve"> </w:t>
      </w:r>
      <w:r>
        <w:t>European Union</w:t>
      </w:r>
      <w:r w:rsidRPr="006477CA">
        <w:t xml:space="preserve">'s appellant's submission, </w:t>
      </w:r>
      <w:r>
        <w:t>para. </w:t>
      </w:r>
      <w:r w:rsidRPr="006477CA">
        <w:t>319.</w:t>
      </w:r>
    </w:p>
  </w:footnote>
  <w:footnote w:id="282">
    <w:p w:rsidR="00FD2727" w:rsidRDefault="00FD2727" w:rsidP="00206326">
      <w:pPr>
        <w:pStyle w:val="FootnoteText"/>
        <w:keepLines/>
      </w:pPr>
      <w:r>
        <w:rPr>
          <w:rStyle w:val="FootnoteReference"/>
        </w:rPr>
        <w:footnoteRef/>
      </w:r>
      <w:r>
        <w:t xml:space="preserve"> We note that, in taking issue with the </w:t>
      </w:r>
      <w:r>
        <w:rPr>
          <w:szCs w:val="20"/>
        </w:rPr>
        <w:t xml:space="preserve">Panel's decision to include </w:t>
      </w:r>
      <w:r w:rsidRPr="008805DE">
        <w:rPr>
          <w:szCs w:val="20"/>
        </w:rPr>
        <w:t xml:space="preserve">the average yield over the </w:t>
      </w:r>
      <w:r>
        <w:rPr>
          <w:szCs w:val="20"/>
        </w:rPr>
        <w:t>six month</w:t>
      </w:r>
      <w:r w:rsidRPr="008805DE">
        <w:rPr>
          <w:szCs w:val="20"/>
        </w:rPr>
        <w:t xml:space="preserve">s prior to the conclusion of each of the </w:t>
      </w:r>
      <w:r>
        <w:rPr>
          <w:szCs w:val="20"/>
        </w:rPr>
        <w:t xml:space="preserve">A350XWB </w:t>
      </w:r>
      <w:r w:rsidRPr="008805DE">
        <w:rPr>
          <w:szCs w:val="20"/>
        </w:rPr>
        <w:t>LA/MSF contracts</w:t>
      </w:r>
      <w:r>
        <w:rPr>
          <w:szCs w:val="20"/>
        </w:rPr>
        <w:t xml:space="preserve"> in the relevant time period over which to observe the EADS bond yield, the European Union </w:t>
      </w:r>
      <w:r w:rsidRPr="008805DE">
        <w:rPr>
          <w:szCs w:val="20"/>
        </w:rPr>
        <w:t xml:space="preserve">does not appear </w:t>
      </w:r>
      <w:r>
        <w:rPr>
          <w:szCs w:val="20"/>
        </w:rPr>
        <w:t>to challenge the use of the one</w:t>
      </w:r>
      <w:r>
        <w:rPr>
          <w:szCs w:val="20"/>
        </w:rPr>
        <w:noBreakHyphen/>
      </w:r>
      <w:r w:rsidRPr="008805DE">
        <w:rPr>
          <w:szCs w:val="20"/>
        </w:rPr>
        <w:t xml:space="preserve">month average yield </w:t>
      </w:r>
      <w:r>
        <w:rPr>
          <w:szCs w:val="20"/>
        </w:rPr>
        <w:t>of</w:t>
      </w:r>
      <w:r w:rsidRPr="008805DE">
        <w:rPr>
          <w:szCs w:val="20"/>
        </w:rPr>
        <w:t xml:space="preserve"> the EADS bond</w:t>
      </w:r>
      <w:r>
        <w:rPr>
          <w:szCs w:val="20"/>
        </w:rPr>
        <w:t>.</w:t>
      </w:r>
    </w:p>
  </w:footnote>
  <w:footnote w:id="283">
    <w:p w:rsidR="00FD2727" w:rsidRPr="006477CA" w:rsidRDefault="00FD2727" w:rsidP="00206326">
      <w:pPr>
        <w:pStyle w:val="FootnoteText"/>
        <w:keepLines/>
      </w:pPr>
      <w:r w:rsidRPr="006477CA">
        <w:rPr>
          <w:rStyle w:val="FootnoteReference"/>
        </w:rPr>
        <w:footnoteRef/>
      </w:r>
      <w:r w:rsidRPr="006477CA">
        <w:t xml:space="preserve"> Panel Report, </w:t>
      </w:r>
      <w:r>
        <w:t>para. </w:t>
      </w:r>
      <w:r w:rsidRPr="006477CA">
        <w:t>6.350.</w:t>
      </w:r>
    </w:p>
  </w:footnote>
  <w:footnote w:id="284">
    <w:p w:rsidR="00FD2727" w:rsidRPr="008920B2" w:rsidRDefault="00FD2727" w:rsidP="00206326">
      <w:pPr>
        <w:pStyle w:val="FootnoteText"/>
        <w:keepLines/>
      </w:pPr>
      <w:r w:rsidRPr="006477CA">
        <w:rPr>
          <w:rStyle w:val="FootnoteReference"/>
        </w:rPr>
        <w:footnoteRef/>
      </w:r>
      <w:r w:rsidRPr="006477CA">
        <w:t xml:space="preserve"> Panel Report, </w:t>
      </w:r>
      <w:r>
        <w:t>para. </w:t>
      </w:r>
      <w:r w:rsidRPr="006477CA">
        <w:t xml:space="preserve">6.351. The Panel observed, in particular, that the parties </w:t>
      </w:r>
      <w:r>
        <w:t>disagreed</w:t>
      </w:r>
      <w:r w:rsidRPr="00264244">
        <w:t xml:space="preserve"> </w:t>
      </w:r>
      <w:r>
        <w:t>on</w:t>
      </w:r>
      <w:r w:rsidRPr="00264244">
        <w:t xml:space="preserve"> not only </w:t>
      </w:r>
      <w:r w:rsidRPr="008920B2">
        <w:t>what the values of the two components should be, but also what bases these values should be derived</w:t>
      </w:r>
      <w:r>
        <w:t xml:space="preserve"> from</w:t>
      </w:r>
      <w:r w:rsidRPr="008920B2">
        <w:t>. (Ibid.)</w:t>
      </w:r>
    </w:p>
  </w:footnote>
  <w:footnote w:id="285">
    <w:p w:rsidR="00FD2727" w:rsidRPr="008A5F34" w:rsidRDefault="00FD2727">
      <w:pPr>
        <w:pStyle w:val="FootnoteText"/>
      </w:pPr>
      <w:r>
        <w:rPr>
          <w:rStyle w:val="FootnoteReference"/>
        </w:rPr>
        <w:footnoteRef/>
      </w:r>
      <w:r>
        <w:t xml:space="preserve"> Panel Report, para. 6.352.</w:t>
      </w:r>
    </w:p>
  </w:footnote>
  <w:footnote w:id="286">
    <w:p w:rsidR="00FD2727" w:rsidRPr="00A453EC" w:rsidRDefault="00FD2727" w:rsidP="00206326">
      <w:pPr>
        <w:pStyle w:val="FootnoteText"/>
        <w:keepLines/>
      </w:pPr>
      <w:r w:rsidRPr="00A453EC">
        <w:rPr>
          <w:rStyle w:val="FootnoteReference"/>
        </w:rPr>
        <w:footnoteRef/>
      </w:r>
      <w:r w:rsidRPr="00A453EC">
        <w:t xml:space="preserve"> See Dr James Jordan, NERA Economic Consulting, "Comparison of A350 XWB LA/MSF Interest Rates with Market Benchmarks", 18</w:t>
      </w:r>
      <w:r>
        <w:t> October 20</w:t>
      </w:r>
      <w:r w:rsidRPr="00A453EC">
        <w:t xml:space="preserve">12 </w:t>
      </w:r>
      <w:r>
        <w:t xml:space="preserve">(Jordan Report) </w:t>
      </w:r>
      <w:r w:rsidRPr="00A453EC">
        <w:t>(Panel Exhibit USA-475 (BCI/HSBI)).</w:t>
      </w:r>
    </w:p>
  </w:footnote>
  <w:footnote w:id="287">
    <w:p w:rsidR="00FD2727" w:rsidRDefault="00FD2727" w:rsidP="000A18DA">
      <w:pPr>
        <w:pStyle w:val="FootnoteText"/>
        <w:keepNext/>
        <w:keepLines/>
      </w:pPr>
      <w:r w:rsidRPr="00A453EC">
        <w:rPr>
          <w:rStyle w:val="FootnoteReference"/>
        </w:rPr>
        <w:footnoteRef/>
      </w:r>
      <w:r w:rsidRPr="00A453EC">
        <w:t xml:space="preserve"> Panel Report, </w:t>
      </w:r>
      <w:r>
        <w:t>para. </w:t>
      </w:r>
      <w:r w:rsidRPr="00A453EC">
        <w:t xml:space="preserve">6.353. In the original proceedings, the </w:t>
      </w:r>
      <w:r>
        <w:t>United States</w:t>
      </w:r>
      <w:r w:rsidRPr="00A453EC">
        <w:t xml:space="preserve"> constructed a corporate borrowing rate for each of the four member States, using what limited bond data was then available regarding the relevant Airbus companies for the time periods in question and regression models and other techniques to fill data gaps. The constructed corporate borrowing rate for each of the four member States was the sum of a government borrowing rate (said to be a "risk-free" borrowing rate) derived from government bonds and a "general corporate risk premium", or credit spread, derived from Aérospatiale and BAE Systems bond data for borrowing in France and the United Kingdom (i.e. the spread between French and UK risk-free rates) and the performance of similarly rated bonds. The corporate risk premium was applied </w:t>
      </w:r>
      <w:r>
        <w:t>over the relevant country</w:t>
      </w:r>
      <w:r>
        <w:noBreakHyphen/>
      </w:r>
      <w:r w:rsidRPr="00A453EC">
        <w:t>specific risk-free rate to arrive at a corporate rate for each contract. (Ibid. (referring to Ellis-Jordan Report, 10</w:t>
      </w:r>
      <w:r>
        <w:t> November 20</w:t>
      </w:r>
      <w:r w:rsidRPr="00A453EC">
        <w:t>06 (Panel Exhibit USA-474/506 (</w:t>
      </w:r>
      <w:r w:rsidRPr="008920B2">
        <w:t>BCI)</w:t>
      </w:r>
      <w:r>
        <w:t xml:space="preserve"> (exhibited twice)</w:t>
      </w:r>
      <w:r w:rsidRPr="008920B2">
        <w:t>), pp. 1 and 7))</w:t>
      </w:r>
    </w:p>
  </w:footnote>
  <w:footnote w:id="288">
    <w:p w:rsidR="00FD2727" w:rsidRPr="006477CA" w:rsidRDefault="00FD2727" w:rsidP="00206326">
      <w:pPr>
        <w:pStyle w:val="FootnoteText"/>
        <w:keepLines/>
      </w:pPr>
      <w:r w:rsidRPr="006477CA">
        <w:rPr>
          <w:rStyle w:val="FootnoteReference"/>
        </w:rPr>
        <w:footnoteRef/>
      </w:r>
      <w:r w:rsidRPr="006477CA">
        <w:t xml:space="preserve"> Panel Report, </w:t>
      </w:r>
      <w:r>
        <w:t>para. </w:t>
      </w:r>
      <w:r w:rsidRPr="006477CA">
        <w:t>6.357.</w:t>
      </w:r>
    </w:p>
  </w:footnote>
  <w:footnote w:id="289">
    <w:p w:rsidR="00FD2727" w:rsidRPr="008A5F34" w:rsidRDefault="00FD2727">
      <w:pPr>
        <w:pStyle w:val="FootnoteText"/>
        <w:rPr>
          <w:lang w:val="en-US"/>
        </w:rPr>
      </w:pPr>
      <w:r>
        <w:rPr>
          <w:rStyle w:val="FootnoteReference"/>
        </w:rPr>
        <w:footnoteRef/>
      </w:r>
      <w:r>
        <w:t xml:space="preserve"> </w:t>
      </w:r>
      <w:r>
        <w:rPr>
          <w:lang w:val="en-US"/>
        </w:rPr>
        <w:t>Professor Robert Whitelaw, "Response to Dr Jordan's report on the benefits of MSF", 13 December 2012 (Whitelaw Response to Jordan) (Panel Exhibit EU-121 (BCI/HSBI)).</w:t>
      </w:r>
    </w:p>
  </w:footnote>
  <w:footnote w:id="290">
    <w:p w:rsidR="00FD2727" w:rsidRPr="0097319F" w:rsidRDefault="00FD2727" w:rsidP="00206326">
      <w:pPr>
        <w:pStyle w:val="FootnoteText"/>
        <w:keepLines/>
      </w:pPr>
      <w:r w:rsidRPr="006477CA">
        <w:rPr>
          <w:rStyle w:val="FootnoteReference"/>
        </w:rPr>
        <w:footnoteRef/>
      </w:r>
      <w:r w:rsidRPr="006477CA">
        <w:t xml:space="preserve"> Panel Report, </w:t>
      </w:r>
      <w:r>
        <w:t>para. </w:t>
      </w:r>
      <w:r w:rsidRPr="006477CA">
        <w:t xml:space="preserve">6.357 (quoting </w:t>
      </w:r>
      <w:r w:rsidRPr="00A453EC">
        <w:t>Whitelaw Response to Jordan (Panel Exhibit EU-121 (BCI</w:t>
      </w:r>
      <w:r w:rsidRPr="006477CA">
        <w:t>/HSBI)</w:t>
      </w:r>
      <w:r w:rsidRPr="00845341">
        <w:t>)</w:t>
      </w:r>
      <w:r w:rsidRPr="00264244">
        <w:t xml:space="preserve">, </w:t>
      </w:r>
      <w:r>
        <w:t>paras. </w:t>
      </w:r>
      <w:r w:rsidRPr="00264244">
        <w:t>8 and 11-12, and fns 10 and 13</w:t>
      </w:r>
      <w:r w:rsidRPr="005435FA">
        <w:t xml:space="preserve"> thereto</w:t>
      </w:r>
      <w:r w:rsidRPr="0097319F">
        <w:t>).</w:t>
      </w:r>
    </w:p>
  </w:footnote>
  <w:footnote w:id="291">
    <w:p w:rsidR="00FD2727" w:rsidRPr="006477CA" w:rsidRDefault="00FD2727" w:rsidP="00206326">
      <w:pPr>
        <w:pStyle w:val="FootnoteText"/>
        <w:keepLines/>
      </w:pPr>
      <w:r w:rsidRPr="006477CA">
        <w:rPr>
          <w:rStyle w:val="FootnoteReference"/>
        </w:rPr>
        <w:footnoteRef/>
      </w:r>
      <w:r w:rsidRPr="006477CA">
        <w:t xml:space="preserve"> Panel Report, </w:t>
      </w:r>
      <w:r>
        <w:t>para. </w:t>
      </w:r>
      <w:r w:rsidRPr="006477CA">
        <w:t>6.360.</w:t>
      </w:r>
    </w:p>
  </w:footnote>
  <w:footnote w:id="292">
    <w:p w:rsidR="00FD2727" w:rsidRPr="006477CA" w:rsidRDefault="00FD2727" w:rsidP="00206326">
      <w:pPr>
        <w:pStyle w:val="FootnoteText"/>
        <w:keepLines/>
      </w:pPr>
      <w:r w:rsidRPr="006477CA">
        <w:rPr>
          <w:rStyle w:val="FootnoteReference"/>
        </w:rPr>
        <w:footnoteRef/>
      </w:r>
      <w:r w:rsidRPr="006477CA">
        <w:t xml:space="preserve"> Panel Report, </w:t>
      </w:r>
      <w:r>
        <w:t>para. </w:t>
      </w:r>
      <w:r w:rsidRPr="006477CA">
        <w:t>6.364.</w:t>
      </w:r>
    </w:p>
  </w:footnote>
  <w:footnote w:id="293">
    <w:p w:rsidR="00FD2727" w:rsidRPr="006477CA" w:rsidRDefault="00FD2727" w:rsidP="00206326">
      <w:pPr>
        <w:pStyle w:val="FootnoteText"/>
        <w:keepLines/>
      </w:pPr>
      <w:r w:rsidRPr="006477CA">
        <w:rPr>
          <w:rStyle w:val="FootnoteReference"/>
        </w:rPr>
        <w:footnoteRef/>
      </w:r>
      <w:r w:rsidRPr="006477CA">
        <w:t xml:space="preserve"> Panel Report, </w:t>
      </w:r>
      <w:r>
        <w:t>paras. </w:t>
      </w:r>
      <w:r w:rsidRPr="006477CA">
        <w:t>6.367-6.428.</w:t>
      </w:r>
    </w:p>
  </w:footnote>
  <w:footnote w:id="294">
    <w:p w:rsidR="00FD2727" w:rsidRPr="00657B57" w:rsidRDefault="00FD2727">
      <w:pPr>
        <w:pStyle w:val="FootnoteText"/>
        <w:rPr>
          <w:lang w:val="en-US"/>
        </w:rPr>
      </w:pPr>
      <w:r>
        <w:rPr>
          <w:rStyle w:val="FootnoteReference"/>
        </w:rPr>
        <w:footnoteRef/>
      </w:r>
      <w:r>
        <w:t xml:space="preserve"> </w:t>
      </w:r>
      <w:r>
        <w:rPr>
          <w:lang w:val="en-US"/>
        </w:rPr>
        <w:t>Panel Report, para. 6.367.</w:t>
      </w:r>
    </w:p>
  </w:footnote>
  <w:footnote w:id="295">
    <w:p w:rsidR="00FD2727" w:rsidRPr="006477CA" w:rsidRDefault="00FD2727" w:rsidP="00206326">
      <w:pPr>
        <w:pStyle w:val="FootnoteText"/>
        <w:keepLines/>
      </w:pPr>
      <w:r w:rsidRPr="006477CA">
        <w:rPr>
          <w:rStyle w:val="FootnoteReference"/>
        </w:rPr>
        <w:footnoteRef/>
      </w:r>
      <w:r w:rsidRPr="006477CA">
        <w:t xml:space="preserve"> Panel Report, </w:t>
      </w:r>
      <w:r>
        <w:t>para. </w:t>
      </w:r>
      <w:r w:rsidRPr="006477CA">
        <w:t>6.372.</w:t>
      </w:r>
    </w:p>
  </w:footnote>
  <w:footnote w:id="296">
    <w:p w:rsidR="00FD2727" w:rsidRDefault="00FD2727" w:rsidP="00206326">
      <w:pPr>
        <w:pStyle w:val="FootnoteText"/>
        <w:keepLines/>
      </w:pPr>
      <w:r>
        <w:rPr>
          <w:rStyle w:val="FootnoteReference"/>
        </w:rPr>
        <w:footnoteRef/>
      </w:r>
      <w:r>
        <w:t xml:space="preserve"> </w:t>
      </w:r>
      <w:r w:rsidRPr="006477CA">
        <w:t xml:space="preserve">Panel Report, </w:t>
      </w:r>
      <w:r>
        <w:t>para. </w:t>
      </w:r>
      <w:r w:rsidRPr="006477CA">
        <w:t>6.37</w:t>
      </w:r>
      <w:r>
        <w:t>3</w:t>
      </w:r>
      <w:r w:rsidRPr="006477CA">
        <w:t>.</w:t>
      </w:r>
    </w:p>
  </w:footnote>
  <w:footnote w:id="297">
    <w:p w:rsidR="00FD2727" w:rsidRPr="006477CA" w:rsidRDefault="00FD2727" w:rsidP="00206326">
      <w:pPr>
        <w:pStyle w:val="FootnoteText"/>
        <w:keepLines/>
      </w:pPr>
      <w:r w:rsidRPr="006477CA">
        <w:rPr>
          <w:rStyle w:val="FootnoteReference"/>
        </w:rPr>
        <w:footnoteRef/>
      </w:r>
      <w:r w:rsidRPr="006477CA">
        <w:t xml:space="preserve"> Panel Report, </w:t>
      </w:r>
      <w:r>
        <w:t>para. </w:t>
      </w:r>
      <w:r w:rsidRPr="006477CA">
        <w:t>6.374.</w:t>
      </w:r>
    </w:p>
  </w:footnote>
  <w:footnote w:id="298">
    <w:p w:rsidR="00FD2727" w:rsidRPr="00EA62A6" w:rsidRDefault="00FD2727" w:rsidP="00206326">
      <w:pPr>
        <w:pStyle w:val="FootnoteText"/>
        <w:keepLines/>
        <w:rPr>
          <w:lang w:val="en-US"/>
        </w:rPr>
      </w:pPr>
      <w:r>
        <w:rPr>
          <w:rStyle w:val="FootnoteReference"/>
        </w:rPr>
        <w:footnoteRef/>
      </w:r>
      <w:r>
        <w:t xml:space="preserve"> </w:t>
      </w:r>
      <w:r>
        <w:rPr>
          <w:lang w:val="en-US"/>
        </w:rPr>
        <w:t>Panel Report, para. 6.377.</w:t>
      </w:r>
    </w:p>
  </w:footnote>
  <w:footnote w:id="299">
    <w:p w:rsidR="00FD2727" w:rsidRPr="00A453EC" w:rsidRDefault="00FD2727" w:rsidP="00206326">
      <w:pPr>
        <w:pStyle w:val="FootnoteText"/>
        <w:keepLines/>
      </w:pPr>
      <w:r w:rsidRPr="006477CA">
        <w:rPr>
          <w:rStyle w:val="FootnoteReference"/>
        </w:rPr>
        <w:footnoteRef/>
      </w:r>
      <w:r w:rsidRPr="006477CA">
        <w:t xml:space="preserve"> Panel Report, </w:t>
      </w:r>
      <w:r>
        <w:t>para. </w:t>
      </w:r>
      <w:r w:rsidRPr="006477CA">
        <w:t xml:space="preserve">6.378. Professor Whitelaw revealed that the average </w:t>
      </w:r>
      <w:r>
        <w:t xml:space="preserve">YTM </w:t>
      </w:r>
      <w:r w:rsidRPr="00264244">
        <w:t xml:space="preserve">on the bond was computed for the </w:t>
      </w:r>
      <w:r w:rsidRPr="005435FA">
        <w:rPr>
          <w:b/>
        </w:rPr>
        <w:t>[</w:t>
      </w:r>
      <w:r w:rsidRPr="00C8434D">
        <w:rPr>
          <w:b/>
          <w:szCs w:val="16"/>
        </w:rPr>
        <w:t>BCI</w:t>
      </w:r>
      <w:r w:rsidRPr="00A453EC">
        <w:rPr>
          <w:b/>
        </w:rPr>
        <w:t>]</w:t>
      </w:r>
      <w:r w:rsidRPr="00A453EC">
        <w:t xml:space="preserve"> for each of the three euro-denominated A350XWB LA/MSF contracts, with an adjustment based on the average EUR to GBP s</w:t>
      </w:r>
      <w:r>
        <w:t>wap rates being made for the UK </w:t>
      </w:r>
      <w:r w:rsidRPr="00A453EC">
        <w:t>A350XWB LA/MSF contract. (Ibid.)</w:t>
      </w:r>
    </w:p>
  </w:footnote>
  <w:footnote w:id="300">
    <w:p w:rsidR="00FD2727" w:rsidRPr="00A453EC" w:rsidRDefault="00FD2727" w:rsidP="00206326">
      <w:pPr>
        <w:pStyle w:val="FootnoteText"/>
        <w:keepLines/>
      </w:pPr>
      <w:r w:rsidRPr="00A453EC">
        <w:rPr>
          <w:rStyle w:val="FootnoteReference"/>
        </w:rPr>
        <w:footnoteRef/>
      </w:r>
      <w:r w:rsidRPr="00A453EC">
        <w:t xml:space="preserve"> Panel Report, </w:t>
      </w:r>
      <w:r>
        <w:t>para. </w:t>
      </w:r>
      <w:r w:rsidRPr="00A453EC">
        <w:t>6.379 (quoting Dr James Jordan, NERA Economic Consulting, "Reply to Professor Whitelaw's Response to Jordan Report",</w:t>
      </w:r>
      <w:r>
        <w:t> 20 May 20</w:t>
      </w:r>
      <w:r w:rsidRPr="00A453EC">
        <w:t xml:space="preserve">13 </w:t>
      </w:r>
      <w:r>
        <w:t xml:space="preserve">(Jordan Reply) </w:t>
      </w:r>
      <w:r w:rsidRPr="00A453EC">
        <w:t xml:space="preserve">(Panel Exhibit USA-505 (BCI/HSBI)), </w:t>
      </w:r>
      <w:r>
        <w:t>para. </w:t>
      </w:r>
      <w:r w:rsidRPr="00A453EC">
        <w:t xml:space="preserve">16 (fn omitted)). </w:t>
      </w:r>
    </w:p>
  </w:footnote>
  <w:footnote w:id="301">
    <w:p w:rsidR="00FD2727" w:rsidRPr="006477CA" w:rsidRDefault="00FD2727" w:rsidP="00206326">
      <w:pPr>
        <w:pStyle w:val="FootnoteText"/>
        <w:keepNext/>
        <w:keepLines/>
      </w:pPr>
      <w:r w:rsidRPr="00A453EC">
        <w:rPr>
          <w:rStyle w:val="FootnoteReference"/>
        </w:rPr>
        <w:footnoteRef/>
      </w:r>
      <w:r w:rsidRPr="00A453EC">
        <w:t xml:space="preserve"> Panel Report, </w:t>
      </w:r>
      <w:r>
        <w:t>para. </w:t>
      </w:r>
      <w:r w:rsidRPr="00A453EC">
        <w:t>6.379 (quoting Jordan Reply (Panel Exhibit USA-</w:t>
      </w:r>
      <w:r w:rsidRPr="007257C3">
        <w:t>505 (BCI/HSBI</w:t>
      </w:r>
      <w:r w:rsidRPr="00845341">
        <w:t>)</w:t>
      </w:r>
      <w:r w:rsidRPr="00264244">
        <w:t>)</w:t>
      </w:r>
      <w:r w:rsidRPr="005435FA">
        <w:t xml:space="preserve">, </w:t>
      </w:r>
      <w:r>
        <w:t>paras. </w:t>
      </w:r>
      <w:r w:rsidRPr="005435FA">
        <w:t xml:space="preserve">24-28). </w:t>
      </w:r>
    </w:p>
  </w:footnote>
  <w:footnote w:id="302">
    <w:p w:rsidR="00FD2727" w:rsidRPr="00A453EC" w:rsidRDefault="00FD2727" w:rsidP="00206326">
      <w:pPr>
        <w:pStyle w:val="FootnoteText"/>
        <w:keepLines/>
      </w:pPr>
      <w:r w:rsidRPr="006477CA">
        <w:rPr>
          <w:rStyle w:val="FootnoteReference"/>
        </w:rPr>
        <w:footnoteRef/>
      </w:r>
      <w:r w:rsidRPr="006477CA">
        <w:t xml:space="preserve"> Panel Report</w:t>
      </w:r>
      <w:r>
        <w:t>, para. 6.382</w:t>
      </w:r>
      <w:r w:rsidRPr="006477CA">
        <w:t xml:space="preserve"> (</w:t>
      </w:r>
      <w:r w:rsidRPr="00A453EC">
        <w:t>referring to Jordan Reply (Panel Exhibit USA-505 (BCI/HSBI)), Table 6; Jordan Materials in Response to Panel Questions Nos. 110, 111, 112, and 114 (Panel Exhibit USA</w:t>
      </w:r>
      <w:r w:rsidRPr="00A453EC">
        <w:noBreakHyphen/>
        <w:t>567 (BCI/HSBI)), supplement to Table 6).</w:t>
      </w:r>
    </w:p>
  </w:footnote>
  <w:footnote w:id="303">
    <w:p w:rsidR="00FD2727" w:rsidRDefault="00FD2727" w:rsidP="00206326">
      <w:pPr>
        <w:pStyle w:val="FootnoteText"/>
        <w:keepLines/>
      </w:pPr>
      <w:r w:rsidRPr="00A453EC">
        <w:rPr>
          <w:rStyle w:val="FootnoteReference"/>
        </w:rPr>
        <w:footnoteRef/>
      </w:r>
      <w:r w:rsidRPr="00A453EC">
        <w:t xml:space="preserve"> In their submissions before the Panel, the parties referred to the date </w:t>
      </w:r>
      <w:r>
        <w:t>of the conclusion of the French </w:t>
      </w:r>
      <w:r w:rsidRPr="00A453EC">
        <w:t xml:space="preserve">A350XWB </w:t>
      </w:r>
      <w:r w:rsidRPr="00A453EC">
        <w:rPr>
          <w:i/>
        </w:rPr>
        <w:t>Protocole</w:t>
      </w:r>
      <w:r w:rsidRPr="00A453EC">
        <w:t xml:space="preserve"> as </w:t>
      </w:r>
      <w:r w:rsidRPr="00A453EC">
        <w:rPr>
          <w:b/>
        </w:rPr>
        <w:t>[</w:t>
      </w:r>
      <w:r w:rsidRPr="00C8434D">
        <w:rPr>
          <w:b/>
          <w:szCs w:val="16"/>
        </w:rPr>
        <w:t>BCI</w:t>
      </w:r>
      <w:r w:rsidRPr="00A453EC">
        <w:rPr>
          <w:b/>
        </w:rPr>
        <w:t>]</w:t>
      </w:r>
      <w:r w:rsidRPr="00A453EC">
        <w:t xml:space="preserve">. The Panel noted that the French A350XWB </w:t>
      </w:r>
      <w:r w:rsidRPr="00A453EC">
        <w:rPr>
          <w:i/>
        </w:rPr>
        <w:t>Protocole</w:t>
      </w:r>
      <w:r w:rsidRPr="00A453EC">
        <w:t xml:space="preserve"> was signed and dated </w:t>
      </w:r>
      <w:r w:rsidRPr="00A453EC">
        <w:rPr>
          <w:b/>
        </w:rPr>
        <w:t>[</w:t>
      </w:r>
      <w:r w:rsidRPr="00C8434D">
        <w:rPr>
          <w:b/>
          <w:szCs w:val="16"/>
        </w:rPr>
        <w:t>BCI</w:t>
      </w:r>
      <w:r w:rsidRPr="00A453EC">
        <w:rPr>
          <w:b/>
        </w:rPr>
        <w:t xml:space="preserve">] </w:t>
      </w:r>
      <w:r w:rsidRPr="00A453EC">
        <w:t xml:space="preserve">and that </w:t>
      </w:r>
      <w:r w:rsidRPr="00A453EC">
        <w:rPr>
          <w:b/>
        </w:rPr>
        <w:t>[</w:t>
      </w:r>
      <w:r w:rsidRPr="00C8434D">
        <w:rPr>
          <w:b/>
          <w:szCs w:val="16"/>
        </w:rPr>
        <w:t>BCI</w:t>
      </w:r>
      <w:r w:rsidRPr="00A453EC">
        <w:rPr>
          <w:b/>
        </w:rPr>
        <w:t>]</w:t>
      </w:r>
      <w:r w:rsidRPr="00A453EC">
        <w:t xml:space="preserve"> is the date of a cover letter enclosing copies of the French A350XWB </w:t>
      </w:r>
      <w:r w:rsidRPr="00A453EC">
        <w:rPr>
          <w:i/>
        </w:rPr>
        <w:t>Protocole</w:t>
      </w:r>
      <w:r w:rsidRPr="00A453EC">
        <w:t xml:space="preserve"> sent to the Director General of Airbus. Therefore, the Panel considered the correct date for the French A350XWB </w:t>
      </w:r>
      <w:r w:rsidRPr="00A453EC">
        <w:rPr>
          <w:i/>
        </w:rPr>
        <w:t>Protocole</w:t>
      </w:r>
      <w:r w:rsidRPr="00A453EC">
        <w:t xml:space="preserve"> to be </w:t>
      </w:r>
      <w:r w:rsidRPr="00A453EC">
        <w:rPr>
          <w:b/>
        </w:rPr>
        <w:t>[</w:t>
      </w:r>
      <w:r w:rsidRPr="00C8434D">
        <w:rPr>
          <w:b/>
          <w:szCs w:val="16"/>
        </w:rPr>
        <w:t>BCI</w:t>
      </w:r>
      <w:r w:rsidRPr="00A453EC">
        <w:rPr>
          <w:b/>
        </w:rPr>
        <w:t>]</w:t>
      </w:r>
      <w:r w:rsidRPr="00A453EC">
        <w:t>. However, the Panel also decided to include the yields on both dates in the table of calculations for the sake of completeness. (Panel Report, fn 585 to Table 6</w:t>
      </w:r>
      <w:r>
        <w:t xml:space="preserve"> at para. 6.382)</w:t>
      </w:r>
    </w:p>
  </w:footnote>
  <w:footnote w:id="304">
    <w:p w:rsidR="00FD2727" w:rsidRDefault="00FD2727" w:rsidP="00206326">
      <w:pPr>
        <w:pStyle w:val="FootnoteText"/>
        <w:keepLines/>
      </w:pPr>
      <w:r>
        <w:rPr>
          <w:rStyle w:val="FootnoteReference"/>
        </w:rPr>
        <w:footnoteRef/>
      </w:r>
      <w:r>
        <w:t xml:space="preserve"> Panel Report, para. 6.384 (quoting Appellate Body Report, </w:t>
      </w:r>
      <w:r>
        <w:rPr>
          <w:i/>
        </w:rPr>
        <w:t>EC and certain member States – Large Civil Aircraft</w:t>
      </w:r>
      <w:r>
        <w:t xml:space="preserve">, para. 706 (emphasis original)). The Panel also noted the Appellate Body's statement that "{t}he comparison is to be performed as though the {actual and benchmark} loans were obtained at the same time … the assessment focuses on the moment in time when the lender and borrower commit to the transaction". (Ibid. (quoting Appellate Body Report, </w:t>
      </w:r>
      <w:r>
        <w:rPr>
          <w:i/>
        </w:rPr>
        <w:t>EC and certain member States – Large Civil Aircraft</w:t>
      </w:r>
      <w:r>
        <w:t>, paras. 835-836))</w:t>
      </w:r>
    </w:p>
  </w:footnote>
  <w:footnote w:id="305">
    <w:p w:rsidR="00FD2727" w:rsidRPr="00264244" w:rsidRDefault="00FD2727" w:rsidP="00206326">
      <w:pPr>
        <w:pStyle w:val="FootnoteText"/>
        <w:keepLines/>
      </w:pPr>
      <w:r w:rsidRPr="006477CA">
        <w:rPr>
          <w:rStyle w:val="FootnoteReference"/>
        </w:rPr>
        <w:footnoteRef/>
      </w:r>
      <w:r w:rsidRPr="006477CA">
        <w:t xml:space="preserve"> Panel Report, </w:t>
      </w:r>
      <w:r>
        <w:t>para. </w:t>
      </w:r>
      <w:r w:rsidRPr="006477CA">
        <w:t>6.385</w:t>
      </w:r>
      <w:r w:rsidRPr="00264244">
        <w:t>.</w:t>
      </w:r>
    </w:p>
  </w:footnote>
  <w:footnote w:id="306">
    <w:p w:rsidR="00FD2727" w:rsidRPr="006477CA" w:rsidRDefault="00FD2727" w:rsidP="00206326">
      <w:pPr>
        <w:pStyle w:val="FootnoteText"/>
        <w:keepLines/>
      </w:pPr>
      <w:r w:rsidRPr="006477CA">
        <w:rPr>
          <w:rStyle w:val="FootnoteReference"/>
        </w:rPr>
        <w:footnoteRef/>
      </w:r>
      <w:r w:rsidRPr="006477CA">
        <w:t xml:space="preserve"> Panel Report, </w:t>
      </w:r>
      <w:r>
        <w:t>para. </w:t>
      </w:r>
      <w:r w:rsidRPr="006477CA">
        <w:t>6.385.</w:t>
      </w:r>
    </w:p>
  </w:footnote>
  <w:footnote w:id="307">
    <w:p w:rsidR="00FD2727" w:rsidRPr="006477CA" w:rsidRDefault="00FD2727" w:rsidP="00206326">
      <w:pPr>
        <w:pStyle w:val="FootnoteText"/>
        <w:keepLines/>
      </w:pPr>
      <w:r w:rsidRPr="006477CA">
        <w:rPr>
          <w:rStyle w:val="FootnoteReference"/>
        </w:rPr>
        <w:footnoteRef/>
      </w:r>
      <w:r w:rsidRPr="006477CA">
        <w:t xml:space="preserve"> Panel Report, </w:t>
      </w:r>
      <w:r>
        <w:t>para. </w:t>
      </w:r>
      <w:r w:rsidRPr="006477CA">
        <w:t>6.385.</w:t>
      </w:r>
    </w:p>
  </w:footnote>
  <w:footnote w:id="308">
    <w:p w:rsidR="00FD2727" w:rsidRPr="0097319F" w:rsidRDefault="00FD2727" w:rsidP="00206326">
      <w:pPr>
        <w:pStyle w:val="FootnoteText"/>
        <w:keepLines/>
      </w:pPr>
      <w:r w:rsidRPr="006477CA">
        <w:rPr>
          <w:rStyle w:val="FootnoteReference"/>
        </w:rPr>
        <w:footnoteRef/>
      </w:r>
      <w:r w:rsidRPr="006477CA">
        <w:t xml:space="preserve"> Panel Report, </w:t>
      </w:r>
      <w:r>
        <w:t>para. </w:t>
      </w:r>
      <w:r w:rsidRPr="006477CA">
        <w:t>6.386 (</w:t>
      </w:r>
      <w:r w:rsidRPr="00A453EC">
        <w:t>referring to Jordan Reply (Panel Exhibit USA-505 (BCI</w:t>
      </w:r>
      <w:r>
        <w:t>/HSBI</w:t>
      </w:r>
      <w:r w:rsidRPr="00264244">
        <w:t>)</w:t>
      </w:r>
      <w:r w:rsidRPr="005435FA">
        <w:t>)</w:t>
      </w:r>
      <w:r w:rsidRPr="0097319F">
        <w:t xml:space="preserve">, </w:t>
      </w:r>
      <w:r>
        <w:t>para. </w:t>
      </w:r>
      <w:r w:rsidRPr="0097319F">
        <w:t>27). (emphasis added</w:t>
      </w:r>
      <w:r>
        <w:t>; additional text in fn 588 thereto omitted</w:t>
      </w:r>
      <w:r w:rsidRPr="0097319F">
        <w:t>)</w:t>
      </w:r>
    </w:p>
  </w:footnote>
  <w:footnote w:id="309">
    <w:p w:rsidR="00FD2727" w:rsidRDefault="00FD2727" w:rsidP="00206326">
      <w:pPr>
        <w:pStyle w:val="FootnoteText"/>
        <w:keepLines/>
      </w:pPr>
      <w:r>
        <w:rPr>
          <w:rStyle w:val="FootnoteReference"/>
        </w:rPr>
        <w:footnoteRef/>
      </w:r>
      <w:r>
        <w:t xml:space="preserve"> </w:t>
      </w:r>
      <w:r w:rsidRPr="006477CA">
        <w:t xml:space="preserve">Panel Report, </w:t>
      </w:r>
      <w:r>
        <w:t>para. </w:t>
      </w:r>
      <w:r w:rsidRPr="006477CA">
        <w:t>6.386</w:t>
      </w:r>
      <w:r>
        <w:t>.</w:t>
      </w:r>
    </w:p>
  </w:footnote>
  <w:footnote w:id="310">
    <w:p w:rsidR="00FD2727" w:rsidRDefault="00FD2727" w:rsidP="00206326">
      <w:pPr>
        <w:pStyle w:val="FootnoteText"/>
        <w:keepLines/>
      </w:pPr>
      <w:r>
        <w:rPr>
          <w:rStyle w:val="FootnoteReference"/>
        </w:rPr>
        <w:footnoteRef/>
      </w:r>
      <w:r>
        <w:t xml:space="preserve"> </w:t>
      </w:r>
      <w:r w:rsidRPr="006477CA">
        <w:t xml:space="preserve">Panel Report, </w:t>
      </w:r>
      <w:r>
        <w:t>para. </w:t>
      </w:r>
      <w:r w:rsidRPr="006477CA">
        <w:t>6.386</w:t>
      </w:r>
      <w:r>
        <w:t>. (emphasis omitted)</w:t>
      </w:r>
    </w:p>
  </w:footnote>
  <w:footnote w:id="311">
    <w:p w:rsidR="00FD2727" w:rsidRPr="00050E57" w:rsidRDefault="00FD2727" w:rsidP="00206326">
      <w:pPr>
        <w:pStyle w:val="FootnoteText"/>
        <w:keepNext/>
        <w:keepLines/>
      </w:pPr>
      <w:r w:rsidRPr="006477CA">
        <w:rPr>
          <w:rStyle w:val="FootnoteReference"/>
        </w:rPr>
        <w:footnoteRef/>
      </w:r>
      <w:r>
        <w:t xml:space="preserve"> Panel Report, para. 6.386.</w:t>
      </w:r>
    </w:p>
  </w:footnote>
  <w:footnote w:id="312">
    <w:p w:rsidR="00FD2727" w:rsidRDefault="00FD2727" w:rsidP="00206326">
      <w:pPr>
        <w:pStyle w:val="FootnoteText"/>
        <w:keepLines/>
      </w:pPr>
      <w:r>
        <w:rPr>
          <w:rStyle w:val="FootnoteReference"/>
        </w:rPr>
        <w:footnoteRef/>
      </w:r>
      <w:r>
        <w:t xml:space="preserve"> </w:t>
      </w:r>
      <w:r w:rsidRPr="006477CA">
        <w:t xml:space="preserve">Panel Report, </w:t>
      </w:r>
      <w:r>
        <w:t>para. </w:t>
      </w:r>
      <w:r w:rsidRPr="006477CA">
        <w:t>6.387.</w:t>
      </w:r>
      <w:r>
        <w:t xml:space="preserve"> (emphasis added)</w:t>
      </w:r>
    </w:p>
  </w:footnote>
  <w:footnote w:id="313">
    <w:p w:rsidR="00FD2727" w:rsidRPr="006477CA" w:rsidRDefault="00FD2727" w:rsidP="00206326">
      <w:pPr>
        <w:pStyle w:val="FootnoteText"/>
        <w:keepLines/>
      </w:pPr>
      <w:r w:rsidRPr="006477CA">
        <w:rPr>
          <w:rStyle w:val="FootnoteReference"/>
        </w:rPr>
        <w:footnoteRef/>
      </w:r>
      <w:r w:rsidRPr="006477CA">
        <w:t xml:space="preserve"> Panel Report, </w:t>
      </w:r>
      <w:r>
        <w:t>para. </w:t>
      </w:r>
      <w:r w:rsidRPr="006477CA">
        <w:t>6.387. (emphasis original)</w:t>
      </w:r>
    </w:p>
  </w:footnote>
  <w:footnote w:id="314">
    <w:p w:rsidR="00FD2727" w:rsidRPr="00845341" w:rsidRDefault="00FD2727" w:rsidP="00206326">
      <w:pPr>
        <w:pStyle w:val="FootnoteText"/>
        <w:keepLines/>
      </w:pPr>
      <w:r w:rsidRPr="006477CA">
        <w:rPr>
          <w:rStyle w:val="FootnoteReference"/>
        </w:rPr>
        <w:footnoteRef/>
      </w:r>
      <w:r w:rsidRPr="006477CA">
        <w:t xml:space="preserve"> Panel Report, </w:t>
      </w:r>
      <w:r>
        <w:t>para. </w:t>
      </w:r>
      <w:r w:rsidRPr="006477CA">
        <w:t xml:space="preserve">6.387. </w:t>
      </w:r>
      <w:r>
        <w:t xml:space="preserve">In contrast to </w:t>
      </w:r>
      <w:r w:rsidRPr="006477CA">
        <w:t xml:space="preserve">market rates </w:t>
      </w:r>
      <w:r w:rsidRPr="006477CA">
        <w:rPr>
          <w:i/>
        </w:rPr>
        <w:t xml:space="preserve">after </w:t>
      </w:r>
      <w:r w:rsidRPr="006477CA">
        <w:t>the time of conclusion of the relevant contract</w:t>
      </w:r>
      <w:r>
        <w:t>, the Panel noted that</w:t>
      </w:r>
      <w:r w:rsidRPr="006477CA">
        <w:t xml:space="preserve"> market rates for debt in the lead-up to the conclusion of a contract could provide empirical evidence of the "going market rates" and may be indicative of what the </w:t>
      </w:r>
      <w:r w:rsidRPr="00845341">
        <w:t>market might have been willing to offer and accept at the time of conclusion of the relevant contract. (Ibid.)</w:t>
      </w:r>
    </w:p>
  </w:footnote>
  <w:footnote w:id="315">
    <w:p w:rsidR="00FD2727" w:rsidRPr="006477CA" w:rsidRDefault="00FD2727" w:rsidP="00206326">
      <w:pPr>
        <w:pStyle w:val="FootnoteText"/>
        <w:keepLines/>
      </w:pPr>
      <w:r w:rsidRPr="006477CA">
        <w:rPr>
          <w:rStyle w:val="FootnoteReference"/>
        </w:rPr>
        <w:footnoteRef/>
      </w:r>
      <w:r w:rsidRPr="006477CA">
        <w:t xml:space="preserve"> Panel Report, </w:t>
      </w:r>
      <w:r>
        <w:t>para. </w:t>
      </w:r>
      <w:r w:rsidRPr="006477CA">
        <w:t>6.388.</w:t>
      </w:r>
      <w:r w:rsidRPr="00AF3745">
        <w:t xml:space="preserve"> </w:t>
      </w:r>
      <w:r>
        <w:t>In particular, t</w:t>
      </w:r>
      <w:r w:rsidRPr="006477CA">
        <w:t xml:space="preserve">he Panel </w:t>
      </w:r>
      <w:r>
        <w:t xml:space="preserve">considered that </w:t>
      </w:r>
      <w:r w:rsidRPr="006477CA">
        <w:t xml:space="preserve">Professor Whitelaw's approach </w:t>
      </w:r>
      <w:r>
        <w:t>was</w:t>
      </w:r>
      <w:r w:rsidRPr="006477CA">
        <w:t xml:space="preserve"> </w:t>
      </w:r>
      <w:r>
        <w:t xml:space="preserve">not </w:t>
      </w:r>
      <w:r w:rsidRPr="006477CA">
        <w:t xml:space="preserve">consistent with the </w:t>
      </w:r>
      <w:r>
        <w:t>Appellate Body</w:t>
      </w:r>
      <w:r w:rsidRPr="006477CA">
        <w:t>'s guidance that: (</w:t>
      </w:r>
      <w:r>
        <w:t>i</w:t>
      </w:r>
      <w:r w:rsidRPr="006477CA">
        <w:t>) the benchmark entails a consideration of what a market participant would have been able to secure on the market at that time;</w:t>
      </w:r>
      <w:r w:rsidRPr="00264244">
        <w:t xml:space="preserve"> and (</w:t>
      </w:r>
      <w:r>
        <w:t>ii</w:t>
      </w:r>
      <w:r w:rsidRPr="00264244">
        <w:t>) the assessment focuses on the moment in time when the lender and borrower commit to the transaction.</w:t>
      </w:r>
      <w:r>
        <w:t xml:space="preserve"> (Ibid.)</w:t>
      </w:r>
    </w:p>
  </w:footnote>
  <w:footnote w:id="316">
    <w:p w:rsidR="00FD2727" w:rsidRPr="006477CA" w:rsidRDefault="00FD2727" w:rsidP="00206326">
      <w:pPr>
        <w:pStyle w:val="FootnoteText"/>
        <w:keepLines/>
      </w:pPr>
      <w:r w:rsidRPr="006477CA">
        <w:rPr>
          <w:rStyle w:val="FootnoteReference"/>
        </w:rPr>
        <w:footnoteRef/>
      </w:r>
      <w:r w:rsidRPr="006477CA">
        <w:t xml:space="preserve"> Panel Report, </w:t>
      </w:r>
      <w:r>
        <w:t>para. </w:t>
      </w:r>
      <w:r w:rsidRPr="006477CA">
        <w:t>6.388.</w:t>
      </w:r>
    </w:p>
  </w:footnote>
  <w:footnote w:id="317">
    <w:p w:rsidR="00FD2727" w:rsidRPr="006477CA" w:rsidRDefault="00FD2727" w:rsidP="00206326">
      <w:pPr>
        <w:pStyle w:val="FootnoteText"/>
        <w:keepLines/>
      </w:pPr>
      <w:r w:rsidRPr="006477CA">
        <w:rPr>
          <w:rStyle w:val="FootnoteReference"/>
        </w:rPr>
        <w:footnoteRef/>
      </w:r>
      <w:r w:rsidRPr="000F1320">
        <w:t xml:space="preserve"> Panel Report, </w:t>
      </w:r>
      <w:r>
        <w:t>para. </w:t>
      </w:r>
      <w:r w:rsidRPr="006477CA">
        <w:t>6.389.</w:t>
      </w:r>
    </w:p>
  </w:footnote>
  <w:footnote w:id="318">
    <w:p w:rsidR="00FD2727" w:rsidRPr="006477CA" w:rsidRDefault="00FD2727" w:rsidP="00206326">
      <w:pPr>
        <w:pStyle w:val="FootnoteText"/>
        <w:keepLines/>
      </w:pPr>
      <w:r w:rsidRPr="006477CA">
        <w:rPr>
          <w:rStyle w:val="FootnoteReference"/>
        </w:rPr>
        <w:footnoteRef/>
      </w:r>
      <w:r w:rsidRPr="006477CA">
        <w:t xml:space="preserve"> Panel Report, </w:t>
      </w:r>
      <w:r>
        <w:t>para. </w:t>
      </w:r>
      <w:r w:rsidRPr="006477CA">
        <w:t>6.389.</w:t>
      </w:r>
    </w:p>
  </w:footnote>
  <w:footnote w:id="319">
    <w:p w:rsidR="00FD2727" w:rsidRPr="006477CA" w:rsidRDefault="00FD2727" w:rsidP="00206326">
      <w:pPr>
        <w:pStyle w:val="FootnoteText"/>
        <w:keepLines/>
      </w:pPr>
      <w:r w:rsidRPr="006477CA">
        <w:rPr>
          <w:rStyle w:val="FootnoteReference"/>
        </w:rPr>
        <w:footnoteRef/>
      </w:r>
      <w:r w:rsidRPr="006477CA">
        <w:t xml:space="preserve"> Panel Report, </w:t>
      </w:r>
      <w:r>
        <w:t>para. </w:t>
      </w:r>
      <w:r w:rsidRPr="006477CA">
        <w:t>6.389.</w:t>
      </w:r>
    </w:p>
  </w:footnote>
  <w:footnote w:id="320">
    <w:p w:rsidR="00FD2727" w:rsidRPr="006477CA" w:rsidRDefault="00FD2727" w:rsidP="00206326">
      <w:pPr>
        <w:pStyle w:val="FootnoteText"/>
        <w:keepLines/>
      </w:pPr>
      <w:r w:rsidRPr="006477CA">
        <w:rPr>
          <w:rStyle w:val="FootnoteReference"/>
        </w:rPr>
        <w:footnoteRef/>
      </w:r>
      <w:r w:rsidRPr="006477CA">
        <w:t xml:space="preserve"> Panel Report, </w:t>
      </w:r>
      <w:r>
        <w:t>para. </w:t>
      </w:r>
      <w:r w:rsidRPr="006477CA">
        <w:t>6.389.</w:t>
      </w:r>
    </w:p>
  </w:footnote>
  <w:footnote w:id="321">
    <w:p w:rsidR="00FD2727" w:rsidRPr="006477CA" w:rsidRDefault="00FD2727" w:rsidP="00206326">
      <w:pPr>
        <w:pStyle w:val="FootnoteText"/>
        <w:keepLines/>
      </w:pPr>
      <w:r w:rsidRPr="006477CA">
        <w:rPr>
          <w:rStyle w:val="FootnoteReference"/>
        </w:rPr>
        <w:footnoteRef/>
      </w:r>
      <w:r w:rsidRPr="006477CA">
        <w:t xml:space="preserve"> Panel Report, </w:t>
      </w:r>
      <w:r>
        <w:t>para. </w:t>
      </w:r>
      <w:r w:rsidRPr="006477CA">
        <w:t>6.392.</w:t>
      </w:r>
    </w:p>
  </w:footnote>
  <w:footnote w:id="322">
    <w:p w:rsidR="00FD2727" w:rsidRPr="006477CA" w:rsidRDefault="00FD2727" w:rsidP="00206326">
      <w:pPr>
        <w:pStyle w:val="FootnoteText"/>
        <w:keepLines/>
      </w:pPr>
      <w:r w:rsidRPr="006477CA">
        <w:rPr>
          <w:rStyle w:val="FootnoteReference"/>
        </w:rPr>
        <w:footnoteRef/>
      </w:r>
      <w:r w:rsidRPr="006477CA">
        <w:t xml:space="preserve"> Panel Report, </w:t>
      </w:r>
      <w:r>
        <w:t>para. </w:t>
      </w:r>
      <w:r w:rsidRPr="006477CA">
        <w:t>6.399.</w:t>
      </w:r>
    </w:p>
  </w:footnote>
  <w:footnote w:id="323">
    <w:p w:rsidR="00FD2727" w:rsidRPr="006477CA" w:rsidRDefault="00FD2727" w:rsidP="00206326">
      <w:pPr>
        <w:pStyle w:val="FootnoteText"/>
        <w:keepLines/>
      </w:pPr>
      <w:r w:rsidRPr="006477CA">
        <w:rPr>
          <w:rStyle w:val="FootnoteReference"/>
        </w:rPr>
        <w:footnoteRef/>
      </w:r>
      <w:r w:rsidRPr="006477CA">
        <w:t xml:space="preserve"> Panel Report, </w:t>
      </w:r>
      <w:r>
        <w:t>para. </w:t>
      </w:r>
      <w:r w:rsidRPr="006477CA">
        <w:t>6.400.</w:t>
      </w:r>
    </w:p>
  </w:footnote>
  <w:footnote w:id="324">
    <w:p w:rsidR="00FD2727" w:rsidRPr="000F1320" w:rsidRDefault="00FD2727" w:rsidP="00206326">
      <w:pPr>
        <w:pStyle w:val="FootnoteText"/>
        <w:keepNext/>
        <w:keepLines/>
      </w:pPr>
      <w:r w:rsidRPr="006477CA">
        <w:rPr>
          <w:rStyle w:val="FootnoteReference"/>
        </w:rPr>
        <w:footnoteRef/>
      </w:r>
      <w:r>
        <w:t xml:space="preserve"> Panel Report, para. 6.417.</w:t>
      </w:r>
    </w:p>
  </w:footnote>
  <w:footnote w:id="325">
    <w:p w:rsidR="00FD2727" w:rsidRPr="006477CA" w:rsidRDefault="00FD2727" w:rsidP="00206326">
      <w:pPr>
        <w:pStyle w:val="FootnoteText"/>
        <w:keepLines/>
      </w:pPr>
      <w:r w:rsidRPr="006477CA">
        <w:rPr>
          <w:rStyle w:val="FootnoteReference"/>
        </w:rPr>
        <w:footnoteRef/>
      </w:r>
      <w:r w:rsidRPr="000F1320">
        <w:t xml:space="preserve"> Panel Report, </w:t>
      </w:r>
      <w:r>
        <w:t>para. </w:t>
      </w:r>
      <w:r w:rsidRPr="006477CA">
        <w:t>6.421.</w:t>
      </w:r>
    </w:p>
  </w:footnote>
  <w:footnote w:id="326">
    <w:p w:rsidR="00FD2727" w:rsidRPr="006477CA" w:rsidRDefault="00FD2727" w:rsidP="00206326">
      <w:pPr>
        <w:pStyle w:val="FootnoteText"/>
        <w:keepLines/>
      </w:pPr>
      <w:r w:rsidRPr="006477CA">
        <w:rPr>
          <w:rStyle w:val="FootnoteReference"/>
        </w:rPr>
        <w:footnoteRef/>
      </w:r>
      <w:r w:rsidRPr="006477CA">
        <w:t xml:space="preserve"> The Panel considered </w:t>
      </w:r>
      <w:r>
        <w:t xml:space="preserve">it </w:t>
      </w:r>
      <w:r w:rsidRPr="006477CA">
        <w:t xml:space="preserve">unclear that the </w:t>
      </w:r>
      <w:r>
        <w:t>United States</w:t>
      </w:r>
      <w:r w:rsidRPr="006477CA">
        <w:t xml:space="preserve">' underwriting fee estimate, </w:t>
      </w:r>
      <w:r>
        <w:t>derived</w:t>
      </w:r>
      <w:r w:rsidRPr="006477CA">
        <w:t xml:space="preserve"> from an analysis of complex, equity-linked, derivative</w:t>
      </w:r>
      <w:r>
        <w:t>,</w:t>
      </w:r>
      <w:r w:rsidRPr="006477CA">
        <w:t xml:space="preserve"> and innovative instruments, would match the kind of normal fees </w:t>
      </w:r>
      <w:r>
        <w:t xml:space="preserve">that </w:t>
      </w:r>
      <w:r w:rsidRPr="006477CA">
        <w:t xml:space="preserve">Airbus would face if it turned to the market for funding for the A350XWB. (Panel Report, </w:t>
      </w:r>
      <w:r>
        <w:t>para. </w:t>
      </w:r>
      <w:r w:rsidRPr="006477CA">
        <w:t>6.428)</w:t>
      </w:r>
    </w:p>
  </w:footnote>
  <w:footnote w:id="327">
    <w:p w:rsidR="00FD2727" w:rsidRPr="0097319F" w:rsidRDefault="00FD2727" w:rsidP="00206326">
      <w:pPr>
        <w:pStyle w:val="FootnoteText"/>
        <w:keepLines/>
      </w:pPr>
      <w:r w:rsidRPr="006477CA">
        <w:rPr>
          <w:rStyle w:val="FootnoteReference"/>
        </w:rPr>
        <w:footnoteRef/>
      </w:r>
      <w:r w:rsidRPr="006477CA">
        <w:t xml:space="preserve"> Panel Report, </w:t>
      </w:r>
      <w:r>
        <w:t>para. </w:t>
      </w:r>
      <w:r w:rsidRPr="006477CA">
        <w:t xml:space="preserve">6.428 (referring to </w:t>
      </w:r>
      <w:r>
        <w:t>European Union</w:t>
      </w:r>
      <w:r w:rsidRPr="006477CA">
        <w:t xml:space="preserve">'s comments on the </w:t>
      </w:r>
      <w:r>
        <w:t>United States</w:t>
      </w:r>
      <w:r w:rsidRPr="006477CA">
        <w:t xml:space="preserve">' response to Panel question No. 161, </w:t>
      </w:r>
      <w:r>
        <w:t>para. </w:t>
      </w:r>
      <w:r w:rsidRPr="006477CA">
        <w:t>16 and fn 41</w:t>
      </w:r>
      <w:r>
        <w:t xml:space="preserve"> thereto; Whitelaw </w:t>
      </w:r>
      <w:r w:rsidRPr="00A453EC">
        <w:t>Comments</w:t>
      </w:r>
      <w:r>
        <w:t xml:space="preserve"> on US Responses (Panel Exhibit </w:t>
      </w:r>
      <w:r w:rsidRPr="00A453EC">
        <w:t xml:space="preserve">EU-508 (BCI)), </w:t>
      </w:r>
      <w:r>
        <w:t>para. </w:t>
      </w:r>
      <w:r w:rsidRPr="00A453EC">
        <w:t>16).</w:t>
      </w:r>
    </w:p>
  </w:footnote>
  <w:footnote w:id="328">
    <w:p w:rsidR="00FD2727" w:rsidRPr="006477CA" w:rsidRDefault="00FD2727" w:rsidP="00206326">
      <w:pPr>
        <w:pStyle w:val="FootnoteText"/>
        <w:keepLines/>
      </w:pPr>
      <w:r w:rsidRPr="006477CA">
        <w:rPr>
          <w:rStyle w:val="FootnoteReference"/>
        </w:rPr>
        <w:footnoteRef/>
      </w:r>
      <w:r w:rsidRPr="006477CA">
        <w:t xml:space="preserve"> Panel Report, </w:t>
      </w:r>
      <w:r>
        <w:t>para. </w:t>
      </w:r>
      <w:r w:rsidRPr="006477CA">
        <w:t>6.</w:t>
      </w:r>
      <w:r>
        <w:t>4</w:t>
      </w:r>
      <w:r w:rsidRPr="006477CA">
        <w:t>29.</w:t>
      </w:r>
    </w:p>
  </w:footnote>
  <w:footnote w:id="329">
    <w:p w:rsidR="00FD2727" w:rsidRPr="006477CA" w:rsidRDefault="00FD2727" w:rsidP="00206326">
      <w:pPr>
        <w:pStyle w:val="FootnoteText"/>
        <w:keepLines/>
      </w:pPr>
      <w:r w:rsidRPr="006477CA">
        <w:rPr>
          <w:rStyle w:val="FootnoteReference"/>
        </w:rPr>
        <w:footnoteRef/>
      </w:r>
      <w:r w:rsidRPr="006477CA">
        <w:t xml:space="preserve"> Panel Report, </w:t>
      </w:r>
      <w:r>
        <w:t>para. </w:t>
      </w:r>
      <w:r w:rsidRPr="006477CA">
        <w:t>6.429.</w:t>
      </w:r>
    </w:p>
  </w:footnote>
  <w:footnote w:id="330">
    <w:p w:rsidR="00FD2727" w:rsidRDefault="00FD2727" w:rsidP="00206326">
      <w:pPr>
        <w:pStyle w:val="FootnoteText"/>
        <w:keepLines/>
      </w:pPr>
      <w:r>
        <w:rPr>
          <w:rStyle w:val="FootnoteReference"/>
        </w:rPr>
        <w:footnoteRef/>
      </w:r>
      <w:r>
        <w:t xml:space="preserve"> </w:t>
      </w:r>
      <w:r w:rsidRPr="006477CA">
        <w:t xml:space="preserve">Panel Report, </w:t>
      </w:r>
      <w:r>
        <w:t>para. </w:t>
      </w:r>
      <w:r w:rsidRPr="006477CA">
        <w:t>6.429.</w:t>
      </w:r>
    </w:p>
  </w:footnote>
  <w:footnote w:id="331">
    <w:p w:rsidR="00FD2727" w:rsidRPr="00F9138F" w:rsidRDefault="00FD2727" w:rsidP="00206326">
      <w:pPr>
        <w:pStyle w:val="FootnoteText"/>
        <w:keepLines/>
      </w:pPr>
      <w:r>
        <w:rPr>
          <w:rStyle w:val="FootnoteReference"/>
        </w:rPr>
        <w:footnoteRef/>
      </w:r>
      <w:r>
        <w:t xml:space="preserve"> </w:t>
      </w:r>
      <w:r w:rsidRPr="00150E5B">
        <w:t xml:space="preserve">As reflected in Table 10 of the Panel Report, the correct figure representing the lower bound of the </w:t>
      </w:r>
      <w:r w:rsidRPr="00150E5B">
        <w:rPr>
          <w:szCs w:val="20"/>
        </w:rPr>
        <w:t xml:space="preserve">total corporate borrowing rate component of </w:t>
      </w:r>
      <w:r>
        <w:rPr>
          <w:szCs w:val="20"/>
        </w:rPr>
        <w:t xml:space="preserve">the </w:t>
      </w:r>
      <w:r w:rsidRPr="00150E5B">
        <w:rPr>
          <w:szCs w:val="20"/>
        </w:rPr>
        <w:t xml:space="preserve">market benchmark rate for the UK LA/MSF contract is </w:t>
      </w:r>
      <w:r w:rsidRPr="00150E5B">
        <w:rPr>
          <w:b/>
          <w:szCs w:val="20"/>
        </w:rPr>
        <w:t>[</w:t>
      </w:r>
      <w:r w:rsidRPr="00C8434D">
        <w:rPr>
          <w:b/>
          <w:szCs w:val="16"/>
        </w:rPr>
        <w:t>BCI</w:t>
      </w:r>
      <w:r w:rsidRPr="00150E5B">
        <w:rPr>
          <w:b/>
          <w:szCs w:val="20"/>
        </w:rPr>
        <w:t>]</w:t>
      </w:r>
      <w:r w:rsidRPr="00150E5B">
        <w:rPr>
          <w:szCs w:val="20"/>
        </w:rPr>
        <w:t>. This figure has been used in reproducing Table 7 of the Panel Report.</w:t>
      </w:r>
    </w:p>
  </w:footnote>
  <w:footnote w:id="332">
    <w:p w:rsidR="00FD2727" w:rsidRPr="006477CA" w:rsidRDefault="00FD2727" w:rsidP="00206326">
      <w:pPr>
        <w:pStyle w:val="FootnoteText"/>
        <w:keepLines/>
      </w:pPr>
      <w:r w:rsidRPr="006477CA">
        <w:rPr>
          <w:rStyle w:val="FootnoteReference"/>
        </w:rPr>
        <w:footnoteRef/>
      </w:r>
      <w:r w:rsidRPr="006477CA">
        <w:t xml:space="preserve"> </w:t>
      </w:r>
      <w:r>
        <w:t>Appellate Body</w:t>
      </w:r>
      <w:r w:rsidRPr="006477CA">
        <w:t xml:space="preserve"> Report, </w:t>
      </w:r>
      <w:r w:rsidRPr="006477CA">
        <w:rPr>
          <w:i/>
        </w:rPr>
        <w:t>Canada – Aircraft</w:t>
      </w:r>
      <w:r w:rsidRPr="006477CA">
        <w:t xml:space="preserve">, </w:t>
      </w:r>
      <w:r>
        <w:t>para. </w:t>
      </w:r>
      <w:r w:rsidRPr="006477CA">
        <w:t>157.</w:t>
      </w:r>
    </w:p>
  </w:footnote>
  <w:footnote w:id="333">
    <w:p w:rsidR="00FD2727" w:rsidRPr="006477CA" w:rsidRDefault="00FD2727" w:rsidP="00206326">
      <w:pPr>
        <w:pStyle w:val="FootnoteText"/>
        <w:keepLines/>
      </w:pPr>
      <w:r w:rsidRPr="006477CA">
        <w:rPr>
          <w:rStyle w:val="FootnoteReference"/>
        </w:rPr>
        <w:footnoteRef/>
      </w:r>
      <w:r w:rsidRPr="006477CA">
        <w:t xml:space="preserve"> </w:t>
      </w:r>
      <w:r>
        <w:t>Appellate Body</w:t>
      </w:r>
      <w:r w:rsidRPr="006477CA">
        <w:t xml:space="preserve"> Report, </w:t>
      </w:r>
      <w:r w:rsidRPr="006477CA">
        <w:rPr>
          <w:i/>
        </w:rPr>
        <w:t>Canada – Aircraft</w:t>
      </w:r>
      <w:r w:rsidRPr="006477CA">
        <w:t xml:space="preserve">, </w:t>
      </w:r>
      <w:r>
        <w:t>para. </w:t>
      </w:r>
      <w:r w:rsidRPr="006477CA">
        <w:t>157.</w:t>
      </w:r>
    </w:p>
  </w:footnote>
  <w:footnote w:id="334">
    <w:p w:rsidR="00FD2727" w:rsidRDefault="00FD2727" w:rsidP="00206326">
      <w:pPr>
        <w:pStyle w:val="FootnoteText"/>
        <w:keepLines/>
      </w:pPr>
      <w:r>
        <w:rPr>
          <w:rStyle w:val="FootnoteReference"/>
        </w:rPr>
        <w:footnoteRef/>
      </w:r>
      <w:r>
        <w:t xml:space="preserve"> </w:t>
      </w:r>
      <w:r w:rsidRPr="003851AA">
        <w:t xml:space="preserve">Although </w:t>
      </w:r>
      <w:r>
        <w:t>Article </w:t>
      </w:r>
      <w:r w:rsidRPr="003851AA">
        <w:t xml:space="preserve">14 is in Part V of the </w:t>
      </w:r>
      <w:r>
        <w:t>SCM Agreement</w:t>
      </w:r>
      <w:r w:rsidRPr="003851AA">
        <w:t xml:space="preserve">, "it is relevant context to the interpretation of </w:t>
      </w:r>
      <w:r>
        <w:t>Article </w:t>
      </w:r>
      <w:r w:rsidRPr="003851AA">
        <w:t xml:space="preserve">1.1(b) for the purpose of Part II of the </w:t>
      </w:r>
      <w:r>
        <w:t>SCM Agreement"</w:t>
      </w:r>
      <w:r w:rsidRPr="003851AA">
        <w:t xml:space="preserve"> and "can be used as relevant context to determine whether a subsidy exists</w:t>
      </w:r>
      <w:r>
        <w:t>"</w:t>
      </w:r>
      <w:r w:rsidRPr="003851AA">
        <w:t>.</w:t>
      </w:r>
      <w:r>
        <w:t xml:space="preserve"> (Appellate Body Report, </w:t>
      </w:r>
      <w:r w:rsidRPr="004E6709">
        <w:rPr>
          <w:i/>
          <w:iCs/>
        </w:rPr>
        <w:t>Canada – Renewable Energy / Canada – Feed-in Tariff Program</w:t>
      </w:r>
      <w:r w:rsidRPr="004E6709">
        <w:t xml:space="preserve">, </w:t>
      </w:r>
      <w:r>
        <w:t>para. </w:t>
      </w:r>
      <w:r w:rsidRPr="004E6709">
        <w:t>5.163</w:t>
      </w:r>
      <w:r>
        <w:t xml:space="preserve"> (fn omitted)) See also Appellate Body</w:t>
      </w:r>
      <w:r w:rsidRPr="00264244">
        <w:t xml:space="preserve"> Report, </w:t>
      </w:r>
      <w:r>
        <w:rPr>
          <w:i/>
        </w:rPr>
        <w:t xml:space="preserve">US </w:t>
      </w:r>
      <w:r w:rsidRPr="005435FA">
        <w:rPr>
          <w:i/>
        </w:rPr>
        <w:t>– Large Civil Aircraft</w:t>
      </w:r>
      <w:r>
        <w:rPr>
          <w:i/>
        </w:rPr>
        <w:t xml:space="preserve"> (2</w:t>
      </w:r>
      <w:r w:rsidRPr="00B76CFF">
        <w:rPr>
          <w:i/>
          <w:vertAlign w:val="superscript"/>
        </w:rPr>
        <w:t>nd</w:t>
      </w:r>
      <w:r>
        <w:rPr>
          <w:i/>
        </w:rPr>
        <w:t> complaint)</w:t>
      </w:r>
      <w:r w:rsidRPr="00867FE3">
        <w:t xml:space="preserve">, </w:t>
      </w:r>
      <w:r>
        <w:t>fn 1293 to para. 616.</w:t>
      </w:r>
    </w:p>
  </w:footnote>
  <w:footnote w:id="335">
    <w:p w:rsidR="00FD2727" w:rsidRDefault="00FD2727" w:rsidP="00206326">
      <w:pPr>
        <w:pStyle w:val="FootnoteText"/>
        <w:keepLines/>
      </w:pPr>
      <w:r>
        <w:rPr>
          <w:rStyle w:val="FootnoteReference"/>
        </w:rPr>
        <w:footnoteRef/>
      </w:r>
      <w:r>
        <w:t xml:space="preserve"> Appellate Body</w:t>
      </w:r>
      <w:r w:rsidRPr="006477CA">
        <w:t xml:space="preserve"> Report, </w:t>
      </w:r>
      <w:r w:rsidRPr="006477CA">
        <w:rPr>
          <w:i/>
        </w:rPr>
        <w:t>Canada – Aircraft</w:t>
      </w:r>
      <w:r w:rsidRPr="006477CA">
        <w:t xml:space="preserve">, </w:t>
      </w:r>
      <w:r>
        <w:t>para. </w:t>
      </w:r>
      <w:r w:rsidRPr="006477CA">
        <w:t>158.</w:t>
      </w:r>
    </w:p>
  </w:footnote>
  <w:footnote w:id="336">
    <w:p w:rsidR="00FD2727" w:rsidRPr="006477CA" w:rsidRDefault="00FD2727" w:rsidP="00206326">
      <w:pPr>
        <w:pStyle w:val="FootnoteText"/>
        <w:keepLines/>
      </w:pPr>
      <w:r w:rsidRPr="006477CA">
        <w:rPr>
          <w:rStyle w:val="FootnoteReference"/>
        </w:rPr>
        <w:footnoteRef/>
      </w:r>
      <w:r w:rsidRPr="006477CA">
        <w:t xml:space="preserve"> </w:t>
      </w:r>
      <w:r>
        <w:t>Appellate Body</w:t>
      </w:r>
      <w:r w:rsidRPr="006477CA">
        <w:t xml:space="preserve"> Report, </w:t>
      </w:r>
      <w:r w:rsidRPr="006477CA">
        <w:rPr>
          <w:i/>
        </w:rPr>
        <w:t>Canada – Aircraft</w:t>
      </w:r>
      <w:r w:rsidRPr="006477CA">
        <w:t xml:space="preserve">, </w:t>
      </w:r>
      <w:r>
        <w:t>paras. </w:t>
      </w:r>
      <w:r w:rsidRPr="006477CA">
        <w:t>155 and 158.</w:t>
      </w:r>
    </w:p>
  </w:footnote>
  <w:footnote w:id="337">
    <w:p w:rsidR="00FD2727" w:rsidRPr="006477CA" w:rsidRDefault="00FD2727" w:rsidP="00206326">
      <w:pPr>
        <w:pStyle w:val="FootnoteText"/>
        <w:keepLines/>
      </w:pPr>
      <w:r w:rsidRPr="006477CA">
        <w:rPr>
          <w:rStyle w:val="FootnoteReference"/>
        </w:rPr>
        <w:footnoteRef/>
      </w:r>
      <w:r w:rsidRPr="006477CA">
        <w:t xml:space="preserve"> </w:t>
      </w:r>
      <w:r>
        <w:t>Appellate Body</w:t>
      </w:r>
      <w:r w:rsidRPr="006477CA">
        <w:t xml:space="preserve"> Report, </w:t>
      </w:r>
      <w:r w:rsidRPr="006477CA">
        <w:rPr>
          <w:i/>
        </w:rPr>
        <w:t>US – Anti-Dumping and Countervailing Duties (China)</w:t>
      </w:r>
      <w:r w:rsidRPr="006477CA">
        <w:t xml:space="preserve">, </w:t>
      </w:r>
      <w:r>
        <w:t>para. </w:t>
      </w:r>
      <w:r w:rsidRPr="006477CA">
        <w:t>476.</w:t>
      </w:r>
    </w:p>
  </w:footnote>
  <w:footnote w:id="338">
    <w:p w:rsidR="00FD2727" w:rsidRPr="006477CA" w:rsidRDefault="00FD2727" w:rsidP="00206326">
      <w:pPr>
        <w:pStyle w:val="FootnoteText"/>
        <w:keepLines/>
      </w:pPr>
      <w:r w:rsidRPr="006477CA">
        <w:rPr>
          <w:rStyle w:val="FootnoteReference"/>
        </w:rPr>
        <w:footnoteRef/>
      </w:r>
      <w:r w:rsidRPr="006477CA">
        <w:t xml:space="preserve"> </w:t>
      </w:r>
      <w:r>
        <w:t>Appellate Body</w:t>
      </w:r>
      <w:r w:rsidRPr="006477CA">
        <w:t xml:space="preserve"> Report, </w:t>
      </w:r>
      <w:r w:rsidRPr="006477CA">
        <w:rPr>
          <w:i/>
        </w:rPr>
        <w:t>US – Anti-Dumping and Countervailing Duties (China)</w:t>
      </w:r>
      <w:r w:rsidRPr="006477CA">
        <w:t xml:space="preserve">, </w:t>
      </w:r>
      <w:r>
        <w:t>para. </w:t>
      </w:r>
      <w:r w:rsidRPr="006477CA">
        <w:t>476.</w:t>
      </w:r>
    </w:p>
  </w:footnote>
  <w:footnote w:id="339">
    <w:p w:rsidR="00FD2727" w:rsidRPr="006477CA" w:rsidRDefault="00FD2727" w:rsidP="00206326">
      <w:pPr>
        <w:pStyle w:val="FootnoteText"/>
        <w:keepLines/>
      </w:pPr>
      <w:r w:rsidRPr="006477CA">
        <w:rPr>
          <w:rStyle w:val="FootnoteReference"/>
        </w:rPr>
        <w:footnoteRef/>
      </w:r>
      <w:r w:rsidRPr="006477CA">
        <w:t xml:space="preserve"> </w:t>
      </w:r>
      <w:r>
        <w:t>Appellate Body</w:t>
      </w:r>
      <w:r w:rsidRPr="006477CA">
        <w:t xml:space="preserve"> Report, </w:t>
      </w:r>
      <w:r w:rsidRPr="006477CA">
        <w:rPr>
          <w:i/>
        </w:rPr>
        <w:t>US – Anti-Dumping and Countervailing Duties (China)</w:t>
      </w:r>
      <w:r w:rsidRPr="006477CA">
        <w:t xml:space="preserve">, </w:t>
      </w:r>
      <w:r>
        <w:t>para. </w:t>
      </w:r>
      <w:r w:rsidRPr="006477CA">
        <w:t>476.</w:t>
      </w:r>
      <w:r>
        <w:t xml:space="preserve"> (fn omitted)</w:t>
      </w:r>
    </w:p>
  </w:footnote>
  <w:footnote w:id="340">
    <w:p w:rsidR="00FD2727" w:rsidRPr="006477CA" w:rsidRDefault="00FD2727" w:rsidP="00206326">
      <w:pPr>
        <w:pStyle w:val="FootnoteText"/>
        <w:keepLines/>
      </w:pPr>
      <w:r w:rsidRPr="006477CA">
        <w:rPr>
          <w:rStyle w:val="FootnoteReference"/>
        </w:rPr>
        <w:footnoteRef/>
      </w:r>
      <w:r w:rsidRPr="006477CA">
        <w:t xml:space="preserve"> </w:t>
      </w:r>
      <w:r>
        <w:t>Appellate Body</w:t>
      </w:r>
      <w:r w:rsidRPr="006477CA">
        <w:t xml:space="preserve"> Report, </w:t>
      </w:r>
      <w:r w:rsidRPr="006477CA">
        <w:rPr>
          <w:i/>
        </w:rPr>
        <w:t>US – Anti-Dumping and Countervailing Duties (China)</w:t>
      </w:r>
      <w:r w:rsidRPr="006477CA">
        <w:t xml:space="preserve">, </w:t>
      </w:r>
      <w:r>
        <w:t>para. </w:t>
      </w:r>
      <w:r w:rsidRPr="006477CA">
        <w:t>4</w:t>
      </w:r>
      <w:r>
        <w:t>89. See also Appellate Body</w:t>
      </w:r>
      <w:r w:rsidRPr="006477CA">
        <w:t xml:space="preserve"> Report, </w:t>
      </w:r>
      <w:r w:rsidRPr="006477CA">
        <w:rPr>
          <w:i/>
        </w:rPr>
        <w:t>US – Carbon Steel (India)</w:t>
      </w:r>
      <w:r w:rsidRPr="006477CA">
        <w:t xml:space="preserve">, </w:t>
      </w:r>
      <w:r>
        <w:t>para. </w:t>
      </w:r>
      <w:r w:rsidRPr="006477CA">
        <w:t>4.345.</w:t>
      </w:r>
    </w:p>
  </w:footnote>
  <w:footnote w:id="341">
    <w:p w:rsidR="00FD2727" w:rsidRDefault="00FD2727" w:rsidP="00206326">
      <w:pPr>
        <w:pStyle w:val="FootnoteText"/>
        <w:keepLines/>
      </w:pPr>
      <w:r>
        <w:rPr>
          <w:rStyle w:val="FootnoteReference"/>
        </w:rPr>
        <w:footnoteRef/>
      </w:r>
      <w:r>
        <w:t xml:space="preserve"> Appellate Body</w:t>
      </w:r>
      <w:r w:rsidRPr="006477CA">
        <w:t xml:space="preserve"> Report, </w:t>
      </w:r>
      <w:r w:rsidRPr="006477CA">
        <w:rPr>
          <w:i/>
        </w:rPr>
        <w:t>US – Anti-Dumping and Countervailing Duties (China)</w:t>
      </w:r>
      <w:r w:rsidRPr="006477CA">
        <w:t xml:space="preserve">, </w:t>
      </w:r>
      <w:r>
        <w:t>para. </w:t>
      </w:r>
      <w:r w:rsidRPr="006477CA">
        <w:t>4</w:t>
      </w:r>
      <w:r>
        <w:t>87</w:t>
      </w:r>
      <w:r w:rsidRPr="006477CA">
        <w:t>.</w:t>
      </w:r>
    </w:p>
  </w:footnote>
  <w:footnote w:id="342">
    <w:p w:rsidR="00FD2727" w:rsidRDefault="00FD2727" w:rsidP="00206326">
      <w:pPr>
        <w:pStyle w:val="FootnoteText"/>
        <w:keepLines/>
      </w:pPr>
      <w:r>
        <w:rPr>
          <w:rStyle w:val="FootnoteReference"/>
        </w:rPr>
        <w:footnoteRef/>
      </w:r>
      <w:r>
        <w:t xml:space="preserve"> Appellate Body</w:t>
      </w:r>
      <w:r w:rsidRPr="00097064">
        <w:t xml:space="preserve"> Report, </w:t>
      </w:r>
      <w:r w:rsidRPr="00097064">
        <w:rPr>
          <w:i/>
        </w:rPr>
        <w:t>US – Anti-Dumping and Countervailing Duties (China)</w:t>
      </w:r>
      <w:r w:rsidRPr="00097064">
        <w:t xml:space="preserve">, </w:t>
      </w:r>
      <w:r>
        <w:t>para. </w:t>
      </w:r>
      <w:r w:rsidRPr="00097064">
        <w:t>4</w:t>
      </w:r>
      <w:r>
        <w:t>8</w:t>
      </w:r>
      <w:r w:rsidRPr="00097064">
        <w:t>6.</w:t>
      </w:r>
    </w:p>
  </w:footnote>
  <w:footnote w:id="343">
    <w:p w:rsidR="00FD2727" w:rsidRDefault="00FD2727" w:rsidP="00206326">
      <w:pPr>
        <w:pStyle w:val="FootnoteText"/>
        <w:keepLines/>
      </w:pPr>
      <w:r>
        <w:rPr>
          <w:rStyle w:val="FootnoteReference"/>
        </w:rPr>
        <w:footnoteRef/>
      </w:r>
      <w:r>
        <w:t xml:space="preserve"> Appellate Body</w:t>
      </w:r>
      <w:r w:rsidRPr="00097064">
        <w:t xml:space="preserve"> Report, </w:t>
      </w:r>
      <w:r w:rsidRPr="00097064">
        <w:rPr>
          <w:i/>
        </w:rPr>
        <w:t>US – Anti-Dumping and Countervailing Duties (China)</w:t>
      </w:r>
      <w:r w:rsidRPr="00097064">
        <w:t xml:space="preserve">, </w:t>
      </w:r>
      <w:r>
        <w:t>para. </w:t>
      </w:r>
      <w:r w:rsidRPr="00097064">
        <w:t>4</w:t>
      </w:r>
      <w:r>
        <w:t>8</w:t>
      </w:r>
      <w:r w:rsidRPr="00097064">
        <w:t>6.</w:t>
      </w:r>
    </w:p>
  </w:footnote>
  <w:footnote w:id="344">
    <w:p w:rsidR="00FD2727" w:rsidRDefault="00FD2727" w:rsidP="00206326">
      <w:pPr>
        <w:pStyle w:val="FootnoteText"/>
        <w:keepLines/>
      </w:pPr>
      <w:r>
        <w:rPr>
          <w:rStyle w:val="FootnoteReference"/>
        </w:rPr>
        <w:footnoteRef/>
      </w:r>
      <w:r>
        <w:t xml:space="preserve"> Appellate Body</w:t>
      </w:r>
      <w:r w:rsidRPr="00097064">
        <w:t xml:space="preserve"> Report, </w:t>
      </w:r>
      <w:r w:rsidRPr="00097064">
        <w:rPr>
          <w:i/>
        </w:rPr>
        <w:t>US – Anti-Dumping and Countervailing Duties (China)</w:t>
      </w:r>
      <w:r w:rsidRPr="00097064">
        <w:t xml:space="preserve">, </w:t>
      </w:r>
      <w:r>
        <w:t>para. </w:t>
      </w:r>
      <w:r w:rsidRPr="00097064">
        <w:t>4</w:t>
      </w:r>
      <w:r>
        <w:t>88</w:t>
      </w:r>
      <w:r w:rsidRPr="00097064">
        <w:t>.</w:t>
      </w:r>
    </w:p>
  </w:footnote>
  <w:footnote w:id="345">
    <w:p w:rsidR="00FD2727" w:rsidRPr="006477CA" w:rsidRDefault="00FD2727" w:rsidP="00206326">
      <w:pPr>
        <w:pStyle w:val="FootnoteText"/>
        <w:keepLines/>
      </w:pPr>
      <w:r w:rsidRPr="006477CA">
        <w:rPr>
          <w:rStyle w:val="FootnoteReference"/>
        </w:rPr>
        <w:footnoteRef/>
      </w:r>
      <w:r w:rsidRPr="006477CA">
        <w:t xml:space="preserve"> </w:t>
      </w:r>
      <w:r>
        <w:t>Appellate Body</w:t>
      </w:r>
      <w:r w:rsidRPr="006477CA">
        <w:t xml:space="preserve"> Report, </w:t>
      </w:r>
      <w:r w:rsidRPr="006477CA">
        <w:rPr>
          <w:i/>
        </w:rPr>
        <w:t>US – Anti-Dumping and Countervailing Duties (China)</w:t>
      </w:r>
      <w:r w:rsidRPr="006477CA">
        <w:t xml:space="preserve">, </w:t>
      </w:r>
      <w:r>
        <w:t>para. </w:t>
      </w:r>
      <w:r w:rsidRPr="006477CA">
        <w:t>476.</w:t>
      </w:r>
    </w:p>
  </w:footnote>
  <w:footnote w:id="346">
    <w:p w:rsidR="00FD2727" w:rsidRDefault="00FD2727" w:rsidP="00206326">
      <w:pPr>
        <w:pStyle w:val="FootnoteText"/>
        <w:keepLines/>
      </w:pPr>
      <w:r>
        <w:rPr>
          <w:rStyle w:val="FootnoteReference"/>
        </w:rPr>
        <w:footnoteRef/>
      </w:r>
      <w:r>
        <w:t xml:space="preserve"> Appellate Body</w:t>
      </w:r>
      <w:r w:rsidRPr="006477CA">
        <w:t xml:space="preserve"> Report, </w:t>
      </w:r>
      <w:r w:rsidRPr="006477CA">
        <w:rPr>
          <w:i/>
        </w:rPr>
        <w:t>EC and certain member States – Large Civil Aircraft</w:t>
      </w:r>
      <w:r w:rsidRPr="006477CA">
        <w:t xml:space="preserve">, </w:t>
      </w:r>
      <w:r>
        <w:t>para. </w:t>
      </w:r>
      <w:r w:rsidRPr="006477CA">
        <w:t>835.</w:t>
      </w:r>
    </w:p>
  </w:footnote>
  <w:footnote w:id="347">
    <w:p w:rsidR="00FD2727" w:rsidRPr="006477CA" w:rsidRDefault="00FD2727" w:rsidP="00206326">
      <w:pPr>
        <w:pStyle w:val="FootnoteText"/>
        <w:keepLines/>
      </w:pPr>
      <w:r w:rsidRPr="006477CA">
        <w:rPr>
          <w:rStyle w:val="FootnoteReference"/>
        </w:rPr>
        <w:footnoteRef/>
      </w:r>
      <w:r w:rsidRPr="006477CA">
        <w:t xml:space="preserve"> </w:t>
      </w:r>
      <w:r>
        <w:t>Appellate Body</w:t>
      </w:r>
      <w:r w:rsidRPr="006477CA">
        <w:t xml:space="preserve"> Report, </w:t>
      </w:r>
      <w:r w:rsidRPr="006477CA">
        <w:rPr>
          <w:i/>
        </w:rPr>
        <w:t>EC and certain member States – Large Civil Aircraft</w:t>
      </w:r>
      <w:r w:rsidRPr="006477CA">
        <w:t xml:space="preserve">, </w:t>
      </w:r>
      <w:r>
        <w:t>para. </w:t>
      </w:r>
      <w:r w:rsidRPr="006477CA">
        <w:t>835.</w:t>
      </w:r>
    </w:p>
  </w:footnote>
  <w:footnote w:id="348">
    <w:p w:rsidR="00FD2727" w:rsidRPr="006477CA" w:rsidRDefault="00FD2727" w:rsidP="00206326">
      <w:pPr>
        <w:pStyle w:val="FootnoteText"/>
        <w:keepLines/>
      </w:pPr>
      <w:r w:rsidRPr="006477CA">
        <w:rPr>
          <w:rStyle w:val="FootnoteReference"/>
        </w:rPr>
        <w:footnoteRef/>
      </w:r>
      <w:r w:rsidRPr="006477CA">
        <w:t xml:space="preserve"> </w:t>
      </w:r>
      <w:r>
        <w:t>Appellate Body</w:t>
      </w:r>
      <w:r w:rsidRPr="006477CA">
        <w:t xml:space="preserve"> Report, </w:t>
      </w:r>
      <w:r w:rsidRPr="006477CA">
        <w:rPr>
          <w:i/>
        </w:rPr>
        <w:t>EC and certain member States – Large Civil Aircraft</w:t>
      </w:r>
      <w:r w:rsidRPr="006477CA">
        <w:t xml:space="preserve">, </w:t>
      </w:r>
      <w:r>
        <w:t>para. </w:t>
      </w:r>
      <w:r w:rsidRPr="006477CA">
        <w:t>836. (emphasis added</w:t>
      </w:r>
      <w:r>
        <w:t>; fn omitted</w:t>
      </w:r>
      <w:r w:rsidRPr="006477CA">
        <w:t>)</w:t>
      </w:r>
    </w:p>
  </w:footnote>
  <w:footnote w:id="349">
    <w:p w:rsidR="00FD2727" w:rsidRPr="006477CA" w:rsidRDefault="00FD2727" w:rsidP="00206326">
      <w:pPr>
        <w:pStyle w:val="FootnoteText"/>
        <w:keepLines/>
      </w:pPr>
      <w:r w:rsidRPr="006477CA">
        <w:rPr>
          <w:rStyle w:val="FootnoteReference"/>
        </w:rPr>
        <w:footnoteRef/>
      </w:r>
      <w:r w:rsidRPr="006477CA">
        <w:t xml:space="preserve"> </w:t>
      </w:r>
      <w:r>
        <w:t>Appellate Body</w:t>
      </w:r>
      <w:r w:rsidRPr="006477CA">
        <w:t xml:space="preserve"> Report, </w:t>
      </w:r>
      <w:r w:rsidRPr="006477CA">
        <w:rPr>
          <w:i/>
        </w:rPr>
        <w:t>EC and certain member States – Large Civil Aircraft</w:t>
      </w:r>
      <w:r w:rsidRPr="006477CA">
        <w:t xml:space="preserve">, </w:t>
      </w:r>
      <w:r>
        <w:t>para. 836.</w:t>
      </w:r>
    </w:p>
  </w:footnote>
  <w:footnote w:id="350">
    <w:p w:rsidR="00FD2727" w:rsidRDefault="00FD2727" w:rsidP="00206326">
      <w:pPr>
        <w:pStyle w:val="FootnoteText"/>
        <w:keepLines/>
      </w:pPr>
      <w:r>
        <w:rPr>
          <w:rStyle w:val="FootnoteReference"/>
        </w:rPr>
        <w:footnoteRef/>
      </w:r>
      <w:r>
        <w:t xml:space="preserve"> Appellate Body</w:t>
      </w:r>
      <w:r w:rsidRPr="006477CA">
        <w:t xml:space="preserve"> Report, </w:t>
      </w:r>
      <w:r w:rsidRPr="006477CA">
        <w:rPr>
          <w:i/>
        </w:rPr>
        <w:t>EC and certain member States – Large Civil Aircraft</w:t>
      </w:r>
      <w:r w:rsidRPr="006477CA">
        <w:t xml:space="preserve">, </w:t>
      </w:r>
      <w:r>
        <w:t>para. </w:t>
      </w:r>
      <w:r w:rsidRPr="006477CA">
        <w:t>836.</w:t>
      </w:r>
      <w:r>
        <w:t xml:space="preserve"> Given that the assessment focuses "on the moment in time when the lender and borrower commit to the transaction", a panel conducting this assessment "must look at how the loan is structured and how risk is factored in, rather than looking at how the loan actually performs over time". (Ibid. (fn omitted))</w:t>
      </w:r>
    </w:p>
  </w:footnote>
  <w:footnote w:id="351">
    <w:p w:rsidR="00FD2727" w:rsidRPr="006477CA" w:rsidRDefault="00FD2727" w:rsidP="00206326">
      <w:pPr>
        <w:pStyle w:val="FootnoteText"/>
        <w:keepLines/>
      </w:pPr>
      <w:r w:rsidRPr="006477CA">
        <w:rPr>
          <w:rStyle w:val="FootnoteReference"/>
        </w:rPr>
        <w:footnoteRef/>
      </w:r>
      <w:r w:rsidRPr="006477CA">
        <w:t xml:space="preserve"> </w:t>
      </w:r>
      <w:r>
        <w:t>Appellate Body</w:t>
      </w:r>
      <w:r w:rsidRPr="006477CA">
        <w:t xml:space="preserve"> Report, </w:t>
      </w:r>
      <w:r w:rsidRPr="006477CA">
        <w:rPr>
          <w:i/>
        </w:rPr>
        <w:t>EC and certain member States – Large Civil Aircraft</w:t>
      </w:r>
      <w:r w:rsidRPr="006477CA">
        <w:t xml:space="preserve">, </w:t>
      </w:r>
      <w:r>
        <w:t>para. </w:t>
      </w:r>
      <w:r w:rsidRPr="006477CA">
        <w:t>836.</w:t>
      </w:r>
    </w:p>
  </w:footnote>
  <w:footnote w:id="352">
    <w:p w:rsidR="00FD2727" w:rsidRPr="006477CA" w:rsidRDefault="00FD2727" w:rsidP="00206326">
      <w:pPr>
        <w:pStyle w:val="FootnoteText"/>
        <w:keepLines/>
      </w:pPr>
      <w:r w:rsidRPr="006477CA">
        <w:rPr>
          <w:rStyle w:val="FootnoteReference"/>
        </w:rPr>
        <w:footnoteRef/>
      </w:r>
      <w:r w:rsidRPr="006477CA">
        <w:t xml:space="preserve"> </w:t>
      </w:r>
      <w:r>
        <w:t>Appellate Body</w:t>
      </w:r>
      <w:r w:rsidRPr="006477CA">
        <w:t xml:space="preserve"> Report, </w:t>
      </w:r>
      <w:r w:rsidRPr="006477CA">
        <w:rPr>
          <w:i/>
        </w:rPr>
        <w:t>EC and certain member States – Large Civil Aircraft</w:t>
      </w:r>
      <w:r w:rsidRPr="006477CA">
        <w:t xml:space="preserve">, </w:t>
      </w:r>
      <w:r>
        <w:t>para. </w:t>
      </w:r>
      <w:r w:rsidRPr="006477CA">
        <w:t>838.</w:t>
      </w:r>
    </w:p>
  </w:footnote>
  <w:footnote w:id="353">
    <w:p w:rsidR="00FD2727" w:rsidRPr="006477CA" w:rsidRDefault="00FD2727" w:rsidP="00206326">
      <w:pPr>
        <w:pStyle w:val="FootnoteText"/>
        <w:keepLines/>
      </w:pPr>
      <w:r w:rsidRPr="006477CA">
        <w:rPr>
          <w:rStyle w:val="FootnoteReference"/>
        </w:rPr>
        <w:footnoteRef/>
      </w:r>
      <w:r w:rsidRPr="006477CA">
        <w:t xml:space="preserve"> </w:t>
      </w:r>
      <w:r>
        <w:t>European Union</w:t>
      </w:r>
      <w:r w:rsidRPr="006477CA">
        <w:t xml:space="preserve">'s appellant's submission, </w:t>
      </w:r>
      <w:r>
        <w:t>para. </w:t>
      </w:r>
      <w:r w:rsidRPr="006477CA">
        <w:t xml:space="preserve">278 </w:t>
      </w:r>
      <w:r>
        <w:t xml:space="preserve">(quoting </w:t>
      </w:r>
      <w:r w:rsidRPr="006477CA">
        <w:t xml:space="preserve">Panel Report, </w:t>
      </w:r>
      <w:r>
        <w:t>para. </w:t>
      </w:r>
      <w:r w:rsidRPr="006477CA">
        <w:t>6.389</w:t>
      </w:r>
      <w:r>
        <w:t>)</w:t>
      </w:r>
      <w:r w:rsidRPr="006477CA">
        <w:t>.</w:t>
      </w:r>
      <w:r>
        <w:t xml:space="preserve"> See also para. 290.</w:t>
      </w:r>
    </w:p>
  </w:footnote>
  <w:footnote w:id="354">
    <w:p w:rsidR="00FD2727" w:rsidRPr="006477CA" w:rsidRDefault="00FD2727" w:rsidP="00206326">
      <w:pPr>
        <w:pStyle w:val="FootnoteText"/>
        <w:keepLines/>
      </w:pPr>
      <w:r w:rsidRPr="006477CA">
        <w:rPr>
          <w:rStyle w:val="FootnoteReference"/>
        </w:rPr>
        <w:footnoteRef/>
      </w:r>
      <w:r w:rsidRPr="006477CA">
        <w:t xml:space="preserve"> </w:t>
      </w:r>
      <w:r>
        <w:t>European Union</w:t>
      </w:r>
      <w:r w:rsidRPr="006477CA">
        <w:t xml:space="preserve">'s appellant's submission, </w:t>
      </w:r>
      <w:r>
        <w:t>para. </w:t>
      </w:r>
      <w:r w:rsidRPr="006477CA">
        <w:t xml:space="preserve">288 (quoting Panel Report, </w:t>
      </w:r>
      <w:r>
        <w:t>para. </w:t>
      </w:r>
      <w:r w:rsidRPr="006477CA">
        <w:t xml:space="preserve">6.385 (emphasis added by the </w:t>
      </w:r>
      <w:r>
        <w:t>European Union</w:t>
      </w:r>
      <w:r w:rsidRPr="006477CA">
        <w:t>)</w:t>
      </w:r>
      <w:r>
        <w:t>).</w:t>
      </w:r>
    </w:p>
  </w:footnote>
  <w:footnote w:id="355">
    <w:p w:rsidR="00FD2727" w:rsidRPr="006477CA" w:rsidRDefault="00FD2727" w:rsidP="00206326">
      <w:pPr>
        <w:pStyle w:val="FootnoteText"/>
        <w:keepLines/>
      </w:pPr>
      <w:r w:rsidRPr="006477CA">
        <w:rPr>
          <w:rStyle w:val="FootnoteReference"/>
        </w:rPr>
        <w:footnoteRef/>
      </w:r>
      <w:r w:rsidRPr="006477CA">
        <w:t xml:space="preserve"> The </w:t>
      </w:r>
      <w:r>
        <w:t>European Union</w:t>
      </w:r>
      <w:r w:rsidRPr="006477CA">
        <w:t xml:space="preserve"> maintains that, for each A350XWB LA/MSF contract, "the day of conclusion of the contract represents 'the moment in time when the lender and borrower committ{ed} to the transaction'"</w:t>
      </w:r>
      <w:r>
        <w:t>.</w:t>
      </w:r>
      <w:r w:rsidRPr="006477CA">
        <w:t xml:space="preserve"> (</w:t>
      </w:r>
      <w:r>
        <w:t>European Union</w:t>
      </w:r>
      <w:r w:rsidRPr="006477CA">
        <w:t xml:space="preserve">'s appellant's submission, </w:t>
      </w:r>
      <w:r>
        <w:t>para. </w:t>
      </w:r>
      <w:r w:rsidRPr="006477CA">
        <w:t xml:space="preserve">289 (quoting Panel Report, </w:t>
      </w:r>
      <w:r>
        <w:t>para. </w:t>
      </w:r>
      <w:r w:rsidRPr="006477CA">
        <w:t>6.388))</w:t>
      </w:r>
    </w:p>
  </w:footnote>
  <w:footnote w:id="356">
    <w:p w:rsidR="00FD2727" w:rsidRPr="006477CA" w:rsidRDefault="00FD2727" w:rsidP="00206326">
      <w:pPr>
        <w:pStyle w:val="FootnoteText"/>
        <w:keepLines/>
      </w:pPr>
      <w:r w:rsidRPr="006477CA">
        <w:rPr>
          <w:rStyle w:val="FootnoteReference"/>
        </w:rPr>
        <w:footnoteRef/>
      </w:r>
      <w:r w:rsidRPr="006477CA">
        <w:t xml:space="preserve"> </w:t>
      </w:r>
      <w:r>
        <w:t>European Union</w:t>
      </w:r>
      <w:r w:rsidRPr="006477CA">
        <w:t xml:space="preserve">'s appellant's submission, </w:t>
      </w:r>
      <w:r>
        <w:t>para. </w:t>
      </w:r>
      <w:r w:rsidRPr="006477CA">
        <w:t>290. (emphas</w:t>
      </w:r>
      <w:r>
        <w:t>i</w:t>
      </w:r>
      <w:r w:rsidRPr="006477CA">
        <w:t xml:space="preserve">s </w:t>
      </w:r>
      <w:r>
        <w:t>omitted</w:t>
      </w:r>
      <w:r w:rsidRPr="006477CA">
        <w:t>)</w:t>
      </w:r>
    </w:p>
  </w:footnote>
  <w:footnote w:id="357">
    <w:p w:rsidR="00FD2727" w:rsidRPr="006477CA" w:rsidRDefault="00FD2727" w:rsidP="00206326">
      <w:pPr>
        <w:pStyle w:val="FootnoteText"/>
        <w:keepLines/>
      </w:pPr>
      <w:r w:rsidRPr="006477CA">
        <w:rPr>
          <w:rStyle w:val="FootnoteReference"/>
        </w:rPr>
        <w:footnoteRef/>
      </w:r>
      <w:r w:rsidRPr="006477CA">
        <w:t xml:space="preserve"> </w:t>
      </w:r>
      <w:r>
        <w:t>European Union</w:t>
      </w:r>
      <w:r w:rsidRPr="006477CA">
        <w:t xml:space="preserve">'s appellant's submission, </w:t>
      </w:r>
      <w:r>
        <w:t>para. </w:t>
      </w:r>
      <w:r w:rsidRPr="006477CA">
        <w:t xml:space="preserve">291 (quoting Panel Report, </w:t>
      </w:r>
      <w:r>
        <w:t>para. </w:t>
      </w:r>
      <w:r w:rsidRPr="006477CA">
        <w:t>6.389</w:t>
      </w:r>
      <w:r>
        <w:t xml:space="preserve"> (emphasis added by the European Union)).</w:t>
      </w:r>
    </w:p>
  </w:footnote>
  <w:footnote w:id="358">
    <w:p w:rsidR="00FD2727" w:rsidRPr="006477CA" w:rsidRDefault="00FD2727" w:rsidP="00206326">
      <w:pPr>
        <w:pStyle w:val="FootnoteText"/>
        <w:keepLines/>
      </w:pPr>
      <w:r w:rsidRPr="006477CA">
        <w:rPr>
          <w:rStyle w:val="FootnoteReference"/>
        </w:rPr>
        <w:footnoteRef/>
      </w:r>
      <w:r w:rsidRPr="006477CA">
        <w:t xml:space="preserve"> </w:t>
      </w:r>
      <w:r>
        <w:t>European Union</w:t>
      </w:r>
      <w:r w:rsidRPr="006477CA">
        <w:t xml:space="preserve">'s appellant's submission, </w:t>
      </w:r>
      <w:r>
        <w:t>para. </w:t>
      </w:r>
      <w:r w:rsidRPr="006477CA">
        <w:t>291. (emphasis original)</w:t>
      </w:r>
    </w:p>
  </w:footnote>
  <w:footnote w:id="359">
    <w:p w:rsidR="00FD2727" w:rsidRPr="006477CA" w:rsidRDefault="00FD2727" w:rsidP="00206326">
      <w:pPr>
        <w:pStyle w:val="FootnoteText"/>
        <w:keepLines/>
      </w:pPr>
      <w:r w:rsidRPr="006477CA">
        <w:rPr>
          <w:rStyle w:val="FootnoteReference"/>
        </w:rPr>
        <w:footnoteRef/>
      </w:r>
      <w:r w:rsidRPr="006477CA">
        <w:t xml:space="preserve"> </w:t>
      </w:r>
      <w:r>
        <w:t>European Union</w:t>
      </w:r>
      <w:r w:rsidRPr="006477CA">
        <w:t xml:space="preserve">'s appellant's submission, </w:t>
      </w:r>
      <w:r>
        <w:t>para. </w:t>
      </w:r>
      <w:r w:rsidRPr="006477CA">
        <w:t>292.</w:t>
      </w:r>
    </w:p>
  </w:footnote>
  <w:footnote w:id="360">
    <w:p w:rsidR="00FD2727" w:rsidRPr="006477CA" w:rsidRDefault="00FD2727" w:rsidP="00206326">
      <w:pPr>
        <w:pStyle w:val="FootnoteText"/>
        <w:keepLines/>
      </w:pPr>
      <w:r w:rsidRPr="006477CA">
        <w:rPr>
          <w:rStyle w:val="FootnoteReference"/>
        </w:rPr>
        <w:footnoteRef/>
      </w:r>
      <w:r w:rsidRPr="006477CA">
        <w:t xml:space="preserve"> </w:t>
      </w:r>
      <w:r>
        <w:t>European Union</w:t>
      </w:r>
      <w:r w:rsidRPr="006477CA">
        <w:t xml:space="preserve">'s appellant's submission, </w:t>
      </w:r>
      <w:r>
        <w:t>para. </w:t>
      </w:r>
      <w:r w:rsidRPr="006477CA">
        <w:t xml:space="preserve">293 (quoting Panel Report, </w:t>
      </w:r>
      <w:r>
        <w:t>para. </w:t>
      </w:r>
      <w:r w:rsidRPr="006477CA">
        <w:t>6.385).</w:t>
      </w:r>
    </w:p>
  </w:footnote>
  <w:footnote w:id="361">
    <w:p w:rsidR="00FD2727" w:rsidRPr="006477CA" w:rsidRDefault="00FD2727" w:rsidP="00206326">
      <w:pPr>
        <w:pStyle w:val="FootnoteText"/>
        <w:keepLines/>
      </w:pPr>
      <w:r w:rsidRPr="006477CA">
        <w:rPr>
          <w:rStyle w:val="FootnoteReference"/>
        </w:rPr>
        <w:footnoteRef/>
      </w:r>
      <w:r w:rsidRPr="006477CA">
        <w:t xml:space="preserve"> </w:t>
      </w:r>
      <w:r>
        <w:t>European Union</w:t>
      </w:r>
      <w:r w:rsidRPr="006477CA">
        <w:t xml:space="preserve">'s appellant's submission, </w:t>
      </w:r>
      <w:r>
        <w:t>para. </w:t>
      </w:r>
      <w:r w:rsidRPr="006477CA">
        <w:t>294.</w:t>
      </w:r>
    </w:p>
  </w:footnote>
  <w:footnote w:id="362">
    <w:p w:rsidR="00FD2727" w:rsidRPr="006477CA" w:rsidRDefault="00FD2727" w:rsidP="00206326">
      <w:pPr>
        <w:pStyle w:val="FootnoteText"/>
        <w:keepLines/>
      </w:pPr>
      <w:r w:rsidRPr="006477CA">
        <w:rPr>
          <w:rStyle w:val="FootnoteReference"/>
        </w:rPr>
        <w:footnoteRef/>
      </w:r>
      <w:r w:rsidRPr="006477CA">
        <w:t xml:space="preserve"> </w:t>
      </w:r>
      <w:r>
        <w:t>European Union</w:t>
      </w:r>
      <w:r w:rsidRPr="006477CA">
        <w:t xml:space="preserve">'s appellant's submission, </w:t>
      </w:r>
      <w:r>
        <w:t>para. </w:t>
      </w:r>
      <w:r w:rsidRPr="006477CA">
        <w:t>319</w:t>
      </w:r>
      <w:r>
        <w:t xml:space="preserve"> (referring to Panel Report, para. 6.</w:t>
      </w:r>
      <w:r w:rsidRPr="00536CFF">
        <w:t xml:space="preserve">389, Table 7 at </w:t>
      </w:r>
      <w:r>
        <w:t>para. </w:t>
      </w:r>
      <w:r w:rsidRPr="00536CFF">
        <w:t xml:space="preserve">6.430, and Table 10 at </w:t>
      </w:r>
      <w:r>
        <w:t>para. </w:t>
      </w:r>
      <w:r w:rsidRPr="00536CFF">
        <w:t>6.632).</w:t>
      </w:r>
    </w:p>
  </w:footnote>
  <w:footnote w:id="363">
    <w:p w:rsidR="00FD2727" w:rsidRPr="006477CA" w:rsidRDefault="00FD2727" w:rsidP="00206326">
      <w:pPr>
        <w:pStyle w:val="FootnoteText"/>
        <w:keepLines/>
      </w:pPr>
      <w:r w:rsidRPr="006477CA">
        <w:rPr>
          <w:rStyle w:val="FootnoteReference"/>
        </w:rPr>
        <w:footnoteRef/>
      </w:r>
      <w:r w:rsidRPr="006477CA">
        <w:t xml:space="preserve"> </w:t>
      </w:r>
      <w:r>
        <w:t>United States</w:t>
      </w:r>
      <w:r w:rsidRPr="006477CA">
        <w:t xml:space="preserve">' appellee's submission, </w:t>
      </w:r>
      <w:r>
        <w:t>para. </w:t>
      </w:r>
      <w:r w:rsidRPr="006477CA">
        <w:t xml:space="preserve">198 (quoting </w:t>
      </w:r>
      <w:r>
        <w:t>Appellate Body</w:t>
      </w:r>
      <w:r w:rsidRPr="006477CA">
        <w:t xml:space="preserve"> Report, </w:t>
      </w:r>
      <w:r w:rsidRPr="006477CA">
        <w:rPr>
          <w:i/>
        </w:rPr>
        <w:t>EC and certain member States – Large Civil Aircraft</w:t>
      </w:r>
      <w:r w:rsidRPr="006477CA">
        <w:t xml:space="preserve">, </w:t>
      </w:r>
      <w:r>
        <w:t>para. </w:t>
      </w:r>
      <w:r w:rsidRPr="006477CA">
        <w:t>883).</w:t>
      </w:r>
    </w:p>
  </w:footnote>
  <w:footnote w:id="364">
    <w:p w:rsidR="00FD2727" w:rsidRPr="006477CA" w:rsidRDefault="00FD2727" w:rsidP="00206326">
      <w:pPr>
        <w:pStyle w:val="FootnoteText"/>
        <w:keepLines/>
      </w:pPr>
      <w:r w:rsidRPr="006477CA">
        <w:rPr>
          <w:rStyle w:val="FootnoteReference"/>
        </w:rPr>
        <w:footnoteRef/>
      </w:r>
      <w:r w:rsidRPr="006477CA">
        <w:t xml:space="preserve"> </w:t>
      </w:r>
      <w:r>
        <w:t>United States</w:t>
      </w:r>
      <w:r w:rsidRPr="006477CA">
        <w:t xml:space="preserve">' appellee's submission, </w:t>
      </w:r>
      <w:r>
        <w:t>para. 20</w:t>
      </w:r>
      <w:r w:rsidRPr="006477CA">
        <w:t xml:space="preserve">2 (quoting </w:t>
      </w:r>
      <w:r>
        <w:t>Appellate Body</w:t>
      </w:r>
      <w:r w:rsidRPr="006477CA">
        <w:t xml:space="preserve"> Report, </w:t>
      </w:r>
      <w:r w:rsidRPr="006477CA">
        <w:rPr>
          <w:i/>
        </w:rPr>
        <w:t>EC and certain member States – Large Civil Aircraft</w:t>
      </w:r>
      <w:r w:rsidRPr="006477CA">
        <w:t xml:space="preserve">, </w:t>
      </w:r>
      <w:r>
        <w:t>para. </w:t>
      </w:r>
      <w:r w:rsidRPr="006477CA">
        <w:t>836).</w:t>
      </w:r>
    </w:p>
  </w:footnote>
  <w:footnote w:id="365">
    <w:p w:rsidR="00FD2727" w:rsidRPr="006477CA" w:rsidRDefault="00FD2727" w:rsidP="00206326">
      <w:pPr>
        <w:pStyle w:val="FootnoteText"/>
        <w:keepLines/>
      </w:pPr>
      <w:r w:rsidRPr="006477CA">
        <w:rPr>
          <w:rStyle w:val="FootnoteReference"/>
        </w:rPr>
        <w:footnoteRef/>
      </w:r>
      <w:r w:rsidRPr="006477CA">
        <w:t xml:space="preserve"> </w:t>
      </w:r>
      <w:r>
        <w:t>United States</w:t>
      </w:r>
      <w:r w:rsidRPr="006477CA">
        <w:t xml:space="preserve">' appellee's submission, </w:t>
      </w:r>
      <w:r>
        <w:t>para. 20</w:t>
      </w:r>
      <w:r w:rsidRPr="006477CA">
        <w:t>2.</w:t>
      </w:r>
    </w:p>
  </w:footnote>
  <w:footnote w:id="366">
    <w:p w:rsidR="00FD2727" w:rsidRPr="006477CA" w:rsidRDefault="00FD2727" w:rsidP="00206326">
      <w:pPr>
        <w:pStyle w:val="FootnoteText"/>
        <w:keepLines/>
      </w:pPr>
      <w:r w:rsidRPr="006477CA">
        <w:rPr>
          <w:rStyle w:val="FootnoteReference"/>
        </w:rPr>
        <w:footnoteRef/>
      </w:r>
      <w:r w:rsidRPr="006477CA">
        <w:t xml:space="preserve"> </w:t>
      </w:r>
      <w:r>
        <w:t>United States</w:t>
      </w:r>
      <w:r w:rsidRPr="006477CA">
        <w:t xml:space="preserve">' appellee's submission, </w:t>
      </w:r>
      <w:r>
        <w:t>para. 20</w:t>
      </w:r>
      <w:r w:rsidRPr="006477CA">
        <w:t>4</w:t>
      </w:r>
      <w:r>
        <w:t xml:space="preserve"> (referring to Appellate Body Report, </w:t>
      </w:r>
      <w:r>
        <w:rPr>
          <w:i/>
        </w:rPr>
        <w:t>EC and certain member States – Large Civil Aircraft</w:t>
      </w:r>
      <w:r>
        <w:t>, para. 836)</w:t>
      </w:r>
      <w:r w:rsidRPr="006477CA">
        <w:t>.</w:t>
      </w:r>
    </w:p>
  </w:footnote>
  <w:footnote w:id="367">
    <w:p w:rsidR="00FD2727" w:rsidRPr="0097319F" w:rsidRDefault="00FD2727" w:rsidP="00206326">
      <w:pPr>
        <w:pStyle w:val="FootnoteText"/>
        <w:keepLines/>
      </w:pPr>
      <w:r w:rsidRPr="006477CA">
        <w:rPr>
          <w:rStyle w:val="FootnoteReference"/>
        </w:rPr>
        <w:footnoteRef/>
      </w:r>
      <w:r w:rsidRPr="006477CA">
        <w:t xml:space="preserve"> </w:t>
      </w:r>
      <w:r>
        <w:t>United States</w:t>
      </w:r>
      <w:r w:rsidRPr="006477CA">
        <w:t xml:space="preserve">' appellee's submission, </w:t>
      </w:r>
      <w:r>
        <w:t>para. 20</w:t>
      </w:r>
      <w:r w:rsidRPr="006477CA">
        <w:t xml:space="preserve">4 (quoting Panel Report, </w:t>
      </w:r>
      <w:r>
        <w:t>para. </w:t>
      </w:r>
      <w:r w:rsidRPr="006477CA">
        <w:t xml:space="preserve">6.644, in turn quoting Statement by Tom Williams, Executive Vice President, Programmes, Airbus SAS, </w:t>
      </w:r>
      <w:r w:rsidRPr="00845341">
        <w:t>17</w:t>
      </w:r>
      <w:r>
        <w:t> May 20</w:t>
      </w:r>
      <w:r w:rsidRPr="0097319F">
        <w:t xml:space="preserve">13 </w:t>
      </w:r>
      <w:r>
        <w:t xml:space="preserve">(Williams Statement) </w:t>
      </w:r>
      <w:r w:rsidRPr="0097319F">
        <w:t xml:space="preserve">(Panel </w:t>
      </w:r>
      <w:r>
        <w:t>Exhibit</w:t>
      </w:r>
      <w:r w:rsidRPr="0097319F">
        <w:t xml:space="preserve"> EU-354 (BCI)), </w:t>
      </w:r>
      <w:r>
        <w:t>para. </w:t>
      </w:r>
      <w:r w:rsidRPr="0097319F">
        <w:t xml:space="preserve">3). </w:t>
      </w:r>
    </w:p>
  </w:footnote>
  <w:footnote w:id="368">
    <w:p w:rsidR="00FD2727" w:rsidRPr="006477CA" w:rsidRDefault="00FD2727" w:rsidP="00206326">
      <w:pPr>
        <w:pStyle w:val="FootnoteText"/>
        <w:keepLines/>
      </w:pPr>
      <w:r w:rsidRPr="006477CA">
        <w:rPr>
          <w:rStyle w:val="FootnoteReference"/>
        </w:rPr>
        <w:footnoteRef/>
      </w:r>
      <w:r w:rsidRPr="006477CA">
        <w:t xml:space="preserve"> </w:t>
      </w:r>
      <w:r>
        <w:t>United States</w:t>
      </w:r>
      <w:r w:rsidRPr="006477CA">
        <w:t xml:space="preserve">' appellee's submission, </w:t>
      </w:r>
      <w:r>
        <w:t>para. 20</w:t>
      </w:r>
      <w:r w:rsidRPr="006477CA">
        <w:t xml:space="preserve">4 (referring to Panel Report, </w:t>
      </w:r>
      <w:r>
        <w:t xml:space="preserve">paras. 6.55 and </w:t>
      </w:r>
      <w:r w:rsidRPr="006477CA">
        <w:t>6.64</w:t>
      </w:r>
      <w:r>
        <w:t>5</w:t>
      </w:r>
      <w:r w:rsidRPr="006477CA">
        <w:t>).</w:t>
      </w:r>
    </w:p>
  </w:footnote>
  <w:footnote w:id="369">
    <w:p w:rsidR="00FD2727" w:rsidRPr="00D00D20" w:rsidRDefault="00FD2727" w:rsidP="00206326">
      <w:pPr>
        <w:pStyle w:val="FootnoteText"/>
        <w:keepLines/>
      </w:pPr>
      <w:r>
        <w:rPr>
          <w:rStyle w:val="FootnoteReference"/>
        </w:rPr>
        <w:footnoteRef/>
      </w:r>
      <w:r>
        <w:t xml:space="preserve"> United States' appellee's submission, para. 204.</w:t>
      </w:r>
    </w:p>
  </w:footnote>
  <w:footnote w:id="370">
    <w:p w:rsidR="00FD2727" w:rsidRDefault="00FD2727" w:rsidP="00206326">
      <w:pPr>
        <w:pStyle w:val="FootnoteText"/>
        <w:keepLines/>
      </w:pPr>
      <w:r>
        <w:rPr>
          <w:rStyle w:val="FootnoteReference"/>
        </w:rPr>
        <w:footnoteRef/>
      </w:r>
      <w:r>
        <w:t xml:space="preserve"> Appellate Body</w:t>
      </w:r>
      <w:r w:rsidRPr="006477CA">
        <w:t xml:space="preserve"> Report, </w:t>
      </w:r>
      <w:r w:rsidRPr="006477CA">
        <w:rPr>
          <w:i/>
        </w:rPr>
        <w:t>EC and certain member States – Large Civil Aircraft</w:t>
      </w:r>
      <w:r w:rsidRPr="006477CA">
        <w:t xml:space="preserve">, </w:t>
      </w:r>
      <w:r>
        <w:t>para. </w:t>
      </w:r>
      <w:r w:rsidRPr="006477CA">
        <w:t>836.</w:t>
      </w:r>
    </w:p>
  </w:footnote>
  <w:footnote w:id="371">
    <w:p w:rsidR="00FD2727" w:rsidRDefault="00FD2727" w:rsidP="00206326">
      <w:pPr>
        <w:pStyle w:val="FootnoteText"/>
        <w:keepLines/>
      </w:pPr>
      <w:r>
        <w:rPr>
          <w:rStyle w:val="FootnoteReference"/>
        </w:rPr>
        <w:footnoteRef/>
      </w:r>
      <w:r>
        <w:t xml:space="preserve"> Appellate Body</w:t>
      </w:r>
      <w:r w:rsidRPr="006477CA">
        <w:t xml:space="preserve"> Report, </w:t>
      </w:r>
      <w:r w:rsidRPr="006477CA">
        <w:rPr>
          <w:i/>
        </w:rPr>
        <w:t>EC and certain member States – Large Civil Aircraft</w:t>
      </w:r>
      <w:r w:rsidRPr="006477CA">
        <w:t xml:space="preserve">, </w:t>
      </w:r>
      <w:r>
        <w:t>para. </w:t>
      </w:r>
      <w:r w:rsidRPr="006477CA">
        <w:t>836.</w:t>
      </w:r>
    </w:p>
  </w:footnote>
  <w:footnote w:id="372">
    <w:p w:rsidR="00FD2727" w:rsidRDefault="00FD2727" w:rsidP="00206326">
      <w:pPr>
        <w:pStyle w:val="FootnoteText"/>
        <w:keepLines/>
      </w:pPr>
      <w:r>
        <w:rPr>
          <w:rStyle w:val="FootnoteReference"/>
        </w:rPr>
        <w:footnoteRef/>
      </w:r>
      <w:r>
        <w:t xml:space="preserve"> Panel Report, para. 6.286 (referring to Original Panel Report, paras. 7.374, 7.410, and 7.525).</w:t>
      </w:r>
    </w:p>
  </w:footnote>
  <w:footnote w:id="373">
    <w:p w:rsidR="00FD2727" w:rsidRPr="006F5611" w:rsidRDefault="00FD2727" w:rsidP="00206326">
      <w:pPr>
        <w:pStyle w:val="FootnoteText"/>
        <w:keepLines/>
      </w:pPr>
      <w:r>
        <w:rPr>
          <w:rStyle w:val="FootnoteReference"/>
        </w:rPr>
        <w:footnoteRef/>
      </w:r>
      <w:r>
        <w:t xml:space="preserve"> </w:t>
      </w:r>
      <w:r w:rsidRPr="006F5611">
        <w:t xml:space="preserve">Panel Report, </w:t>
      </w:r>
      <w:r>
        <w:t>para. </w:t>
      </w:r>
      <w:r w:rsidRPr="00E14534">
        <w:t>6.58 (</w:t>
      </w:r>
      <w:r>
        <w:t>referring to United States' first writte</w:t>
      </w:r>
      <w:r w:rsidRPr="00324541">
        <w:t xml:space="preserve">n submission to the Panel, </w:t>
      </w:r>
      <w:r>
        <w:t>paras. </w:t>
      </w:r>
      <w:r w:rsidRPr="00324541">
        <w:t xml:space="preserve">140, 143-144, and 147; second written submission to the Panel, </w:t>
      </w:r>
      <w:r>
        <w:t>paras. </w:t>
      </w:r>
      <w:r w:rsidRPr="00324541">
        <w:t>85 and</w:t>
      </w:r>
      <w:r>
        <w:t xml:space="preserve"> 89-101).</w:t>
      </w:r>
    </w:p>
  </w:footnote>
  <w:footnote w:id="374">
    <w:p w:rsidR="00FD2727" w:rsidRDefault="00FD2727" w:rsidP="00206326">
      <w:pPr>
        <w:pStyle w:val="FootnoteText"/>
        <w:keepLines/>
      </w:pPr>
      <w:r>
        <w:rPr>
          <w:rStyle w:val="FootnoteReference"/>
        </w:rPr>
        <w:footnoteRef/>
      </w:r>
      <w:r>
        <w:t xml:space="preserve"> Panel Report, para. 6.286.</w:t>
      </w:r>
    </w:p>
  </w:footnote>
  <w:footnote w:id="375">
    <w:p w:rsidR="00FD2727" w:rsidRPr="00D67B35" w:rsidRDefault="00FD2727" w:rsidP="00206326">
      <w:pPr>
        <w:pStyle w:val="FootnoteText"/>
        <w:keepLines/>
        <w:rPr>
          <w:lang w:val="en-US"/>
        </w:rPr>
      </w:pPr>
      <w:r>
        <w:rPr>
          <w:rStyle w:val="FootnoteReference"/>
        </w:rPr>
        <w:footnoteRef/>
      </w:r>
      <w:r>
        <w:t xml:space="preserve"> </w:t>
      </w:r>
      <w:r w:rsidRPr="00DD2E72">
        <w:t xml:space="preserve">The Panel stated that, "{i}n some instances, repayment begins only after Airbus has made a specified number of aircraft deliveries. Although the amount of the per-aircraft levies varies </w:t>
      </w:r>
      <w:r>
        <w:t>{among}</w:t>
      </w:r>
      <w:r w:rsidRPr="00DD2E72">
        <w:t xml:space="preserve"> the different contracts, it appears in nearly all cases to be </w:t>
      </w:r>
      <w:r w:rsidRPr="00DD2E72">
        <w:rPr>
          <w:b/>
        </w:rPr>
        <w:t>[</w:t>
      </w:r>
      <w:r w:rsidRPr="00C8434D">
        <w:rPr>
          <w:b/>
          <w:szCs w:val="16"/>
        </w:rPr>
        <w:t>BCI</w:t>
      </w:r>
      <w:r w:rsidRPr="00DD2E72">
        <w:rPr>
          <w:b/>
        </w:rPr>
        <w:t>]</w:t>
      </w:r>
      <w:r w:rsidRPr="00DD2E72">
        <w:t xml:space="preserve">. In this way, the contracts are </w:t>
      </w:r>
      <w:r w:rsidRPr="00DD2E72">
        <w:rPr>
          <w:i/>
        </w:rPr>
        <w:t>back-loaded</w:t>
      </w:r>
      <w:r w:rsidRPr="00DD2E72">
        <w:t xml:space="preserve">." (Panel Report, </w:t>
      </w:r>
      <w:r>
        <w:t>para. </w:t>
      </w:r>
      <w:r w:rsidRPr="00DD2E72">
        <w:t>6.273</w:t>
      </w:r>
      <w:r>
        <w:t xml:space="preserve"> (emphasis original)</w:t>
      </w:r>
      <w:r w:rsidRPr="00DD2E72">
        <w:t>)</w:t>
      </w:r>
    </w:p>
  </w:footnote>
  <w:footnote w:id="376">
    <w:p w:rsidR="00FD2727" w:rsidRPr="00D67B35" w:rsidRDefault="00FD2727" w:rsidP="00206326">
      <w:pPr>
        <w:pStyle w:val="FootnoteText"/>
        <w:keepLines/>
        <w:rPr>
          <w:lang w:val="en-US"/>
        </w:rPr>
      </w:pPr>
      <w:r>
        <w:rPr>
          <w:rStyle w:val="FootnoteReference"/>
        </w:rPr>
        <w:footnoteRef/>
      </w:r>
      <w:r>
        <w:t xml:space="preserve"> </w:t>
      </w:r>
      <w:r w:rsidRPr="00DD2E72">
        <w:t>The Panel explained that reimbursement of the loan principal in all f</w:t>
      </w:r>
      <w:r>
        <w:t>our A350XWB LA/MSF contracts is by per</w:t>
      </w:r>
      <w:r>
        <w:noBreakHyphen/>
      </w:r>
      <w:r w:rsidRPr="00DD2E72">
        <w:t xml:space="preserve">aircraft levies. The levy is charged upon aircraft delivery, and thus levies are expected to be paid according to a pre-determined anticipated aircraft delivery schedule. According to the Panel, repayment of the principal may thus be said to be </w:t>
      </w:r>
      <w:r w:rsidRPr="00DD2E72">
        <w:rPr>
          <w:i/>
        </w:rPr>
        <w:t>levy-based</w:t>
      </w:r>
      <w:r w:rsidRPr="00DD2E72">
        <w:t xml:space="preserve">. (Panel Report, </w:t>
      </w:r>
      <w:r>
        <w:t>para. </w:t>
      </w:r>
      <w:r w:rsidRPr="00DD2E72">
        <w:t>6.270)</w:t>
      </w:r>
    </w:p>
  </w:footnote>
  <w:footnote w:id="377">
    <w:p w:rsidR="00FD2727" w:rsidRPr="00A453EC" w:rsidRDefault="00FD2727" w:rsidP="00206326">
      <w:pPr>
        <w:pStyle w:val="FootnoteText"/>
        <w:keepNext/>
        <w:keepLines/>
        <w:widowControl w:val="0"/>
        <w:rPr>
          <w:lang w:val="en-US"/>
        </w:rPr>
      </w:pPr>
      <w:r>
        <w:rPr>
          <w:rStyle w:val="FootnoteReference"/>
        </w:rPr>
        <w:footnoteRef/>
      </w:r>
      <w:r>
        <w:t xml:space="preserve"> </w:t>
      </w:r>
      <w:r w:rsidRPr="00DD2E72">
        <w:t xml:space="preserve">The Panel observed that, similar to the situation in </w:t>
      </w:r>
      <w:r w:rsidRPr="00A453EC">
        <w:t xml:space="preserve">the original proceedings where the loans were said to be </w:t>
      </w:r>
      <w:r w:rsidRPr="00A453EC">
        <w:rPr>
          <w:i/>
        </w:rPr>
        <w:t>unsecured</w:t>
      </w:r>
      <w:r w:rsidRPr="00A453EC">
        <w:t xml:space="preserve">, in these compliance proceedings "no security or collateral is nominated or provided by another entity for repaying {A350XWB} LA/MSF either if Airbus does not fulfil its obligations or in the event that delivery targets are not met or if the programme fails or is discontinued". (Panel Report, </w:t>
      </w:r>
      <w:r>
        <w:t>para. </w:t>
      </w:r>
      <w:r w:rsidRPr="00A453EC">
        <w:t>6.277)</w:t>
      </w:r>
    </w:p>
  </w:footnote>
  <w:footnote w:id="378">
    <w:p w:rsidR="00FD2727" w:rsidRPr="00A453EC" w:rsidRDefault="00FD2727" w:rsidP="00206326">
      <w:pPr>
        <w:pStyle w:val="FootnoteText"/>
        <w:keepLines/>
      </w:pPr>
      <w:r w:rsidRPr="00A453EC">
        <w:rPr>
          <w:rStyle w:val="FootnoteReference"/>
        </w:rPr>
        <w:footnoteRef/>
      </w:r>
      <w:r w:rsidRPr="00A453EC">
        <w:t xml:space="preserve"> Panel Report, </w:t>
      </w:r>
      <w:r>
        <w:t>para. </w:t>
      </w:r>
      <w:r w:rsidRPr="00A453EC">
        <w:t>6.286.</w:t>
      </w:r>
    </w:p>
  </w:footnote>
  <w:footnote w:id="379">
    <w:p w:rsidR="00FD2727" w:rsidRPr="00A453EC" w:rsidRDefault="00FD2727" w:rsidP="00206326">
      <w:pPr>
        <w:pStyle w:val="FootnoteText"/>
        <w:keepLines/>
      </w:pPr>
      <w:r w:rsidRPr="00A453EC">
        <w:rPr>
          <w:rStyle w:val="FootnoteReference"/>
        </w:rPr>
        <w:footnoteRef/>
      </w:r>
      <w:r w:rsidRPr="00A453EC">
        <w:t xml:space="preserve"> Panel Report, </w:t>
      </w:r>
      <w:r>
        <w:t>para. </w:t>
      </w:r>
      <w:r w:rsidRPr="00A453EC">
        <w:t xml:space="preserve">6.55 (referring to Williams Statement (Panel Exhibit EU-354 (BCI)), </w:t>
      </w:r>
      <w:r>
        <w:t>para. </w:t>
      </w:r>
      <w:r w:rsidRPr="00A453EC">
        <w:t xml:space="preserve">3; </w:t>
      </w:r>
      <w:r>
        <w:t>European Union</w:t>
      </w:r>
      <w:r w:rsidRPr="00A453EC">
        <w:t>'s response to Panel question No. 101).</w:t>
      </w:r>
    </w:p>
  </w:footnote>
  <w:footnote w:id="380">
    <w:p w:rsidR="00FD2727" w:rsidRPr="00A453EC" w:rsidRDefault="00FD2727" w:rsidP="00206326">
      <w:pPr>
        <w:pStyle w:val="FootnoteText"/>
        <w:keepLines/>
      </w:pPr>
      <w:r w:rsidRPr="00A453EC">
        <w:rPr>
          <w:rStyle w:val="FootnoteReference"/>
        </w:rPr>
        <w:footnoteRef/>
      </w:r>
      <w:r w:rsidRPr="00A453EC">
        <w:t xml:space="preserve"> Panel Report, Table 6 at </w:t>
      </w:r>
      <w:r>
        <w:t>para. </w:t>
      </w:r>
      <w:r w:rsidRPr="00A453EC">
        <w:t>6.382.</w:t>
      </w:r>
    </w:p>
  </w:footnote>
  <w:footnote w:id="381">
    <w:p w:rsidR="00FD2727" w:rsidRPr="0097319F" w:rsidRDefault="00FD2727" w:rsidP="00206326">
      <w:pPr>
        <w:pStyle w:val="FootnoteText"/>
        <w:keepLines/>
      </w:pPr>
      <w:r w:rsidRPr="00A453EC">
        <w:rPr>
          <w:rStyle w:val="FootnoteReference"/>
        </w:rPr>
        <w:footnoteRef/>
      </w:r>
      <w:r w:rsidRPr="00A453EC">
        <w:t xml:space="preserve"> Panel Report, </w:t>
      </w:r>
      <w:r>
        <w:t>para. </w:t>
      </w:r>
      <w:r w:rsidRPr="00A453EC">
        <w:t xml:space="preserve">6.386 (referring to Jordan Reply (Panel Exhibit USA-505 (BCI/HSBI)), </w:t>
      </w:r>
      <w:r>
        <w:t>para. </w:t>
      </w:r>
      <w:r w:rsidRPr="00A453EC">
        <w:t>27). (emphasis added</w:t>
      </w:r>
      <w:r>
        <w:t>; additional text in fn 588 thereto omitted</w:t>
      </w:r>
      <w:r w:rsidRPr="00A453EC">
        <w:t>)</w:t>
      </w:r>
    </w:p>
  </w:footnote>
  <w:footnote w:id="382">
    <w:p w:rsidR="00FD2727" w:rsidRDefault="00FD2727" w:rsidP="00206326">
      <w:pPr>
        <w:pStyle w:val="FootnoteText"/>
        <w:keepLines/>
      </w:pPr>
      <w:r>
        <w:rPr>
          <w:rStyle w:val="FootnoteReference"/>
        </w:rPr>
        <w:footnoteRef/>
      </w:r>
      <w:r>
        <w:t xml:space="preserve"> </w:t>
      </w:r>
      <w:r w:rsidRPr="006477CA">
        <w:t xml:space="preserve">Panel Report, </w:t>
      </w:r>
      <w:r>
        <w:t>para. </w:t>
      </w:r>
      <w:r w:rsidRPr="006477CA">
        <w:t>6.387.</w:t>
      </w:r>
    </w:p>
  </w:footnote>
  <w:footnote w:id="383">
    <w:p w:rsidR="00FD2727" w:rsidRPr="006477CA" w:rsidRDefault="00FD2727" w:rsidP="00206326">
      <w:pPr>
        <w:pStyle w:val="FootnoteText"/>
        <w:keepLines/>
      </w:pPr>
      <w:r w:rsidRPr="006477CA">
        <w:rPr>
          <w:rStyle w:val="FootnoteReference"/>
        </w:rPr>
        <w:footnoteRef/>
      </w:r>
      <w:r w:rsidRPr="004134C0">
        <w:t xml:space="preserve"> Panel Report, </w:t>
      </w:r>
      <w:r>
        <w:t>para. </w:t>
      </w:r>
      <w:r w:rsidRPr="006477CA">
        <w:t>6.389.</w:t>
      </w:r>
    </w:p>
  </w:footnote>
  <w:footnote w:id="384">
    <w:p w:rsidR="00FD2727" w:rsidRPr="00A453EC" w:rsidRDefault="00FD2727" w:rsidP="00206326">
      <w:pPr>
        <w:pStyle w:val="FootnoteText"/>
        <w:keepLines/>
      </w:pPr>
      <w:r w:rsidRPr="004328ED">
        <w:rPr>
          <w:rStyle w:val="FootnoteReference"/>
        </w:rPr>
        <w:footnoteRef/>
      </w:r>
      <w:r w:rsidRPr="004328ED">
        <w:t xml:space="preserve"> </w:t>
      </w:r>
      <w:r>
        <w:t>European Union</w:t>
      </w:r>
      <w:r w:rsidRPr="004328ED">
        <w:t xml:space="preserve">'s appellant's submission, </w:t>
      </w:r>
      <w:r>
        <w:t>para. </w:t>
      </w:r>
      <w:r w:rsidRPr="004328ED">
        <w:t>291.</w:t>
      </w:r>
      <w:r>
        <w:t xml:space="preserve"> (emphasis original)</w:t>
      </w:r>
      <w:r w:rsidRPr="004328ED">
        <w:t xml:space="preserve"> According to the </w:t>
      </w:r>
      <w:r>
        <w:t>European Union</w:t>
      </w:r>
      <w:r w:rsidRPr="004328ED">
        <w:t xml:space="preserve">, "rather than reflecting </w:t>
      </w:r>
      <w:r w:rsidRPr="004328ED">
        <w:rPr>
          <w:i/>
        </w:rPr>
        <w:t>atypical</w:t>
      </w:r>
      <w:r w:rsidRPr="004328ED">
        <w:t xml:space="preserve"> fluctuations, the Panel's own factual findings reveal that the yield on the day of conclusion of each </w:t>
      </w:r>
      <w:r>
        <w:t xml:space="preserve">{A350XWB} </w:t>
      </w:r>
      <w:r w:rsidRPr="004328ED">
        <w:t>LA/</w:t>
      </w:r>
      <w:r w:rsidRPr="00A453EC">
        <w:t xml:space="preserve">MSF contract was </w:t>
      </w:r>
      <w:r w:rsidRPr="00A453EC">
        <w:rPr>
          <w:i/>
        </w:rPr>
        <w:t>typical</w:t>
      </w:r>
      <w:r w:rsidRPr="00A453EC">
        <w:t xml:space="preserve">." (Ibid., </w:t>
      </w:r>
      <w:r>
        <w:t>para. </w:t>
      </w:r>
      <w:r w:rsidRPr="00A453EC">
        <w:t>292</w:t>
      </w:r>
      <w:r>
        <w:t xml:space="preserve"> (emphasis original)</w:t>
      </w:r>
      <w:r w:rsidRPr="00A453EC">
        <w:t>)</w:t>
      </w:r>
    </w:p>
  </w:footnote>
  <w:footnote w:id="385">
    <w:p w:rsidR="00FD2727" w:rsidRPr="00B23811" w:rsidRDefault="00FD2727" w:rsidP="00206326">
      <w:pPr>
        <w:pStyle w:val="FootnoteText"/>
        <w:keepLines/>
        <w:rPr>
          <w:lang w:val="en-US"/>
        </w:rPr>
      </w:pPr>
      <w:r w:rsidRPr="00B23811">
        <w:rPr>
          <w:rStyle w:val="FootnoteReference"/>
        </w:rPr>
        <w:footnoteRef/>
      </w:r>
      <w:r w:rsidRPr="00B23811">
        <w:t xml:space="preserve"> </w:t>
      </w:r>
      <w:r w:rsidRPr="00B23811">
        <w:rPr>
          <w:lang w:val="en-US"/>
        </w:rPr>
        <w:t>See section 5.3.1.4 of this Report.</w:t>
      </w:r>
    </w:p>
  </w:footnote>
  <w:footnote w:id="386">
    <w:p w:rsidR="00FD2727" w:rsidRPr="00A453EC" w:rsidRDefault="00FD2727" w:rsidP="00206326">
      <w:pPr>
        <w:pStyle w:val="FootnoteText"/>
        <w:keepLines/>
      </w:pPr>
      <w:r w:rsidRPr="00B23811">
        <w:rPr>
          <w:rStyle w:val="FootnoteReference"/>
        </w:rPr>
        <w:footnoteRef/>
      </w:r>
      <w:r w:rsidRPr="00B23811">
        <w:t xml:space="preserve"> Panel Report, para. 6.389.</w:t>
      </w:r>
      <w:r w:rsidRPr="00A453EC">
        <w:t xml:space="preserve"> (emphasis added)</w:t>
      </w:r>
    </w:p>
  </w:footnote>
  <w:footnote w:id="387">
    <w:p w:rsidR="00FD2727" w:rsidRPr="00A453EC" w:rsidRDefault="00FD2727" w:rsidP="00206326">
      <w:pPr>
        <w:pStyle w:val="FootnoteText"/>
        <w:keepLines/>
      </w:pPr>
      <w:r w:rsidRPr="00A453EC">
        <w:rPr>
          <w:rStyle w:val="FootnoteReference"/>
        </w:rPr>
        <w:footnoteRef/>
      </w:r>
      <w:r w:rsidRPr="00A453EC">
        <w:t xml:space="preserve"> Panel Report, </w:t>
      </w:r>
      <w:r>
        <w:t>para. </w:t>
      </w:r>
      <w:r w:rsidRPr="00A453EC">
        <w:t>6.389.</w:t>
      </w:r>
    </w:p>
  </w:footnote>
  <w:footnote w:id="388">
    <w:p w:rsidR="00FD2727" w:rsidRPr="00A453EC" w:rsidRDefault="00FD2727" w:rsidP="00206326">
      <w:pPr>
        <w:pStyle w:val="FootnoteText"/>
        <w:keepLines/>
      </w:pPr>
      <w:r w:rsidRPr="00A453EC">
        <w:rPr>
          <w:rStyle w:val="FootnoteReference"/>
        </w:rPr>
        <w:footnoteRef/>
      </w:r>
      <w:r w:rsidRPr="00A453EC">
        <w:t xml:space="preserve"> Panel Report, </w:t>
      </w:r>
      <w:r>
        <w:t>para. </w:t>
      </w:r>
      <w:r w:rsidRPr="00A453EC">
        <w:t>6.387.</w:t>
      </w:r>
    </w:p>
  </w:footnote>
  <w:footnote w:id="389">
    <w:p w:rsidR="00FD2727" w:rsidRPr="00EC4C12" w:rsidRDefault="00FD2727" w:rsidP="00206326">
      <w:pPr>
        <w:pStyle w:val="FootnoteText"/>
        <w:keepLines/>
      </w:pPr>
      <w:r w:rsidRPr="00A453EC">
        <w:rPr>
          <w:rStyle w:val="FootnoteReference"/>
        </w:rPr>
        <w:footnoteRef/>
      </w:r>
      <w:r w:rsidRPr="00A453EC">
        <w:t xml:space="preserve"> Panel Report, </w:t>
      </w:r>
      <w:r>
        <w:t>para. </w:t>
      </w:r>
      <w:r w:rsidRPr="00A453EC">
        <w:t xml:space="preserve">6.55 (referring to Williams Statement (Panel Exhibit EU-354 (BCI)), </w:t>
      </w:r>
      <w:r>
        <w:t>para. </w:t>
      </w:r>
      <w:r w:rsidRPr="00A453EC">
        <w:t xml:space="preserve">3; </w:t>
      </w:r>
      <w:r>
        <w:t>European Union</w:t>
      </w:r>
      <w:r w:rsidRPr="00A453EC">
        <w:t>'s response to Panel question No. 101). According to the</w:t>
      </w:r>
      <w:r w:rsidRPr="004328ED">
        <w:t xml:space="preserve"> Panel, "Airbus commenced </w:t>
      </w:r>
      <w:r w:rsidRPr="004328ED">
        <w:rPr>
          <w:i/>
        </w:rPr>
        <w:t>formal</w:t>
      </w:r>
      <w:r w:rsidRPr="004328ED">
        <w:t xml:space="preserve"> negotiations with the Airbus governments for A350XWB LA/MSF in </w:t>
      </w:r>
      <w:r w:rsidRPr="004328ED">
        <w:rPr>
          <w:b/>
        </w:rPr>
        <w:t>[</w:t>
      </w:r>
      <w:r w:rsidRPr="00C8434D">
        <w:rPr>
          <w:b/>
          <w:szCs w:val="16"/>
        </w:rPr>
        <w:t>BCI</w:t>
      </w:r>
      <w:r w:rsidRPr="004328ED">
        <w:rPr>
          <w:b/>
        </w:rPr>
        <w:t>]</w:t>
      </w:r>
      <w:r w:rsidRPr="004328ED">
        <w:t xml:space="preserve"> after the launch of the A350XWB."</w:t>
      </w:r>
      <w:r w:rsidRPr="00F822DD">
        <w:t xml:space="preserve"> </w:t>
      </w:r>
      <w:r>
        <w:t>(Ibid.</w:t>
      </w:r>
      <w:r w:rsidRPr="006477CA">
        <w:t xml:space="preserve">, </w:t>
      </w:r>
      <w:r>
        <w:t>para. </w:t>
      </w:r>
      <w:r w:rsidRPr="006477CA">
        <w:t xml:space="preserve">6.144 (referring to </w:t>
      </w:r>
      <w:r>
        <w:t>European Union</w:t>
      </w:r>
      <w:r w:rsidRPr="006477CA">
        <w:t>'s response to Panel question No. 101)</w:t>
      </w:r>
      <w:r>
        <w:t xml:space="preserve"> (emphasis original; additional text in fn 290 thereto omitted))</w:t>
      </w:r>
    </w:p>
  </w:footnote>
  <w:footnote w:id="390">
    <w:p w:rsidR="00FD2727" w:rsidRDefault="00FD2727" w:rsidP="00206326">
      <w:pPr>
        <w:pStyle w:val="FootnoteText"/>
        <w:keepLines/>
      </w:pPr>
      <w:r>
        <w:rPr>
          <w:rStyle w:val="FootnoteReference"/>
        </w:rPr>
        <w:footnoteRef/>
      </w:r>
      <w:r>
        <w:t xml:space="preserve"> </w:t>
      </w:r>
      <w:r w:rsidRPr="004134C0">
        <w:t>Panel Report,</w:t>
      </w:r>
      <w:r>
        <w:t xml:space="preserve"> Table 6 at</w:t>
      </w:r>
      <w:r w:rsidRPr="004134C0">
        <w:t xml:space="preserve"> </w:t>
      </w:r>
      <w:r>
        <w:t>para. </w:t>
      </w:r>
      <w:r w:rsidRPr="006477CA">
        <w:t>6.38</w:t>
      </w:r>
      <w:r>
        <w:t>2.</w:t>
      </w:r>
    </w:p>
  </w:footnote>
  <w:footnote w:id="391">
    <w:p w:rsidR="00FD2727" w:rsidRDefault="00FD2727" w:rsidP="00206326">
      <w:pPr>
        <w:pStyle w:val="FootnoteText"/>
        <w:keepLines/>
      </w:pPr>
      <w:r>
        <w:rPr>
          <w:rStyle w:val="FootnoteReference"/>
        </w:rPr>
        <w:footnoteRef/>
      </w:r>
      <w:r>
        <w:t xml:space="preserve"> </w:t>
      </w:r>
      <w:r w:rsidRPr="006477CA">
        <w:t xml:space="preserve">Panel Report, </w:t>
      </w:r>
      <w:r>
        <w:t>para. </w:t>
      </w:r>
      <w:r w:rsidRPr="006477CA">
        <w:t>6.</w:t>
      </w:r>
      <w:r>
        <w:t>389.</w:t>
      </w:r>
    </w:p>
  </w:footnote>
  <w:footnote w:id="392">
    <w:p w:rsidR="00FD2727" w:rsidRDefault="00FD2727" w:rsidP="00206326">
      <w:pPr>
        <w:pStyle w:val="FootnoteText"/>
        <w:keepLines/>
      </w:pPr>
      <w:r>
        <w:rPr>
          <w:rStyle w:val="FootnoteReference"/>
        </w:rPr>
        <w:footnoteRef/>
      </w:r>
      <w:r>
        <w:t xml:space="preserve"> </w:t>
      </w:r>
      <w:r w:rsidRPr="006477CA">
        <w:t xml:space="preserve">Panel Report, </w:t>
      </w:r>
      <w:r>
        <w:t>para. </w:t>
      </w:r>
      <w:r w:rsidRPr="006477CA">
        <w:t>6.</w:t>
      </w:r>
      <w:r>
        <w:t>389.</w:t>
      </w:r>
    </w:p>
  </w:footnote>
  <w:footnote w:id="393">
    <w:p w:rsidR="00FD2727" w:rsidRDefault="00FD2727" w:rsidP="00206326">
      <w:pPr>
        <w:pStyle w:val="FootnoteText"/>
        <w:keepLines/>
      </w:pPr>
      <w:r>
        <w:rPr>
          <w:rStyle w:val="FootnoteReference"/>
        </w:rPr>
        <w:footnoteRef/>
      </w:r>
      <w:r>
        <w:t xml:space="preserve"> </w:t>
      </w:r>
      <w:r w:rsidRPr="004134C0">
        <w:t xml:space="preserve">Panel Report, </w:t>
      </w:r>
      <w:r>
        <w:t>para. </w:t>
      </w:r>
      <w:r w:rsidRPr="006477CA">
        <w:t>6.389.</w:t>
      </w:r>
    </w:p>
  </w:footnote>
  <w:footnote w:id="394">
    <w:p w:rsidR="00FD2727" w:rsidRDefault="00FD2727" w:rsidP="00206326">
      <w:pPr>
        <w:pStyle w:val="FootnoteText"/>
        <w:keepLines/>
      </w:pPr>
      <w:r>
        <w:rPr>
          <w:rStyle w:val="FootnoteReference"/>
        </w:rPr>
        <w:footnoteRef/>
      </w:r>
      <w:r>
        <w:t xml:space="preserve"> Panel Report, para. 6.286.</w:t>
      </w:r>
    </w:p>
  </w:footnote>
  <w:footnote w:id="395">
    <w:p w:rsidR="00FD2727" w:rsidRPr="00EC4C12" w:rsidRDefault="00FD2727" w:rsidP="00206326">
      <w:pPr>
        <w:pStyle w:val="FootnoteText"/>
        <w:keepLines/>
      </w:pPr>
      <w:r w:rsidRPr="006477CA">
        <w:rPr>
          <w:rStyle w:val="FootnoteReference"/>
        </w:rPr>
        <w:footnoteRef/>
      </w:r>
      <w:r w:rsidRPr="006477CA">
        <w:t xml:space="preserve"> Panel Report, </w:t>
      </w:r>
      <w:r>
        <w:t>para. </w:t>
      </w:r>
      <w:r w:rsidRPr="006477CA">
        <w:t xml:space="preserve">6.55 and fn 132 thereto (referring to </w:t>
      </w:r>
      <w:r w:rsidRPr="00A453EC">
        <w:t>Williams Statement (Panel Exhibit EU-354</w:t>
      </w:r>
      <w:r w:rsidRPr="005435FA">
        <w:t xml:space="preserve"> (BCI)</w:t>
      </w:r>
      <w:r w:rsidRPr="0097319F">
        <w:t xml:space="preserve">), </w:t>
      </w:r>
      <w:r>
        <w:t>para. </w:t>
      </w:r>
      <w:r w:rsidRPr="0097319F">
        <w:t xml:space="preserve">3; </w:t>
      </w:r>
      <w:r>
        <w:t>European Union</w:t>
      </w:r>
      <w:r w:rsidRPr="0097319F">
        <w:t>'s response to Panel que</w:t>
      </w:r>
      <w:r>
        <w:t>stion No. 101)</w:t>
      </w:r>
      <w:r w:rsidRPr="00867FE3">
        <w:t xml:space="preserve">. (fn </w:t>
      </w:r>
      <w:r w:rsidRPr="00FE41F2">
        <w:t xml:space="preserve">131 </w:t>
      </w:r>
      <w:r w:rsidRPr="00EC4C12">
        <w:t>omitted)</w:t>
      </w:r>
    </w:p>
  </w:footnote>
  <w:footnote w:id="396">
    <w:p w:rsidR="00FD2727" w:rsidRDefault="00FD2727" w:rsidP="00206326">
      <w:pPr>
        <w:pStyle w:val="FootnoteText"/>
        <w:keepLines/>
      </w:pPr>
      <w:r>
        <w:rPr>
          <w:rStyle w:val="FootnoteReference"/>
        </w:rPr>
        <w:footnoteRef/>
      </w:r>
      <w:r>
        <w:t xml:space="preserve"> </w:t>
      </w:r>
      <w:r w:rsidRPr="004134C0">
        <w:t>Panel Report,</w:t>
      </w:r>
      <w:r>
        <w:t xml:space="preserve"> Table 6 at</w:t>
      </w:r>
      <w:r w:rsidRPr="004134C0">
        <w:t xml:space="preserve"> </w:t>
      </w:r>
      <w:r>
        <w:t>para. </w:t>
      </w:r>
      <w:r w:rsidRPr="006477CA">
        <w:t>6.38</w:t>
      </w:r>
      <w:r>
        <w:t>2.</w:t>
      </w:r>
    </w:p>
  </w:footnote>
  <w:footnote w:id="397">
    <w:p w:rsidR="00FD2727" w:rsidRDefault="00FD2727" w:rsidP="00206326">
      <w:pPr>
        <w:pStyle w:val="FootnoteText"/>
        <w:keepLines/>
      </w:pPr>
      <w:r>
        <w:rPr>
          <w:rStyle w:val="FootnoteReference"/>
        </w:rPr>
        <w:footnoteRef/>
      </w:r>
      <w:r>
        <w:t xml:space="preserve"> T</w:t>
      </w:r>
      <w:r w:rsidRPr="00D039E3">
        <w:t xml:space="preserve">he </w:t>
      </w:r>
      <w:r w:rsidRPr="00742072">
        <w:t xml:space="preserve">general corporate borrowing rates </w:t>
      </w:r>
      <w:r>
        <w:t xml:space="preserve">originally </w:t>
      </w:r>
      <w:r w:rsidRPr="00742072">
        <w:t xml:space="preserve">proposed by the </w:t>
      </w:r>
      <w:r>
        <w:t>United States</w:t>
      </w:r>
      <w:r w:rsidRPr="00742072">
        <w:t xml:space="preserve"> were based on the same data used to derive the general corporate borrowing rates applied in the original proceeding</w:t>
      </w:r>
      <w:r>
        <w:t>s</w:t>
      </w:r>
      <w:r w:rsidRPr="00742072">
        <w:t xml:space="preserve">, updated to account for the timing of the conclusion of the </w:t>
      </w:r>
      <w:r w:rsidRPr="00607E48">
        <w:t>relevant A350XWB LA/MSF contracts</w:t>
      </w:r>
      <w:r w:rsidRPr="00742072">
        <w:t>.</w:t>
      </w:r>
      <w:r w:rsidRPr="00185E86">
        <w:t xml:space="preserve"> </w:t>
      </w:r>
      <w:r>
        <w:t>(Panel Report, para. 6.353)</w:t>
      </w:r>
    </w:p>
  </w:footnote>
  <w:footnote w:id="398">
    <w:p w:rsidR="00FD2727" w:rsidRPr="00A453EC" w:rsidRDefault="00FD2727" w:rsidP="00206326">
      <w:pPr>
        <w:pStyle w:val="FootnoteText"/>
        <w:keepLines/>
      </w:pPr>
      <w:r w:rsidRPr="00A453EC">
        <w:rPr>
          <w:rStyle w:val="FootnoteReference"/>
        </w:rPr>
        <w:footnoteRef/>
      </w:r>
      <w:r w:rsidRPr="00A453EC">
        <w:t xml:space="preserve"> We recall that the </w:t>
      </w:r>
      <w:r>
        <w:t>European Union</w:t>
      </w:r>
      <w:r w:rsidRPr="00A453EC">
        <w:t xml:space="preserve"> asserted before the Panel that it "is possible to establish from market data the company's actual cost of long-term borrowing", that is, "EADS' actual, long-term borrowing rates at the date of the agreements, expressed as the yield on its longest-term bond". (Panel Report, </w:t>
      </w:r>
      <w:r>
        <w:t>para. </w:t>
      </w:r>
      <w:r w:rsidRPr="00A453EC">
        <w:t xml:space="preserve">6.357 (quoting </w:t>
      </w:r>
      <w:r w:rsidRPr="00A453EC">
        <w:rPr>
          <w:szCs w:val="16"/>
        </w:rPr>
        <w:t xml:space="preserve">Whitelaw Response to Jordan </w:t>
      </w:r>
      <w:r w:rsidRPr="00A453EC">
        <w:t>(</w:t>
      </w:r>
      <w:r>
        <w:t xml:space="preserve">Panel </w:t>
      </w:r>
      <w:r w:rsidRPr="00A453EC">
        <w:t xml:space="preserve">Exhibit EU-121 </w:t>
      </w:r>
      <w:r w:rsidRPr="00A453EC">
        <w:rPr>
          <w:szCs w:val="16"/>
        </w:rPr>
        <w:t xml:space="preserve">(BCI/HSBI)), </w:t>
      </w:r>
      <w:r>
        <w:t>paras. </w:t>
      </w:r>
      <w:r w:rsidRPr="00A453EC">
        <w:t xml:space="preserve">8 and 11-12, and fns 10 and 13 thereto)) In particular, the </w:t>
      </w:r>
      <w:r>
        <w:t>European Union</w:t>
      </w:r>
      <w:r w:rsidRPr="00A453EC">
        <w:t xml:space="preserve"> proposed using the EADS Finance B.V. 5.5% coupon 03/18 MTN, a bond issued on 24</w:t>
      </w:r>
      <w:r>
        <w:t> September 20</w:t>
      </w:r>
      <w:r w:rsidRPr="00A453EC">
        <w:t>03 and maturing on 25</w:t>
      </w:r>
      <w:r>
        <w:t> September 20</w:t>
      </w:r>
      <w:r w:rsidRPr="00A453EC">
        <w:t xml:space="preserve">18. (Ibid., </w:t>
      </w:r>
      <w:r>
        <w:t>para. </w:t>
      </w:r>
      <w:r w:rsidRPr="00A453EC">
        <w:t xml:space="preserve">6.358) The </w:t>
      </w:r>
      <w:r>
        <w:t>European Union</w:t>
      </w:r>
      <w:r w:rsidRPr="00A453EC">
        <w:t xml:space="preserve"> specified that Professor Whitelaw derived "the average yield to maturity ('YTM') of the EADS bond maturing in the last quarter of</w:t>
      </w:r>
      <w:r>
        <w:t> 20</w:t>
      </w:r>
      <w:r w:rsidRPr="00A453EC">
        <w:t xml:space="preserve">18 for the period when all four member State financing agreements were concluded – </w:t>
      </w:r>
      <w:r w:rsidRPr="00A453EC">
        <w:rPr>
          <w:i/>
        </w:rPr>
        <w:t>i.e.</w:t>
      </w:r>
      <w:r w:rsidRPr="00A453EC">
        <w:t>, </w:t>
      </w:r>
      <w:r w:rsidRPr="00A453EC">
        <w:rPr>
          <w:b/>
        </w:rPr>
        <w:t>[</w:t>
      </w:r>
      <w:r w:rsidRPr="00C8434D">
        <w:rPr>
          <w:b/>
          <w:szCs w:val="16"/>
        </w:rPr>
        <w:t>BCI</w:t>
      </w:r>
      <w:r w:rsidRPr="00A453EC">
        <w:rPr>
          <w:b/>
        </w:rPr>
        <w:t>]</w:t>
      </w:r>
      <w:r w:rsidRPr="00A453EC">
        <w:t>". (</w:t>
      </w:r>
      <w:r>
        <w:t>European Union</w:t>
      </w:r>
      <w:r w:rsidRPr="00A453EC">
        <w:t xml:space="preserve">'s second written submission to the Panel, </w:t>
      </w:r>
      <w:r>
        <w:t>para. </w:t>
      </w:r>
      <w:r w:rsidRPr="00A453EC">
        <w:t>312)</w:t>
      </w:r>
    </w:p>
  </w:footnote>
  <w:footnote w:id="399">
    <w:p w:rsidR="00FD2727" w:rsidRPr="00413A0B" w:rsidRDefault="00FD2727" w:rsidP="00206326">
      <w:pPr>
        <w:pStyle w:val="FootnoteText"/>
        <w:keepLines/>
        <w:rPr>
          <w:lang w:val="es-ES"/>
        </w:rPr>
      </w:pPr>
      <w:r w:rsidRPr="00A453EC">
        <w:rPr>
          <w:rStyle w:val="FootnoteReference"/>
        </w:rPr>
        <w:footnoteRef/>
      </w:r>
      <w:r w:rsidRPr="00A453EC">
        <w:t xml:space="preserve"> The </w:t>
      </w:r>
      <w:r>
        <w:t>United States</w:t>
      </w:r>
      <w:r w:rsidRPr="00A453EC">
        <w:t xml:space="preserve"> took issue with the fact that Professor Whitelaw calculated an average of the daily </w:t>
      </w:r>
      <w:r>
        <w:t>YTM</w:t>
      </w:r>
      <w:r w:rsidRPr="00A453EC">
        <w:t xml:space="preserve"> on the EADS bond over "an arbitrary </w:t>
      </w:r>
      <w:r w:rsidRPr="00A453EC">
        <w:rPr>
          <w:b/>
        </w:rPr>
        <w:t>[</w:t>
      </w:r>
      <w:r w:rsidRPr="00C8434D">
        <w:rPr>
          <w:b/>
          <w:szCs w:val="16"/>
        </w:rPr>
        <w:t>BCI</w:t>
      </w:r>
      <w:r w:rsidRPr="00A453EC">
        <w:rPr>
          <w:b/>
        </w:rPr>
        <w:t>]</w:t>
      </w:r>
      <w:r w:rsidRPr="00A453EC">
        <w:t xml:space="preserve"> time period that beg{an} </w:t>
      </w:r>
      <w:r w:rsidRPr="00A453EC">
        <w:rPr>
          <w:b/>
        </w:rPr>
        <w:t>[</w:t>
      </w:r>
      <w:r w:rsidRPr="00C8434D">
        <w:rPr>
          <w:b/>
          <w:szCs w:val="16"/>
        </w:rPr>
        <w:t>BCI</w:t>
      </w:r>
      <w:r w:rsidRPr="00A453EC">
        <w:rPr>
          <w:b/>
        </w:rPr>
        <w:t>]</w:t>
      </w:r>
      <w:r w:rsidRPr="00A453EC">
        <w:t>". (</w:t>
      </w:r>
      <w:r>
        <w:t>United States</w:t>
      </w:r>
      <w:r w:rsidRPr="00A453EC">
        <w:t xml:space="preserve">' comments to the </w:t>
      </w:r>
      <w:r>
        <w:t>European Union</w:t>
      </w:r>
      <w:r w:rsidRPr="00A453EC">
        <w:t xml:space="preserve">'s responses to Panel question No. 99, </w:t>
      </w:r>
      <w:r>
        <w:t>para. </w:t>
      </w:r>
      <w:r w:rsidRPr="00A453EC">
        <w:t xml:space="preserve">275 (fn omitted)) The </w:t>
      </w:r>
      <w:r>
        <w:t>United States</w:t>
      </w:r>
      <w:r w:rsidRPr="00A453EC">
        <w:t xml:space="preserve"> disagreed with the fact that Professor Whitelaw's approach also relied on debt instrumen</w:t>
      </w:r>
      <w:r>
        <w:t>ts with a maturity that is "far </w:t>
      </w:r>
      <w:r w:rsidRPr="00A453EC">
        <w:t>shorter than the actual term of the A350 XWB LA/MSF loans to Airbus". (Ibi</w:t>
      </w:r>
      <w:r>
        <w:t>d. (quoting Jordan Reply (Panel </w:t>
      </w:r>
      <w:r w:rsidRPr="00A453EC">
        <w:t xml:space="preserve">Exhibit USA-505 (BCI/HSBI)), fn 3 to </w:t>
      </w:r>
      <w:r>
        <w:t>para. </w:t>
      </w:r>
      <w:r w:rsidRPr="00413A0B">
        <w:rPr>
          <w:lang w:val="es-ES"/>
        </w:rPr>
        <w:t>3))</w:t>
      </w:r>
    </w:p>
  </w:footnote>
  <w:footnote w:id="400">
    <w:p w:rsidR="00FD2727" w:rsidRPr="00B0558B" w:rsidRDefault="00FD2727" w:rsidP="00206326">
      <w:pPr>
        <w:pStyle w:val="FootnoteText"/>
        <w:keepLines/>
        <w:rPr>
          <w:lang w:val="es-ES"/>
        </w:rPr>
      </w:pPr>
      <w:r w:rsidRPr="00A453EC">
        <w:rPr>
          <w:rStyle w:val="FootnoteReference"/>
        </w:rPr>
        <w:footnoteRef/>
      </w:r>
      <w:r w:rsidRPr="00B0558B">
        <w:rPr>
          <w:lang w:val="es-ES"/>
        </w:rPr>
        <w:t xml:space="preserve"> Jordan Reply (Panel Exhibit USA-505 (BCI/HSBI)).</w:t>
      </w:r>
    </w:p>
  </w:footnote>
  <w:footnote w:id="401">
    <w:p w:rsidR="00FD2727" w:rsidRPr="0037619D" w:rsidRDefault="00FD2727">
      <w:pPr>
        <w:pStyle w:val="FootnoteText"/>
      </w:pPr>
      <w:r>
        <w:rPr>
          <w:rStyle w:val="FootnoteReference"/>
        </w:rPr>
        <w:footnoteRef/>
      </w:r>
      <w:r w:rsidRPr="005A1966">
        <w:rPr>
          <w:lang w:val="es-ES"/>
        </w:rPr>
        <w:t xml:space="preserve"> Jordan Reply (Panel Exhibit USA-505 (BCI/HSBI)), para. </w:t>
      </w:r>
      <w:r w:rsidRPr="0037619D">
        <w:t>29.</w:t>
      </w:r>
    </w:p>
  </w:footnote>
  <w:footnote w:id="402">
    <w:p w:rsidR="00FD2727" w:rsidRPr="005435FA" w:rsidRDefault="00FD2727" w:rsidP="00206326">
      <w:pPr>
        <w:pStyle w:val="FootnoteText"/>
        <w:keepLines/>
      </w:pPr>
      <w:r w:rsidRPr="00A453EC">
        <w:rPr>
          <w:rStyle w:val="FootnoteReference"/>
        </w:rPr>
        <w:footnoteRef/>
      </w:r>
      <w:r w:rsidRPr="00A453EC">
        <w:t xml:space="preserve"> Jordan Reply (Panel Exhibit USA-505 (BCI/HSBI</w:t>
      </w:r>
      <w:r w:rsidRPr="00264244">
        <w:t>)</w:t>
      </w:r>
      <w:r w:rsidRPr="005435FA">
        <w:t xml:space="preserve">), Table 6 at </w:t>
      </w:r>
      <w:r>
        <w:t>para. </w:t>
      </w:r>
      <w:r w:rsidRPr="005435FA">
        <w:t>29.</w:t>
      </w:r>
    </w:p>
  </w:footnote>
  <w:footnote w:id="403">
    <w:p w:rsidR="00FD2727" w:rsidRDefault="00FD2727" w:rsidP="00206326">
      <w:pPr>
        <w:pStyle w:val="FootnoteText"/>
        <w:keepLines/>
      </w:pPr>
      <w:r>
        <w:rPr>
          <w:rStyle w:val="FootnoteReference"/>
        </w:rPr>
        <w:footnoteRef/>
      </w:r>
      <w:r>
        <w:t xml:space="preserve"> </w:t>
      </w:r>
      <w:r w:rsidRPr="00E51AD1">
        <w:t xml:space="preserve">See e.g. </w:t>
      </w:r>
      <w:r>
        <w:t>European Union</w:t>
      </w:r>
      <w:r w:rsidRPr="00E51AD1">
        <w:t xml:space="preserve">'s comments on the </w:t>
      </w:r>
      <w:r>
        <w:t>United States</w:t>
      </w:r>
      <w:r w:rsidRPr="00E51AD1">
        <w:t>' respons</w:t>
      </w:r>
      <w:r>
        <w:t>e to Panel questions Nos. 92 and </w:t>
      </w:r>
      <w:r w:rsidRPr="00E51AD1">
        <w:t>110-112.</w:t>
      </w:r>
      <w:r>
        <w:t xml:space="preserve"> </w:t>
      </w:r>
    </w:p>
  </w:footnote>
  <w:footnote w:id="404">
    <w:p w:rsidR="00FD2727" w:rsidRDefault="00FD2727" w:rsidP="00206326">
      <w:pPr>
        <w:pStyle w:val="FootnoteText"/>
        <w:keepLines/>
      </w:pPr>
      <w:r>
        <w:rPr>
          <w:rStyle w:val="FootnoteReference"/>
        </w:rPr>
        <w:footnoteRef/>
      </w:r>
      <w:r>
        <w:t xml:space="preserve"> </w:t>
      </w:r>
      <w:r w:rsidRPr="004134C0">
        <w:t xml:space="preserve">Panel Report, </w:t>
      </w:r>
      <w:r>
        <w:t>para. </w:t>
      </w:r>
      <w:r w:rsidRPr="006477CA">
        <w:t>6.389.</w:t>
      </w:r>
    </w:p>
  </w:footnote>
  <w:footnote w:id="405">
    <w:p w:rsidR="00FD2727" w:rsidRPr="00A453EC" w:rsidRDefault="00FD2727" w:rsidP="00206326">
      <w:pPr>
        <w:pStyle w:val="FootnoteText"/>
        <w:keepLines/>
      </w:pPr>
      <w:r>
        <w:rPr>
          <w:rStyle w:val="FootnoteReference"/>
        </w:rPr>
        <w:footnoteRef/>
      </w:r>
      <w:r>
        <w:t xml:space="preserve"> European Union's appellant's submission, para. </w:t>
      </w:r>
      <w:r w:rsidRPr="00A453EC">
        <w:t>294.</w:t>
      </w:r>
    </w:p>
  </w:footnote>
  <w:footnote w:id="406">
    <w:p w:rsidR="00FD2727" w:rsidRPr="00A453EC" w:rsidRDefault="00FD2727" w:rsidP="00206326">
      <w:pPr>
        <w:pStyle w:val="FootnoteText"/>
        <w:keepLines/>
      </w:pPr>
      <w:r w:rsidRPr="00A453EC">
        <w:rPr>
          <w:rStyle w:val="FootnoteReference"/>
        </w:rPr>
        <w:footnoteRef/>
      </w:r>
      <w:r w:rsidRPr="00A453EC">
        <w:t xml:space="preserve"> Panel Report, </w:t>
      </w:r>
      <w:r>
        <w:t>para. </w:t>
      </w:r>
      <w:r w:rsidRPr="00A453EC">
        <w:t>6.378.</w:t>
      </w:r>
    </w:p>
  </w:footnote>
  <w:footnote w:id="407">
    <w:p w:rsidR="00FD2727" w:rsidRPr="00A453EC" w:rsidRDefault="00FD2727" w:rsidP="00206326">
      <w:pPr>
        <w:pStyle w:val="FootnoteText"/>
        <w:keepNext/>
        <w:keepLines/>
      </w:pPr>
      <w:r w:rsidRPr="00A453EC">
        <w:rPr>
          <w:rStyle w:val="FootnoteReference"/>
        </w:rPr>
        <w:footnoteRef/>
      </w:r>
      <w:r w:rsidRPr="00A453EC">
        <w:t xml:space="preserve"> Panel Report, </w:t>
      </w:r>
      <w:r>
        <w:t>para. </w:t>
      </w:r>
      <w:r w:rsidRPr="00A453EC">
        <w:t xml:space="preserve">6.386 (referring to Jordan Reply (Panel Exhibit USA-505 (BCI/HSBI)), </w:t>
      </w:r>
      <w:r>
        <w:t>para. </w:t>
      </w:r>
      <w:r w:rsidRPr="00A453EC">
        <w:t>27). (emphasis added</w:t>
      </w:r>
      <w:r>
        <w:t>; additional text in fn 588 thereto omitted</w:t>
      </w:r>
      <w:r w:rsidRPr="00A453EC">
        <w:t>) The Panel explained in this regard:</w:t>
      </w:r>
    </w:p>
    <w:p w:rsidR="00FD2727" w:rsidRDefault="00FD2727" w:rsidP="00206326">
      <w:pPr>
        <w:pStyle w:val="FootnoteQuotation"/>
        <w:keepNext/>
        <w:keepLines/>
      </w:pPr>
      <w:r w:rsidRPr="00A453EC">
        <w:t>For example, in the present case, the market rate for the UK loan agreement, coming later, would be distorted upwards by higher yields from the time when the French agreement</w:t>
      </w:r>
      <w:r w:rsidRPr="00CA12AD">
        <w:t xml:space="preserve"> was concluded – some </w:t>
      </w:r>
      <w:r w:rsidRPr="00CA12AD">
        <w:rPr>
          <w:b/>
        </w:rPr>
        <w:t>[</w:t>
      </w:r>
      <w:r w:rsidRPr="00C8434D">
        <w:rPr>
          <w:b/>
          <w:szCs w:val="16"/>
        </w:rPr>
        <w:t>BCI</w:t>
      </w:r>
      <w:r w:rsidRPr="00CA12AD">
        <w:rPr>
          <w:b/>
        </w:rPr>
        <w:t>]</w:t>
      </w:r>
      <w:r w:rsidRPr="00CA12AD">
        <w:t xml:space="preserve"> earlier (according to Professor Whitelaw). The market rate for the French loan agreement, however, would </w:t>
      </w:r>
      <w:r w:rsidRPr="00EA62A6">
        <w:rPr>
          <w:i/>
        </w:rPr>
        <w:t>not</w:t>
      </w:r>
      <w:r w:rsidRPr="00CA12AD">
        <w:t xml:space="preserve"> be judged against market rates from </w:t>
      </w:r>
      <w:r w:rsidRPr="00CA12AD">
        <w:rPr>
          <w:b/>
        </w:rPr>
        <w:t>[</w:t>
      </w:r>
      <w:r w:rsidRPr="00C8434D">
        <w:rPr>
          <w:b/>
          <w:szCs w:val="16"/>
        </w:rPr>
        <w:t>BCI</w:t>
      </w:r>
      <w:r w:rsidRPr="00CA12AD">
        <w:rPr>
          <w:b/>
        </w:rPr>
        <w:t>]</w:t>
      </w:r>
      <w:r w:rsidRPr="00CA12AD">
        <w:t xml:space="preserve"> prior to its conclusion, when the bond yields were even higher and would have likewise distorted the rates upwards.</w:t>
      </w:r>
    </w:p>
    <w:p w:rsidR="00FD2727" w:rsidRPr="0097319F" w:rsidRDefault="00FD2727" w:rsidP="00206326">
      <w:pPr>
        <w:pStyle w:val="FootnoteText"/>
        <w:keepNext/>
        <w:keepLines/>
        <w:ind w:firstLine="0"/>
      </w:pPr>
      <w:r>
        <w:t>(Ibid. (emphasis original))</w:t>
      </w:r>
    </w:p>
  </w:footnote>
  <w:footnote w:id="408">
    <w:p w:rsidR="00FD2727" w:rsidRDefault="00FD2727" w:rsidP="00206326">
      <w:pPr>
        <w:pStyle w:val="FootnoteText"/>
        <w:keepLines/>
      </w:pPr>
      <w:r>
        <w:rPr>
          <w:rStyle w:val="FootnoteReference"/>
        </w:rPr>
        <w:footnoteRef/>
      </w:r>
      <w:r>
        <w:t xml:space="preserve"> </w:t>
      </w:r>
      <w:r w:rsidRPr="006477CA">
        <w:t xml:space="preserve">Panel Report, </w:t>
      </w:r>
      <w:r>
        <w:t>para. </w:t>
      </w:r>
      <w:r w:rsidRPr="006477CA">
        <w:t>6.387.</w:t>
      </w:r>
    </w:p>
  </w:footnote>
  <w:footnote w:id="409">
    <w:p w:rsidR="00FD2727" w:rsidRDefault="00FD2727" w:rsidP="00206326">
      <w:pPr>
        <w:pStyle w:val="FootnoteText"/>
        <w:keepLines/>
      </w:pPr>
      <w:r>
        <w:rPr>
          <w:rStyle w:val="FootnoteReference"/>
        </w:rPr>
        <w:footnoteRef/>
      </w:r>
      <w:r>
        <w:t xml:space="preserve"> We recall that, in determining the general corporate borrowing rate, </w:t>
      </w:r>
      <w:r w:rsidRPr="00D32743">
        <w:t>the Panel examined the following four issue</w:t>
      </w:r>
      <w:r w:rsidRPr="004F5E01">
        <w:t xml:space="preserve">s raised by the </w:t>
      </w:r>
      <w:r>
        <w:t>United States</w:t>
      </w:r>
      <w:r w:rsidRPr="00D039E3">
        <w:t>: (i) whether the EADS bond reflects the identity of the borrower; (ii) the relevant dates for observing the EADS bond yield; (iii) whether to adjust the EADS bond yield in terms of maturity and duration; and (iv</w:t>
      </w:r>
      <w:r w:rsidRPr="005F3B7A">
        <w:t>) </w:t>
      </w:r>
      <w:r w:rsidRPr="00181457">
        <w:t>whether to add</w:t>
      </w:r>
      <w:r w:rsidRPr="00CE3CE8">
        <w:t xml:space="preserve"> to the corporate </w:t>
      </w:r>
      <w:r w:rsidRPr="00FE454E">
        <w:t>borro</w:t>
      </w:r>
      <w:r w:rsidRPr="00197394">
        <w:t>wing rate an amount for normal fees and charges associated with general corp</w:t>
      </w:r>
      <w:r w:rsidRPr="00047771">
        <w:t>orate borrowing on the market</w:t>
      </w:r>
      <w:r>
        <w:t>.</w:t>
      </w:r>
      <w:r w:rsidRPr="004C4E68">
        <w:t xml:space="preserve"> </w:t>
      </w:r>
      <w:r>
        <w:t>(</w:t>
      </w:r>
      <w:r w:rsidRPr="006477CA">
        <w:t xml:space="preserve">Panel Report, </w:t>
      </w:r>
      <w:r>
        <w:t>paras. </w:t>
      </w:r>
      <w:r w:rsidRPr="006477CA">
        <w:t>6.367-6.428</w:t>
      </w:r>
      <w:r>
        <w:t>)</w:t>
      </w:r>
    </w:p>
  </w:footnote>
  <w:footnote w:id="410">
    <w:p w:rsidR="00FD2727" w:rsidRDefault="00FD2727" w:rsidP="00206326">
      <w:pPr>
        <w:pStyle w:val="FootnoteText"/>
        <w:keepLines/>
      </w:pPr>
      <w:r>
        <w:rPr>
          <w:rStyle w:val="FootnoteReference"/>
        </w:rPr>
        <w:footnoteRef/>
      </w:r>
      <w:r>
        <w:t xml:space="preserve"> </w:t>
      </w:r>
      <w:r w:rsidRPr="00844F04">
        <w:rPr>
          <w:szCs w:val="20"/>
        </w:rPr>
        <w:t>Indeed, the Panel</w:t>
      </w:r>
      <w:r w:rsidRPr="002F6182">
        <w:rPr>
          <w:szCs w:val="20"/>
        </w:rPr>
        <w:t xml:space="preserve"> indicated that it would "use the unadjusted yields of the EADS bond on the understanding that it is likely to be a conservative reflection of the corporate borrowing rate that should be used to construct the relevant market benchmark for the LA/MSF contracts".</w:t>
      </w:r>
      <w:r>
        <w:rPr>
          <w:szCs w:val="20"/>
        </w:rPr>
        <w:t xml:space="preserve"> (</w:t>
      </w:r>
      <w:r w:rsidRPr="006477CA">
        <w:t xml:space="preserve">Panel Report, </w:t>
      </w:r>
      <w:r>
        <w:t>para. </w:t>
      </w:r>
      <w:r w:rsidRPr="006477CA">
        <w:t>6.429</w:t>
      </w:r>
      <w:r>
        <w:t>)</w:t>
      </w:r>
    </w:p>
  </w:footnote>
  <w:footnote w:id="411">
    <w:p w:rsidR="00FD2727" w:rsidRPr="006477CA" w:rsidRDefault="00FD2727" w:rsidP="00206326">
      <w:pPr>
        <w:pStyle w:val="FootnoteText"/>
        <w:keepLines/>
      </w:pPr>
      <w:r w:rsidRPr="006477CA">
        <w:rPr>
          <w:rStyle w:val="FootnoteReference"/>
        </w:rPr>
        <w:footnoteRef/>
      </w:r>
      <w:r w:rsidRPr="006477CA">
        <w:t xml:space="preserve"> Panel Report, </w:t>
      </w:r>
      <w:r>
        <w:t>para. </w:t>
      </w:r>
      <w:r w:rsidRPr="006477CA">
        <w:t>6.429.</w:t>
      </w:r>
    </w:p>
  </w:footnote>
  <w:footnote w:id="412">
    <w:p w:rsidR="00FD2727" w:rsidRPr="006477CA" w:rsidRDefault="00FD2727" w:rsidP="00206326">
      <w:pPr>
        <w:pStyle w:val="FootnoteText"/>
        <w:keepLines/>
      </w:pPr>
      <w:r w:rsidRPr="006477CA">
        <w:rPr>
          <w:rStyle w:val="FootnoteReference"/>
        </w:rPr>
        <w:footnoteRef/>
      </w:r>
      <w:r w:rsidRPr="006477CA">
        <w:t xml:space="preserve"> Panel Report, </w:t>
      </w:r>
      <w:r>
        <w:t>para. </w:t>
      </w:r>
      <w:r w:rsidRPr="006477CA">
        <w:t>6.429. (emphasis added)</w:t>
      </w:r>
      <w:r>
        <w:t xml:space="preserve"> In this regard, t</w:t>
      </w:r>
      <w:r w:rsidRPr="00CE3CE8">
        <w:t>he</w:t>
      </w:r>
      <w:r w:rsidRPr="00FE454E">
        <w:t xml:space="preserve"> Panel</w:t>
      </w:r>
      <w:r>
        <w:t xml:space="preserve"> indicated that</w:t>
      </w:r>
      <w:r w:rsidRPr="00FE454E">
        <w:t xml:space="preserve"> "the increased uncertainty with respect to repayments scheduled for a more distant point in time means that the EADS bond yield likely gives a conservative estimate of the corporate borrowing rate compo</w:t>
      </w:r>
      <w:r w:rsidRPr="00E72660">
        <w:t xml:space="preserve">nent of the benchmark rate for </w:t>
      </w:r>
      <w:r w:rsidRPr="00E37191">
        <w:rPr>
          <w:i/>
        </w:rPr>
        <w:t>all four contracts</w:t>
      </w:r>
      <w:r w:rsidRPr="00844F04">
        <w:t>".</w:t>
      </w:r>
      <w:r>
        <w:t xml:space="preserve"> (Ibid.</w:t>
      </w:r>
      <w:r w:rsidRPr="006477CA">
        <w:t xml:space="preserve"> (emphasis original)</w:t>
      </w:r>
      <w:r>
        <w:t>) Moreover</w:t>
      </w:r>
      <w:r w:rsidRPr="002F6182">
        <w:t xml:space="preserve">, </w:t>
      </w:r>
      <w:r>
        <w:t xml:space="preserve">the Panel stated that </w:t>
      </w:r>
      <w:r w:rsidRPr="002F6182">
        <w:t xml:space="preserve">"the higher Macaulay durations of the </w:t>
      </w:r>
      <w:r w:rsidRPr="00B613CF">
        <w:rPr>
          <w:b/>
        </w:rPr>
        <w:t>[</w:t>
      </w:r>
      <w:r w:rsidRPr="00C8434D">
        <w:rPr>
          <w:b/>
          <w:szCs w:val="16"/>
        </w:rPr>
        <w:t>BCI</w:t>
      </w:r>
      <w:r w:rsidRPr="00B613CF">
        <w:rPr>
          <w:b/>
        </w:rPr>
        <w:t>]</w:t>
      </w:r>
      <w:r w:rsidRPr="008331B2">
        <w:t xml:space="preserve"> contracts, when compared to the Macaulay duration of the EADS bond, further suggests that the EADS bond yield would represent a conservative estimate for those </w:t>
      </w:r>
      <w:r w:rsidRPr="006A220C">
        <w:rPr>
          <w:i/>
        </w:rPr>
        <w:t>three</w:t>
      </w:r>
      <w:r w:rsidRPr="00C9511E">
        <w:rPr>
          <w:i/>
        </w:rPr>
        <w:t xml:space="preserve"> contracts</w:t>
      </w:r>
      <w:r w:rsidRPr="002207B9">
        <w:t>."</w:t>
      </w:r>
      <w:r>
        <w:t xml:space="preserve"> (Ibid.</w:t>
      </w:r>
      <w:r w:rsidRPr="006477CA">
        <w:t xml:space="preserve"> (emphasis original)</w:t>
      </w:r>
      <w:r>
        <w:t>)</w:t>
      </w:r>
    </w:p>
  </w:footnote>
  <w:footnote w:id="413">
    <w:p w:rsidR="00FD2727" w:rsidRPr="006477CA" w:rsidRDefault="00FD2727" w:rsidP="00206326">
      <w:pPr>
        <w:pStyle w:val="FootnoteText"/>
        <w:keepLines/>
      </w:pPr>
      <w:r w:rsidRPr="006477CA">
        <w:rPr>
          <w:rStyle w:val="FootnoteReference"/>
        </w:rPr>
        <w:footnoteRef/>
      </w:r>
      <w:r w:rsidRPr="006477CA">
        <w:t xml:space="preserve"> </w:t>
      </w:r>
      <w:r>
        <w:t>European Union</w:t>
      </w:r>
      <w:r w:rsidRPr="006477CA">
        <w:t xml:space="preserve">'s appellant's submission, </w:t>
      </w:r>
      <w:r>
        <w:t>para. </w:t>
      </w:r>
      <w:r w:rsidRPr="006477CA">
        <w:t>294.</w:t>
      </w:r>
    </w:p>
  </w:footnote>
  <w:footnote w:id="414">
    <w:p w:rsidR="00FD2727" w:rsidRDefault="00FD2727" w:rsidP="00206326">
      <w:pPr>
        <w:pStyle w:val="FootnoteText"/>
        <w:keepLines/>
      </w:pPr>
      <w:r>
        <w:rPr>
          <w:rStyle w:val="FootnoteReference"/>
        </w:rPr>
        <w:footnoteRef/>
      </w:r>
      <w:r>
        <w:t xml:space="preserve"> Appellate Body</w:t>
      </w:r>
      <w:r w:rsidRPr="006477CA">
        <w:t xml:space="preserve"> Report, </w:t>
      </w:r>
      <w:r w:rsidRPr="006477CA">
        <w:rPr>
          <w:i/>
        </w:rPr>
        <w:t>EC and certain member States – Large Civil Aircraft</w:t>
      </w:r>
      <w:r w:rsidRPr="006477CA">
        <w:t xml:space="preserve">, </w:t>
      </w:r>
      <w:r>
        <w:t>para. </w:t>
      </w:r>
      <w:r w:rsidRPr="006477CA">
        <w:t>836.</w:t>
      </w:r>
    </w:p>
  </w:footnote>
  <w:footnote w:id="415">
    <w:p w:rsidR="00FD2727" w:rsidRPr="006477CA" w:rsidRDefault="00FD2727" w:rsidP="00206326">
      <w:pPr>
        <w:pStyle w:val="FootnoteText"/>
        <w:keepLines/>
      </w:pPr>
      <w:r w:rsidRPr="006477CA">
        <w:rPr>
          <w:rStyle w:val="FootnoteReference"/>
        </w:rPr>
        <w:footnoteRef/>
      </w:r>
      <w:r w:rsidRPr="004134C0">
        <w:t xml:space="preserve"> Panel Report, </w:t>
      </w:r>
      <w:r>
        <w:t>para. </w:t>
      </w:r>
      <w:r w:rsidRPr="006477CA">
        <w:t>6.389.</w:t>
      </w:r>
    </w:p>
  </w:footnote>
  <w:footnote w:id="416">
    <w:p w:rsidR="00FD2727" w:rsidRDefault="00FD2727" w:rsidP="00206326">
      <w:pPr>
        <w:pStyle w:val="FootnoteText"/>
        <w:keepLines/>
      </w:pPr>
      <w:r>
        <w:rPr>
          <w:rStyle w:val="FootnoteReference"/>
        </w:rPr>
        <w:footnoteRef/>
      </w:r>
      <w:r>
        <w:t xml:space="preserve"> </w:t>
      </w:r>
      <w:r w:rsidRPr="004134C0">
        <w:t xml:space="preserve">Panel Report, </w:t>
      </w:r>
      <w:r>
        <w:t>para. </w:t>
      </w:r>
      <w:r w:rsidRPr="006477CA">
        <w:t>6.389.</w:t>
      </w:r>
    </w:p>
  </w:footnote>
  <w:footnote w:id="417">
    <w:p w:rsidR="00FD2727" w:rsidRPr="00A453EC" w:rsidRDefault="00FD2727" w:rsidP="00206326">
      <w:pPr>
        <w:pStyle w:val="FootnoteText"/>
        <w:keepLines/>
      </w:pPr>
      <w:r w:rsidRPr="00A453EC">
        <w:rPr>
          <w:rStyle w:val="FootnoteReference"/>
        </w:rPr>
        <w:footnoteRef/>
      </w:r>
      <w:r w:rsidRPr="00A453EC">
        <w:t xml:space="preserve"> Panel Report, </w:t>
      </w:r>
      <w:r>
        <w:t>para. </w:t>
      </w:r>
      <w:r w:rsidRPr="00A453EC">
        <w:t>6.55 (referring</w:t>
      </w:r>
      <w:r>
        <w:t xml:space="preserve"> </w:t>
      </w:r>
      <w:r w:rsidRPr="00A453EC">
        <w:t xml:space="preserve">to Williams Statement (Panel Exhibit EU-354 (BCI)), </w:t>
      </w:r>
      <w:r>
        <w:t>para. </w:t>
      </w:r>
      <w:r w:rsidRPr="00A453EC">
        <w:t xml:space="preserve">3; </w:t>
      </w:r>
      <w:r>
        <w:t>European Union</w:t>
      </w:r>
      <w:r w:rsidRPr="00A453EC">
        <w:t>'s respon</w:t>
      </w:r>
      <w:r>
        <w:t>se to Panel question No. 101).</w:t>
      </w:r>
    </w:p>
  </w:footnote>
  <w:footnote w:id="418">
    <w:p w:rsidR="00FD2727" w:rsidRPr="00A453EC" w:rsidRDefault="00FD2727" w:rsidP="00206326">
      <w:pPr>
        <w:pStyle w:val="FootnoteText"/>
        <w:keepLines/>
      </w:pPr>
      <w:r w:rsidRPr="00A453EC">
        <w:rPr>
          <w:rStyle w:val="FootnoteReference"/>
        </w:rPr>
        <w:footnoteRef/>
      </w:r>
      <w:r w:rsidRPr="00A453EC">
        <w:t xml:space="preserve"> Panel Report, </w:t>
      </w:r>
      <w:r>
        <w:t>para. </w:t>
      </w:r>
      <w:r w:rsidRPr="00A453EC">
        <w:t>6.389.</w:t>
      </w:r>
    </w:p>
  </w:footnote>
  <w:footnote w:id="419">
    <w:p w:rsidR="00FD2727" w:rsidRPr="00A453EC" w:rsidRDefault="00FD2727" w:rsidP="00206326">
      <w:pPr>
        <w:pStyle w:val="FootnoteText"/>
        <w:keepLines/>
      </w:pPr>
      <w:r w:rsidRPr="00A453EC">
        <w:rPr>
          <w:rStyle w:val="FootnoteReference"/>
        </w:rPr>
        <w:footnoteRef/>
      </w:r>
      <w:r w:rsidRPr="00A453EC">
        <w:t xml:space="preserve"> Panel Report, </w:t>
      </w:r>
      <w:r>
        <w:t>para. </w:t>
      </w:r>
      <w:r w:rsidRPr="00A453EC">
        <w:t>6.389.</w:t>
      </w:r>
    </w:p>
  </w:footnote>
  <w:footnote w:id="420">
    <w:p w:rsidR="00FD2727" w:rsidRPr="00EE4F39" w:rsidRDefault="00FD2727">
      <w:pPr>
        <w:pStyle w:val="FootnoteText"/>
      </w:pPr>
      <w:r>
        <w:rPr>
          <w:rStyle w:val="FootnoteReference"/>
        </w:rPr>
        <w:footnoteRef/>
      </w:r>
      <w:r>
        <w:t xml:space="preserve"> </w:t>
      </w:r>
      <w:r w:rsidRPr="00A453EC">
        <w:t xml:space="preserve">Panel Report, </w:t>
      </w:r>
      <w:r>
        <w:t>para. </w:t>
      </w:r>
      <w:r w:rsidRPr="00A453EC">
        <w:t>6.389.</w:t>
      </w:r>
    </w:p>
  </w:footnote>
  <w:footnote w:id="421">
    <w:p w:rsidR="00FD2727" w:rsidRDefault="00FD2727" w:rsidP="00206326">
      <w:pPr>
        <w:pStyle w:val="FootnoteText"/>
        <w:keepLines/>
      </w:pPr>
      <w:r>
        <w:rPr>
          <w:rStyle w:val="FootnoteReference"/>
        </w:rPr>
        <w:footnoteRef/>
      </w:r>
      <w:r>
        <w:t xml:space="preserve"> European Union</w:t>
      </w:r>
      <w:r w:rsidRPr="006477CA">
        <w:t xml:space="preserve">'s appellant's submission, </w:t>
      </w:r>
      <w:r>
        <w:t>para. </w:t>
      </w:r>
      <w:r w:rsidRPr="006477CA">
        <w:t>29</w:t>
      </w:r>
      <w:r>
        <w:t>6.</w:t>
      </w:r>
    </w:p>
  </w:footnote>
  <w:footnote w:id="422">
    <w:p w:rsidR="00FD2727" w:rsidRPr="00264244" w:rsidRDefault="00FD2727" w:rsidP="00206326">
      <w:pPr>
        <w:pStyle w:val="FootnoteText"/>
        <w:keepLines/>
      </w:pPr>
      <w:r w:rsidRPr="006477CA">
        <w:rPr>
          <w:rStyle w:val="FootnoteReference"/>
        </w:rPr>
        <w:footnoteRef/>
      </w:r>
      <w:r w:rsidRPr="006477CA">
        <w:t xml:space="preserve"> </w:t>
      </w:r>
      <w:r>
        <w:t>European Union</w:t>
      </w:r>
      <w:r w:rsidRPr="006477CA">
        <w:t xml:space="preserve">'s appellant's submission, </w:t>
      </w:r>
      <w:r>
        <w:t>para. </w:t>
      </w:r>
      <w:r w:rsidRPr="006477CA">
        <w:t xml:space="preserve">297 (quoting Panel Report, </w:t>
      </w:r>
      <w:r>
        <w:t>para. </w:t>
      </w:r>
      <w:r w:rsidRPr="006477CA">
        <w:t xml:space="preserve">6.389 (emphasis added by the </w:t>
      </w:r>
      <w:r>
        <w:t>European Union</w:t>
      </w:r>
      <w:r w:rsidRPr="006477CA">
        <w:t>)</w:t>
      </w:r>
      <w:r w:rsidRPr="00845341">
        <w:t>).</w:t>
      </w:r>
    </w:p>
  </w:footnote>
  <w:footnote w:id="423">
    <w:p w:rsidR="00FD2727" w:rsidRPr="006477CA" w:rsidRDefault="00FD2727" w:rsidP="00206326">
      <w:pPr>
        <w:pStyle w:val="FootnoteText"/>
        <w:keepLines/>
      </w:pPr>
      <w:r w:rsidRPr="006477CA">
        <w:rPr>
          <w:rStyle w:val="FootnoteReference"/>
        </w:rPr>
        <w:footnoteRef/>
      </w:r>
      <w:r w:rsidRPr="006477CA">
        <w:t xml:space="preserve"> </w:t>
      </w:r>
      <w:r>
        <w:t>European Union</w:t>
      </w:r>
      <w:r w:rsidRPr="00E505E2">
        <w:t>'s appellant's submi</w:t>
      </w:r>
      <w:r>
        <w:t>ssion, para. 298</w:t>
      </w:r>
      <w:r w:rsidRPr="00E505E2">
        <w:t>.</w:t>
      </w:r>
    </w:p>
  </w:footnote>
  <w:footnote w:id="424">
    <w:p w:rsidR="00FD2727" w:rsidRPr="006477CA" w:rsidRDefault="00FD2727" w:rsidP="00206326">
      <w:pPr>
        <w:pStyle w:val="FootnoteText"/>
        <w:keepLines/>
      </w:pPr>
      <w:r w:rsidRPr="006477CA">
        <w:rPr>
          <w:rStyle w:val="FootnoteReference"/>
        </w:rPr>
        <w:footnoteRef/>
      </w:r>
      <w:r w:rsidRPr="006477CA">
        <w:t xml:space="preserve"> </w:t>
      </w:r>
      <w:r>
        <w:t>European Union</w:t>
      </w:r>
      <w:r w:rsidRPr="00E505E2">
        <w:t xml:space="preserve">'s appellant's submission, </w:t>
      </w:r>
      <w:r>
        <w:t>para. </w:t>
      </w:r>
      <w:r w:rsidRPr="00E505E2">
        <w:t>298.</w:t>
      </w:r>
    </w:p>
  </w:footnote>
  <w:footnote w:id="425">
    <w:p w:rsidR="00FD2727" w:rsidRPr="006477CA" w:rsidRDefault="00FD2727" w:rsidP="00206326">
      <w:pPr>
        <w:pStyle w:val="FootnoteText"/>
        <w:keepLines/>
      </w:pPr>
      <w:r w:rsidRPr="006477CA">
        <w:rPr>
          <w:rStyle w:val="FootnoteReference"/>
        </w:rPr>
        <w:footnoteRef/>
      </w:r>
      <w:r w:rsidRPr="006477CA">
        <w:t xml:space="preserve"> </w:t>
      </w:r>
      <w:r>
        <w:t>European Union</w:t>
      </w:r>
      <w:r w:rsidRPr="006477CA">
        <w:t xml:space="preserve">'s appellant's submission, </w:t>
      </w:r>
      <w:r>
        <w:t>para. </w:t>
      </w:r>
      <w:r w:rsidRPr="006477CA">
        <w:t xml:space="preserve">299. The </w:t>
      </w:r>
      <w:r>
        <w:t>European Union</w:t>
      </w:r>
      <w:r w:rsidRPr="006477CA">
        <w:t xml:space="preserve"> submits that eliminating the range chosen by the Panel narrows the gap between the benchmark and the</w:t>
      </w:r>
      <w:r w:rsidRPr="00CA2165">
        <w:t xml:space="preserve"> </w:t>
      </w:r>
      <w:r w:rsidRPr="006477CA">
        <w:t xml:space="preserve">internal rate of return, which increases the </w:t>
      </w:r>
      <w:r>
        <w:t>"</w:t>
      </w:r>
      <w:r w:rsidRPr="006477CA">
        <w:t>stress</w:t>
      </w:r>
      <w:r>
        <w:t>"</w:t>
      </w:r>
      <w:r w:rsidRPr="006477CA">
        <w:t xml:space="preserve"> on the Panel's overall benefit finding. (Ibid.)</w:t>
      </w:r>
    </w:p>
  </w:footnote>
  <w:footnote w:id="426">
    <w:p w:rsidR="00FD2727" w:rsidRPr="006477CA" w:rsidRDefault="00FD2727" w:rsidP="00206326">
      <w:pPr>
        <w:pStyle w:val="FootnoteText"/>
        <w:keepLines/>
      </w:pPr>
      <w:r w:rsidRPr="006477CA">
        <w:rPr>
          <w:rStyle w:val="FootnoteReference"/>
        </w:rPr>
        <w:footnoteRef/>
      </w:r>
      <w:r w:rsidRPr="006477CA">
        <w:t xml:space="preserve"> </w:t>
      </w:r>
      <w:r>
        <w:t>United States</w:t>
      </w:r>
      <w:r w:rsidRPr="006477CA">
        <w:t xml:space="preserve">' appellee's submission, </w:t>
      </w:r>
      <w:r>
        <w:t>para. </w:t>
      </w:r>
      <w:r w:rsidRPr="006477CA">
        <w:t>21</w:t>
      </w:r>
      <w:r>
        <w:t>1</w:t>
      </w:r>
      <w:r w:rsidRPr="006477CA">
        <w:t xml:space="preserve"> (</w:t>
      </w:r>
      <w:r>
        <w:t>quoting</w:t>
      </w:r>
      <w:r w:rsidRPr="006477CA">
        <w:t xml:space="preserve"> </w:t>
      </w:r>
      <w:r>
        <w:t>European Union</w:t>
      </w:r>
      <w:r w:rsidRPr="006477CA">
        <w:t xml:space="preserve">'s appellant's submission, </w:t>
      </w:r>
      <w:r>
        <w:t>para. </w:t>
      </w:r>
      <w:r w:rsidRPr="006477CA">
        <w:t>297).</w:t>
      </w:r>
    </w:p>
  </w:footnote>
  <w:footnote w:id="427">
    <w:p w:rsidR="00FD2727" w:rsidRPr="006477CA" w:rsidRDefault="00FD2727" w:rsidP="00206326">
      <w:pPr>
        <w:pStyle w:val="FootnoteText"/>
        <w:keepLines/>
      </w:pPr>
      <w:r w:rsidRPr="006477CA">
        <w:rPr>
          <w:rStyle w:val="FootnoteReference"/>
        </w:rPr>
        <w:footnoteRef/>
      </w:r>
      <w:r w:rsidRPr="006477CA">
        <w:t xml:space="preserve"> </w:t>
      </w:r>
      <w:r>
        <w:t>United States</w:t>
      </w:r>
      <w:r w:rsidRPr="006477CA">
        <w:t xml:space="preserve">' appellee's submission, </w:t>
      </w:r>
      <w:r>
        <w:t>para. </w:t>
      </w:r>
      <w:r w:rsidRPr="006477CA">
        <w:t xml:space="preserve">211 (referring to Panel Report, </w:t>
      </w:r>
      <w:r>
        <w:t>para. </w:t>
      </w:r>
      <w:r w:rsidRPr="006477CA">
        <w:t>6.381 and Figure 1 thereto).</w:t>
      </w:r>
    </w:p>
  </w:footnote>
  <w:footnote w:id="428">
    <w:p w:rsidR="00FD2727" w:rsidRPr="006477CA" w:rsidRDefault="00FD2727" w:rsidP="00206326">
      <w:pPr>
        <w:pStyle w:val="FootnoteText"/>
        <w:keepLines/>
      </w:pPr>
      <w:r w:rsidRPr="006477CA">
        <w:rPr>
          <w:rStyle w:val="FootnoteReference"/>
        </w:rPr>
        <w:footnoteRef/>
      </w:r>
      <w:r w:rsidRPr="006477CA">
        <w:t xml:space="preserve"> </w:t>
      </w:r>
      <w:r>
        <w:t>United States</w:t>
      </w:r>
      <w:r w:rsidRPr="006477CA">
        <w:t xml:space="preserve">' appellee's submission, </w:t>
      </w:r>
      <w:r>
        <w:t>para. </w:t>
      </w:r>
      <w:r w:rsidRPr="006477CA">
        <w:t>210 (</w:t>
      </w:r>
      <w:r>
        <w:t>quoting</w:t>
      </w:r>
      <w:r w:rsidRPr="006477CA">
        <w:t xml:space="preserve"> </w:t>
      </w:r>
      <w:r>
        <w:t>European Union</w:t>
      </w:r>
      <w:r w:rsidRPr="006477CA">
        <w:t xml:space="preserve">'s appellant's submission, </w:t>
      </w:r>
      <w:r>
        <w:t>para. </w:t>
      </w:r>
      <w:r w:rsidRPr="006477CA">
        <w:t>299).</w:t>
      </w:r>
    </w:p>
  </w:footnote>
  <w:footnote w:id="429">
    <w:p w:rsidR="00FD2727" w:rsidRDefault="00FD2727" w:rsidP="00206326">
      <w:pPr>
        <w:pStyle w:val="FootnoteText"/>
        <w:keepLines/>
      </w:pPr>
      <w:r>
        <w:rPr>
          <w:rStyle w:val="FootnoteReference"/>
        </w:rPr>
        <w:footnoteRef/>
      </w:r>
      <w:r>
        <w:t xml:space="preserve"> United States</w:t>
      </w:r>
      <w:r w:rsidRPr="006477CA">
        <w:t xml:space="preserve">' appellee's submission, </w:t>
      </w:r>
      <w:r>
        <w:t>para. </w:t>
      </w:r>
      <w:r w:rsidRPr="006477CA">
        <w:t>210</w:t>
      </w:r>
      <w:r>
        <w:t xml:space="preserve">. </w:t>
      </w:r>
      <w:r w:rsidRPr="002207B9">
        <w:t xml:space="preserve">Furthermore, while the </w:t>
      </w:r>
      <w:r>
        <w:t>United States</w:t>
      </w:r>
      <w:r w:rsidRPr="00FE5C91">
        <w:t xml:space="preserve"> acknowledges that there could be cases where the inclusion of such a ra</w:t>
      </w:r>
      <w:r w:rsidRPr="00B84BA1">
        <w:t xml:space="preserve">nge calls into question </w:t>
      </w:r>
      <w:r w:rsidRPr="00764E6F">
        <w:t>the exis</w:t>
      </w:r>
      <w:r w:rsidRPr="005F3B7A">
        <w:t>tence of a subsidy, this is not the case in the present dispute, "as the terms of LA/MSF for the A350 XWB were better than both ends of the Panel's ranges"</w:t>
      </w:r>
      <w:r>
        <w:t>.</w:t>
      </w:r>
      <w:r w:rsidRPr="00CF4D77">
        <w:t xml:space="preserve"> </w:t>
      </w:r>
      <w:r>
        <w:t>(Ibid.)</w:t>
      </w:r>
    </w:p>
  </w:footnote>
  <w:footnote w:id="430">
    <w:p w:rsidR="00FD2727" w:rsidRPr="006477CA" w:rsidRDefault="00FD2727" w:rsidP="00206326">
      <w:pPr>
        <w:pStyle w:val="FootnoteText"/>
        <w:keepLines/>
      </w:pPr>
      <w:r w:rsidRPr="006477CA">
        <w:rPr>
          <w:rStyle w:val="FootnoteReference"/>
        </w:rPr>
        <w:footnoteRef/>
      </w:r>
      <w:r w:rsidRPr="006477CA">
        <w:t xml:space="preserve"> </w:t>
      </w:r>
      <w:r>
        <w:t>Appellate Body</w:t>
      </w:r>
      <w:r w:rsidRPr="006477CA">
        <w:t xml:space="preserve"> Report, </w:t>
      </w:r>
      <w:r w:rsidRPr="006477CA">
        <w:rPr>
          <w:i/>
        </w:rPr>
        <w:t>US – Hot-Rolled Steel</w:t>
      </w:r>
      <w:r w:rsidRPr="006477CA">
        <w:t xml:space="preserve">, </w:t>
      </w:r>
      <w:r>
        <w:t>para. </w:t>
      </w:r>
      <w:r w:rsidRPr="006477CA">
        <w:t>54.</w:t>
      </w:r>
    </w:p>
  </w:footnote>
  <w:footnote w:id="431">
    <w:p w:rsidR="00FD2727" w:rsidRPr="006477CA" w:rsidRDefault="00FD2727" w:rsidP="00206326">
      <w:pPr>
        <w:pStyle w:val="FootnoteText"/>
        <w:keepLines/>
      </w:pPr>
      <w:r w:rsidRPr="006477CA">
        <w:rPr>
          <w:rStyle w:val="FootnoteReference"/>
        </w:rPr>
        <w:footnoteRef/>
      </w:r>
      <w:r w:rsidRPr="006477CA">
        <w:t xml:space="preserve"> </w:t>
      </w:r>
      <w:r>
        <w:t>Appellate Body</w:t>
      </w:r>
      <w:r w:rsidRPr="006477CA">
        <w:t xml:space="preserve"> Report, </w:t>
      </w:r>
      <w:r w:rsidRPr="006477CA">
        <w:rPr>
          <w:i/>
        </w:rPr>
        <w:t>US – Upland Cotton</w:t>
      </w:r>
      <w:r w:rsidRPr="006477CA">
        <w:t xml:space="preserve">, </w:t>
      </w:r>
      <w:r>
        <w:t>para. </w:t>
      </w:r>
      <w:r w:rsidRPr="006477CA">
        <w:t xml:space="preserve">458. </w:t>
      </w:r>
    </w:p>
  </w:footnote>
  <w:footnote w:id="432">
    <w:p w:rsidR="00FD2727" w:rsidRPr="00FE41F2" w:rsidRDefault="00FD2727" w:rsidP="00206326">
      <w:pPr>
        <w:pStyle w:val="FootnoteText"/>
        <w:keepNext/>
        <w:keepLines/>
      </w:pPr>
      <w:r w:rsidRPr="006477CA">
        <w:rPr>
          <w:rStyle w:val="FootnoteReference"/>
        </w:rPr>
        <w:footnoteRef/>
      </w:r>
      <w:r w:rsidRPr="006477CA">
        <w:t xml:space="preserve"> </w:t>
      </w:r>
      <w:r>
        <w:t>Appellate Body</w:t>
      </w:r>
      <w:r w:rsidRPr="006477CA">
        <w:t xml:space="preserve"> Report</w:t>
      </w:r>
      <w:r>
        <w:t>s</w:t>
      </w:r>
      <w:r w:rsidRPr="006477CA">
        <w:t xml:space="preserve">, </w:t>
      </w:r>
      <w:r w:rsidRPr="006477CA">
        <w:rPr>
          <w:i/>
        </w:rPr>
        <w:t>US – Large Civil Aircraft (2</w:t>
      </w:r>
      <w:r w:rsidRPr="006477CA">
        <w:rPr>
          <w:i/>
          <w:vertAlign w:val="superscript"/>
        </w:rPr>
        <w:t>nd</w:t>
      </w:r>
      <w:r w:rsidRPr="006477CA">
        <w:rPr>
          <w:i/>
        </w:rPr>
        <w:t xml:space="preserve"> complaint)</w:t>
      </w:r>
      <w:r w:rsidRPr="00845341">
        <w:t xml:space="preserve">, </w:t>
      </w:r>
      <w:r>
        <w:t>para. </w:t>
      </w:r>
      <w:r w:rsidRPr="00845341">
        <w:t>992</w:t>
      </w:r>
      <w:r>
        <w:t xml:space="preserve">; </w:t>
      </w:r>
      <w:r w:rsidRPr="00264244">
        <w:rPr>
          <w:i/>
        </w:rPr>
        <w:t>Brazil – Retreaded Tyres</w:t>
      </w:r>
      <w:r w:rsidRPr="005435FA">
        <w:t xml:space="preserve">, </w:t>
      </w:r>
      <w:r>
        <w:t>para. </w:t>
      </w:r>
      <w:r w:rsidRPr="005435FA">
        <w:t>185</w:t>
      </w:r>
      <w:r>
        <w:t>.</w:t>
      </w:r>
      <w:r w:rsidRPr="005435FA">
        <w:t xml:space="preserve"> </w:t>
      </w:r>
      <w:r>
        <w:t>See also Appellate Body</w:t>
      </w:r>
      <w:r w:rsidRPr="005435FA">
        <w:t xml:space="preserve"> Report</w:t>
      </w:r>
      <w:r>
        <w:t>s</w:t>
      </w:r>
      <w:r w:rsidRPr="005435FA">
        <w:t xml:space="preserve">, </w:t>
      </w:r>
      <w:r w:rsidRPr="00867FE3">
        <w:rPr>
          <w:i/>
        </w:rPr>
        <w:t>EC – Hormones</w:t>
      </w:r>
      <w:r w:rsidRPr="00867FE3">
        <w:t xml:space="preserve">, </w:t>
      </w:r>
      <w:r>
        <w:t>paras. </w:t>
      </w:r>
      <w:r w:rsidRPr="00AE4AC1">
        <w:rPr>
          <w:lang w:val="es-ES"/>
        </w:rPr>
        <w:t xml:space="preserve">132-133; </w:t>
      </w:r>
      <w:r w:rsidRPr="00AE4AC1">
        <w:rPr>
          <w:i/>
          <w:iCs/>
          <w:lang w:val="es-ES"/>
        </w:rPr>
        <w:t>Australia – Salmon</w:t>
      </w:r>
      <w:r w:rsidRPr="00AE4AC1">
        <w:rPr>
          <w:lang w:val="es-ES"/>
        </w:rPr>
        <w:t>, para. </w:t>
      </w:r>
      <w:r w:rsidRPr="003A1A96">
        <w:rPr>
          <w:lang w:val="es-ES"/>
        </w:rPr>
        <w:t xml:space="preserve">266; </w:t>
      </w:r>
      <w:r w:rsidRPr="003A1A96">
        <w:rPr>
          <w:i/>
          <w:iCs/>
          <w:lang w:val="es-ES"/>
        </w:rPr>
        <w:t>EC – Asbestos</w:t>
      </w:r>
      <w:r w:rsidRPr="003A1A96">
        <w:rPr>
          <w:lang w:val="es-ES"/>
        </w:rPr>
        <w:t xml:space="preserve">, </w:t>
      </w:r>
      <w:r>
        <w:rPr>
          <w:lang w:val="es-ES"/>
        </w:rPr>
        <w:t>para. </w:t>
      </w:r>
      <w:r w:rsidRPr="003A1A96">
        <w:rPr>
          <w:lang w:val="es-ES"/>
        </w:rPr>
        <w:t xml:space="preserve">161; </w:t>
      </w:r>
      <w:r w:rsidRPr="003A1A96">
        <w:rPr>
          <w:i/>
          <w:iCs/>
          <w:lang w:val="es-ES"/>
        </w:rPr>
        <w:t xml:space="preserve">EC – Bed Linen </w:t>
      </w:r>
      <w:r w:rsidRPr="00CF4D77">
        <w:rPr>
          <w:i/>
          <w:iCs/>
          <w:lang w:val="es-ES"/>
        </w:rPr>
        <w:t>(</w:t>
      </w:r>
      <w:r>
        <w:rPr>
          <w:i/>
          <w:iCs/>
          <w:lang w:val="es-ES"/>
        </w:rPr>
        <w:t>Article </w:t>
      </w:r>
      <w:r w:rsidRPr="00CF4D77">
        <w:rPr>
          <w:i/>
          <w:iCs/>
          <w:lang w:val="es-ES"/>
        </w:rPr>
        <w:t>21.5 – India)</w:t>
      </w:r>
      <w:r w:rsidRPr="00CF4D77">
        <w:rPr>
          <w:lang w:val="es-ES"/>
        </w:rPr>
        <w:t xml:space="preserve">, </w:t>
      </w:r>
      <w:r>
        <w:rPr>
          <w:lang w:val="es-ES"/>
        </w:rPr>
        <w:t>paras. </w:t>
      </w:r>
      <w:r w:rsidRPr="003A1A96">
        <w:t xml:space="preserve">170, 177, and 181; </w:t>
      </w:r>
      <w:r>
        <w:rPr>
          <w:i/>
          <w:iCs/>
        </w:rPr>
        <w:t>EC ‒ </w:t>
      </w:r>
      <w:r w:rsidRPr="003A1A96">
        <w:rPr>
          <w:i/>
          <w:iCs/>
        </w:rPr>
        <w:t xml:space="preserve">Sardines, </w:t>
      </w:r>
      <w:r>
        <w:t>para. </w:t>
      </w:r>
      <w:r w:rsidRPr="003A1A96">
        <w:t xml:space="preserve">299; </w:t>
      </w:r>
      <w:r w:rsidRPr="003A1A96">
        <w:rPr>
          <w:i/>
          <w:iCs/>
        </w:rPr>
        <w:t>EC ‒ Tube or Pipe Fittings</w:t>
      </w:r>
      <w:r w:rsidRPr="003A1A96">
        <w:t xml:space="preserve">, </w:t>
      </w:r>
      <w:r>
        <w:t>para. </w:t>
      </w:r>
      <w:r w:rsidRPr="003A1A96">
        <w:t xml:space="preserve">125; </w:t>
      </w:r>
      <w:r w:rsidRPr="003A1A96">
        <w:rPr>
          <w:i/>
          <w:iCs/>
        </w:rPr>
        <w:t>Japan – Apples</w:t>
      </w:r>
      <w:r w:rsidRPr="003A1A96">
        <w:t xml:space="preserve">, </w:t>
      </w:r>
      <w:r>
        <w:t>para. </w:t>
      </w:r>
      <w:r w:rsidRPr="003A1A96">
        <w:t xml:space="preserve">221; </w:t>
      </w:r>
      <w:r>
        <w:rPr>
          <w:i/>
          <w:iCs/>
        </w:rPr>
        <w:t>Japan ‒ </w:t>
      </w:r>
      <w:r w:rsidRPr="003A1A96">
        <w:rPr>
          <w:i/>
          <w:iCs/>
        </w:rPr>
        <w:t>Agricultural Products II</w:t>
      </w:r>
      <w:r w:rsidRPr="003A1A96">
        <w:t xml:space="preserve">, </w:t>
      </w:r>
      <w:r>
        <w:t>paras. </w:t>
      </w:r>
      <w:r w:rsidRPr="003A1A96">
        <w:t xml:space="preserve">141-142; </w:t>
      </w:r>
      <w:r w:rsidRPr="003A1A96">
        <w:rPr>
          <w:i/>
          <w:iCs/>
        </w:rPr>
        <w:t>Korea ‒ Alcoholic Beverages</w:t>
      </w:r>
      <w:r w:rsidRPr="003A1A96">
        <w:t xml:space="preserve">, </w:t>
      </w:r>
      <w:r>
        <w:t>paras. </w:t>
      </w:r>
      <w:r w:rsidRPr="003A1A96">
        <w:t xml:space="preserve">161-162; </w:t>
      </w:r>
      <w:r w:rsidRPr="003A1A96">
        <w:rPr>
          <w:i/>
          <w:iCs/>
        </w:rPr>
        <w:t>Korea – Dairy</w:t>
      </w:r>
      <w:r w:rsidRPr="003A1A96">
        <w:t xml:space="preserve">, </w:t>
      </w:r>
      <w:r>
        <w:t xml:space="preserve">para. 138; </w:t>
      </w:r>
      <w:r w:rsidRPr="00B237C0">
        <w:rPr>
          <w:i/>
          <w:iCs/>
        </w:rPr>
        <w:t>US – Carbon Steel</w:t>
      </w:r>
      <w:r>
        <w:t xml:space="preserve">, para. 142; </w:t>
      </w:r>
      <w:r w:rsidRPr="00B237C0">
        <w:rPr>
          <w:i/>
          <w:iCs/>
        </w:rPr>
        <w:t>US</w:t>
      </w:r>
      <w:r>
        <w:rPr>
          <w:i/>
          <w:iCs/>
        </w:rPr>
        <w:t> ‒ </w:t>
      </w:r>
      <w:r w:rsidRPr="00B237C0">
        <w:rPr>
          <w:i/>
          <w:iCs/>
        </w:rPr>
        <w:t>Gambling</w:t>
      </w:r>
      <w:r>
        <w:t xml:space="preserve">, para. 363; </w:t>
      </w:r>
      <w:r w:rsidRPr="00B237C0">
        <w:rPr>
          <w:i/>
          <w:iCs/>
        </w:rPr>
        <w:t>US – Oil Country Tubular Goods Sunset Reviews</w:t>
      </w:r>
      <w:r>
        <w:t xml:space="preserve">, para. 313; </w:t>
      </w:r>
      <w:r w:rsidRPr="009F663D">
        <w:rPr>
          <w:i/>
        </w:rPr>
        <w:t>EC</w:t>
      </w:r>
      <w:r>
        <w:rPr>
          <w:i/>
        </w:rPr>
        <w:t xml:space="preserve"> </w:t>
      </w:r>
      <w:r w:rsidRPr="009F663D">
        <w:rPr>
          <w:i/>
        </w:rPr>
        <w:t>‒ Selected</w:t>
      </w:r>
      <w:r w:rsidRPr="009F663D">
        <w:rPr>
          <w:i/>
          <w:iCs/>
        </w:rPr>
        <w:t xml:space="preserve"> Customs Matters</w:t>
      </w:r>
      <w:r w:rsidRPr="00B237C0">
        <w:t xml:space="preserve">, </w:t>
      </w:r>
      <w:r>
        <w:t>para. </w:t>
      </w:r>
      <w:r w:rsidRPr="00B237C0">
        <w:t>258.</w:t>
      </w:r>
    </w:p>
  </w:footnote>
  <w:footnote w:id="433">
    <w:p w:rsidR="00FD2727" w:rsidRPr="006477CA" w:rsidRDefault="00FD2727" w:rsidP="00206326">
      <w:pPr>
        <w:pStyle w:val="FootnoteText"/>
        <w:keepLines/>
      </w:pPr>
      <w:r w:rsidRPr="006477CA">
        <w:rPr>
          <w:rStyle w:val="FootnoteReference"/>
        </w:rPr>
        <w:footnoteRef/>
      </w:r>
      <w:r w:rsidRPr="006477CA">
        <w:t xml:space="preserve"> </w:t>
      </w:r>
      <w:r>
        <w:t>Appellate Body</w:t>
      </w:r>
      <w:r w:rsidRPr="006477CA">
        <w:t xml:space="preserve"> Report, </w:t>
      </w:r>
      <w:r w:rsidRPr="006477CA">
        <w:rPr>
          <w:i/>
        </w:rPr>
        <w:t>EC and certain member States – Large Civil Aircraft</w:t>
      </w:r>
      <w:r w:rsidRPr="006477CA">
        <w:t xml:space="preserve">, </w:t>
      </w:r>
      <w:r>
        <w:t>paras. </w:t>
      </w:r>
      <w:r w:rsidRPr="006477CA">
        <w:t>881 and 1317.</w:t>
      </w:r>
    </w:p>
  </w:footnote>
  <w:footnote w:id="434">
    <w:p w:rsidR="00FD2727" w:rsidRPr="006477CA" w:rsidRDefault="00FD2727" w:rsidP="00206326">
      <w:pPr>
        <w:pStyle w:val="FootnoteText"/>
        <w:keepLines/>
      </w:pPr>
      <w:r w:rsidRPr="006477CA">
        <w:rPr>
          <w:rStyle w:val="FootnoteReference"/>
        </w:rPr>
        <w:footnoteRef/>
      </w:r>
      <w:r w:rsidRPr="006477CA">
        <w:t xml:space="preserve"> </w:t>
      </w:r>
      <w:r>
        <w:t>Appellate Body</w:t>
      </w:r>
      <w:r w:rsidRPr="006477CA">
        <w:t xml:space="preserve"> Report, </w:t>
      </w:r>
      <w:r w:rsidRPr="006477CA">
        <w:rPr>
          <w:i/>
        </w:rPr>
        <w:t>US – Carbon Steel</w:t>
      </w:r>
      <w:r w:rsidRPr="006477CA">
        <w:t xml:space="preserve">, </w:t>
      </w:r>
      <w:r>
        <w:t>para. </w:t>
      </w:r>
      <w:r w:rsidRPr="006477CA">
        <w:t xml:space="preserve">142 (referring to </w:t>
      </w:r>
      <w:r>
        <w:t>Appellate Body</w:t>
      </w:r>
      <w:r w:rsidRPr="006477CA">
        <w:t xml:space="preserve"> Report, </w:t>
      </w:r>
      <w:r w:rsidRPr="006477CA">
        <w:rPr>
          <w:i/>
        </w:rPr>
        <w:t>US</w:t>
      </w:r>
      <w:r>
        <w:rPr>
          <w:i/>
        </w:rPr>
        <w:t> ‒ </w:t>
      </w:r>
      <w:r w:rsidRPr="006477CA">
        <w:rPr>
          <w:i/>
        </w:rPr>
        <w:t>Wheat Gluten</w:t>
      </w:r>
      <w:r w:rsidRPr="006477CA">
        <w:t xml:space="preserve">, </w:t>
      </w:r>
      <w:r>
        <w:t>paras. </w:t>
      </w:r>
      <w:r w:rsidRPr="006477CA">
        <w:t>161</w:t>
      </w:r>
      <w:r w:rsidRPr="006477CA">
        <w:noBreakHyphen/>
        <w:t>162).</w:t>
      </w:r>
    </w:p>
  </w:footnote>
  <w:footnote w:id="435">
    <w:p w:rsidR="00FD2727" w:rsidRPr="006477CA" w:rsidRDefault="00FD2727" w:rsidP="00206326">
      <w:pPr>
        <w:pStyle w:val="FootnoteText"/>
        <w:keepLines/>
      </w:pPr>
      <w:r w:rsidRPr="006477CA">
        <w:rPr>
          <w:rStyle w:val="FootnoteReference"/>
        </w:rPr>
        <w:footnoteRef/>
      </w:r>
      <w:r w:rsidRPr="006477CA">
        <w:t xml:space="preserve"> </w:t>
      </w:r>
      <w:r>
        <w:t>Appellate Body</w:t>
      </w:r>
      <w:r w:rsidRPr="006477CA">
        <w:t xml:space="preserve"> Report, </w:t>
      </w:r>
      <w:r w:rsidRPr="006477CA">
        <w:rPr>
          <w:i/>
        </w:rPr>
        <w:t>US – Upland Cotton (</w:t>
      </w:r>
      <w:r>
        <w:rPr>
          <w:i/>
        </w:rPr>
        <w:t>Article </w:t>
      </w:r>
      <w:r w:rsidRPr="006477CA">
        <w:rPr>
          <w:i/>
        </w:rPr>
        <w:t>21.5 – Brazil)</w:t>
      </w:r>
      <w:r w:rsidRPr="006477CA">
        <w:t>, fn 618</w:t>
      </w:r>
      <w:r>
        <w:t xml:space="preserve"> to</w:t>
      </w:r>
      <w:r w:rsidRPr="006477CA">
        <w:t xml:space="preserve"> </w:t>
      </w:r>
      <w:r>
        <w:t>para. </w:t>
      </w:r>
      <w:r w:rsidRPr="006477CA">
        <w:t xml:space="preserve">293. </w:t>
      </w:r>
    </w:p>
  </w:footnote>
  <w:footnote w:id="436">
    <w:p w:rsidR="00FD2727" w:rsidRPr="006477CA" w:rsidRDefault="00FD2727" w:rsidP="00206326">
      <w:pPr>
        <w:pStyle w:val="FootnoteText"/>
        <w:keepLines/>
      </w:pPr>
      <w:r w:rsidRPr="006477CA">
        <w:rPr>
          <w:rStyle w:val="FootnoteReference"/>
        </w:rPr>
        <w:footnoteRef/>
      </w:r>
      <w:r w:rsidRPr="006477CA">
        <w:t xml:space="preserve"> </w:t>
      </w:r>
      <w:r>
        <w:t>Appellate Body</w:t>
      </w:r>
      <w:r w:rsidRPr="006477CA">
        <w:t xml:space="preserve"> Report, </w:t>
      </w:r>
      <w:r w:rsidRPr="006477CA">
        <w:rPr>
          <w:i/>
        </w:rPr>
        <w:t>US – Upland Cotton (</w:t>
      </w:r>
      <w:r>
        <w:rPr>
          <w:i/>
        </w:rPr>
        <w:t>Article </w:t>
      </w:r>
      <w:r w:rsidRPr="006477CA">
        <w:rPr>
          <w:i/>
        </w:rPr>
        <w:t>21.5 – Brazil)</w:t>
      </w:r>
      <w:r w:rsidRPr="006477CA">
        <w:t xml:space="preserve">, </w:t>
      </w:r>
      <w:r>
        <w:t>para. </w:t>
      </w:r>
      <w:r w:rsidRPr="006477CA">
        <w:t>292.</w:t>
      </w:r>
    </w:p>
  </w:footnote>
  <w:footnote w:id="437">
    <w:p w:rsidR="00FD2727" w:rsidRPr="006477CA" w:rsidRDefault="00FD2727" w:rsidP="00206326">
      <w:pPr>
        <w:pStyle w:val="FootnoteText"/>
        <w:keepLines/>
      </w:pPr>
      <w:r w:rsidRPr="006477CA">
        <w:rPr>
          <w:rStyle w:val="FootnoteReference"/>
        </w:rPr>
        <w:footnoteRef/>
      </w:r>
      <w:r w:rsidRPr="006477CA">
        <w:t xml:space="preserve"> </w:t>
      </w:r>
      <w:r>
        <w:t>Appellate Body</w:t>
      </w:r>
      <w:r w:rsidRPr="006477CA">
        <w:t xml:space="preserve"> Report, </w:t>
      </w:r>
      <w:r w:rsidRPr="006477CA">
        <w:rPr>
          <w:i/>
        </w:rPr>
        <w:t>EC – Hormones</w:t>
      </w:r>
      <w:r w:rsidRPr="006477CA">
        <w:t xml:space="preserve">, </w:t>
      </w:r>
      <w:r>
        <w:t>para. </w:t>
      </w:r>
      <w:r w:rsidRPr="006477CA">
        <w:t>135.</w:t>
      </w:r>
    </w:p>
  </w:footnote>
  <w:footnote w:id="438">
    <w:p w:rsidR="00FD2727" w:rsidRPr="006477CA" w:rsidRDefault="00FD2727" w:rsidP="00206326">
      <w:pPr>
        <w:pStyle w:val="FootnoteText"/>
        <w:keepLines/>
      </w:pPr>
      <w:r w:rsidRPr="006477CA">
        <w:rPr>
          <w:rStyle w:val="FootnoteReference"/>
        </w:rPr>
        <w:footnoteRef/>
      </w:r>
      <w:r w:rsidRPr="006477CA">
        <w:t xml:space="preserve"> </w:t>
      </w:r>
      <w:r>
        <w:t>Appellate Body</w:t>
      </w:r>
      <w:r w:rsidRPr="006477CA">
        <w:t xml:space="preserve"> Report, </w:t>
      </w:r>
      <w:r w:rsidRPr="006477CA">
        <w:rPr>
          <w:i/>
        </w:rPr>
        <w:t>Korea – Dairy</w:t>
      </w:r>
      <w:r w:rsidRPr="006477CA">
        <w:t xml:space="preserve">, </w:t>
      </w:r>
      <w:r>
        <w:t>para. </w:t>
      </w:r>
      <w:r w:rsidRPr="006477CA">
        <w:t>137.</w:t>
      </w:r>
    </w:p>
  </w:footnote>
  <w:footnote w:id="439">
    <w:p w:rsidR="00FD2727" w:rsidRPr="005435FA" w:rsidRDefault="00FD2727" w:rsidP="00206326">
      <w:pPr>
        <w:pStyle w:val="FootnoteText"/>
        <w:keepLines/>
      </w:pPr>
      <w:r w:rsidRPr="006477CA">
        <w:rPr>
          <w:rStyle w:val="FootnoteReference"/>
        </w:rPr>
        <w:footnoteRef/>
      </w:r>
      <w:r w:rsidRPr="006477CA">
        <w:t xml:space="preserve"> </w:t>
      </w:r>
      <w:r>
        <w:t>Appellate Body</w:t>
      </w:r>
      <w:r w:rsidRPr="006477CA">
        <w:t xml:space="preserve"> Reports, </w:t>
      </w:r>
      <w:r w:rsidRPr="006477CA">
        <w:rPr>
          <w:i/>
        </w:rPr>
        <w:t>Australia – Salmon</w:t>
      </w:r>
      <w:r w:rsidRPr="006477CA">
        <w:t xml:space="preserve">, </w:t>
      </w:r>
      <w:r>
        <w:t>para. </w:t>
      </w:r>
      <w:r w:rsidRPr="006477CA">
        <w:t xml:space="preserve">267; </w:t>
      </w:r>
      <w:r w:rsidRPr="006477CA">
        <w:rPr>
          <w:i/>
        </w:rPr>
        <w:t>Japan – Apples</w:t>
      </w:r>
      <w:r w:rsidRPr="006477CA">
        <w:t xml:space="preserve">, </w:t>
      </w:r>
      <w:r>
        <w:t>para. </w:t>
      </w:r>
      <w:r w:rsidRPr="00845341">
        <w:t xml:space="preserve">221; </w:t>
      </w:r>
      <w:r w:rsidRPr="00264244">
        <w:rPr>
          <w:i/>
        </w:rPr>
        <w:t>Korea – Alcoholic Beverages</w:t>
      </w:r>
      <w:r w:rsidRPr="005435FA">
        <w:t xml:space="preserve">, </w:t>
      </w:r>
      <w:r>
        <w:t>para. </w:t>
      </w:r>
      <w:r w:rsidRPr="005435FA">
        <w:t>164.</w:t>
      </w:r>
    </w:p>
  </w:footnote>
  <w:footnote w:id="440">
    <w:p w:rsidR="00FD2727" w:rsidRPr="006477CA" w:rsidRDefault="00FD2727" w:rsidP="00206326">
      <w:pPr>
        <w:pStyle w:val="FootnoteText"/>
        <w:keepLines/>
      </w:pPr>
      <w:r w:rsidRPr="006477CA">
        <w:rPr>
          <w:rStyle w:val="FootnoteReference"/>
        </w:rPr>
        <w:footnoteRef/>
      </w:r>
      <w:r w:rsidRPr="006477CA">
        <w:t xml:space="preserve"> </w:t>
      </w:r>
      <w:r>
        <w:t>Appellate Body</w:t>
      </w:r>
      <w:r w:rsidRPr="006477CA">
        <w:t xml:space="preserve"> Reports, </w:t>
      </w:r>
      <w:r w:rsidRPr="006477CA">
        <w:rPr>
          <w:i/>
        </w:rPr>
        <w:t>EC – Fasteners (China)</w:t>
      </w:r>
      <w:r w:rsidRPr="006477CA">
        <w:t xml:space="preserve">, </w:t>
      </w:r>
      <w:r>
        <w:t>paras. </w:t>
      </w:r>
      <w:r w:rsidRPr="006477CA">
        <w:t>441</w:t>
      </w:r>
      <w:r w:rsidRPr="006477CA">
        <w:noBreakHyphen/>
        <w:t xml:space="preserve">442; </w:t>
      </w:r>
      <w:r w:rsidRPr="006477CA">
        <w:rPr>
          <w:i/>
        </w:rPr>
        <w:t>Brazil – Retreaded Tyres</w:t>
      </w:r>
      <w:r w:rsidRPr="006477CA">
        <w:t xml:space="preserve">, </w:t>
      </w:r>
      <w:r>
        <w:t>para. 20</w:t>
      </w:r>
      <w:r w:rsidRPr="006477CA">
        <w:t>2.</w:t>
      </w:r>
    </w:p>
  </w:footnote>
  <w:footnote w:id="441">
    <w:p w:rsidR="00FD2727" w:rsidRPr="006477CA" w:rsidRDefault="00FD2727" w:rsidP="00206326">
      <w:pPr>
        <w:pStyle w:val="FootnoteText"/>
        <w:keepLines/>
      </w:pPr>
      <w:r w:rsidRPr="006477CA">
        <w:rPr>
          <w:rStyle w:val="FootnoteReference"/>
        </w:rPr>
        <w:footnoteRef/>
      </w:r>
      <w:r w:rsidRPr="006477CA">
        <w:t xml:space="preserve"> </w:t>
      </w:r>
      <w:r>
        <w:t>Appellate Body</w:t>
      </w:r>
      <w:r w:rsidRPr="006477CA">
        <w:t xml:space="preserve"> Report, </w:t>
      </w:r>
      <w:r w:rsidRPr="006477CA">
        <w:rPr>
          <w:i/>
        </w:rPr>
        <w:t>EC – Fasteners (China)</w:t>
      </w:r>
      <w:r w:rsidRPr="006477CA">
        <w:t xml:space="preserve">, </w:t>
      </w:r>
      <w:r>
        <w:t>para. </w:t>
      </w:r>
      <w:r w:rsidRPr="006477CA">
        <w:t>442.</w:t>
      </w:r>
    </w:p>
  </w:footnote>
  <w:footnote w:id="442">
    <w:p w:rsidR="00FD2727" w:rsidRPr="006477CA" w:rsidRDefault="00FD2727" w:rsidP="00206326">
      <w:pPr>
        <w:pStyle w:val="FootnoteText"/>
        <w:keepLines/>
      </w:pPr>
      <w:r w:rsidRPr="006477CA">
        <w:rPr>
          <w:rStyle w:val="FootnoteReference"/>
        </w:rPr>
        <w:footnoteRef/>
      </w:r>
      <w:r w:rsidRPr="006477CA">
        <w:t xml:space="preserve"> </w:t>
      </w:r>
      <w:r>
        <w:t>Appellate Body</w:t>
      </w:r>
      <w:r w:rsidRPr="006477CA">
        <w:t xml:space="preserve"> Report, </w:t>
      </w:r>
      <w:r w:rsidRPr="006477CA">
        <w:rPr>
          <w:i/>
        </w:rPr>
        <w:t>EC – Fasteners (China)</w:t>
      </w:r>
      <w:r w:rsidRPr="006477CA">
        <w:t xml:space="preserve">, </w:t>
      </w:r>
      <w:r>
        <w:t>para. </w:t>
      </w:r>
      <w:r w:rsidRPr="006477CA">
        <w:t>442.</w:t>
      </w:r>
    </w:p>
  </w:footnote>
  <w:footnote w:id="443">
    <w:p w:rsidR="00FD2727" w:rsidRPr="006477CA" w:rsidRDefault="00FD2727" w:rsidP="00206326">
      <w:pPr>
        <w:pStyle w:val="FootnoteText"/>
        <w:keepLines/>
      </w:pPr>
      <w:r w:rsidRPr="006477CA">
        <w:rPr>
          <w:rStyle w:val="FootnoteReference"/>
        </w:rPr>
        <w:footnoteRef/>
      </w:r>
      <w:r w:rsidRPr="006477CA">
        <w:t xml:space="preserve"> </w:t>
      </w:r>
      <w:r>
        <w:t>Appellate Body</w:t>
      </w:r>
      <w:r w:rsidRPr="006477CA">
        <w:t xml:space="preserve"> Report, </w:t>
      </w:r>
      <w:r w:rsidRPr="006477CA">
        <w:rPr>
          <w:i/>
        </w:rPr>
        <w:t>EC – Fasteners (China)</w:t>
      </w:r>
      <w:r w:rsidRPr="006477CA">
        <w:t xml:space="preserve">, </w:t>
      </w:r>
      <w:r>
        <w:t>para. </w:t>
      </w:r>
      <w:r w:rsidRPr="006477CA">
        <w:t>442.</w:t>
      </w:r>
    </w:p>
  </w:footnote>
  <w:footnote w:id="444">
    <w:p w:rsidR="00FD2727" w:rsidRPr="006477CA" w:rsidRDefault="00FD2727" w:rsidP="00206326">
      <w:pPr>
        <w:pStyle w:val="FootnoteText"/>
        <w:keepLines/>
      </w:pPr>
      <w:r w:rsidRPr="006477CA">
        <w:rPr>
          <w:rStyle w:val="FootnoteReference"/>
        </w:rPr>
        <w:footnoteRef/>
      </w:r>
      <w:r w:rsidRPr="006477CA">
        <w:t xml:space="preserve"> </w:t>
      </w:r>
      <w:r>
        <w:t>Appellate Body</w:t>
      </w:r>
      <w:r w:rsidRPr="006477CA">
        <w:t xml:space="preserve"> Reports, </w:t>
      </w:r>
      <w:r w:rsidRPr="006477CA">
        <w:rPr>
          <w:i/>
        </w:rPr>
        <w:t>China – Rare Earths</w:t>
      </w:r>
      <w:r w:rsidRPr="006477CA">
        <w:t xml:space="preserve">, </w:t>
      </w:r>
      <w:r>
        <w:t>para. </w:t>
      </w:r>
      <w:r w:rsidRPr="006477CA">
        <w:t xml:space="preserve">5.178 (quoting </w:t>
      </w:r>
      <w:r>
        <w:t>Appellate Body</w:t>
      </w:r>
      <w:r w:rsidRPr="006477CA">
        <w:t xml:space="preserve"> Report, </w:t>
      </w:r>
      <w:r w:rsidRPr="006477CA">
        <w:rPr>
          <w:i/>
        </w:rPr>
        <w:t>EC</w:t>
      </w:r>
      <w:r>
        <w:rPr>
          <w:i/>
        </w:rPr>
        <w:t> ‒ </w:t>
      </w:r>
      <w:r w:rsidRPr="006477CA">
        <w:rPr>
          <w:i/>
        </w:rPr>
        <w:t>Fasteners (China)</w:t>
      </w:r>
      <w:r w:rsidRPr="006477CA">
        <w:t xml:space="preserve">, </w:t>
      </w:r>
      <w:r>
        <w:t>para. </w:t>
      </w:r>
      <w:r w:rsidRPr="006477CA">
        <w:t>442 (emphasis original)).</w:t>
      </w:r>
    </w:p>
  </w:footnote>
  <w:footnote w:id="445">
    <w:p w:rsidR="00FD2727" w:rsidRPr="00845341" w:rsidRDefault="00FD2727" w:rsidP="00206326">
      <w:pPr>
        <w:pStyle w:val="FootnoteText"/>
        <w:keepLines/>
      </w:pPr>
      <w:r w:rsidRPr="006477CA">
        <w:rPr>
          <w:rStyle w:val="FootnoteReference"/>
        </w:rPr>
        <w:footnoteRef/>
      </w:r>
      <w:r w:rsidRPr="006477CA">
        <w:t xml:space="preserve"> </w:t>
      </w:r>
      <w:r>
        <w:t>Appellate Body</w:t>
      </w:r>
      <w:r w:rsidRPr="006477CA">
        <w:t xml:space="preserve"> Reports, </w:t>
      </w:r>
      <w:r w:rsidRPr="006477CA">
        <w:rPr>
          <w:i/>
        </w:rPr>
        <w:t>China – Rare Earths</w:t>
      </w:r>
      <w:r w:rsidRPr="006477CA">
        <w:t xml:space="preserve">, </w:t>
      </w:r>
      <w:r>
        <w:t>para. </w:t>
      </w:r>
      <w:r w:rsidRPr="006477CA">
        <w:t xml:space="preserve">5.227 (quoting </w:t>
      </w:r>
      <w:r>
        <w:t>Appellate Body</w:t>
      </w:r>
      <w:r w:rsidRPr="006477CA">
        <w:t xml:space="preserve"> Report, </w:t>
      </w:r>
      <w:r w:rsidRPr="006477CA">
        <w:rPr>
          <w:i/>
        </w:rPr>
        <w:t>EC</w:t>
      </w:r>
      <w:r>
        <w:rPr>
          <w:i/>
        </w:rPr>
        <w:t> ‒ </w:t>
      </w:r>
      <w:r w:rsidRPr="006477CA">
        <w:rPr>
          <w:i/>
        </w:rPr>
        <w:t>Poultry</w:t>
      </w:r>
      <w:r w:rsidRPr="00845341">
        <w:t xml:space="preserve">, </w:t>
      </w:r>
      <w:r>
        <w:t>para. </w:t>
      </w:r>
      <w:r w:rsidRPr="00845341">
        <w:t>133).</w:t>
      </w:r>
    </w:p>
  </w:footnote>
  <w:footnote w:id="446">
    <w:p w:rsidR="00FD2727" w:rsidRPr="00264244" w:rsidRDefault="00FD2727" w:rsidP="00206326">
      <w:pPr>
        <w:pStyle w:val="FootnoteText"/>
        <w:keepLines/>
      </w:pPr>
      <w:r w:rsidRPr="006477CA">
        <w:rPr>
          <w:rStyle w:val="FootnoteReference"/>
        </w:rPr>
        <w:footnoteRef/>
      </w:r>
      <w:r w:rsidRPr="006477CA">
        <w:t xml:space="preserve"> </w:t>
      </w:r>
      <w:r>
        <w:t>Appellate Body</w:t>
      </w:r>
      <w:r w:rsidRPr="006477CA">
        <w:t xml:space="preserve"> Reports, </w:t>
      </w:r>
      <w:r w:rsidRPr="006477CA">
        <w:rPr>
          <w:i/>
          <w:iCs/>
        </w:rPr>
        <w:t>EC – Sardines</w:t>
      </w:r>
      <w:r w:rsidRPr="006477CA">
        <w:t xml:space="preserve">, </w:t>
      </w:r>
      <w:r>
        <w:t>para. </w:t>
      </w:r>
      <w:r w:rsidRPr="006477CA">
        <w:t xml:space="preserve">299 (quoting </w:t>
      </w:r>
      <w:r>
        <w:t>Appellate Body</w:t>
      </w:r>
      <w:r w:rsidRPr="006477CA">
        <w:t xml:space="preserve"> Report, </w:t>
      </w:r>
      <w:r w:rsidRPr="006477CA">
        <w:rPr>
          <w:i/>
          <w:iCs/>
        </w:rPr>
        <w:t>US </w:t>
      </w:r>
      <w:r>
        <w:rPr>
          <w:i/>
          <w:iCs/>
        </w:rPr>
        <w:t>‒ </w:t>
      </w:r>
      <w:r w:rsidRPr="006477CA">
        <w:rPr>
          <w:i/>
          <w:iCs/>
        </w:rPr>
        <w:t>Wheat Gluten</w:t>
      </w:r>
      <w:r w:rsidRPr="006477CA">
        <w:t xml:space="preserve">, </w:t>
      </w:r>
      <w:r>
        <w:t>para. </w:t>
      </w:r>
      <w:r w:rsidRPr="006477CA">
        <w:t xml:space="preserve">151); </w:t>
      </w:r>
      <w:r w:rsidRPr="00845341">
        <w:rPr>
          <w:i/>
          <w:iCs/>
        </w:rPr>
        <w:t>US – Carbon Steel</w:t>
      </w:r>
      <w:r w:rsidRPr="00264244">
        <w:t xml:space="preserve">, </w:t>
      </w:r>
      <w:r>
        <w:t>para. </w:t>
      </w:r>
      <w:r w:rsidRPr="00264244">
        <w:t>142.</w:t>
      </w:r>
    </w:p>
  </w:footnote>
  <w:footnote w:id="447">
    <w:p w:rsidR="00FD2727" w:rsidRPr="006477CA" w:rsidRDefault="00FD2727" w:rsidP="00206326">
      <w:pPr>
        <w:pStyle w:val="FootnoteText"/>
        <w:keepLines/>
      </w:pPr>
      <w:r w:rsidRPr="006477CA">
        <w:rPr>
          <w:rStyle w:val="FootnoteReference"/>
        </w:rPr>
        <w:footnoteRef/>
      </w:r>
      <w:r w:rsidRPr="006477CA">
        <w:t xml:space="preserve"> </w:t>
      </w:r>
      <w:r>
        <w:t>Appellate Body</w:t>
      </w:r>
      <w:r w:rsidRPr="006477CA">
        <w:t xml:space="preserve"> Report, </w:t>
      </w:r>
      <w:r w:rsidRPr="006477CA">
        <w:rPr>
          <w:i/>
          <w:iCs/>
        </w:rPr>
        <w:t>US – Wheat Gluten</w:t>
      </w:r>
      <w:r w:rsidRPr="006477CA">
        <w:t xml:space="preserve">, </w:t>
      </w:r>
      <w:r>
        <w:t>para. </w:t>
      </w:r>
      <w:r w:rsidRPr="006477CA">
        <w:t>151.</w:t>
      </w:r>
    </w:p>
  </w:footnote>
  <w:footnote w:id="448">
    <w:p w:rsidR="00FD2727" w:rsidRPr="006477CA" w:rsidRDefault="00FD2727" w:rsidP="00206326">
      <w:pPr>
        <w:pStyle w:val="FootnoteText"/>
        <w:keepLines/>
      </w:pPr>
      <w:r w:rsidRPr="006477CA">
        <w:rPr>
          <w:rStyle w:val="FootnoteReference"/>
        </w:rPr>
        <w:footnoteRef/>
      </w:r>
      <w:r w:rsidRPr="006477CA">
        <w:t xml:space="preserve"> </w:t>
      </w:r>
      <w:r>
        <w:t>Appellate Body</w:t>
      </w:r>
      <w:r w:rsidRPr="006477CA">
        <w:t xml:space="preserve"> Report, </w:t>
      </w:r>
      <w:r w:rsidRPr="006477CA">
        <w:rPr>
          <w:i/>
        </w:rPr>
        <w:t>EC – Fasteners (China)</w:t>
      </w:r>
      <w:r w:rsidRPr="006477CA">
        <w:t xml:space="preserve">, </w:t>
      </w:r>
      <w:r>
        <w:t>para. </w:t>
      </w:r>
      <w:r w:rsidRPr="006477CA">
        <w:t>442.</w:t>
      </w:r>
    </w:p>
  </w:footnote>
  <w:footnote w:id="449">
    <w:p w:rsidR="00FD2727" w:rsidRPr="006477CA" w:rsidRDefault="00FD2727" w:rsidP="00206326">
      <w:pPr>
        <w:pStyle w:val="FootnoteText"/>
        <w:keepLines/>
      </w:pPr>
      <w:r w:rsidRPr="006477CA">
        <w:rPr>
          <w:rStyle w:val="FootnoteReference"/>
        </w:rPr>
        <w:footnoteRef/>
      </w:r>
      <w:r w:rsidRPr="006477CA">
        <w:t xml:space="preserve"> </w:t>
      </w:r>
      <w:r>
        <w:t>Appellate Body</w:t>
      </w:r>
      <w:r w:rsidRPr="006477CA">
        <w:t xml:space="preserve"> Report, </w:t>
      </w:r>
      <w:r w:rsidRPr="006477CA">
        <w:rPr>
          <w:i/>
        </w:rPr>
        <w:t>EC and certain member States – Large Civil Aircraft</w:t>
      </w:r>
      <w:r w:rsidRPr="006477CA">
        <w:t xml:space="preserve">, </w:t>
      </w:r>
      <w:r>
        <w:t>para. </w:t>
      </w:r>
      <w:r w:rsidRPr="006477CA">
        <w:t xml:space="preserve">1318. See also </w:t>
      </w:r>
      <w:r>
        <w:t>Appellate Body</w:t>
      </w:r>
      <w:r w:rsidRPr="006477CA">
        <w:t xml:space="preserve"> Report, </w:t>
      </w:r>
      <w:r w:rsidRPr="006477CA">
        <w:rPr>
          <w:i/>
        </w:rPr>
        <w:t>EC – Fasteners (China)</w:t>
      </w:r>
      <w:r w:rsidRPr="006477CA">
        <w:t xml:space="preserve">, </w:t>
      </w:r>
      <w:r>
        <w:t>para. </w:t>
      </w:r>
      <w:r w:rsidRPr="006477CA">
        <w:t>499.</w:t>
      </w:r>
    </w:p>
  </w:footnote>
  <w:footnote w:id="450">
    <w:p w:rsidR="00FD2727" w:rsidRPr="006477CA" w:rsidRDefault="00FD2727" w:rsidP="00206326">
      <w:pPr>
        <w:pStyle w:val="FootnoteText"/>
        <w:keepLines/>
      </w:pPr>
      <w:r w:rsidRPr="006477CA">
        <w:rPr>
          <w:rStyle w:val="FootnoteReference"/>
        </w:rPr>
        <w:footnoteRef/>
      </w:r>
      <w:r w:rsidRPr="006477CA">
        <w:t xml:space="preserve"> </w:t>
      </w:r>
      <w:r>
        <w:t>Appellate Body</w:t>
      </w:r>
      <w:r w:rsidRPr="006477CA">
        <w:t xml:space="preserve"> Reports, </w:t>
      </w:r>
      <w:r w:rsidRPr="006477CA">
        <w:rPr>
          <w:i/>
        </w:rPr>
        <w:t>China – Rare Earths</w:t>
      </w:r>
      <w:r w:rsidRPr="006477CA">
        <w:t xml:space="preserve">, </w:t>
      </w:r>
      <w:r>
        <w:t>para. </w:t>
      </w:r>
      <w:r w:rsidRPr="006477CA">
        <w:t>5.179.</w:t>
      </w:r>
    </w:p>
  </w:footnote>
  <w:footnote w:id="451">
    <w:p w:rsidR="00FD2727" w:rsidRPr="006477CA" w:rsidRDefault="00FD2727" w:rsidP="00206326">
      <w:pPr>
        <w:pStyle w:val="FootnoteText"/>
        <w:keepLines/>
      </w:pPr>
      <w:r w:rsidRPr="006477CA">
        <w:rPr>
          <w:rStyle w:val="FootnoteReference"/>
        </w:rPr>
        <w:footnoteRef/>
      </w:r>
      <w:r w:rsidRPr="006477CA">
        <w:t xml:space="preserve"> </w:t>
      </w:r>
      <w:r>
        <w:t>European Union</w:t>
      </w:r>
      <w:r w:rsidRPr="006477CA">
        <w:t xml:space="preserve">'s appellant's submission, </w:t>
      </w:r>
      <w:r>
        <w:t>para. </w:t>
      </w:r>
      <w:r w:rsidRPr="006477CA">
        <w:t xml:space="preserve">297 (quoting Panel Report, </w:t>
      </w:r>
      <w:r>
        <w:t>para. </w:t>
      </w:r>
      <w:r w:rsidRPr="006477CA">
        <w:t xml:space="preserve">6.389 (emphasis added by the </w:t>
      </w:r>
      <w:r>
        <w:t>European Union</w:t>
      </w:r>
      <w:r w:rsidRPr="006477CA">
        <w:t>)</w:t>
      </w:r>
      <w:r>
        <w:t>).</w:t>
      </w:r>
    </w:p>
  </w:footnote>
  <w:footnote w:id="452">
    <w:p w:rsidR="00FD2727" w:rsidRPr="006477CA" w:rsidRDefault="00FD2727" w:rsidP="00206326">
      <w:pPr>
        <w:pStyle w:val="FootnoteText"/>
        <w:keepLines/>
      </w:pPr>
      <w:r w:rsidRPr="006477CA">
        <w:rPr>
          <w:rStyle w:val="FootnoteReference"/>
        </w:rPr>
        <w:footnoteRef/>
      </w:r>
      <w:r w:rsidRPr="006477CA">
        <w:t xml:space="preserve"> Panel Report, </w:t>
      </w:r>
      <w:r>
        <w:t>para. </w:t>
      </w:r>
      <w:r w:rsidRPr="006477CA">
        <w:t>6.389.</w:t>
      </w:r>
      <w:r>
        <w:t xml:space="preserve"> (e</w:t>
      </w:r>
      <w:r w:rsidRPr="006477CA">
        <w:t>mphasis added</w:t>
      </w:r>
      <w:r>
        <w:t>)</w:t>
      </w:r>
    </w:p>
  </w:footnote>
  <w:footnote w:id="453">
    <w:p w:rsidR="00FD2727" w:rsidRPr="006477CA" w:rsidRDefault="00FD2727" w:rsidP="00206326">
      <w:pPr>
        <w:pStyle w:val="FootnoteText"/>
        <w:keepLines/>
      </w:pPr>
      <w:r w:rsidRPr="006477CA">
        <w:rPr>
          <w:rStyle w:val="FootnoteReference"/>
        </w:rPr>
        <w:footnoteRef/>
      </w:r>
      <w:r w:rsidRPr="006477CA">
        <w:t xml:space="preserve"> Panel Report, </w:t>
      </w:r>
      <w:r>
        <w:t>para. </w:t>
      </w:r>
      <w:r w:rsidRPr="006477CA">
        <w:t>6.389.</w:t>
      </w:r>
    </w:p>
  </w:footnote>
  <w:footnote w:id="454">
    <w:p w:rsidR="00FD2727" w:rsidRDefault="00FD2727" w:rsidP="00206326">
      <w:pPr>
        <w:pStyle w:val="FootnoteText"/>
        <w:keepLines/>
      </w:pPr>
      <w:r>
        <w:rPr>
          <w:rStyle w:val="FootnoteReference"/>
        </w:rPr>
        <w:footnoteRef/>
      </w:r>
      <w:r>
        <w:t xml:space="preserve"> European Union</w:t>
      </w:r>
      <w:r w:rsidRPr="006477CA">
        <w:t xml:space="preserve">'s appellant's submission, </w:t>
      </w:r>
      <w:r>
        <w:t>para. </w:t>
      </w:r>
      <w:r w:rsidRPr="006477CA">
        <w:t>29</w:t>
      </w:r>
      <w:r>
        <w:t>8</w:t>
      </w:r>
      <w:r w:rsidRPr="006477CA">
        <w:t>.</w:t>
      </w:r>
    </w:p>
  </w:footnote>
  <w:footnote w:id="455">
    <w:p w:rsidR="00FD2727" w:rsidRDefault="00FD2727" w:rsidP="00206326">
      <w:pPr>
        <w:pStyle w:val="FootnoteText"/>
        <w:keepLines/>
      </w:pPr>
      <w:r>
        <w:rPr>
          <w:rStyle w:val="FootnoteReference"/>
        </w:rPr>
        <w:footnoteRef/>
      </w:r>
      <w:r>
        <w:t xml:space="preserve"> Appellate Body</w:t>
      </w:r>
      <w:r w:rsidRPr="006477CA">
        <w:t xml:space="preserve"> Report, </w:t>
      </w:r>
      <w:r w:rsidRPr="006477CA">
        <w:rPr>
          <w:i/>
        </w:rPr>
        <w:t>EC and certain member States – Large Civil Aircraft</w:t>
      </w:r>
      <w:r w:rsidRPr="006477CA">
        <w:t xml:space="preserve">, </w:t>
      </w:r>
      <w:r>
        <w:t>para. </w:t>
      </w:r>
      <w:r w:rsidRPr="006477CA">
        <w:t>836.</w:t>
      </w:r>
    </w:p>
  </w:footnote>
  <w:footnote w:id="456">
    <w:p w:rsidR="00FD2727" w:rsidRDefault="00FD2727" w:rsidP="00206326">
      <w:pPr>
        <w:pStyle w:val="FootnoteText"/>
        <w:keepLines/>
      </w:pPr>
      <w:r>
        <w:rPr>
          <w:rStyle w:val="FootnoteReference"/>
        </w:rPr>
        <w:footnoteRef/>
      </w:r>
      <w:r>
        <w:t xml:space="preserve"> </w:t>
      </w:r>
      <w:r w:rsidRPr="004134C0">
        <w:t xml:space="preserve">Panel Report, </w:t>
      </w:r>
      <w:r>
        <w:t>para. </w:t>
      </w:r>
      <w:r w:rsidRPr="006477CA">
        <w:t>6.389.</w:t>
      </w:r>
    </w:p>
  </w:footnote>
  <w:footnote w:id="457">
    <w:p w:rsidR="00FD2727" w:rsidRPr="00A453EC" w:rsidRDefault="00FD2727" w:rsidP="00206326">
      <w:pPr>
        <w:pStyle w:val="FootnoteText"/>
        <w:keepLines/>
      </w:pPr>
      <w:r w:rsidRPr="006477CA">
        <w:rPr>
          <w:rStyle w:val="FootnoteReference"/>
        </w:rPr>
        <w:footnoteRef/>
      </w:r>
      <w:r w:rsidRPr="006477CA">
        <w:t xml:space="preserve"> </w:t>
      </w:r>
      <w:r w:rsidRPr="000855E5">
        <w:t xml:space="preserve">This is particularly the case, given the Panel's findings that: (i) the </w:t>
      </w:r>
      <w:r>
        <w:t xml:space="preserve">four </w:t>
      </w:r>
      <w:r w:rsidRPr="000855E5">
        <w:t xml:space="preserve">A350XWB LA/MSF contracts share certain unique </w:t>
      </w:r>
      <w:r w:rsidRPr="00A453EC">
        <w:t>features compared to other forms of financing, namely, that their repayment terms are back</w:t>
      </w:r>
      <w:r w:rsidRPr="00A453EC">
        <w:noBreakHyphen/>
        <w:t>loaded, primarily levy-based, dependent on the sales of aircraft, and unsecured; and (ii) "the Airbus governments {i.e. France, Germany, Spain, and the United Kingdom} formally entered into negotiations with Airbus for LA/MSF {to support the A350XWB programme} in late</w:t>
      </w:r>
      <w:r>
        <w:t> 20</w:t>
      </w:r>
      <w:r w:rsidRPr="00A453EC">
        <w:t xml:space="preserve">08, individually agreeing on its terms on different dates between </w:t>
      </w:r>
      <w:r w:rsidRPr="00A453EC">
        <w:rPr>
          <w:b/>
        </w:rPr>
        <w:t>[</w:t>
      </w:r>
      <w:r w:rsidRPr="00C8434D">
        <w:rPr>
          <w:b/>
          <w:szCs w:val="16"/>
        </w:rPr>
        <w:t>BCI</w:t>
      </w:r>
      <w:r w:rsidRPr="00A453EC">
        <w:rPr>
          <w:b/>
        </w:rPr>
        <w:t>]</w:t>
      </w:r>
      <w:r w:rsidRPr="00A453EC">
        <w:t xml:space="preserve">." (Panel Report, </w:t>
      </w:r>
      <w:r>
        <w:t>para. </w:t>
      </w:r>
      <w:r w:rsidRPr="00A453EC">
        <w:t>6.55 (referring to Willi</w:t>
      </w:r>
      <w:r>
        <w:t>ams Statement (Panel Exhibit EU</w:t>
      </w:r>
      <w:r>
        <w:noBreakHyphen/>
      </w:r>
      <w:r w:rsidRPr="00A453EC">
        <w:t xml:space="preserve">354 (BCI)), </w:t>
      </w:r>
      <w:r>
        <w:t>para. </w:t>
      </w:r>
      <w:r w:rsidRPr="00A453EC">
        <w:t xml:space="preserve">3; </w:t>
      </w:r>
      <w:r>
        <w:t>European Union</w:t>
      </w:r>
      <w:r w:rsidRPr="00A453EC">
        <w:t>'s</w:t>
      </w:r>
      <w:r>
        <w:t xml:space="preserve"> response to Panel question No. </w:t>
      </w:r>
      <w:r w:rsidRPr="00A453EC">
        <w:t>101))</w:t>
      </w:r>
    </w:p>
  </w:footnote>
  <w:footnote w:id="458">
    <w:p w:rsidR="00FD2727" w:rsidRPr="00075669" w:rsidRDefault="00FD2727">
      <w:pPr>
        <w:pStyle w:val="FootnoteText"/>
        <w:rPr>
          <w:lang w:val="en-US"/>
        </w:rPr>
      </w:pPr>
      <w:r>
        <w:rPr>
          <w:rStyle w:val="FootnoteReference"/>
        </w:rPr>
        <w:footnoteRef/>
      </w:r>
      <w:r>
        <w:t xml:space="preserve"> </w:t>
      </w:r>
      <w:r>
        <w:rPr>
          <w:lang w:val="en-US"/>
        </w:rPr>
        <w:t>European Union's appellant's submission, para. 299.</w:t>
      </w:r>
    </w:p>
  </w:footnote>
  <w:footnote w:id="459">
    <w:p w:rsidR="00FD2727" w:rsidRDefault="00FD2727" w:rsidP="00206326">
      <w:pPr>
        <w:pStyle w:val="FootnoteText"/>
        <w:keepLines/>
      </w:pPr>
      <w:r w:rsidRPr="00A453EC">
        <w:rPr>
          <w:rStyle w:val="FootnoteReference"/>
        </w:rPr>
        <w:footnoteRef/>
      </w:r>
      <w:r w:rsidRPr="00A453EC">
        <w:t xml:space="preserve"> Panel Report, </w:t>
      </w:r>
      <w:r>
        <w:t>para. </w:t>
      </w:r>
      <w:r w:rsidRPr="00A453EC">
        <w:t xml:space="preserve">6.387. </w:t>
      </w:r>
      <w:r w:rsidRPr="00A453EC">
        <w:rPr>
          <w:szCs w:val="20"/>
        </w:rPr>
        <w:t xml:space="preserve">For instance, in its concluding sentence addressing Professor Whitelaw's averaging approach, the Panel stated that it "reject{ed} the averaging approach </w:t>
      </w:r>
      <w:r w:rsidRPr="00A453EC">
        <w:rPr>
          <w:i/>
          <w:szCs w:val="20"/>
        </w:rPr>
        <w:t>in favour of the yields from a consistent time-period up to the date of the conclusion</w:t>
      </w:r>
      <w:r w:rsidRPr="00A453EC">
        <w:rPr>
          <w:szCs w:val="20"/>
        </w:rPr>
        <w:t xml:space="preserve"> of the individual contract, as calculated by Dr Jordan".</w:t>
      </w:r>
      <w:r w:rsidRPr="00A453EC">
        <w:t xml:space="preserve"> (Ibid., </w:t>
      </w:r>
      <w:r>
        <w:t>para. </w:t>
      </w:r>
      <w:r w:rsidRPr="00A453EC">
        <w:t>6.388 (emphasis added))</w:t>
      </w:r>
    </w:p>
  </w:footnote>
  <w:footnote w:id="460">
    <w:p w:rsidR="00FD2727" w:rsidRPr="006477CA" w:rsidRDefault="00FD2727" w:rsidP="00206326">
      <w:pPr>
        <w:pStyle w:val="FootnoteText"/>
        <w:keepLines/>
      </w:pPr>
      <w:r w:rsidRPr="006477CA">
        <w:rPr>
          <w:rStyle w:val="FootnoteReference"/>
        </w:rPr>
        <w:footnoteRef/>
      </w:r>
      <w:r w:rsidRPr="006477CA">
        <w:t xml:space="preserve"> Panel Report, </w:t>
      </w:r>
      <w:r>
        <w:t>para. </w:t>
      </w:r>
      <w:r w:rsidRPr="006477CA">
        <w:t>6.389. (emphasis added)</w:t>
      </w:r>
    </w:p>
  </w:footnote>
  <w:footnote w:id="461">
    <w:p w:rsidR="00FD2727" w:rsidRPr="006477CA" w:rsidRDefault="00FD2727" w:rsidP="00206326">
      <w:pPr>
        <w:pStyle w:val="FootnoteText"/>
        <w:keepLines/>
      </w:pPr>
      <w:r w:rsidRPr="006477CA">
        <w:rPr>
          <w:rStyle w:val="FootnoteReference"/>
        </w:rPr>
        <w:footnoteRef/>
      </w:r>
      <w:r w:rsidRPr="006477CA">
        <w:t xml:space="preserve"> </w:t>
      </w:r>
      <w:r>
        <w:t>Appellate Body</w:t>
      </w:r>
      <w:r w:rsidRPr="006477CA">
        <w:t xml:space="preserve"> Report, </w:t>
      </w:r>
      <w:r w:rsidRPr="006477CA">
        <w:rPr>
          <w:i/>
        </w:rPr>
        <w:t>EC – Fasteners (China)</w:t>
      </w:r>
      <w:r w:rsidRPr="006477CA">
        <w:t xml:space="preserve">, </w:t>
      </w:r>
      <w:r>
        <w:t>para. </w:t>
      </w:r>
      <w:r w:rsidRPr="006477CA">
        <w:t>442.</w:t>
      </w:r>
    </w:p>
  </w:footnote>
  <w:footnote w:id="462">
    <w:p w:rsidR="00FD2727" w:rsidRPr="00845341" w:rsidRDefault="00FD2727" w:rsidP="00206326">
      <w:pPr>
        <w:pStyle w:val="FootnoteText"/>
        <w:keepLines/>
      </w:pPr>
      <w:r w:rsidRPr="006477CA">
        <w:rPr>
          <w:rStyle w:val="FootnoteReference"/>
        </w:rPr>
        <w:footnoteRef/>
      </w:r>
      <w:r w:rsidRPr="006477CA">
        <w:t xml:space="preserve"> </w:t>
      </w:r>
      <w:r>
        <w:t>Appellate Body</w:t>
      </w:r>
      <w:r w:rsidRPr="006477CA">
        <w:t xml:space="preserve"> Reports, </w:t>
      </w:r>
      <w:r w:rsidRPr="006477CA">
        <w:rPr>
          <w:i/>
        </w:rPr>
        <w:t>China – Rare Earths</w:t>
      </w:r>
      <w:r w:rsidRPr="006477CA">
        <w:t xml:space="preserve">, </w:t>
      </w:r>
      <w:r>
        <w:t>para. </w:t>
      </w:r>
      <w:r w:rsidRPr="006477CA">
        <w:t xml:space="preserve">5.178 (quoting </w:t>
      </w:r>
      <w:r>
        <w:t>Appellate Body</w:t>
      </w:r>
      <w:r w:rsidRPr="006477CA">
        <w:t xml:space="preserve"> Report, </w:t>
      </w:r>
      <w:r w:rsidRPr="006477CA">
        <w:rPr>
          <w:i/>
        </w:rPr>
        <w:t>EC</w:t>
      </w:r>
      <w:r>
        <w:rPr>
          <w:i/>
        </w:rPr>
        <w:t> ‒ </w:t>
      </w:r>
      <w:r w:rsidRPr="006477CA">
        <w:rPr>
          <w:i/>
        </w:rPr>
        <w:t>Fasteners (China)</w:t>
      </w:r>
      <w:r w:rsidRPr="00845341">
        <w:t xml:space="preserve">, </w:t>
      </w:r>
      <w:r>
        <w:t>para. </w:t>
      </w:r>
      <w:r w:rsidRPr="00845341">
        <w:t>442 (emphasis original)).</w:t>
      </w:r>
    </w:p>
  </w:footnote>
  <w:footnote w:id="463">
    <w:p w:rsidR="00FD2727" w:rsidRPr="00075669" w:rsidRDefault="00FD2727">
      <w:pPr>
        <w:pStyle w:val="FootnoteText"/>
      </w:pPr>
      <w:r>
        <w:rPr>
          <w:rStyle w:val="FootnoteReference"/>
        </w:rPr>
        <w:footnoteRef/>
      </w:r>
      <w:r>
        <w:t xml:space="preserve"> European Union's appellant's submission, paras. 300-301.</w:t>
      </w:r>
    </w:p>
  </w:footnote>
  <w:footnote w:id="464">
    <w:p w:rsidR="00FD2727" w:rsidRPr="006477CA" w:rsidRDefault="00FD2727" w:rsidP="00206326">
      <w:pPr>
        <w:pStyle w:val="FootnoteText"/>
        <w:keepLines/>
      </w:pPr>
      <w:r w:rsidRPr="006477CA">
        <w:rPr>
          <w:rStyle w:val="FootnoteReference"/>
        </w:rPr>
        <w:footnoteRef/>
      </w:r>
      <w:r w:rsidRPr="006477CA">
        <w:t xml:space="preserve"> </w:t>
      </w:r>
      <w:r>
        <w:t>European Union</w:t>
      </w:r>
      <w:r w:rsidRPr="006477CA">
        <w:t xml:space="preserve">'s appellant's submission, </w:t>
      </w:r>
      <w:r>
        <w:t>para. </w:t>
      </w:r>
      <w:r w:rsidRPr="006477CA">
        <w:t>302.</w:t>
      </w:r>
    </w:p>
  </w:footnote>
  <w:footnote w:id="465">
    <w:p w:rsidR="00FD2727" w:rsidRPr="005435FA" w:rsidRDefault="00FD2727" w:rsidP="00206326">
      <w:pPr>
        <w:pStyle w:val="FootnoteText"/>
        <w:keepLines/>
      </w:pPr>
      <w:r w:rsidRPr="006477CA">
        <w:rPr>
          <w:rStyle w:val="FootnoteReference"/>
        </w:rPr>
        <w:footnoteRef/>
      </w:r>
      <w:r w:rsidRPr="006477CA">
        <w:t xml:space="preserve"> </w:t>
      </w:r>
      <w:r>
        <w:t>European Union</w:t>
      </w:r>
      <w:r w:rsidRPr="006477CA">
        <w:t xml:space="preserve">'s appellant's submission, </w:t>
      </w:r>
      <w:r>
        <w:t>para. </w:t>
      </w:r>
      <w:r w:rsidRPr="006477CA">
        <w:t xml:space="preserve">303 (quoting Panel Report, </w:t>
      </w:r>
      <w:r>
        <w:t>paras. </w:t>
      </w:r>
      <w:r w:rsidRPr="006477CA">
        <w:t>6.385 and 6.388</w:t>
      </w:r>
      <w:r w:rsidRPr="00845341">
        <w:t xml:space="preserve"> (emphasis added by the </w:t>
      </w:r>
      <w:r>
        <w:t>European Union</w:t>
      </w:r>
      <w:r w:rsidRPr="00845341">
        <w:t>)</w:t>
      </w:r>
      <w:r>
        <w:t>).</w:t>
      </w:r>
    </w:p>
  </w:footnote>
  <w:footnote w:id="466">
    <w:p w:rsidR="00FD2727" w:rsidRPr="005435FA" w:rsidRDefault="00FD2727" w:rsidP="00206326">
      <w:pPr>
        <w:pStyle w:val="FootnoteText"/>
        <w:keepLines/>
      </w:pPr>
      <w:r w:rsidRPr="006477CA">
        <w:rPr>
          <w:rStyle w:val="FootnoteReference"/>
        </w:rPr>
        <w:footnoteRef/>
      </w:r>
      <w:r w:rsidRPr="006477CA">
        <w:t xml:space="preserve"> </w:t>
      </w:r>
      <w:r>
        <w:t>European Union</w:t>
      </w:r>
      <w:r w:rsidRPr="006477CA">
        <w:t xml:space="preserve">'s appellant's submission, </w:t>
      </w:r>
      <w:r>
        <w:t>para. </w:t>
      </w:r>
      <w:r w:rsidRPr="006477CA">
        <w:t xml:space="preserve">304 (quoting Panel Report, </w:t>
      </w:r>
      <w:r>
        <w:t>para. </w:t>
      </w:r>
      <w:r w:rsidRPr="006477CA">
        <w:t>6.389</w:t>
      </w:r>
      <w:r w:rsidRPr="00845341">
        <w:t xml:space="preserve"> (emphasis added by the </w:t>
      </w:r>
      <w:r>
        <w:t>European Union</w:t>
      </w:r>
      <w:r w:rsidRPr="00845341">
        <w:t>)</w:t>
      </w:r>
      <w:r>
        <w:t>).</w:t>
      </w:r>
    </w:p>
  </w:footnote>
  <w:footnote w:id="467">
    <w:p w:rsidR="00FD2727" w:rsidRPr="006477CA" w:rsidRDefault="00FD2727" w:rsidP="00206326">
      <w:pPr>
        <w:pStyle w:val="FootnoteText"/>
        <w:keepLines/>
      </w:pPr>
      <w:r w:rsidRPr="006477CA">
        <w:rPr>
          <w:rStyle w:val="FootnoteReference"/>
        </w:rPr>
        <w:footnoteRef/>
      </w:r>
      <w:r w:rsidRPr="006477CA">
        <w:t xml:space="preserve"> </w:t>
      </w:r>
      <w:r>
        <w:t>European Union</w:t>
      </w:r>
      <w:r w:rsidRPr="006477CA">
        <w:t xml:space="preserve">'s appellant's submission, </w:t>
      </w:r>
      <w:r>
        <w:t>para. </w:t>
      </w:r>
      <w:r w:rsidRPr="006477CA">
        <w:t>304. (emphasis original)</w:t>
      </w:r>
    </w:p>
  </w:footnote>
  <w:footnote w:id="468">
    <w:p w:rsidR="00FD2727" w:rsidRPr="006477CA" w:rsidRDefault="00FD2727" w:rsidP="00206326">
      <w:pPr>
        <w:pStyle w:val="FootnoteText"/>
        <w:keepLines/>
      </w:pPr>
      <w:r w:rsidRPr="006477CA">
        <w:rPr>
          <w:rStyle w:val="FootnoteReference"/>
        </w:rPr>
        <w:footnoteRef/>
      </w:r>
      <w:r w:rsidRPr="006477CA">
        <w:t xml:space="preserve"> </w:t>
      </w:r>
      <w:r>
        <w:t>European Union</w:t>
      </w:r>
      <w:r w:rsidRPr="006477CA">
        <w:t xml:space="preserve">'s appellant's submission, </w:t>
      </w:r>
      <w:r>
        <w:t>para. </w:t>
      </w:r>
      <w:r w:rsidRPr="006477CA">
        <w:t xml:space="preserve">306 (referring to Panel Report, </w:t>
      </w:r>
      <w:r>
        <w:t>para. </w:t>
      </w:r>
      <w:r w:rsidRPr="006477CA">
        <w:t>6.381).</w:t>
      </w:r>
    </w:p>
  </w:footnote>
  <w:footnote w:id="469">
    <w:p w:rsidR="00FD2727" w:rsidRPr="006477CA" w:rsidRDefault="00FD2727" w:rsidP="00206326">
      <w:pPr>
        <w:pStyle w:val="FootnoteText"/>
        <w:keepLines/>
      </w:pPr>
      <w:r w:rsidRPr="006477CA">
        <w:rPr>
          <w:rStyle w:val="FootnoteReference"/>
        </w:rPr>
        <w:footnoteRef/>
      </w:r>
      <w:r w:rsidRPr="006477CA">
        <w:t xml:space="preserve"> </w:t>
      </w:r>
      <w:r>
        <w:t>European Union</w:t>
      </w:r>
      <w:r w:rsidRPr="006477CA">
        <w:t xml:space="preserve">'s appellant's submission, </w:t>
      </w:r>
      <w:r>
        <w:t>para. </w:t>
      </w:r>
      <w:r w:rsidRPr="006477CA">
        <w:t>306. (emphasis original)</w:t>
      </w:r>
    </w:p>
  </w:footnote>
  <w:footnote w:id="470">
    <w:p w:rsidR="00FD2727" w:rsidRPr="006477CA" w:rsidRDefault="00FD2727" w:rsidP="00206326">
      <w:pPr>
        <w:pStyle w:val="FootnoteText"/>
        <w:keepLines/>
      </w:pPr>
      <w:r w:rsidRPr="006477CA">
        <w:rPr>
          <w:rStyle w:val="FootnoteReference"/>
        </w:rPr>
        <w:footnoteRef/>
      </w:r>
      <w:r w:rsidRPr="006477CA">
        <w:t xml:space="preserve"> </w:t>
      </w:r>
      <w:r>
        <w:t>European Union</w:t>
      </w:r>
      <w:r w:rsidRPr="006477CA">
        <w:t xml:space="preserve">'s appellant's submission, </w:t>
      </w:r>
      <w:r>
        <w:t>para. </w:t>
      </w:r>
      <w:r w:rsidRPr="006477CA">
        <w:t xml:space="preserve">307 (quoting Panel Report, </w:t>
      </w:r>
      <w:r>
        <w:t>para. </w:t>
      </w:r>
      <w:r w:rsidRPr="006477CA">
        <w:t>6.385).</w:t>
      </w:r>
    </w:p>
  </w:footnote>
  <w:footnote w:id="471">
    <w:p w:rsidR="00FD2727" w:rsidRPr="00075669" w:rsidRDefault="00FD2727">
      <w:pPr>
        <w:pStyle w:val="FootnoteText"/>
      </w:pPr>
      <w:r>
        <w:rPr>
          <w:rStyle w:val="FootnoteReference"/>
        </w:rPr>
        <w:footnoteRef/>
      </w:r>
      <w:r>
        <w:t xml:space="preserve"> United States' appellee's submission, para. 213.</w:t>
      </w:r>
    </w:p>
  </w:footnote>
  <w:footnote w:id="472">
    <w:p w:rsidR="00FD2727" w:rsidRPr="006477CA" w:rsidRDefault="00FD2727" w:rsidP="00206326">
      <w:pPr>
        <w:pStyle w:val="FootnoteText"/>
        <w:keepLines/>
      </w:pPr>
      <w:r w:rsidRPr="006477CA">
        <w:rPr>
          <w:rStyle w:val="FootnoteReference"/>
        </w:rPr>
        <w:footnoteRef/>
      </w:r>
      <w:r w:rsidRPr="006477CA">
        <w:t xml:space="preserve"> </w:t>
      </w:r>
      <w:r>
        <w:t>United States</w:t>
      </w:r>
      <w:r w:rsidRPr="006477CA">
        <w:t xml:space="preserve">' appellee's submission, </w:t>
      </w:r>
      <w:r>
        <w:t>para. </w:t>
      </w:r>
      <w:r w:rsidRPr="006477CA">
        <w:t>213.</w:t>
      </w:r>
    </w:p>
  </w:footnote>
  <w:footnote w:id="473">
    <w:p w:rsidR="00FD2727" w:rsidRDefault="00FD2727" w:rsidP="00206326">
      <w:pPr>
        <w:pStyle w:val="FootnoteText"/>
        <w:keepLines/>
      </w:pPr>
      <w:r>
        <w:rPr>
          <w:rStyle w:val="FootnoteReference"/>
        </w:rPr>
        <w:footnoteRef/>
      </w:r>
      <w:r>
        <w:t xml:space="preserve"> </w:t>
      </w:r>
      <w:r w:rsidRPr="006477CA">
        <w:t xml:space="preserve">Panel Report, </w:t>
      </w:r>
      <w:r>
        <w:t>para. </w:t>
      </w:r>
      <w:r w:rsidRPr="006477CA">
        <w:t>6.</w:t>
      </w:r>
      <w:r>
        <w:t>389.</w:t>
      </w:r>
    </w:p>
  </w:footnote>
  <w:footnote w:id="474">
    <w:p w:rsidR="00FD2727" w:rsidRDefault="00FD2727" w:rsidP="00206326">
      <w:pPr>
        <w:pStyle w:val="FootnoteText"/>
        <w:keepLines/>
      </w:pPr>
      <w:r>
        <w:rPr>
          <w:rStyle w:val="FootnoteReference"/>
        </w:rPr>
        <w:footnoteRef/>
      </w:r>
      <w:r>
        <w:t xml:space="preserve"> </w:t>
      </w:r>
      <w:r w:rsidRPr="006477CA">
        <w:t xml:space="preserve">Panel Report, </w:t>
      </w:r>
      <w:r>
        <w:t>para. </w:t>
      </w:r>
      <w:r w:rsidRPr="006477CA">
        <w:t>6.</w:t>
      </w:r>
      <w:r>
        <w:t>389.</w:t>
      </w:r>
    </w:p>
  </w:footnote>
  <w:footnote w:id="475">
    <w:p w:rsidR="00FD2727" w:rsidRDefault="00FD2727" w:rsidP="00206326">
      <w:pPr>
        <w:pStyle w:val="FootnoteText"/>
        <w:keepLines/>
      </w:pPr>
      <w:r>
        <w:rPr>
          <w:rStyle w:val="FootnoteReference"/>
        </w:rPr>
        <w:footnoteRef/>
      </w:r>
      <w:r>
        <w:t xml:space="preserve"> Appellate Body</w:t>
      </w:r>
      <w:r w:rsidRPr="006477CA">
        <w:t xml:space="preserve"> Report, </w:t>
      </w:r>
      <w:r w:rsidRPr="006477CA">
        <w:rPr>
          <w:i/>
        </w:rPr>
        <w:t>EC and certain member States – Large Civil Aircraft</w:t>
      </w:r>
      <w:r w:rsidRPr="006477CA">
        <w:t xml:space="preserve">, </w:t>
      </w:r>
      <w:r>
        <w:t>para. </w:t>
      </w:r>
      <w:r w:rsidRPr="006477CA">
        <w:t>836.</w:t>
      </w:r>
    </w:p>
  </w:footnote>
  <w:footnote w:id="476">
    <w:p w:rsidR="00FD2727" w:rsidRPr="006477CA" w:rsidRDefault="00FD2727" w:rsidP="00206326">
      <w:pPr>
        <w:pStyle w:val="FootnoteText"/>
        <w:keepLines/>
      </w:pPr>
      <w:r w:rsidRPr="006477CA">
        <w:rPr>
          <w:rStyle w:val="FootnoteReference"/>
        </w:rPr>
        <w:footnoteRef/>
      </w:r>
      <w:r w:rsidRPr="006477CA">
        <w:t xml:space="preserve"> </w:t>
      </w:r>
      <w:r>
        <w:t>European Union</w:t>
      </w:r>
      <w:r w:rsidRPr="006477CA">
        <w:t xml:space="preserve">'s appellant's submission, </w:t>
      </w:r>
      <w:r>
        <w:t>para. </w:t>
      </w:r>
      <w:r w:rsidRPr="006477CA">
        <w:t>302.</w:t>
      </w:r>
    </w:p>
  </w:footnote>
  <w:footnote w:id="477">
    <w:p w:rsidR="00FD2727" w:rsidRPr="00A453EC" w:rsidRDefault="00FD2727" w:rsidP="00206326">
      <w:pPr>
        <w:pStyle w:val="FootnoteText"/>
        <w:keepLines/>
      </w:pPr>
      <w:r w:rsidRPr="006477CA">
        <w:rPr>
          <w:rStyle w:val="FootnoteReference"/>
        </w:rPr>
        <w:footnoteRef/>
      </w:r>
      <w:r w:rsidRPr="006477CA">
        <w:t xml:space="preserve"> Panel Report, </w:t>
      </w:r>
      <w:r>
        <w:t>para. </w:t>
      </w:r>
      <w:r w:rsidRPr="006477CA">
        <w:t xml:space="preserve">6.55 (referring to </w:t>
      </w:r>
      <w:r>
        <w:t xml:space="preserve">Williams </w:t>
      </w:r>
      <w:r w:rsidRPr="00A453EC">
        <w:t xml:space="preserve">Statement (Panel Exhibit EU-354 (BCI)), </w:t>
      </w:r>
      <w:r>
        <w:t>para. </w:t>
      </w:r>
      <w:r w:rsidRPr="00A453EC">
        <w:t xml:space="preserve">3; </w:t>
      </w:r>
      <w:r>
        <w:t>European Union</w:t>
      </w:r>
      <w:r w:rsidRPr="00A453EC">
        <w:t>'s respon</w:t>
      </w:r>
      <w:r>
        <w:t>se to Panel question No. 101).</w:t>
      </w:r>
    </w:p>
  </w:footnote>
  <w:footnote w:id="478">
    <w:p w:rsidR="00FD2727" w:rsidRPr="00A453EC" w:rsidRDefault="00FD2727" w:rsidP="00206326">
      <w:pPr>
        <w:pStyle w:val="FootnoteText"/>
        <w:keepLines/>
      </w:pPr>
      <w:r w:rsidRPr="00A453EC">
        <w:rPr>
          <w:rStyle w:val="FootnoteReference"/>
        </w:rPr>
        <w:footnoteRef/>
      </w:r>
      <w:r w:rsidRPr="00A453EC">
        <w:t xml:space="preserve"> Jordan Reply (Panel Exhibit USA-505 (BCI/HSBI)), Table 6 at </w:t>
      </w:r>
      <w:r>
        <w:t>para. </w:t>
      </w:r>
      <w:r w:rsidRPr="00A453EC">
        <w:t>29.</w:t>
      </w:r>
    </w:p>
  </w:footnote>
  <w:footnote w:id="479">
    <w:p w:rsidR="00FD2727" w:rsidRPr="00A453EC" w:rsidRDefault="00FD2727" w:rsidP="00206326">
      <w:pPr>
        <w:pStyle w:val="FootnoteText"/>
        <w:keepLines/>
      </w:pPr>
      <w:r w:rsidRPr="00A453EC">
        <w:rPr>
          <w:rStyle w:val="FootnoteReference"/>
        </w:rPr>
        <w:footnoteRef/>
      </w:r>
      <w:r w:rsidRPr="00A453EC">
        <w:t xml:space="preserve"> Panel Report, </w:t>
      </w:r>
      <w:r>
        <w:t>para. </w:t>
      </w:r>
      <w:r w:rsidRPr="00A453EC">
        <w:t>6.389.</w:t>
      </w:r>
    </w:p>
  </w:footnote>
  <w:footnote w:id="480">
    <w:p w:rsidR="00FD2727" w:rsidRPr="00A453EC" w:rsidRDefault="00FD2727" w:rsidP="00206326">
      <w:pPr>
        <w:pStyle w:val="FootnoteText"/>
        <w:keepLines/>
      </w:pPr>
      <w:r w:rsidRPr="00A453EC">
        <w:rPr>
          <w:rStyle w:val="FootnoteReference"/>
        </w:rPr>
        <w:footnoteRef/>
      </w:r>
      <w:r w:rsidRPr="00A453EC">
        <w:t xml:space="preserve"> </w:t>
      </w:r>
      <w:r>
        <w:t>European Union</w:t>
      </w:r>
      <w:r w:rsidRPr="00A453EC">
        <w:t xml:space="preserve">'s appellant's submission, </w:t>
      </w:r>
      <w:r>
        <w:t>para. </w:t>
      </w:r>
      <w:r w:rsidRPr="00A453EC">
        <w:t xml:space="preserve">306 (referring to Panel Report, </w:t>
      </w:r>
      <w:r>
        <w:t>para. </w:t>
      </w:r>
      <w:r w:rsidRPr="00A453EC">
        <w:t>6.381).</w:t>
      </w:r>
    </w:p>
  </w:footnote>
  <w:footnote w:id="481">
    <w:p w:rsidR="00FD2727" w:rsidRDefault="00FD2727" w:rsidP="00206326">
      <w:pPr>
        <w:pStyle w:val="FootnoteText"/>
        <w:keepLines/>
      </w:pPr>
      <w:r w:rsidRPr="00A453EC">
        <w:rPr>
          <w:rStyle w:val="FootnoteReference"/>
        </w:rPr>
        <w:footnoteRef/>
      </w:r>
      <w:r w:rsidRPr="00A453EC">
        <w:t xml:space="preserve"> </w:t>
      </w:r>
      <w:r>
        <w:t>Appellate Body</w:t>
      </w:r>
      <w:r w:rsidRPr="00A453EC">
        <w:t xml:space="preserve"> Report, </w:t>
      </w:r>
      <w:r w:rsidRPr="00A453EC">
        <w:rPr>
          <w:i/>
        </w:rPr>
        <w:t>EC and certain member States – Large Civil</w:t>
      </w:r>
      <w:r w:rsidRPr="006477CA">
        <w:rPr>
          <w:i/>
        </w:rPr>
        <w:t xml:space="preserve"> Aircraft</w:t>
      </w:r>
      <w:r w:rsidRPr="006477CA">
        <w:t xml:space="preserve">, </w:t>
      </w:r>
      <w:r>
        <w:t>para. </w:t>
      </w:r>
      <w:r w:rsidRPr="006477CA">
        <w:t>836.</w:t>
      </w:r>
    </w:p>
  </w:footnote>
  <w:footnote w:id="482">
    <w:p w:rsidR="00FD2727" w:rsidRDefault="00FD2727" w:rsidP="00206326">
      <w:pPr>
        <w:pStyle w:val="FootnoteText"/>
        <w:keepLines/>
      </w:pPr>
      <w:r>
        <w:rPr>
          <w:rStyle w:val="FootnoteReference"/>
        </w:rPr>
        <w:footnoteRef/>
      </w:r>
      <w:r>
        <w:t xml:space="preserve"> </w:t>
      </w:r>
      <w:r w:rsidRPr="004134C0">
        <w:t xml:space="preserve">Panel Report, </w:t>
      </w:r>
      <w:r>
        <w:t>para. </w:t>
      </w:r>
      <w:r w:rsidRPr="006477CA">
        <w:t>6.389.</w:t>
      </w:r>
    </w:p>
  </w:footnote>
  <w:footnote w:id="483">
    <w:p w:rsidR="00FD2727" w:rsidRPr="006477CA" w:rsidRDefault="00FD2727" w:rsidP="00206326">
      <w:pPr>
        <w:pStyle w:val="FootnoteText"/>
        <w:keepLines/>
      </w:pPr>
      <w:r w:rsidRPr="006477CA">
        <w:rPr>
          <w:rStyle w:val="FootnoteReference"/>
        </w:rPr>
        <w:footnoteRef/>
      </w:r>
      <w:r w:rsidRPr="006477CA">
        <w:t xml:space="preserve"> </w:t>
      </w:r>
      <w:r>
        <w:t>European Union</w:t>
      </w:r>
      <w:r w:rsidRPr="006477CA">
        <w:t xml:space="preserve">'s appellant's submission, </w:t>
      </w:r>
      <w:r>
        <w:t>para. 308</w:t>
      </w:r>
      <w:r w:rsidRPr="006477CA">
        <w:t>.</w:t>
      </w:r>
    </w:p>
  </w:footnote>
  <w:footnote w:id="484">
    <w:p w:rsidR="00FD2727" w:rsidRPr="006477CA" w:rsidRDefault="00FD2727" w:rsidP="00206326">
      <w:pPr>
        <w:pStyle w:val="FootnoteText"/>
        <w:keepLines/>
      </w:pPr>
      <w:r w:rsidRPr="006477CA">
        <w:rPr>
          <w:rStyle w:val="FootnoteReference"/>
        </w:rPr>
        <w:footnoteRef/>
      </w:r>
      <w:r w:rsidRPr="006477CA">
        <w:t xml:space="preserve"> </w:t>
      </w:r>
      <w:r>
        <w:t>European Union</w:t>
      </w:r>
      <w:r w:rsidRPr="006477CA">
        <w:t xml:space="preserve">'s appellant's submission, </w:t>
      </w:r>
      <w:r>
        <w:t>para. </w:t>
      </w:r>
      <w:r w:rsidRPr="006477CA">
        <w:t xml:space="preserve">310 (quoting Panel Report, </w:t>
      </w:r>
      <w:r>
        <w:t>para. </w:t>
      </w:r>
      <w:r w:rsidRPr="006477CA">
        <w:t xml:space="preserve">6.389 (emphasis added by the </w:t>
      </w:r>
      <w:r>
        <w:t>European Union</w:t>
      </w:r>
      <w:r w:rsidRPr="006477CA">
        <w:t>)).</w:t>
      </w:r>
    </w:p>
  </w:footnote>
  <w:footnote w:id="485">
    <w:p w:rsidR="00FD2727" w:rsidRPr="006477CA" w:rsidRDefault="00FD2727" w:rsidP="00206326">
      <w:pPr>
        <w:pStyle w:val="FootnoteText"/>
        <w:keepLines/>
      </w:pPr>
      <w:r w:rsidRPr="006477CA">
        <w:rPr>
          <w:rStyle w:val="FootnoteReference"/>
        </w:rPr>
        <w:footnoteRef/>
      </w:r>
      <w:r w:rsidRPr="006477CA">
        <w:t xml:space="preserve"> </w:t>
      </w:r>
      <w:r>
        <w:t>European Union</w:t>
      </w:r>
      <w:r w:rsidRPr="006477CA">
        <w:t xml:space="preserve">'s appellant's submission, </w:t>
      </w:r>
      <w:r>
        <w:t>para. </w:t>
      </w:r>
      <w:r w:rsidRPr="006477CA">
        <w:t>311</w:t>
      </w:r>
      <w:r>
        <w:t>.</w:t>
      </w:r>
      <w:r w:rsidRPr="006477CA">
        <w:t xml:space="preserve"> (emphasis original)</w:t>
      </w:r>
    </w:p>
  </w:footnote>
  <w:footnote w:id="486">
    <w:p w:rsidR="00FD2727" w:rsidRPr="00075669" w:rsidRDefault="00FD2727">
      <w:pPr>
        <w:pStyle w:val="FootnoteText"/>
      </w:pPr>
      <w:r>
        <w:rPr>
          <w:rStyle w:val="FootnoteReference"/>
        </w:rPr>
        <w:footnoteRef/>
      </w:r>
      <w:r>
        <w:t xml:space="preserve"> European Union's appellant's submission, para. 311.</w:t>
      </w:r>
    </w:p>
  </w:footnote>
  <w:footnote w:id="487">
    <w:p w:rsidR="00FD2727" w:rsidRPr="006477CA" w:rsidRDefault="00FD2727" w:rsidP="00206326">
      <w:pPr>
        <w:pStyle w:val="FootnoteText"/>
        <w:keepLines/>
      </w:pPr>
      <w:r w:rsidRPr="006477CA">
        <w:rPr>
          <w:rStyle w:val="FootnoteReference"/>
        </w:rPr>
        <w:footnoteRef/>
      </w:r>
      <w:r w:rsidRPr="006477CA">
        <w:t xml:space="preserve"> </w:t>
      </w:r>
      <w:r>
        <w:t>United States</w:t>
      </w:r>
      <w:r w:rsidRPr="006477CA">
        <w:t xml:space="preserve">' appellee's submission, </w:t>
      </w:r>
      <w:r>
        <w:t>para. </w:t>
      </w:r>
      <w:r w:rsidRPr="006477CA">
        <w:t>213</w:t>
      </w:r>
      <w:r>
        <w:t xml:space="preserve"> (quoting European Union's appellant's submission, para. 311)</w:t>
      </w:r>
      <w:r w:rsidRPr="006477CA">
        <w:t>.</w:t>
      </w:r>
    </w:p>
  </w:footnote>
  <w:footnote w:id="488">
    <w:p w:rsidR="00FD2727" w:rsidRDefault="00FD2727" w:rsidP="00206326">
      <w:pPr>
        <w:pStyle w:val="FootnoteText"/>
        <w:keepLines/>
      </w:pPr>
      <w:r>
        <w:rPr>
          <w:rStyle w:val="FootnoteReference"/>
        </w:rPr>
        <w:footnoteRef/>
      </w:r>
      <w:r>
        <w:t xml:space="preserve"> See </w:t>
      </w:r>
      <w:r w:rsidRPr="006477CA">
        <w:t xml:space="preserve">Panel Report, </w:t>
      </w:r>
      <w:r>
        <w:t>para. </w:t>
      </w:r>
      <w:r w:rsidRPr="006477CA">
        <w:t>6.389.</w:t>
      </w:r>
    </w:p>
  </w:footnote>
  <w:footnote w:id="489">
    <w:p w:rsidR="00FD2727" w:rsidRDefault="00FD2727" w:rsidP="00206326">
      <w:pPr>
        <w:pStyle w:val="FootnoteText"/>
        <w:keepLines/>
      </w:pPr>
      <w:r>
        <w:rPr>
          <w:rStyle w:val="FootnoteReference"/>
        </w:rPr>
        <w:footnoteRef/>
      </w:r>
      <w:r>
        <w:t xml:space="preserve"> </w:t>
      </w:r>
      <w:r w:rsidRPr="006477CA">
        <w:t xml:space="preserve">Panel Report, </w:t>
      </w:r>
      <w:r>
        <w:t>para. </w:t>
      </w:r>
      <w:r w:rsidRPr="006477CA">
        <w:t>6.389.</w:t>
      </w:r>
    </w:p>
  </w:footnote>
  <w:footnote w:id="490">
    <w:p w:rsidR="00FD2727" w:rsidRDefault="00FD2727" w:rsidP="00206326">
      <w:pPr>
        <w:pStyle w:val="FootnoteText"/>
        <w:keepLines/>
      </w:pPr>
      <w:r>
        <w:rPr>
          <w:rStyle w:val="FootnoteReference"/>
        </w:rPr>
        <w:footnoteRef/>
      </w:r>
      <w:r>
        <w:t xml:space="preserve"> </w:t>
      </w:r>
      <w:r w:rsidRPr="006477CA">
        <w:t xml:space="preserve">Panel Report, </w:t>
      </w:r>
      <w:r>
        <w:t>para. </w:t>
      </w:r>
      <w:r w:rsidRPr="006477CA">
        <w:t>6.389.</w:t>
      </w:r>
    </w:p>
  </w:footnote>
  <w:footnote w:id="491">
    <w:p w:rsidR="00FD2727" w:rsidRDefault="00FD2727" w:rsidP="00206326">
      <w:pPr>
        <w:pStyle w:val="FootnoteText"/>
        <w:keepLines/>
      </w:pPr>
      <w:r>
        <w:rPr>
          <w:rStyle w:val="FootnoteReference"/>
        </w:rPr>
        <w:footnoteRef/>
      </w:r>
      <w:r>
        <w:t xml:space="preserve"> </w:t>
      </w:r>
      <w:r w:rsidRPr="006477CA">
        <w:t xml:space="preserve">Panel Report, </w:t>
      </w:r>
      <w:r>
        <w:t>para. </w:t>
      </w:r>
      <w:r w:rsidRPr="006477CA">
        <w:t>6.389.</w:t>
      </w:r>
    </w:p>
  </w:footnote>
  <w:footnote w:id="492">
    <w:p w:rsidR="00FD2727" w:rsidRPr="006477CA" w:rsidRDefault="00FD2727" w:rsidP="00206326">
      <w:pPr>
        <w:pStyle w:val="FootnoteText"/>
        <w:keepLines/>
      </w:pPr>
      <w:r w:rsidRPr="006477CA">
        <w:rPr>
          <w:rStyle w:val="FootnoteReference"/>
        </w:rPr>
        <w:footnoteRef/>
      </w:r>
      <w:r w:rsidRPr="006477CA">
        <w:t xml:space="preserve"> Panel Report, </w:t>
      </w:r>
      <w:r>
        <w:t>para. </w:t>
      </w:r>
      <w:r w:rsidRPr="006477CA">
        <w:t>6.389.</w:t>
      </w:r>
    </w:p>
  </w:footnote>
  <w:footnote w:id="493">
    <w:p w:rsidR="00FD2727" w:rsidRPr="006477CA" w:rsidRDefault="00FD2727" w:rsidP="00206326">
      <w:pPr>
        <w:pStyle w:val="FootnoteText"/>
        <w:keepLines/>
      </w:pPr>
      <w:r w:rsidRPr="006477CA">
        <w:rPr>
          <w:rStyle w:val="FootnoteReference"/>
        </w:rPr>
        <w:footnoteRef/>
      </w:r>
      <w:r w:rsidRPr="006477CA">
        <w:t xml:space="preserve"> Panel Report, </w:t>
      </w:r>
      <w:r>
        <w:t>para. </w:t>
      </w:r>
      <w:r w:rsidRPr="006477CA">
        <w:t>6.389.</w:t>
      </w:r>
    </w:p>
  </w:footnote>
  <w:footnote w:id="494">
    <w:p w:rsidR="00FD2727" w:rsidRPr="006477CA" w:rsidRDefault="00FD2727" w:rsidP="00206326">
      <w:pPr>
        <w:pStyle w:val="FootnoteText"/>
        <w:keepLines/>
      </w:pPr>
      <w:r w:rsidRPr="006477CA">
        <w:rPr>
          <w:rStyle w:val="FootnoteReference"/>
        </w:rPr>
        <w:footnoteRef/>
      </w:r>
      <w:r w:rsidRPr="006477CA">
        <w:t xml:space="preserve"> Panel Report, </w:t>
      </w:r>
      <w:r>
        <w:t>para. </w:t>
      </w:r>
      <w:r w:rsidRPr="006477CA">
        <w:t>6.389.</w:t>
      </w:r>
    </w:p>
  </w:footnote>
  <w:footnote w:id="495">
    <w:p w:rsidR="00FD2727" w:rsidRDefault="00FD2727" w:rsidP="00206326">
      <w:pPr>
        <w:pStyle w:val="FootnoteText"/>
        <w:keepLines/>
      </w:pPr>
      <w:r>
        <w:rPr>
          <w:rStyle w:val="FootnoteReference"/>
        </w:rPr>
        <w:footnoteRef/>
      </w:r>
      <w:r>
        <w:t xml:space="preserve"> </w:t>
      </w:r>
      <w:r w:rsidRPr="004134C0">
        <w:t xml:space="preserve">Panel Report, </w:t>
      </w:r>
      <w:r>
        <w:t>para. </w:t>
      </w:r>
      <w:r w:rsidRPr="006477CA">
        <w:t>6.389.</w:t>
      </w:r>
    </w:p>
  </w:footnote>
  <w:footnote w:id="496">
    <w:p w:rsidR="00FD2727" w:rsidRDefault="00FD2727" w:rsidP="00206326">
      <w:pPr>
        <w:pStyle w:val="FootnoteText"/>
        <w:keepLines/>
      </w:pPr>
      <w:r>
        <w:rPr>
          <w:rStyle w:val="FootnoteReference"/>
        </w:rPr>
        <w:footnoteRef/>
      </w:r>
      <w:r>
        <w:t xml:space="preserve"> </w:t>
      </w:r>
      <w:r w:rsidRPr="004134C0">
        <w:t xml:space="preserve">Panel Report, </w:t>
      </w:r>
      <w:r>
        <w:t>para. </w:t>
      </w:r>
      <w:r w:rsidRPr="006477CA">
        <w:t>6.389.</w:t>
      </w:r>
    </w:p>
  </w:footnote>
  <w:footnote w:id="497">
    <w:p w:rsidR="00FD2727" w:rsidRDefault="00FD2727" w:rsidP="00206326">
      <w:pPr>
        <w:pStyle w:val="FootnoteText"/>
        <w:keepLines/>
      </w:pPr>
      <w:r>
        <w:rPr>
          <w:rStyle w:val="FootnoteReference"/>
        </w:rPr>
        <w:footnoteRef/>
      </w:r>
      <w:r>
        <w:t xml:space="preserve"> European Union</w:t>
      </w:r>
      <w:r w:rsidRPr="006477CA">
        <w:t xml:space="preserve">'s appellant's submission, </w:t>
      </w:r>
      <w:r>
        <w:t>para. </w:t>
      </w:r>
      <w:r w:rsidRPr="006477CA">
        <w:t>31</w:t>
      </w:r>
      <w:r>
        <w:t>0</w:t>
      </w:r>
      <w:r w:rsidRPr="006477CA">
        <w:t>.</w:t>
      </w:r>
      <w:r>
        <w:t xml:space="preserve"> </w:t>
      </w:r>
    </w:p>
  </w:footnote>
  <w:footnote w:id="498">
    <w:p w:rsidR="00FD2727" w:rsidRPr="00075669" w:rsidRDefault="00FD2727">
      <w:pPr>
        <w:pStyle w:val="FootnoteText"/>
      </w:pPr>
      <w:r>
        <w:rPr>
          <w:rStyle w:val="FootnoteReference"/>
        </w:rPr>
        <w:footnoteRef/>
      </w:r>
      <w:r>
        <w:t xml:space="preserve"> European Union's appellant's submission, para. 312.</w:t>
      </w:r>
    </w:p>
  </w:footnote>
  <w:footnote w:id="499">
    <w:p w:rsidR="00FD2727" w:rsidRPr="006477CA" w:rsidRDefault="00FD2727" w:rsidP="00206326">
      <w:pPr>
        <w:pStyle w:val="FootnoteText"/>
        <w:keepLines/>
      </w:pPr>
      <w:r w:rsidRPr="006477CA">
        <w:rPr>
          <w:rStyle w:val="FootnoteReference"/>
        </w:rPr>
        <w:footnoteRef/>
      </w:r>
      <w:r w:rsidRPr="006477CA">
        <w:t xml:space="preserve"> </w:t>
      </w:r>
      <w:r>
        <w:t>European Union</w:t>
      </w:r>
      <w:r w:rsidRPr="006477CA">
        <w:t xml:space="preserve">'s appellant's submission, </w:t>
      </w:r>
      <w:r>
        <w:t>para. </w:t>
      </w:r>
      <w:r w:rsidRPr="006477CA">
        <w:t>313.</w:t>
      </w:r>
    </w:p>
  </w:footnote>
  <w:footnote w:id="500">
    <w:p w:rsidR="00FD2727" w:rsidRPr="008A789C" w:rsidRDefault="00FD2727">
      <w:pPr>
        <w:pStyle w:val="FootnoteText"/>
      </w:pPr>
      <w:r>
        <w:rPr>
          <w:rStyle w:val="FootnoteReference"/>
        </w:rPr>
        <w:footnoteRef/>
      </w:r>
      <w:r>
        <w:t xml:space="preserve"> United States' appellee's submission, para. 214.</w:t>
      </w:r>
    </w:p>
  </w:footnote>
  <w:footnote w:id="501">
    <w:p w:rsidR="00FD2727" w:rsidRPr="006477CA" w:rsidRDefault="00FD2727" w:rsidP="00206326">
      <w:pPr>
        <w:pStyle w:val="FootnoteText"/>
        <w:keepLines/>
      </w:pPr>
      <w:r w:rsidRPr="006477CA">
        <w:rPr>
          <w:rStyle w:val="FootnoteReference"/>
        </w:rPr>
        <w:footnoteRef/>
      </w:r>
      <w:r w:rsidRPr="006477CA">
        <w:t xml:space="preserve"> </w:t>
      </w:r>
      <w:r>
        <w:t>United States</w:t>
      </w:r>
      <w:r w:rsidRPr="006477CA">
        <w:t xml:space="preserve">' appellee's submission, </w:t>
      </w:r>
      <w:r>
        <w:t>para. </w:t>
      </w:r>
      <w:r w:rsidRPr="006477CA">
        <w:t>215.</w:t>
      </w:r>
    </w:p>
  </w:footnote>
  <w:footnote w:id="502">
    <w:p w:rsidR="00FD2727" w:rsidRPr="006477CA" w:rsidRDefault="00FD2727" w:rsidP="00206326">
      <w:pPr>
        <w:pStyle w:val="FootnoteText"/>
        <w:keepLines/>
      </w:pPr>
      <w:r w:rsidRPr="006477CA">
        <w:rPr>
          <w:rStyle w:val="FootnoteReference"/>
        </w:rPr>
        <w:footnoteRef/>
      </w:r>
      <w:r w:rsidRPr="006477CA">
        <w:t xml:space="preserve"> </w:t>
      </w:r>
      <w:r>
        <w:t>United States</w:t>
      </w:r>
      <w:r w:rsidRPr="006477CA">
        <w:t xml:space="preserve">' appellee's submission, </w:t>
      </w:r>
      <w:r>
        <w:t>para. </w:t>
      </w:r>
      <w:r w:rsidRPr="006477CA">
        <w:t>215.</w:t>
      </w:r>
    </w:p>
  </w:footnote>
  <w:footnote w:id="503">
    <w:p w:rsidR="00FD2727" w:rsidRPr="006477CA" w:rsidRDefault="00FD2727" w:rsidP="00206326">
      <w:pPr>
        <w:pStyle w:val="FootnoteText"/>
        <w:keepLines/>
      </w:pPr>
      <w:r w:rsidRPr="006477CA">
        <w:rPr>
          <w:rStyle w:val="FootnoteReference"/>
        </w:rPr>
        <w:footnoteRef/>
      </w:r>
      <w:r w:rsidRPr="006477CA">
        <w:t xml:space="preserve"> </w:t>
      </w:r>
      <w:r>
        <w:t>European Union</w:t>
      </w:r>
      <w:r w:rsidRPr="006477CA">
        <w:t xml:space="preserve">'s appellant's submission, </w:t>
      </w:r>
      <w:r>
        <w:t>para. </w:t>
      </w:r>
      <w:r w:rsidRPr="006477CA">
        <w:t>312</w:t>
      </w:r>
      <w:r>
        <w:t xml:space="preserve"> (referring to Panel Report, para. 6.385)</w:t>
      </w:r>
      <w:r w:rsidRPr="006477CA">
        <w:t>. (emphasis original</w:t>
      </w:r>
      <w:r>
        <w:t>; additional text in fn 278 thereto omitted</w:t>
      </w:r>
      <w:r w:rsidRPr="006477CA">
        <w:t>)</w:t>
      </w:r>
    </w:p>
  </w:footnote>
  <w:footnote w:id="504">
    <w:p w:rsidR="00FD2727" w:rsidRPr="00A453EC" w:rsidRDefault="00FD2727" w:rsidP="00206326">
      <w:pPr>
        <w:pStyle w:val="FootnoteText"/>
        <w:keepLines/>
      </w:pPr>
      <w:r w:rsidRPr="00A453EC">
        <w:rPr>
          <w:rStyle w:val="FootnoteReference"/>
        </w:rPr>
        <w:footnoteRef/>
      </w:r>
      <w:r w:rsidRPr="00A453EC">
        <w:t xml:space="preserve"> Panel Report, </w:t>
      </w:r>
      <w:r>
        <w:t>para. </w:t>
      </w:r>
      <w:r w:rsidRPr="00A453EC">
        <w:t xml:space="preserve">6.386 (referring to Jordan Reply (Panel Exhibit USA-505 (BCI/HSBI)), </w:t>
      </w:r>
      <w:r>
        <w:t>para. </w:t>
      </w:r>
      <w:r w:rsidRPr="00A453EC">
        <w:t>27). (emphasis added</w:t>
      </w:r>
      <w:r>
        <w:t>; additional text in fn 588 thereto omitted</w:t>
      </w:r>
      <w:r w:rsidRPr="00A453EC">
        <w:t>)</w:t>
      </w:r>
    </w:p>
  </w:footnote>
  <w:footnote w:id="505">
    <w:p w:rsidR="00FD2727" w:rsidRDefault="00FD2727" w:rsidP="00206326">
      <w:pPr>
        <w:pStyle w:val="FootnoteText"/>
        <w:keepLines/>
      </w:pPr>
      <w:r w:rsidRPr="00A453EC">
        <w:rPr>
          <w:rStyle w:val="FootnoteReference"/>
        </w:rPr>
        <w:footnoteRef/>
      </w:r>
      <w:r w:rsidRPr="00A453EC">
        <w:t xml:space="preserve"> Panel Report, </w:t>
      </w:r>
      <w:r>
        <w:t>para. </w:t>
      </w:r>
      <w:r w:rsidRPr="00A453EC">
        <w:t>6.387.</w:t>
      </w:r>
    </w:p>
  </w:footnote>
  <w:footnote w:id="506">
    <w:p w:rsidR="00FD2727" w:rsidRPr="006477CA" w:rsidRDefault="00FD2727" w:rsidP="00206326">
      <w:pPr>
        <w:pStyle w:val="FootnoteText"/>
        <w:keepLines/>
      </w:pPr>
      <w:r w:rsidRPr="006477CA">
        <w:rPr>
          <w:rStyle w:val="FootnoteReference"/>
        </w:rPr>
        <w:footnoteRef/>
      </w:r>
      <w:r w:rsidRPr="006477CA">
        <w:t xml:space="preserve"> </w:t>
      </w:r>
      <w:r>
        <w:t>European Union</w:t>
      </w:r>
      <w:r w:rsidRPr="006477CA">
        <w:t xml:space="preserve">'s appellant's submission, </w:t>
      </w:r>
      <w:r>
        <w:t>paras. </w:t>
      </w:r>
      <w:r w:rsidRPr="006477CA">
        <w:t>314-316.</w:t>
      </w:r>
    </w:p>
  </w:footnote>
  <w:footnote w:id="507">
    <w:p w:rsidR="00FD2727" w:rsidRPr="006477CA" w:rsidRDefault="00FD2727" w:rsidP="00206326">
      <w:pPr>
        <w:pStyle w:val="FootnoteText"/>
        <w:keepLines/>
      </w:pPr>
      <w:r w:rsidRPr="006477CA">
        <w:rPr>
          <w:rStyle w:val="FootnoteReference"/>
        </w:rPr>
        <w:footnoteRef/>
      </w:r>
      <w:r w:rsidRPr="006477CA">
        <w:t xml:space="preserve"> Panel Report, </w:t>
      </w:r>
      <w:r>
        <w:t>para. </w:t>
      </w:r>
      <w:r w:rsidRPr="006477CA">
        <w:t>6.389.</w:t>
      </w:r>
      <w:r>
        <w:t xml:space="preserve"> (e</w:t>
      </w:r>
      <w:r w:rsidRPr="006477CA">
        <w:t>mphasis added</w:t>
      </w:r>
      <w:r>
        <w:t>)</w:t>
      </w:r>
    </w:p>
  </w:footnote>
  <w:footnote w:id="508">
    <w:p w:rsidR="00FD2727" w:rsidRPr="006477CA" w:rsidRDefault="00FD2727" w:rsidP="00206326">
      <w:pPr>
        <w:pStyle w:val="FootnoteText"/>
        <w:keepLines/>
      </w:pPr>
      <w:r w:rsidRPr="006477CA">
        <w:rPr>
          <w:rStyle w:val="FootnoteReference"/>
        </w:rPr>
        <w:footnoteRef/>
      </w:r>
      <w:r w:rsidRPr="006477CA">
        <w:t xml:space="preserve"> </w:t>
      </w:r>
      <w:r>
        <w:t>European Union</w:t>
      </w:r>
      <w:r w:rsidRPr="006477CA">
        <w:t xml:space="preserve">'s appellant's submission, </w:t>
      </w:r>
      <w:r>
        <w:t>para. </w:t>
      </w:r>
      <w:r w:rsidRPr="006477CA">
        <w:t>315.</w:t>
      </w:r>
    </w:p>
  </w:footnote>
  <w:footnote w:id="509">
    <w:p w:rsidR="00FD2727" w:rsidRPr="000143A9" w:rsidRDefault="00FD2727" w:rsidP="00206326">
      <w:pPr>
        <w:pStyle w:val="FootnoteText"/>
        <w:keepLines/>
      </w:pPr>
      <w:r>
        <w:rPr>
          <w:rStyle w:val="FootnoteReference"/>
        </w:rPr>
        <w:footnoteRef/>
      </w:r>
      <w:r>
        <w:t xml:space="preserve"> As stated by the Appellate Body in </w:t>
      </w:r>
      <w:r w:rsidRPr="000143A9">
        <w:rPr>
          <w:i/>
        </w:rPr>
        <w:t>EC – Fasteners (China)</w:t>
      </w:r>
      <w:r>
        <w:t>, "{i}</w:t>
      </w:r>
      <w:r w:rsidRPr="000143A9">
        <w:t xml:space="preserve">t is incumbent on a participant raising a claim under </w:t>
      </w:r>
      <w:r>
        <w:t>Article </w:t>
      </w:r>
      <w:r w:rsidRPr="000143A9">
        <w:t>11 on appeal to explain why the alleged error meets the standard of review under that provision</w:t>
      </w:r>
      <w:r>
        <w:t xml:space="preserve">." (Appellate Body Report, </w:t>
      </w:r>
      <w:r w:rsidRPr="000143A9">
        <w:rPr>
          <w:i/>
        </w:rPr>
        <w:t>EC – Fasteners (China)</w:t>
      </w:r>
      <w:r>
        <w:t>, para. 442 (emphasis omitted))</w:t>
      </w:r>
    </w:p>
  </w:footnote>
  <w:footnote w:id="510">
    <w:p w:rsidR="00FD2727" w:rsidRPr="006477CA" w:rsidRDefault="00FD2727" w:rsidP="008A789C">
      <w:pPr>
        <w:pStyle w:val="FootnoteText"/>
        <w:keepLines/>
      </w:pPr>
      <w:r w:rsidRPr="006477CA">
        <w:rPr>
          <w:rStyle w:val="FootnoteReference"/>
        </w:rPr>
        <w:footnoteRef/>
      </w:r>
      <w:r w:rsidRPr="004134C0">
        <w:t xml:space="preserve"> Panel Report, para. </w:t>
      </w:r>
      <w:r w:rsidRPr="006477CA">
        <w:t>6.389.</w:t>
      </w:r>
    </w:p>
  </w:footnote>
  <w:footnote w:id="511">
    <w:p w:rsidR="00FD2727" w:rsidRDefault="00FD2727" w:rsidP="008A789C">
      <w:pPr>
        <w:pStyle w:val="FootnoteText"/>
        <w:keepLines/>
      </w:pPr>
      <w:r>
        <w:rPr>
          <w:rStyle w:val="FootnoteReference"/>
        </w:rPr>
        <w:footnoteRef/>
      </w:r>
      <w:r>
        <w:t xml:space="preserve"> </w:t>
      </w:r>
      <w:r w:rsidRPr="004134C0">
        <w:t>Panel Report, para. </w:t>
      </w:r>
      <w:r w:rsidRPr="006477CA">
        <w:t>6.389.</w:t>
      </w:r>
    </w:p>
  </w:footnote>
  <w:footnote w:id="512">
    <w:p w:rsidR="00FD2727" w:rsidRPr="00EE4F39" w:rsidRDefault="00FD2727">
      <w:pPr>
        <w:pStyle w:val="FootnoteText"/>
        <w:rPr>
          <w:lang w:val="en-US"/>
        </w:rPr>
      </w:pPr>
      <w:r>
        <w:rPr>
          <w:rStyle w:val="FootnoteReference"/>
        </w:rPr>
        <w:footnoteRef/>
      </w:r>
      <w:r>
        <w:t xml:space="preserve"> </w:t>
      </w:r>
      <w:r w:rsidRPr="006477CA">
        <w:t>Panel Report, para. 6.389.</w:t>
      </w:r>
    </w:p>
  </w:footnote>
  <w:footnote w:id="513">
    <w:p w:rsidR="00FD2727" w:rsidRDefault="00FD2727" w:rsidP="008A789C">
      <w:pPr>
        <w:pStyle w:val="FootnoteText"/>
        <w:keepLines/>
      </w:pPr>
      <w:r>
        <w:rPr>
          <w:rStyle w:val="FootnoteReference"/>
        </w:rPr>
        <w:footnoteRef/>
      </w:r>
      <w:r>
        <w:t xml:space="preserve"> </w:t>
      </w:r>
      <w:r w:rsidRPr="004134C0">
        <w:t>Panel Report, para. </w:t>
      </w:r>
      <w:r w:rsidRPr="006477CA">
        <w:t>6.389.</w:t>
      </w:r>
    </w:p>
  </w:footnote>
  <w:footnote w:id="514">
    <w:p w:rsidR="00FD2727" w:rsidRPr="00A453EC" w:rsidRDefault="00FD2727" w:rsidP="00206326">
      <w:pPr>
        <w:pStyle w:val="FootnoteText"/>
        <w:keepLines/>
      </w:pPr>
      <w:r w:rsidRPr="007855FF">
        <w:rPr>
          <w:rStyle w:val="FootnoteReference"/>
        </w:rPr>
        <w:footnoteRef/>
      </w:r>
      <w:r w:rsidRPr="007855FF">
        <w:t xml:space="preserve"> We recall that, while the Panel determined the corporate borrowing rate in the form of a range</w:t>
      </w:r>
      <w:r>
        <w:t xml:space="preserve"> of average yields</w:t>
      </w:r>
      <w:r w:rsidRPr="007855FF">
        <w:t>, it</w:t>
      </w:r>
      <w:r w:rsidRPr="004328ED">
        <w:t xml:space="preserve"> </w:t>
      </w:r>
      <w:r>
        <w:t>rightly</w:t>
      </w:r>
      <w:r w:rsidRPr="004328ED">
        <w:t xml:space="preserve"> g</w:t>
      </w:r>
      <w:r>
        <w:t>a</w:t>
      </w:r>
      <w:r w:rsidRPr="004328ED">
        <w:t>ve</w:t>
      </w:r>
      <w:r>
        <w:t xml:space="preserve"> more prominence to </w:t>
      </w:r>
      <w:r w:rsidRPr="00A453EC">
        <w:t>the one</w:t>
      </w:r>
      <w:r w:rsidRPr="00A453EC">
        <w:noBreakHyphen/>
        <w:t>month average yield of the EADS bond in its determination of the</w:t>
      </w:r>
      <w:r>
        <w:t xml:space="preserve"> corporate borrowing rate</w:t>
      </w:r>
      <w:r w:rsidRPr="00145239">
        <w:t>. (See para. 5.140 above</w:t>
      </w:r>
      <w:r>
        <w:t>)</w:t>
      </w:r>
      <w:r w:rsidRPr="00A453EC">
        <w:t xml:space="preserve"> </w:t>
      </w:r>
    </w:p>
  </w:footnote>
  <w:footnote w:id="515">
    <w:p w:rsidR="00FD2727" w:rsidRPr="00145239" w:rsidRDefault="00FD2727" w:rsidP="00206326">
      <w:pPr>
        <w:pStyle w:val="FootnoteText"/>
        <w:keepLines/>
      </w:pPr>
      <w:r w:rsidRPr="00A453EC">
        <w:rPr>
          <w:rStyle w:val="FootnoteReference"/>
        </w:rPr>
        <w:footnoteRef/>
      </w:r>
      <w:r w:rsidRPr="00A453EC">
        <w:t xml:space="preserve"> The </w:t>
      </w:r>
      <w:r>
        <w:t>European Union</w:t>
      </w:r>
      <w:r w:rsidRPr="00A453EC">
        <w:t xml:space="preserve"> identifies a clerical error made by the Panel </w:t>
      </w:r>
      <w:r>
        <w:t>in Tables 7 and 10 of the Panel </w:t>
      </w:r>
      <w:r w:rsidRPr="00A453EC">
        <w:t xml:space="preserve">Report in relation to the one-month average yield prior to the Spanish A350XWB </w:t>
      </w:r>
      <w:r w:rsidRPr="00A453EC">
        <w:rPr>
          <w:i/>
        </w:rPr>
        <w:t>Convenio</w:t>
      </w:r>
      <w:r w:rsidRPr="00A453EC">
        <w:t xml:space="preserve">. In particular, the </w:t>
      </w:r>
      <w:r>
        <w:t>European Union</w:t>
      </w:r>
      <w:r w:rsidRPr="00A453EC">
        <w:t xml:space="preserve"> points out that "</w:t>
      </w:r>
      <w:r w:rsidRPr="00A453EC">
        <w:rPr>
          <w:szCs w:val="20"/>
        </w:rPr>
        <w:t xml:space="preserve">Table 6 of the Panel Report shows, for Spain, the one-month average yield prior to the date of the contract was </w:t>
      </w:r>
      <w:r w:rsidRPr="00A453EC">
        <w:rPr>
          <w:b/>
          <w:szCs w:val="20"/>
        </w:rPr>
        <w:t>[</w:t>
      </w:r>
      <w:r w:rsidRPr="00C8434D">
        <w:rPr>
          <w:b/>
          <w:szCs w:val="16"/>
        </w:rPr>
        <w:t>BCI</w:t>
      </w:r>
      <w:r w:rsidRPr="00A453EC">
        <w:rPr>
          <w:b/>
          <w:szCs w:val="20"/>
        </w:rPr>
        <w:t>]</w:t>
      </w:r>
      <w:r w:rsidRPr="00A453EC">
        <w:rPr>
          <w:szCs w:val="20"/>
        </w:rPr>
        <w:t xml:space="preserve">, and </w:t>
      </w:r>
      <w:r w:rsidRPr="00A453EC">
        <w:rPr>
          <w:szCs w:val="20"/>
          <w:u w:val="single"/>
        </w:rPr>
        <w:t>not</w:t>
      </w:r>
      <w:r w:rsidRPr="00A453EC">
        <w:rPr>
          <w:szCs w:val="20"/>
        </w:rPr>
        <w:t xml:space="preserve"> </w:t>
      </w:r>
      <w:r w:rsidRPr="00A453EC">
        <w:rPr>
          <w:b/>
          <w:szCs w:val="20"/>
        </w:rPr>
        <w:t>[</w:t>
      </w:r>
      <w:r w:rsidRPr="00C8434D">
        <w:rPr>
          <w:b/>
          <w:szCs w:val="16"/>
        </w:rPr>
        <w:t>BCI</w:t>
      </w:r>
      <w:r w:rsidRPr="00A453EC">
        <w:rPr>
          <w:b/>
          <w:szCs w:val="20"/>
        </w:rPr>
        <w:t>]</w:t>
      </w:r>
      <w:r w:rsidRPr="00A453EC">
        <w:rPr>
          <w:szCs w:val="20"/>
        </w:rPr>
        <w:t xml:space="preserve"> as inscribed in Table 10 (and Table 7)". (</w:t>
      </w:r>
      <w:r>
        <w:t>European Union</w:t>
      </w:r>
      <w:r w:rsidRPr="00A453EC">
        <w:t xml:space="preserve">'s appellant's submission, fn 286 to Table 2 at </w:t>
      </w:r>
      <w:r>
        <w:t>para. </w:t>
      </w:r>
      <w:r w:rsidRPr="00A453EC">
        <w:t xml:space="preserve">322 (referring to Panel Report, Table 7 at </w:t>
      </w:r>
      <w:r>
        <w:t>para. </w:t>
      </w:r>
      <w:r w:rsidRPr="00A453EC">
        <w:t xml:space="preserve">6.430 and Table 10 at </w:t>
      </w:r>
      <w:r>
        <w:t>para. </w:t>
      </w:r>
      <w:r w:rsidRPr="00A453EC">
        <w:t xml:space="preserve">6.632) (emphasis original)) The </w:t>
      </w:r>
      <w:r>
        <w:t>European Union</w:t>
      </w:r>
      <w:r w:rsidRPr="00A453EC">
        <w:t xml:space="preserve"> is correct in pointing out that the correct figure in relation to the one-month average yield prior to the Spanish A350XWB </w:t>
      </w:r>
      <w:r w:rsidRPr="00A453EC">
        <w:rPr>
          <w:i/>
        </w:rPr>
        <w:t>Convenio</w:t>
      </w:r>
      <w:r w:rsidRPr="00A453EC">
        <w:t xml:space="preserve"> is </w:t>
      </w:r>
      <w:r w:rsidRPr="00A453EC">
        <w:rPr>
          <w:b/>
        </w:rPr>
        <w:t>[</w:t>
      </w:r>
      <w:r w:rsidRPr="00C8434D">
        <w:rPr>
          <w:b/>
          <w:szCs w:val="16"/>
        </w:rPr>
        <w:t>BCI</w:t>
      </w:r>
      <w:r w:rsidRPr="00A453EC">
        <w:rPr>
          <w:b/>
        </w:rPr>
        <w:t>]</w:t>
      </w:r>
      <w:r w:rsidRPr="00A453EC">
        <w:t>, found in T</w:t>
      </w:r>
      <w:r w:rsidRPr="00A453EC">
        <w:rPr>
          <w:szCs w:val="20"/>
        </w:rPr>
        <w:t xml:space="preserve">able 6 of the Panel Report, rather than </w:t>
      </w:r>
      <w:r w:rsidRPr="00A453EC">
        <w:rPr>
          <w:b/>
        </w:rPr>
        <w:t>[</w:t>
      </w:r>
      <w:r w:rsidRPr="00C8434D">
        <w:rPr>
          <w:b/>
          <w:szCs w:val="16"/>
        </w:rPr>
        <w:t>BCI</w:t>
      </w:r>
      <w:r w:rsidRPr="00A453EC">
        <w:rPr>
          <w:b/>
        </w:rPr>
        <w:t>]</w:t>
      </w:r>
      <w:r w:rsidRPr="00A453EC">
        <w:t xml:space="preserve">, which is the clerical error found in Tables 7 and 10 of the Panel Report. In response to questioning at the oral hearing, the </w:t>
      </w:r>
      <w:r>
        <w:t>United States</w:t>
      </w:r>
      <w:r w:rsidRPr="00A453EC">
        <w:t xml:space="preserve"> agreed that the figure </w:t>
      </w:r>
      <w:r w:rsidRPr="00A453EC">
        <w:rPr>
          <w:b/>
        </w:rPr>
        <w:t>[</w:t>
      </w:r>
      <w:r w:rsidRPr="00C8434D">
        <w:rPr>
          <w:b/>
          <w:szCs w:val="16"/>
        </w:rPr>
        <w:t>BCI</w:t>
      </w:r>
      <w:r w:rsidRPr="00A453EC">
        <w:rPr>
          <w:b/>
        </w:rPr>
        <w:t>]</w:t>
      </w:r>
      <w:r w:rsidRPr="00A453EC">
        <w:t xml:space="preserve"> is a clerical error. Consequently, for purposes of the present Report, we proceed on the </w:t>
      </w:r>
      <w:r w:rsidRPr="00145239">
        <w:t xml:space="preserve">basis of the correct figure mentioned by the Panel in Table 6: </w:t>
      </w:r>
      <w:r w:rsidRPr="00145239">
        <w:rPr>
          <w:b/>
        </w:rPr>
        <w:t>[</w:t>
      </w:r>
      <w:r w:rsidRPr="00C8434D">
        <w:rPr>
          <w:b/>
          <w:szCs w:val="16"/>
        </w:rPr>
        <w:t>BCI</w:t>
      </w:r>
      <w:r w:rsidRPr="00145239">
        <w:rPr>
          <w:b/>
        </w:rPr>
        <w:t>]</w:t>
      </w:r>
      <w:r w:rsidRPr="00145239">
        <w:t xml:space="preserve">. </w:t>
      </w:r>
    </w:p>
  </w:footnote>
  <w:footnote w:id="516">
    <w:p w:rsidR="00FD2727" w:rsidRPr="00145239" w:rsidRDefault="00FD2727" w:rsidP="00206326">
      <w:pPr>
        <w:pStyle w:val="FootnoteText"/>
        <w:keepLines/>
      </w:pPr>
      <w:r w:rsidRPr="00145239">
        <w:rPr>
          <w:rStyle w:val="FootnoteReference"/>
        </w:rPr>
        <w:footnoteRef/>
      </w:r>
      <w:r w:rsidRPr="00145239">
        <w:t xml:space="preserve"> See </w:t>
      </w:r>
      <w:r w:rsidRPr="00145239">
        <w:rPr>
          <w:i/>
        </w:rPr>
        <w:t>supra</w:t>
      </w:r>
      <w:r w:rsidRPr="00145239">
        <w:t>, fn 330.</w:t>
      </w:r>
    </w:p>
  </w:footnote>
  <w:footnote w:id="517">
    <w:p w:rsidR="00FD2727" w:rsidRPr="00A453EC" w:rsidRDefault="00FD2727" w:rsidP="00206326">
      <w:pPr>
        <w:pStyle w:val="FootnoteText"/>
        <w:keepLines/>
      </w:pPr>
      <w:r w:rsidRPr="00145239">
        <w:rPr>
          <w:rStyle w:val="FootnoteReference"/>
        </w:rPr>
        <w:footnoteRef/>
      </w:r>
      <w:r w:rsidRPr="00145239">
        <w:t xml:space="preserve"> European</w:t>
      </w:r>
      <w:r>
        <w:t> Union</w:t>
      </w:r>
      <w:r w:rsidRPr="00A453EC">
        <w:t xml:space="preserve">'s appellant's submission, </w:t>
      </w:r>
      <w:r>
        <w:t>para. </w:t>
      </w:r>
      <w:r w:rsidRPr="00A453EC">
        <w:t>333. (emphasis original)</w:t>
      </w:r>
    </w:p>
  </w:footnote>
  <w:footnote w:id="518">
    <w:p w:rsidR="00FD2727" w:rsidRPr="00097064" w:rsidRDefault="00FD2727" w:rsidP="00206326">
      <w:pPr>
        <w:pStyle w:val="FootnoteText"/>
        <w:keepLines/>
      </w:pPr>
      <w:r w:rsidRPr="00A453EC">
        <w:rPr>
          <w:rStyle w:val="FootnoteReference"/>
        </w:rPr>
        <w:footnoteRef/>
      </w:r>
      <w:r w:rsidRPr="00A453EC">
        <w:t xml:space="preserve"> </w:t>
      </w:r>
      <w:r>
        <w:t>European Union</w:t>
      </w:r>
      <w:r w:rsidRPr="00A453EC">
        <w:t>'s appellant's submission,</w:t>
      </w:r>
      <w:r w:rsidRPr="00097064">
        <w:t xml:space="preserve"> </w:t>
      </w:r>
      <w:r>
        <w:t>para. </w:t>
      </w:r>
      <w:r w:rsidRPr="00097064">
        <w:t>334.</w:t>
      </w:r>
      <w:r>
        <w:t xml:space="preserve"> </w:t>
      </w:r>
      <w:r w:rsidRPr="00171025">
        <w:t xml:space="preserve">The </w:t>
      </w:r>
      <w:r>
        <w:t>European Union</w:t>
      </w:r>
      <w:r w:rsidRPr="00171025">
        <w:t xml:space="preserve"> contends that, consistent with the guidance provided in the original proceedings, the Panel "should have required the </w:t>
      </w:r>
      <w:r>
        <w:t>United States</w:t>
      </w:r>
      <w:r w:rsidRPr="00171025">
        <w:t xml:space="preserve"> to identify a project risk premium based on the risks associated </w:t>
      </w:r>
      <w:r w:rsidRPr="00556EA4">
        <w:rPr>
          <w:i/>
        </w:rPr>
        <w:t>with the A350XWB project itself</w:t>
      </w:r>
      <w:r w:rsidRPr="00171025">
        <w:t xml:space="preserve">, and in light of </w:t>
      </w:r>
      <w:r w:rsidRPr="00556EA4">
        <w:rPr>
          <w:i/>
        </w:rPr>
        <w:t>the terms of each specific LA/MSF contract</w:t>
      </w:r>
      <w:r w:rsidRPr="00171025">
        <w:t>".</w:t>
      </w:r>
      <w:r>
        <w:t xml:space="preserve"> (Ibid. para. </w:t>
      </w:r>
      <w:r w:rsidRPr="00097064">
        <w:t>336 (emphasis original)</w:t>
      </w:r>
      <w:r>
        <w:t>)</w:t>
      </w:r>
    </w:p>
  </w:footnote>
  <w:footnote w:id="519">
    <w:p w:rsidR="00FD2727" w:rsidRPr="00097064" w:rsidRDefault="00FD2727" w:rsidP="00206326">
      <w:pPr>
        <w:pStyle w:val="FootnoteText"/>
        <w:keepLines/>
      </w:pPr>
      <w:r w:rsidRPr="00097064">
        <w:rPr>
          <w:rStyle w:val="FootnoteReference"/>
        </w:rPr>
        <w:footnoteRef/>
      </w:r>
      <w:r w:rsidRPr="00097064">
        <w:t xml:space="preserve"> </w:t>
      </w:r>
      <w:r>
        <w:t>European Union</w:t>
      </w:r>
      <w:r w:rsidRPr="00097064">
        <w:t xml:space="preserve">'s appellant's submission, </w:t>
      </w:r>
      <w:r>
        <w:t xml:space="preserve">para. 380 (quoting Appellate Body Report, </w:t>
      </w:r>
      <w:r>
        <w:rPr>
          <w:i/>
        </w:rPr>
        <w:t>US ‒ Anti</w:t>
      </w:r>
      <w:r>
        <w:rPr>
          <w:i/>
        </w:rPr>
        <w:noBreakHyphen/>
      </w:r>
      <w:r w:rsidRPr="00EA62A6">
        <w:rPr>
          <w:i/>
        </w:rPr>
        <w:t>Dumping and Countervailing Duties (China)</w:t>
      </w:r>
      <w:r w:rsidRPr="001D3A6D">
        <w:t xml:space="preserve">, </w:t>
      </w:r>
      <w:r>
        <w:t>paras. </w:t>
      </w:r>
      <w:r w:rsidRPr="001D3A6D">
        <w:t>476</w:t>
      </w:r>
      <w:r>
        <w:t xml:space="preserve"> and</w:t>
      </w:r>
      <w:r w:rsidRPr="001D3A6D">
        <w:t xml:space="preserve"> 486</w:t>
      </w:r>
      <w:r>
        <w:t xml:space="preserve">; referring to Appellate Body Report, </w:t>
      </w:r>
      <w:r>
        <w:rPr>
          <w:i/>
        </w:rPr>
        <w:t>US – Carbon Steel (India)</w:t>
      </w:r>
      <w:r>
        <w:t>, para. 4.345).</w:t>
      </w:r>
    </w:p>
  </w:footnote>
  <w:footnote w:id="520">
    <w:p w:rsidR="00FD2727" w:rsidRDefault="00FD2727" w:rsidP="00206326">
      <w:pPr>
        <w:pStyle w:val="FootnoteText"/>
        <w:keepLines/>
      </w:pPr>
      <w:r>
        <w:rPr>
          <w:rStyle w:val="FootnoteReference"/>
        </w:rPr>
        <w:footnoteRef/>
      </w:r>
      <w:r>
        <w:t xml:space="preserve"> European Union</w:t>
      </w:r>
      <w:r w:rsidRPr="00097064">
        <w:t xml:space="preserve">'s appellant's submission, </w:t>
      </w:r>
      <w:r>
        <w:t>para. </w:t>
      </w:r>
      <w:r w:rsidRPr="00097064">
        <w:t>3</w:t>
      </w:r>
      <w:r>
        <w:t>96</w:t>
      </w:r>
      <w:r w:rsidRPr="00097064">
        <w:t>.</w:t>
      </w:r>
    </w:p>
  </w:footnote>
  <w:footnote w:id="521">
    <w:p w:rsidR="00FD2727" w:rsidRPr="00097064" w:rsidRDefault="00FD2727" w:rsidP="00206326">
      <w:pPr>
        <w:pStyle w:val="FootnoteText"/>
        <w:keepLines/>
      </w:pPr>
      <w:r w:rsidRPr="00097064">
        <w:rPr>
          <w:rStyle w:val="FootnoteReference"/>
        </w:rPr>
        <w:footnoteRef/>
      </w:r>
      <w:r w:rsidRPr="00097064">
        <w:t xml:space="preserve"> </w:t>
      </w:r>
      <w:r>
        <w:t>European Union</w:t>
      </w:r>
      <w:r w:rsidRPr="00097064">
        <w:t xml:space="preserve">'s appellant's submission, </w:t>
      </w:r>
      <w:r>
        <w:t>para. </w:t>
      </w:r>
      <w:r w:rsidRPr="00097064">
        <w:t>339.</w:t>
      </w:r>
    </w:p>
  </w:footnote>
  <w:footnote w:id="522">
    <w:p w:rsidR="00FD2727" w:rsidRPr="00E954A4" w:rsidRDefault="00FD2727" w:rsidP="00206326">
      <w:pPr>
        <w:pStyle w:val="FootnoteText"/>
      </w:pPr>
      <w:r>
        <w:rPr>
          <w:rStyle w:val="FootnoteReference"/>
        </w:rPr>
        <w:footnoteRef/>
      </w:r>
      <w:r>
        <w:t xml:space="preserve"> European Union</w:t>
      </w:r>
      <w:r w:rsidRPr="00097064">
        <w:t xml:space="preserve">'s appellant's submission, </w:t>
      </w:r>
      <w:r>
        <w:t>para. </w:t>
      </w:r>
      <w:r w:rsidRPr="00E954A4">
        <w:t>408.</w:t>
      </w:r>
    </w:p>
  </w:footnote>
  <w:footnote w:id="523">
    <w:p w:rsidR="00FD2727" w:rsidRPr="00C43C1B" w:rsidRDefault="00FD2727">
      <w:pPr>
        <w:pStyle w:val="FootnoteText"/>
      </w:pPr>
      <w:r w:rsidRPr="00E954A4">
        <w:rPr>
          <w:rStyle w:val="FootnoteReference"/>
        </w:rPr>
        <w:footnoteRef/>
      </w:r>
      <w:r w:rsidRPr="00E954A4">
        <w:t xml:space="preserve"> </w:t>
      </w:r>
      <w:r>
        <w:t>European Union</w:t>
      </w:r>
      <w:r w:rsidRPr="00E954A4">
        <w:t xml:space="preserve">'s appellant's submission, </w:t>
      </w:r>
      <w:r>
        <w:t>para. </w:t>
      </w:r>
      <w:r w:rsidRPr="00E954A4">
        <w:t>409</w:t>
      </w:r>
      <w:r>
        <w:t>.</w:t>
      </w:r>
    </w:p>
  </w:footnote>
  <w:footnote w:id="524">
    <w:p w:rsidR="00FD2727" w:rsidRPr="00097064" w:rsidRDefault="00FD2727" w:rsidP="00206326">
      <w:pPr>
        <w:pStyle w:val="FootnoteText"/>
        <w:keepLines/>
      </w:pPr>
      <w:r w:rsidRPr="00097064">
        <w:rPr>
          <w:rStyle w:val="FootnoteReference"/>
        </w:rPr>
        <w:footnoteRef/>
      </w:r>
      <w:r w:rsidRPr="00097064">
        <w:t xml:space="preserve"> </w:t>
      </w:r>
      <w:r>
        <w:t>European Union</w:t>
      </w:r>
      <w:r w:rsidRPr="00097064">
        <w:t xml:space="preserve">'s appellant's submission, </w:t>
      </w:r>
      <w:r>
        <w:t>para. </w:t>
      </w:r>
      <w:r w:rsidRPr="00097064">
        <w:t xml:space="preserve">340 (referring to Panel Report, </w:t>
      </w:r>
      <w:r>
        <w:t>paras. </w:t>
      </w:r>
      <w:r w:rsidRPr="00097064">
        <w:t>6.487, 6.492, 6.527, 6.539-6.542, 6.579, 6.595, 6.607</w:t>
      </w:r>
      <w:r>
        <w:t>-</w:t>
      </w:r>
      <w:r w:rsidRPr="00097064">
        <w:t>6.610, 6.632 (Table 10), and 6.633).</w:t>
      </w:r>
    </w:p>
  </w:footnote>
  <w:footnote w:id="525">
    <w:p w:rsidR="00FD2727" w:rsidRPr="00097064" w:rsidRDefault="00FD2727" w:rsidP="00206326">
      <w:pPr>
        <w:pStyle w:val="FootnoteText"/>
        <w:keepLines/>
      </w:pPr>
      <w:r w:rsidRPr="00097064">
        <w:rPr>
          <w:rStyle w:val="FootnoteReference"/>
        </w:rPr>
        <w:footnoteRef/>
      </w:r>
      <w:r w:rsidRPr="00097064">
        <w:t xml:space="preserve"> Panel Report, </w:t>
      </w:r>
      <w:r>
        <w:t>para. </w:t>
      </w:r>
      <w:r w:rsidRPr="00097064">
        <w:t>6.4</w:t>
      </w:r>
      <w:r>
        <w:t>60</w:t>
      </w:r>
      <w:r w:rsidRPr="00097064">
        <w:t>.</w:t>
      </w:r>
    </w:p>
  </w:footnote>
  <w:footnote w:id="526">
    <w:p w:rsidR="00FD2727" w:rsidRPr="00097064" w:rsidRDefault="00FD2727" w:rsidP="00206326">
      <w:pPr>
        <w:pStyle w:val="FootnoteText"/>
        <w:keepLines/>
      </w:pPr>
      <w:r w:rsidRPr="00097064">
        <w:rPr>
          <w:rStyle w:val="FootnoteReference"/>
        </w:rPr>
        <w:footnoteRef/>
      </w:r>
      <w:r w:rsidRPr="00097064">
        <w:t xml:space="preserve"> </w:t>
      </w:r>
      <w:r>
        <w:t>European Union</w:t>
      </w:r>
      <w:r w:rsidRPr="00097064">
        <w:t xml:space="preserve">'s appellant's submission, </w:t>
      </w:r>
      <w:r>
        <w:t>para. </w:t>
      </w:r>
      <w:r w:rsidRPr="00097064">
        <w:t>341.</w:t>
      </w:r>
    </w:p>
  </w:footnote>
  <w:footnote w:id="527">
    <w:p w:rsidR="00FD2727" w:rsidRPr="008A789C" w:rsidRDefault="00FD2727">
      <w:pPr>
        <w:pStyle w:val="FootnoteText"/>
        <w:rPr>
          <w:lang w:val="en-US"/>
        </w:rPr>
      </w:pPr>
      <w:r>
        <w:rPr>
          <w:rStyle w:val="FootnoteReference"/>
        </w:rPr>
        <w:footnoteRef/>
      </w:r>
      <w:r>
        <w:t xml:space="preserve"> </w:t>
      </w:r>
      <w:r>
        <w:rPr>
          <w:lang w:val="en-US"/>
        </w:rPr>
        <w:t>European Union's appellant's submission, para. 531.</w:t>
      </w:r>
    </w:p>
  </w:footnote>
  <w:footnote w:id="528">
    <w:p w:rsidR="00FD2727" w:rsidRPr="00A453EC" w:rsidRDefault="00FD2727" w:rsidP="00206326">
      <w:pPr>
        <w:pStyle w:val="FootnoteText"/>
        <w:keepLines/>
      </w:pPr>
      <w:r w:rsidRPr="00097064">
        <w:rPr>
          <w:rStyle w:val="FootnoteReference"/>
        </w:rPr>
        <w:footnoteRef/>
      </w:r>
      <w:r w:rsidRPr="00097064">
        <w:t xml:space="preserve"> Panel Report, </w:t>
      </w:r>
      <w:r>
        <w:t>para. </w:t>
      </w:r>
      <w:r w:rsidRPr="00097064">
        <w:t>6.431.</w:t>
      </w:r>
      <w:r>
        <w:t xml:space="preserve"> The Panel indicated that the second component of the market benchmark reflects the fact that, </w:t>
      </w:r>
      <w:r w:rsidRPr="00A453EC">
        <w:t>rather than being repaid from the firm's general assets, the LA/MSF loans "</w:t>
      </w:r>
      <w:r>
        <w:t>are model</w:t>
      </w:r>
      <w:r>
        <w:noBreakHyphen/>
      </w:r>
      <w:r w:rsidRPr="00A453EC">
        <w:t xml:space="preserve">specific, that is, they are provided to fund the development of specific aircraft models and are to be repaid from the cash flows associated with the same specific model and so a commercial lending rate would reflect not only the riskiness of the borrow but also the riskiness of the individual projects". (Ibid. </w:t>
      </w:r>
      <w:r>
        <w:t>para. </w:t>
      </w:r>
      <w:r w:rsidRPr="00A453EC">
        <w:t>6.432 (quoting Ellis-Jordan Report (Original Panel Exhibit USA-80; Panel Exhibit USA-474/506 (BCI) (exhibited twice)), p. 4))</w:t>
      </w:r>
    </w:p>
  </w:footnote>
  <w:footnote w:id="529">
    <w:p w:rsidR="00FD2727" w:rsidRPr="00A453EC" w:rsidRDefault="00FD2727" w:rsidP="00206326">
      <w:pPr>
        <w:pStyle w:val="FootnoteText"/>
        <w:keepLines/>
      </w:pPr>
      <w:r w:rsidRPr="00A453EC">
        <w:rPr>
          <w:rStyle w:val="FootnoteReference"/>
        </w:rPr>
        <w:footnoteRef/>
      </w:r>
      <w:r w:rsidRPr="00A453EC">
        <w:t xml:space="preserve"> Panel Report, </w:t>
      </w:r>
      <w:r>
        <w:t>para. </w:t>
      </w:r>
      <w:r w:rsidRPr="00A453EC">
        <w:t xml:space="preserve">6.433 (referring to Jordan Report (Panel Exhibit USA-475 (BCI/HSBI)), </w:t>
      </w:r>
      <w:r>
        <w:t>para. </w:t>
      </w:r>
      <w:r w:rsidRPr="00A453EC">
        <w:t xml:space="preserve">15; Jordan Reply (Panel Exhibit USA-505 (BCI/HSBI)), </w:t>
      </w:r>
      <w:r>
        <w:t>para. </w:t>
      </w:r>
      <w:r w:rsidRPr="00A453EC">
        <w:t xml:space="preserve">5). Both the JRP and the WRP use figures that the </w:t>
      </w:r>
      <w:r>
        <w:t>United States</w:t>
      </w:r>
      <w:r w:rsidRPr="00A453EC">
        <w:t xml:space="preserve"> argued were advanced as project</w:t>
      </w:r>
      <w:r w:rsidRPr="00A453EC">
        <w:noBreakHyphen/>
        <w:t>specific risk premia in the original proceedings. (Ibid.)</w:t>
      </w:r>
    </w:p>
  </w:footnote>
  <w:footnote w:id="530">
    <w:p w:rsidR="00FD2727" w:rsidRPr="00097064" w:rsidRDefault="00FD2727" w:rsidP="00206326">
      <w:pPr>
        <w:pStyle w:val="FootnoteText"/>
        <w:keepLines/>
      </w:pPr>
      <w:r w:rsidRPr="00A453EC">
        <w:rPr>
          <w:rStyle w:val="FootnoteReference"/>
        </w:rPr>
        <w:footnoteRef/>
      </w:r>
      <w:r w:rsidRPr="00A453EC">
        <w:t xml:space="preserve"> Panel Report, </w:t>
      </w:r>
      <w:r>
        <w:t>para. </w:t>
      </w:r>
      <w:r w:rsidRPr="00097064">
        <w:t xml:space="preserve">6.434 (referring to </w:t>
      </w:r>
      <w:r>
        <w:t>European Union</w:t>
      </w:r>
      <w:r w:rsidRPr="00097064">
        <w:t xml:space="preserve">'s first written submission to the Panel, </w:t>
      </w:r>
      <w:r>
        <w:t>paras. </w:t>
      </w:r>
      <w:r w:rsidRPr="00097064">
        <w:t xml:space="preserve">313-315; second written submission to the Panel, </w:t>
      </w:r>
      <w:r>
        <w:t>para. </w:t>
      </w:r>
      <w:r w:rsidRPr="00097064">
        <w:t>321).</w:t>
      </w:r>
    </w:p>
  </w:footnote>
  <w:footnote w:id="531">
    <w:p w:rsidR="00FD2727" w:rsidRPr="00A453EC" w:rsidRDefault="00FD2727" w:rsidP="00206326">
      <w:pPr>
        <w:pStyle w:val="FootnoteText"/>
        <w:keepLines/>
      </w:pPr>
      <w:r w:rsidRPr="00097064">
        <w:rPr>
          <w:rStyle w:val="FootnoteReference"/>
        </w:rPr>
        <w:footnoteRef/>
      </w:r>
      <w:r w:rsidRPr="00097064">
        <w:t xml:space="preserve"> Panel Report, </w:t>
      </w:r>
      <w:r>
        <w:t>para. </w:t>
      </w:r>
      <w:r w:rsidRPr="00097064">
        <w:t xml:space="preserve">6.437 (quoting </w:t>
      </w:r>
      <w:r w:rsidRPr="00A453EC">
        <w:t xml:space="preserve">Jordan Report (Panel Exhibit USA-475 (BCI/HSBI)), </w:t>
      </w:r>
      <w:r>
        <w:t>para. </w:t>
      </w:r>
      <w:r w:rsidRPr="00A453EC">
        <w:t>14).</w:t>
      </w:r>
    </w:p>
  </w:footnote>
  <w:footnote w:id="532">
    <w:p w:rsidR="00FD2727" w:rsidRPr="00A453EC" w:rsidRDefault="00FD2727" w:rsidP="00206326">
      <w:pPr>
        <w:pStyle w:val="FootnoteText"/>
        <w:keepLines/>
      </w:pPr>
      <w:r w:rsidRPr="00A453EC">
        <w:rPr>
          <w:rStyle w:val="FootnoteReference"/>
        </w:rPr>
        <w:footnoteRef/>
      </w:r>
      <w:r w:rsidRPr="00A453EC">
        <w:t xml:space="preserve"> Panel Report, </w:t>
      </w:r>
      <w:r>
        <w:t>paras. </w:t>
      </w:r>
      <w:r w:rsidRPr="00A453EC">
        <w:t>6.443 and 6.446-6.447.</w:t>
      </w:r>
    </w:p>
  </w:footnote>
  <w:footnote w:id="533">
    <w:p w:rsidR="00FD2727" w:rsidRPr="00A453EC" w:rsidRDefault="00FD2727" w:rsidP="00206326">
      <w:pPr>
        <w:pStyle w:val="FootnoteText"/>
        <w:keepLines/>
      </w:pPr>
      <w:r w:rsidRPr="00A453EC">
        <w:rPr>
          <w:rStyle w:val="FootnoteReference"/>
        </w:rPr>
        <w:footnoteRef/>
      </w:r>
      <w:r w:rsidRPr="00A453EC">
        <w:t xml:space="preserve"> Panel Report, </w:t>
      </w:r>
      <w:r>
        <w:t>paras. </w:t>
      </w:r>
      <w:r w:rsidRPr="00A453EC">
        <w:t>6.443 and 6.446.</w:t>
      </w:r>
    </w:p>
  </w:footnote>
  <w:footnote w:id="534">
    <w:p w:rsidR="00FD2727" w:rsidRPr="00A453EC" w:rsidRDefault="00FD2727" w:rsidP="00206326">
      <w:pPr>
        <w:pStyle w:val="FootnoteText"/>
        <w:keepNext/>
        <w:keepLines/>
      </w:pPr>
      <w:r w:rsidRPr="00A453EC">
        <w:rPr>
          <w:rStyle w:val="FootnoteReference"/>
        </w:rPr>
        <w:footnoteRef/>
      </w:r>
      <w:r w:rsidRPr="00A453EC">
        <w:t xml:space="preserve"> In particular, the Panel was not convinced that the following arguments by the </w:t>
      </w:r>
      <w:r>
        <w:t>United States</w:t>
      </w:r>
      <w:r w:rsidRPr="00A453EC">
        <w:t xml:space="preserve"> justified relying on the JRP in the present compliance proceedings: (i) the JRP uses the method advanced by the </w:t>
      </w:r>
      <w:r>
        <w:t>European Union</w:t>
      </w:r>
      <w:r w:rsidRPr="00A453EC">
        <w:t xml:space="preserve"> and Professor Whitelaw in the original proceedings; (ii) the JRP responded to specific criticisms of the WRP made by the panel and </w:t>
      </w:r>
      <w:r>
        <w:t>Appellate Body</w:t>
      </w:r>
      <w:r w:rsidRPr="00A453EC">
        <w:t xml:space="preserve"> in the original proceedings; (iii) the two figures on which the JRP is based are "higher" than the WRP; and (iv) the two figures on which the JRP is based are "similar" to one another. (Panel Report, </w:t>
      </w:r>
      <w:r>
        <w:t>para. </w:t>
      </w:r>
      <w:r w:rsidRPr="00A453EC">
        <w:t>6.455)</w:t>
      </w:r>
    </w:p>
  </w:footnote>
  <w:footnote w:id="535">
    <w:p w:rsidR="00FD2727" w:rsidRPr="00A453EC" w:rsidRDefault="00FD2727" w:rsidP="00206326">
      <w:pPr>
        <w:pStyle w:val="FootnoteText"/>
        <w:keepLines/>
      </w:pPr>
      <w:r w:rsidRPr="00A453EC">
        <w:rPr>
          <w:rStyle w:val="FootnoteReference"/>
        </w:rPr>
        <w:footnoteRef/>
      </w:r>
      <w:r w:rsidRPr="00A453EC">
        <w:t xml:space="preserve"> Panel Report, </w:t>
      </w:r>
      <w:r>
        <w:t>para. </w:t>
      </w:r>
      <w:r w:rsidRPr="00A453EC">
        <w:t>6.455.</w:t>
      </w:r>
    </w:p>
  </w:footnote>
  <w:footnote w:id="536">
    <w:p w:rsidR="00FD2727" w:rsidRPr="00A453EC" w:rsidRDefault="00FD2727" w:rsidP="00206326">
      <w:pPr>
        <w:pStyle w:val="FootnoteText"/>
        <w:keepLines/>
      </w:pPr>
      <w:r w:rsidRPr="00A453EC">
        <w:rPr>
          <w:rStyle w:val="FootnoteReference"/>
        </w:rPr>
        <w:footnoteRef/>
      </w:r>
      <w:r w:rsidRPr="00A453EC">
        <w:t xml:space="preserve"> Panel Report, </w:t>
      </w:r>
      <w:r>
        <w:t>para. </w:t>
      </w:r>
      <w:r w:rsidRPr="00A453EC">
        <w:t>6.459.</w:t>
      </w:r>
    </w:p>
  </w:footnote>
  <w:footnote w:id="537">
    <w:p w:rsidR="00FD2727" w:rsidRPr="00A453EC" w:rsidRDefault="00FD2727" w:rsidP="00206326">
      <w:pPr>
        <w:pStyle w:val="FootnoteText"/>
        <w:keepLines/>
      </w:pPr>
      <w:r w:rsidRPr="00A453EC">
        <w:rPr>
          <w:rStyle w:val="FootnoteReference"/>
        </w:rPr>
        <w:footnoteRef/>
      </w:r>
      <w:r w:rsidRPr="00A453EC">
        <w:t xml:space="preserve"> Panel Report, </w:t>
      </w:r>
      <w:r>
        <w:t>para. </w:t>
      </w:r>
      <w:r w:rsidRPr="00A453EC">
        <w:t>6.461.</w:t>
      </w:r>
    </w:p>
  </w:footnote>
  <w:footnote w:id="538">
    <w:p w:rsidR="00FD2727" w:rsidRPr="00A453EC" w:rsidRDefault="00FD2727" w:rsidP="00206326">
      <w:pPr>
        <w:pStyle w:val="FootnoteText"/>
        <w:keepLines/>
      </w:pPr>
      <w:r w:rsidRPr="00A453EC">
        <w:rPr>
          <w:rStyle w:val="FootnoteReference"/>
        </w:rPr>
        <w:footnoteRef/>
      </w:r>
      <w:r w:rsidRPr="00A453EC">
        <w:t xml:space="preserve"> Panel Report, </w:t>
      </w:r>
      <w:r>
        <w:t>para. </w:t>
      </w:r>
      <w:r w:rsidRPr="00A453EC">
        <w:t>6.462.</w:t>
      </w:r>
    </w:p>
  </w:footnote>
  <w:footnote w:id="539">
    <w:p w:rsidR="00FD2727" w:rsidRPr="00A453EC" w:rsidRDefault="00FD2727" w:rsidP="00206326">
      <w:pPr>
        <w:pStyle w:val="FootnoteText"/>
        <w:keepLines/>
      </w:pPr>
      <w:r w:rsidRPr="00A453EC">
        <w:rPr>
          <w:rStyle w:val="FootnoteReference"/>
        </w:rPr>
        <w:footnoteRef/>
      </w:r>
      <w:r w:rsidRPr="00A453EC">
        <w:t xml:space="preserve"> Panel Report, </w:t>
      </w:r>
      <w:r>
        <w:t>para. </w:t>
      </w:r>
      <w:r w:rsidRPr="00A453EC">
        <w:t xml:space="preserve">6.464 </w:t>
      </w:r>
      <w:r>
        <w:t>and fns 656-657 thereto.</w:t>
      </w:r>
    </w:p>
  </w:footnote>
  <w:footnote w:id="540">
    <w:p w:rsidR="00FD2727" w:rsidRPr="00097064" w:rsidRDefault="00FD2727" w:rsidP="00206326">
      <w:pPr>
        <w:pStyle w:val="FootnoteText"/>
        <w:keepLines/>
      </w:pPr>
      <w:r w:rsidRPr="00A453EC">
        <w:rPr>
          <w:rStyle w:val="FootnoteReference"/>
        </w:rPr>
        <w:footnoteRef/>
      </w:r>
      <w:r w:rsidRPr="00A453EC">
        <w:t xml:space="preserve"> Panel Report, </w:t>
      </w:r>
      <w:r>
        <w:t>para. </w:t>
      </w:r>
      <w:r w:rsidRPr="00A453EC">
        <w:t xml:space="preserve">6.465 (referring to </w:t>
      </w:r>
      <w:r>
        <w:t>European Union</w:t>
      </w:r>
      <w:r w:rsidRPr="00A453EC">
        <w:t xml:space="preserve">'s second written submission to the Panel, </w:t>
      </w:r>
      <w:r>
        <w:t>para. </w:t>
      </w:r>
      <w:r w:rsidRPr="00A453EC">
        <w:t xml:space="preserve">332, in turn referring to </w:t>
      </w:r>
      <w:r w:rsidRPr="00A453EC">
        <w:rPr>
          <w:szCs w:val="16"/>
        </w:rPr>
        <w:t>Airbus, A350XWB Chief Engineering and Future Projects Office, "A350XWB Chief Engineering Statement", 3</w:t>
      </w:r>
      <w:r>
        <w:rPr>
          <w:szCs w:val="16"/>
        </w:rPr>
        <w:t> July 20</w:t>
      </w:r>
      <w:r w:rsidRPr="00A453EC">
        <w:rPr>
          <w:szCs w:val="16"/>
        </w:rPr>
        <w:t>12 (A350XWB Chief Engineering Statement)</w:t>
      </w:r>
      <w:r w:rsidRPr="00A453EC">
        <w:t xml:space="preserve"> (Panel Exhibit EU-18</w:t>
      </w:r>
      <w:r w:rsidRPr="00097064">
        <w:t xml:space="preserve"> (BCI/HSBI)</w:t>
      </w:r>
      <w:r>
        <w:t>)</w:t>
      </w:r>
      <w:r w:rsidRPr="00097064">
        <w:t xml:space="preserve">, </w:t>
      </w:r>
      <w:r>
        <w:t>paras. </w:t>
      </w:r>
      <w:r w:rsidRPr="00097064">
        <w:t xml:space="preserve">13-17 and 33-59; first written submission to the Panel, </w:t>
      </w:r>
      <w:r>
        <w:t>paras. </w:t>
      </w:r>
      <w:r w:rsidRPr="00097064">
        <w:t>1110</w:t>
      </w:r>
      <w:r w:rsidRPr="00097064">
        <w:noBreakHyphen/>
        <w:t>1129).</w:t>
      </w:r>
    </w:p>
  </w:footnote>
  <w:footnote w:id="541">
    <w:p w:rsidR="00FD2727" w:rsidRDefault="00FD2727" w:rsidP="00206326">
      <w:pPr>
        <w:pStyle w:val="FootnoteText"/>
        <w:keepLines/>
      </w:pPr>
      <w:r>
        <w:rPr>
          <w:rStyle w:val="FootnoteReference"/>
        </w:rPr>
        <w:footnoteRef/>
      </w:r>
      <w:r>
        <w:t xml:space="preserve"> </w:t>
      </w:r>
      <w:r w:rsidRPr="00097064">
        <w:t xml:space="preserve">Panel Report, </w:t>
      </w:r>
      <w:r>
        <w:t>para. </w:t>
      </w:r>
      <w:r w:rsidRPr="00097064">
        <w:t>6.46</w:t>
      </w:r>
      <w:r>
        <w:t>6</w:t>
      </w:r>
      <w:r w:rsidRPr="00097064">
        <w:t>.</w:t>
      </w:r>
    </w:p>
  </w:footnote>
  <w:footnote w:id="542">
    <w:p w:rsidR="00FD2727" w:rsidRPr="00097064" w:rsidRDefault="00FD2727" w:rsidP="00206326">
      <w:pPr>
        <w:pStyle w:val="FootnoteText"/>
        <w:keepLines/>
      </w:pPr>
      <w:r w:rsidRPr="00097064">
        <w:rPr>
          <w:rStyle w:val="FootnoteReference"/>
        </w:rPr>
        <w:footnoteRef/>
      </w:r>
      <w:r w:rsidRPr="00097064">
        <w:t xml:space="preserve"> Panel Report, </w:t>
      </w:r>
      <w:r>
        <w:t>para. </w:t>
      </w:r>
      <w:r w:rsidRPr="00097064">
        <w:t>6.539.</w:t>
      </w:r>
    </w:p>
  </w:footnote>
  <w:footnote w:id="543">
    <w:p w:rsidR="00FD2727" w:rsidRPr="00097064" w:rsidRDefault="00FD2727" w:rsidP="00206326">
      <w:pPr>
        <w:pStyle w:val="FootnoteText"/>
        <w:keepLines/>
      </w:pPr>
      <w:r w:rsidRPr="00097064">
        <w:rPr>
          <w:rStyle w:val="FootnoteReference"/>
        </w:rPr>
        <w:footnoteRef/>
      </w:r>
      <w:r w:rsidRPr="00097064">
        <w:t xml:space="preserve"> Panel Report, </w:t>
      </w:r>
      <w:r>
        <w:t>para. </w:t>
      </w:r>
      <w:r w:rsidRPr="00097064">
        <w:t>6.539.</w:t>
      </w:r>
    </w:p>
  </w:footnote>
  <w:footnote w:id="544">
    <w:p w:rsidR="00FD2727" w:rsidRPr="00A453EC" w:rsidRDefault="00FD2727" w:rsidP="00206326">
      <w:pPr>
        <w:pStyle w:val="FootnoteText"/>
        <w:keepLines/>
      </w:pPr>
      <w:r w:rsidRPr="00097064">
        <w:rPr>
          <w:rStyle w:val="FootnoteReference"/>
        </w:rPr>
        <w:footnoteRef/>
      </w:r>
      <w:r w:rsidRPr="00097064">
        <w:t xml:space="preserve"> Panel Report, </w:t>
      </w:r>
      <w:r>
        <w:t>para. </w:t>
      </w:r>
      <w:r w:rsidRPr="00097064">
        <w:t>6.540.</w:t>
      </w:r>
      <w:r>
        <w:t xml:space="preserve"> The Panel noted that, "{u}nder the ambitious DARE programme, the larger number of risk sharing suppliers meant that: (a) Airbus decreased control over the development of the aircraft; and (b) the ramped-up </w:t>
      </w:r>
      <w:r w:rsidRPr="00D5543D">
        <w:t>development</w:t>
      </w:r>
      <w:r>
        <w:t xml:space="preserve"> </w:t>
      </w:r>
      <w:r w:rsidRPr="00A453EC">
        <w:t xml:space="preserve">schedule meant any problems would be 'disastrous'." (Ibid. (quoting A350XWB Chief Engineering Statement (Panel Exhibit EU-18 (BCI/HSBI)), </w:t>
      </w:r>
      <w:r>
        <w:t>para. </w:t>
      </w:r>
      <w:r w:rsidRPr="00A453EC">
        <w:t>37 (lines 7-12)))</w:t>
      </w:r>
    </w:p>
  </w:footnote>
  <w:footnote w:id="545">
    <w:p w:rsidR="00FD2727" w:rsidRPr="00A453EC" w:rsidRDefault="00FD2727" w:rsidP="00206326">
      <w:pPr>
        <w:pStyle w:val="FootnoteText"/>
        <w:keepLines/>
      </w:pPr>
      <w:r w:rsidRPr="00A453EC">
        <w:rPr>
          <w:rStyle w:val="FootnoteReference"/>
        </w:rPr>
        <w:footnoteRef/>
      </w:r>
      <w:r w:rsidRPr="00A453EC">
        <w:t xml:space="preserve"> Panel Report, </w:t>
      </w:r>
      <w:r>
        <w:t>para. </w:t>
      </w:r>
      <w:r w:rsidRPr="00A453EC">
        <w:t>6.542.</w:t>
      </w:r>
    </w:p>
  </w:footnote>
  <w:footnote w:id="546">
    <w:p w:rsidR="00FD2727" w:rsidRPr="00A453EC" w:rsidRDefault="00FD2727" w:rsidP="00206326">
      <w:pPr>
        <w:pStyle w:val="FootnoteText"/>
        <w:keepLines/>
      </w:pPr>
      <w:r w:rsidRPr="00A453EC">
        <w:rPr>
          <w:rStyle w:val="FootnoteReference"/>
        </w:rPr>
        <w:footnoteRef/>
      </w:r>
      <w:r w:rsidRPr="00A453EC">
        <w:t xml:space="preserve"> Panel Report, </w:t>
      </w:r>
      <w:r>
        <w:t>para. </w:t>
      </w:r>
      <w:r w:rsidRPr="00A453EC">
        <w:t>6.542. (emphasis original)</w:t>
      </w:r>
    </w:p>
  </w:footnote>
  <w:footnote w:id="547">
    <w:p w:rsidR="00FD2727" w:rsidRPr="00097064" w:rsidRDefault="00FD2727" w:rsidP="00206326">
      <w:pPr>
        <w:pStyle w:val="FootnoteText"/>
        <w:keepLines/>
      </w:pPr>
      <w:r w:rsidRPr="00A453EC">
        <w:rPr>
          <w:rStyle w:val="FootnoteReference"/>
        </w:rPr>
        <w:footnoteRef/>
      </w:r>
      <w:r w:rsidRPr="00A453EC">
        <w:t xml:space="preserve"> Panel Report, </w:t>
      </w:r>
      <w:r>
        <w:t>para. </w:t>
      </w:r>
      <w:r w:rsidRPr="00A453EC">
        <w:t xml:space="preserve">6.543 (quoting </w:t>
      </w:r>
      <w:r>
        <w:t>European Union</w:t>
      </w:r>
      <w:r w:rsidRPr="00A453EC">
        <w:t>'s second</w:t>
      </w:r>
      <w:r w:rsidRPr="00097064">
        <w:t xml:space="preserve"> written submission to the Panel, </w:t>
      </w:r>
      <w:r>
        <w:t>para. </w:t>
      </w:r>
      <w:r w:rsidRPr="00097064">
        <w:t>322).</w:t>
      </w:r>
      <w:r>
        <w:t xml:space="preserve"> (additional text in fn 897 thereto omitted)</w:t>
      </w:r>
    </w:p>
  </w:footnote>
  <w:footnote w:id="548">
    <w:p w:rsidR="00FD2727" w:rsidRPr="00097064" w:rsidRDefault="00FD2727" w:rsidP="00206326">
      <w:pPr>
        <w:pStyle w:val="FootnoteText"/>
        <w:keepLines/>
      </w:pPr>
      <w:r w:rsidRPr="00097064">
        <w:rPr>
          <w:rStyle w:val="FootnoteReference"/>
        </w:rPr>
        <w:footnoteRef/>
      </w:r>
      <w:r w:rsidRPr="00097064">
        <w:t xml:space="preserve"> Panel Report, </w:t>
      </w:r>
      <w:r>
        <w:t>para. </w:t>
      </w:r>
      <w:r w:rsidRPr="00097064">
        <w:t>6.544.</w:t>
      </w:r>
    </w:p>
  </w:footnote>
  <w:footnote w:id="549">
    <w:p w:rsidR="00FD2727" w:rsidRPr="00097064" w:rsidRDefault="00FD2727" w:rsidP="00206326">
      <w:pPr>
        <w:pStyle w:val="FootnoteText"/>
        <w:keepLines/>
      </w:pPr>
      <w:r w:rsidRPr="00097064">
        <w:rPr>
          <w:rStyle w:val="FootnoteReference"/>
        </w:rPr>
        <w:footnoteRef/>
      </w:r>
      <w:r w:rsidRPr="00097064">
        <w:t xml:space="preserve"> Panel Report, </w:t>
      </w:r>
      <w:r>
        <w:t>para. </w:t>
      </w:r>
      <w:r w:rsidRPr="00097064">
        <w:t>6.570.</w:t>
      </w:r>
    </w:p>
  </w:footnote>
  <w:footnote w:id="550">
    <w:p w:rsidR="00FD2727" w:rsidRPr="00097064" w:rsidRDefault="00FD2727" w:rsidP="00206326">
      <w:pPr>
        <w:pStyle w:val="FootnoteText"/>
        <w:keepLines/>
      </w:pPr>
      <w:r w:rsidRPr="00097064">
        <w:rPr>
          <w:rStyle w:val="FootnoteReference"/>
        </w:rPr>
        <w:footnoteRef/>
      </w:r>
      <w:r w:rsidRPr="00097064">
        <w:t xml:space="preserve"> Panel Report, </w:t>
      </w:r>
      <w:r>
        <w:t>para. </w:t>
      </w:r>
      <w:r w:rsidRPr="00097064">
        <w:t>6.568.</w:t>
      </w:r>
    </w:p>
  </w:footnote>
  <w:footnote w:id="551">
    <w:p w:rsidR="00FD2727" w:rsidRPr="00097064" w:rsidRDefault="00FD2727" w:rsidP="00206326">
      <w:pPr>
        <w:pStyle w:val="FootnoteText"/>
        <w:keepLines/>
      </w:pPr>
      <w:r w:rsidRPr="00097064">
        <w:rPr>
          <w:rStyle w:val="FootnoteReference"/>
        </w:rPr>
        <w:footnoteRef/>
      </w:r>
      <w:r w:rsidRPr="00097064">
        <w:t xml:space="preserve"> Panel </w:t>
      </w:r>
      <w:r>
        <w:t>R</w:t>
      </w:r>
      <w:r w:rsidRPr="00097064">
        <w:t xml:space="preserve">eport, </w:t>
      </w:r>
      <w:r>
        <w:t>para. </w:t>
      </w:r>
      <w:r w:rsidRPr="00097064">
        <w:t>6.570.</w:t>
      </w:r>
    </w:p>
  </w:footnote>
  <w:footnote w:id="552">
    <w:p w:rsidR="00FD2727" w:rsidRPr="00097064" w:rsidRDefault="00FD2727" w:rsidP="00206326">
      <w:pPr>
        <w:pStyle w:val="FootnoteText"/>
        <w:keepLines/>
      </w:pPr>
      <w:r w:rsidRPr="00097064">
        <w:rPr>
          <w:rStyle w:val="FootnoteReference"/>
        </w:rPr>
        <w:footnoteRef/>
      </w:r>
      <w:r w:rsidRPr="00097064">
        <w:t xml:space="preserve"> Panel Report, </w:t>
      </w:r>
      <w:r>
        <w:t>paras. </w:t>
      </w:r>
      <w:r w:rsidRPr="00097064">
        <w:t>6.571</w:t>
      </w:r>
      <w:r>
        <w:t>-6.572</w:t>
      </w:r>
      <w:r w:rsidRPr="00097064">
        <w:t>.</w:t>
      </w:r>
    </w:p>
  </w:footnote>
  <w:footnote w:id="553">
    <w:p w:rsidR="00FD2727" w:rsidRPr="008A789C" w:rsidRDefault="00FD2727">
      <w:pPr>
        <w:pStyle w:val="FootnoteText"/>
        <w:rPr>
          <w:lang w:val="en-US"/>
        </w:rPr>
      </w:pPr>
      <w:r>
        <w:rPr>
          <w:rStyle w:val="FootnoteReference"/>
        </w:rPr>
        <w:footnoteRef/>
      </w:r>
      <w:r>
        <w:t xml:space="preserve"> </w:t>
      </w:r>
      <w:r>
        <w:rPr>
          <w:lang w:val="en-US"/>
        </w:rPr>
        <w:t>Panel Report, para. 6.579.</w:t>
      </w:r>
    </w:p>
  </w:footnote>
  <w:footnote w:id="554">
    <w:p w:rsidR="00FD2727" w:rsidRPr="00097064" w:rsidRDefault="00FD2727" w:rsidP="00206326">
      <w:pPr>
        <w:pStyle w:val="FootnoteText"/>
        <w:keepLines/>
      </w:pPr>
      <w:r w:rsidRPr="00097064">
        <w:rPr>
          <w:rStyle w:val="FootnoteReference"/>
        </w:rPr>
        <w:footnoteRef/>
      </w:r>
      <w:r w:rsidRPr="00097064">
        <w:t xml:space="preserve"> Panel Report, </w:t>
      </w:r>
      <w:r>
        <w:t>para. </w:t>
      </w:r>
      <w:r w:rsidRPr="00097064">
        <w:t>6.579.</w:t>
      </w:r>
    </w:p>
  </w:footnote>
  <w:footnote w:id="555">
    <w:p w:rsidR="00FD2727" w:rsidRPr="00A453EC" w:rsidRDefault="00FD2727" w:rsidP="00206326">
      <w:pPr>
        <w:pStyle w:val="FootnoteText"/>
        <w:keepLines/>
      </w:pPr>
      <w:r w:rsidRPr="00097064">
        <w:rPr>
          <w:rStyle w:val="FootnoteReference"/>
        </w:rPr>
        <w:footnoteRef/>
      </w:r>
      <w:r w:rsidRPr="00097064">
        <w:t xml:space="preserve"> Panel Report, </w:t>
      </w:r>
      <w:r>
        <w:t>para. </w:t>
      </w:r>
      <w:r w:rsidRPr="00097064">
        <w:t>6.580</w:t>
      </w:r>
      <w:r>
        <w:t xml:space="preserve"> </w:t>
      </w:r>
      <w:r w:rsidRPr="00F14A66">
        <w:t xml:space="preserve">(quoting Jordan </w:t>
      </w:r>
      <w:r w:rsidRPr="00A453EC">
        <w:t xml:space="preserve">Report (Panel Exhibit USA-475 (BCI/HSBI)), </w:t>
      </w:r>
      <w:r>
        <w:t>para. </w:t>
      </w:r>
      <w:r w:rsidRPr="00A453EC">
        <w:t>22</w:t>
      </w:r>
      <w:r>
        <w:t>; referring to European Union's second written submission to the Panel, para. 344; Whitelaw Response to Jordan (Panel Exhibit EU-121 (BCI/HSBI)), para. 23</w:t>
      </w:r>
      <w:r w:rsidRPr="00A453EC">
        <w:t>).</w:t>
      </w:r>
    </w:p>
  </w:footnote>
  <w:footnote w:id="556">
    <w:p w:rsidR="00FD2727" w:rsidRPr="00A453EC" w:rsidRDefault="00FD2727" w:rsidP="00206326">
      <w:pPr>
        <w:pStyle w:val="FootnoteText"/>
        <w:keepLines/>
      </w:pPr>
      <w:r w:rsidRPr="00A453EC">
        <w:rPr>
          <w:rStyle w:val="FootnoteReference"/>
        </w:rPr>
        <w:footnoteRef/>
      </w:r>
      <w:r w:rsidRPr="00A453EC">
        <w:t xml:space="preserve"> Panel Report, </w:t>
      </w:r>
      <w:r>
        <w:t>para. </w:t>
      </w:r>
      <w:r w:rsidRPr="00A453EC">
        <w:t>6.580.</w:t>
      </w:r>
    </w:p>
  </w:footnote>
  <w:footnote w:id="557">
    <w:p w:rsidR="00FD2727" w:rsidRPr="00A453EC" w:rsidRDefault="00FD2727" w:rsidP="00206326">
      <w:pPr>
        <w:pStyle w:val="FootnoteText"/>
        <w:keepLines/>
      </w:pPr>
      <w:r w:rsidRPr="00A453EC">
        <w:rPr>
          <w:rStyle w:val="FootnoteReference"/>
        </w:rPr>
        <w:footnoteRef/>
      </w:r>
      <w:r w:rsidRPr="00A453EC">
        <w:t xml:space="preserve"> Panel Report, </w:t>
      </w:r>
      <w:r>
        <w:t>para. </w:t>
      </w:r>
      <w:r w:rsidRPr="00A453EC">
        <w:t xml:space="preserve">6.581 (quoting Jordan Report (Panel Exhibit USA-475 (BCI/HSBI)), </w:t>
      </w:r>
      <w:r>
        <w:t>para. </w:t>
      </w:r>
      <w:r w:rsidRPr="00A453EC">
        <w:t>22.</w:t>
      </w:r>
      <w:r>
        <w:t>)</w:t>
      </w:r>
    </w:p>
  </w:footnote>
  <w:footnote w:id="558">
    <w:p w:rsidR="00FD2727" w:rsidRPr="00A453EC" w:rsidRDefault="00FD2727" w:rsidP="00206326">
      <w:pPr>
        <w:pStyle w:val="FootnoteText"/>
        <w:keepLines/>
      </w:pPr>
      <w:r w:rsidRPr="00A453EC">
        <w:rPr>
          <w:rStyle w:val="FootnoteReference"/>
        </w:rPr>
        <w:footnoteRef/>
      </w:r>
      <w:r w:rsidRPr="00A453EC">
        <w:t xml:space="preserve"> Panel Report, </w:t>
      </w:r>
      <w:r>
        <w:t>para. </w:t>
      </w:r>
      <w:r w:rsidRPr="00A453EC">
        <w:t>6.588.</w:t>
      </w:r>
    </w:p>
  </w:footnote>
  <w:footnote w:id="559">
    <w:p w:rsidR="00FD2727" w:rsidRPr="00A453EC" w:rsidRDefault="00FD2727" w:rsidP="00206326">
      <w:pPr>
        <w:pStyle w:val="FootnoteText"/>
        <w:keepLines/>
      </w:pPr>
      <w:r w:rsidRPr="00A453EC">
        <w:rPr>
          <w:rStyle w:val="FootnoteReference"/>
        </w:rPr>
        <w:footnoteRef/>
      </w:r>
      <w:r w:rsidRPr="00A453EC">
        <w:t xml:space="preserve"> Panel Report, </w:t>
      </w:r>
      <w:r>
        <w:t>para. </w:t>
      </w:r>
      <w:r w:rsidRPr="00A453EC">
        <w:t xml:space="preserve">6.590 (referring to </w:t>
      </w:r>
      <w:r>
        <w:t>European Union</w:t>
      </w:r>
      <w:r w:rsidRPr="00A453EC">
        <w:t xml:space="preserve">'s second written submission to the Panel, </w:t>
      </w:r>
      <w:r>
        <w:t>paras. </w:t>
      </w:r>
      <w:r w:rsidRPr="00A453EC">
        <w:t xml:space="preserve">339-340; response to Panel question No. 100, </w:t>
      </w:r>
      <w:r>
        <w:t>paras. </w:t>
      </w:r>
      <w:r w:rsidRPr="00A453EC">
        <w:t>404-405).</w:t>
      </w:r>
    </w:p>
  </w:footnote>
  <w:footnote w:id="560">
    <w:p w:rsidR="00FD2727" w:rsidRPr="00097064" w:rsidRDefault="00FD2727" w:rsidP="00206326">
      <w:pPr>
        <w:pStyle w:val="FootnoteText"/>
        <w:keepLines/>
      </w:pPr>
      <w:r w:rsidRPr="00A453EC">
        <w:rPr>
          <w:rStyle w:val="FootnoteReference"/>
        </w:rPr>
        <w:footnoteRef/>
      </w:r>
      <w:r w:rsidRPr="00A453EC">
        <w:t xml:space="preserve"> Panel Report, </w:t>
      </w:r>
      <w:r>
        <w:t>para. </w:t>
      </w:r>
      <w:r w:rsidRPr="00A453EC">
        <w:t>6.594. (fn omitted)</w:t>
      </w:r>
    </w:p>
  </w:footnote>
  <w:footnote w:id="561">
    <w:p w:rsidR="00FD2727" w:rsidRPr="00097064" w:rsidRDefault="00FD2727" w:rsidP="00206326">
      <w:pPr>
        <w:pStyle w:val="FootnoteText"/>
        <w:keepLines/>
      </w:pPr>
      <w:r w:rsidRPr="00097064">
        <w:rPr>
          <w:rStyle w:val="FootnoteReference"/>
        </w:rPr>
        <w:footnoteRef/>
      </w:r>
      <w:r w:rsidRPr="00097064">
        <w:t xml:space="preserve"> Panel Report, </w:t>
      </w:r>
      <w:r>
        <w:t>para. </w:t>
      </w:r>
      <w:r w:rsidRPr="00097064">
        <w:t>6.595.</w:t>
      </w:r>
    </w:p>
  </w:footnote>
  <w:footnote w:id="562">
    <w:p w:rsidR="00FD2727" w:rsidRPr="00097064" w:rsidRDefault="00FD2727" w:rsidP="00206326">
      <w:pPr>
        <w:pStyle w:val="FootnoteText"/>
        <w:keepLines/>
      </w:pPr>
      <w:r w:rsidRPr="00097064">
        <w:rPr>
          <w:rStyle w:val="FootnoteReference"/>
        </w:rPr>
        <w:footnoteRef/>
      </w:r>
      <w:r w:rsidRPr="00097064">
        <w:t xml:space="preserve"> Panel Report, </w:t>
      </w:r>
      <w:r>
        <w:t>para. </w:t>
      </w:r>
      <w:r w:rsidRPr="00097064">
        <w:t xml:space="preserve">6.595 (referring to </w:t>
      </w:r>
      <w:r>
        <w:t xml:space="preserve">Original </w:t>
      </w:r>
      <w:r w:rsidRPr="00097064">
        <w:t>Panel Report</w:t>
      </w:r>
      <w:r w:rsidRPr="00026108">
        <w:t>,</w:t>
      </w:r>
      <w:r w:rsidRPr="00097064">
        <w:rPr>
          <w:i/>
        </w:rPr>
        <w:t xml:space="preserve"> </w:t>
      </w:r>
      <w:r>
        <w:t>para. </w:t>
      </w:r>
      <w:r w:rsidRPr="00097064">
        <w:t>7.481</w:t>
      </w:r>
      <w:r>
        <w:t>;</w:t>
      </w:r>
      <w:r w:rsidRPr="00097064">
        <w:t xml:space="preserve"> </w:t>
      </w:r>
      <w:r>
        <w:t>Appellate Body</w:t>
      </w:r>
      <w:r w:rsidRPr="00097064">
        <w:t xml:space="preserve"> Report, </w:t>
      </w:r>
      <w:r>
        <w:rPr>
          <w:i/>
        </w:rPr>
        <w:t>EC </w:t>
      </w:r>
      <w:r w:rsidRPr="00097064">
        <w:rPr>
          <w:i/>
        </w:rPr>
        <w:t>and certain member States – Large Civil Aircraft</w:t>
      </w:r>
      <w:r w:rsidRPr="00097064">
        <w:t xml:space="preserve">, </w:t>
      </w:r>
      <w:r>
        <w:t>para. </w:t>
      </w:r>
      <w:r w:rsidRPr="00097064">
        <w:t>923).</w:t>
      </w:r>
    </w:p>
  </w:footnote>
  <w:footnote w:id="563">
    <w:p w:rsidR="00FD2727" w:rsidRPr="00097064" w:rsidRDefault="00FD2727" w:rsidP="00206326">
      <w:pPr>
        <w:pStyle w:val="FootnoteText"/>
        <w:keepLines/>
      </w:pPr>
      <w:r w:rsidRPr="00097064">
        <w:rPr>
          <w:rStyle w:val="FootnoteReference"/>
        </w:rPr>
        <w:footnoteRef/>
      </w:r>
      <w:r w:rsidRPr="00097064">
        <w:t xml:space="preserve"> Panel Report, </w:t>
      </w:r>
      <w:r>
        <w:t>para. </w:t>
      </w:r>
      <w:r w:rsidRPr="00097064">
        <w:t>6.595.</w:t>
      </w:r>
    </w:p>
  </w:footnote>
  <w:footnote w:id="564">
    <w:p w:rsidR="00FD2727" w:rsidRPr="00097064" w:rsidRDefault="00FD2727" w:rsidP="00206326">
      <w:pPr>
        <w:pStyle w:val="FootnoteText"/>
        <w:keepLines/>
      </w:pPr>
      <w:r w:rsidRPr="00097064">
        <w:rPr>
          <w:rStyle w:val="FootnoteReference"/>
        </w:rPr>
        <w:footnoteRef/>
      </w:r>
      <w:r w:rsidRPr="00097064">
        <w:t xml:space="preserve"> Panel Report, </w:t>
      </w:r>
      <w:r>
        <w:t>para. </w:t>
      </w:r>
      <w:r w:rsidRPr="00097064">
        <w:t xml:space="preserve">6.596 (quoting </w:t>
      </w:r>
      <w:r>
        <w:t>European Union</w:t>
      </w:r>
      <w:r w:rsidRPr="00097064">
        <w:t xml:space="preserve">'s response to Panel question No. 100, </w:t>
      </w:r>
      <w:r>
        <w:t>para. </w:t>
      </w:r>
      <w:r w:rsidRPr="00097064">
        <w:t>406).</w:t>
      </w:r>
    </w:p>
  </w:footnote>
  <w:footnote w:id="565">
    <w:p w:rsidR="00FD2727" w:rsidRPr="00097064" w:rsidRDefault="00FD2727" w:rsidP="00206326">
      <w:pPr>
        <w:pStyle w:val="FootnoteText"/>
        <w:keepLines/>
      </w:pPr>
      <w:r w:rsidRPr="00097064">
        <w:rPr>
          <w:rStyle w:val="FootnoteReference"/>
        </w:rPr>
        <w:footnoteRef/>
      </w:r>
      <w:r w:rsidRPr="00097064">
        <w:t xml:space="preserve"> Panel Report, </w:t>
      </w:r>
      <w:r>
        <w:t>para. </w:t>
      </w:r>
      <w:r w:rsidRPr="00097064">
        <w:t>6.604.</w:t>
      </w:r>
    </w:p>
  </w:footnote>
  <w:footnote w:id="566">
    <w:p w:rsidR="00FD2727" w:rsidRPr="00097064" w:rsidRDefault="00FD2727" w:rsidP="00206326">
      <w:pPr>
        <w:pStyle w:val="FootnoteText"/>
        <w:keepLines/>
      </w:pPr>
      <w:r w:rsidRPr="00097064">
        <w:rPr>
          <w:rStyle w:val="FootnoteReference"/>
        </w:rPr>
        <w:footnoteRef/>
      </w:r>
      <w:r w:rsidRPr="00097064">
        <w:t xml:space="preserve"> Panel Report, </w:t>
      </w:r>
      <w:r>
        <w:t>para. </w:t>
      </w:r>
      <w:r w:rsidRPr="00097064">
        <w:t>6.607.</w:t>
      </w:r>
    </w:p>
  </w:footnote>
  <w:footnote w:id="567">
    <w:p w:rsidR="00FD2727" w:rsidRDefault="00FD2727" w:rsidP="00206326">
      <w:pPr>
        <w:pStyle w:val="FootnoteText"/>
        <w:keepLines/>
      </w:pPr>
      <w:r>
        <w:rPr>
          <w:rStyle w:val="FootnoteReference"/>
        </w:rPr>
        <w:footnoteRef/>
      </w:r>
      <w:r>
        <w:t xml:space="preserve"> </w:t>
      </w:r>
      <w:r w:rsidRPr="00097064">
        <w:t xml:space="preserve">Panel Report, </w:t>
      </w:r>
      <w:r>
        <w:t>para. </w:t>
      </w:r>
      <w:r w:rsidRPr="00097064">
        <w:t>6.60</w:t>
      </w:r>
      <w:r>
        <w:t>8</w:t>
      </w:r>
      <w:r w:rsidRPr="00097064">
        <w:t>.</w:t>
      </w:r>
    </w:p>
  </w:footnote>
  <w:footnote w:id="568">
    <w:p w:rsidR="00FD2727" w:rsidRDefault="00FD2727" w:rsidP="00206326">
      <w:pPr>
        <w:pStyle w:val="FootnoteText"/>
        <w:keepLines/>
      </w:pPr>
      <w:r>
        <w:rPr>
          <w:rStyle w:val="FootnoteReference"/>
        </w:rPr>
        <w:footnoteRef/>
      </w:r>
      <w:r>
        <w:t xml:space="preserve"> </w:t>
      </w:r>
      <w:r w:rsidRPr="00097064">
        <w:t xml:space="preserve">Panel Report, </w:t>
      </w:r>
      <w:r>
        <w:t>para. </w:t>
      </w:r>
      <w:r w:rsidRPr="00097064">
        <w:t>6.6</w:t>
      </w:r>
      <w:r>
        <w:t>10</w:t>
      </w:r>
      <w:r w:rsidRPr="00097064">
        <w:t>.</w:t>
      </w:r>
    </w:p>
  </w:footnote>
  <w:footnote w:id="569">
    <w:p w:rsidR="00FD2727" w:rsidRPr="00C43C1B" w:rsidRDefault="00FD2727">
      <w:pPr>
        <w:pStyle w:val="FootnoteText"/>
      </w:pPr>
      <w:r>
        <w:rPr>
          <w:rStyle w:val="FootnoteReference"/>
        </w:rPr>
        <w:footnoteRef/>
      </w:r>
      <w:r>
        <w:t xml:space="preserve"> European Union's appellant's submission, </w:t>
      </w:r>
      <w:r w:rsidRPr="002E0F1D">
        <w:t>section V.D.1</w:t>
      </w:r>
      <w:r>
        <w:t>.</w:t>
      </w:r>
    </w:p>
  </w:footnote>
  <w:footnote w:id="570">
    <w:p w:rsidR="00FD2727" w:rsidRPr="00A453EC" w:rsidRDefault="00FD2727" w:rsidP="00206326">
      <w:pPr>
        <w:pStyle w:val="FootnoteText"/>
      </w:pPr>
      <w:r>
        <w:rPr>
          <w:rStyle w:val="FootnoteReference"/>
        </w:rPr>
        <w:footnoteRef/>
      </w:r>
      <w:r>
        <w:t xml:space="preserve"> European Union's </w:t>
      </w:r>
      <w:r w:rsidRPr="00A453EC">
        <w:t>appellant's submission, section V.D.1.a.ii.</w:t>
      </w:r>
    </w:p>
  </w:footnote>
  <w:footnote w:id="571">
    <w:p w:rsidR="00FD2727" w:rsidRPr="00A453EC" w:rsidRDefault="00FD2727" w:rsidP="00206326">
      <w:pPr>
        <w:pStyle w:val="FootnoteText"/>
      </w:pPr>
      <w:r w:rsidRPr="00A453EC">
        <w:rPr>
          <w:rStyle w:val="FootnoteReference"/>
        </w:rPr>
        <w:footnoteRef/>
      </w:r>
      <w:r w:rsidRPr="00A453EC">
        <w:t xml:space="preserve"> </w:t>
      </w:r>
      <w:r>
        <w:t>European Union</w:t>
      </w:r>
      <w:r w:rsidRPr="00A453EC">
        <w:t>'s appellant's submission, section V.D.1.a.iii.</w:t>
      </w:r>
    </w:p>
  </w:footnote>
  <w:footnote w:id="572">
    <w:p w:rsidR="00FD2727" w:rsidRPr="00A453EC" w:rsidRDefault="00FD2727" w:rsidP="00206326">
      <w:pPr>
        <w:pStyle w:val="FootnoteText"/>
        <w:keepLines/>
      </w:pPr>
      <w:r w:rsidRPr="00A453EC">
        <w:rPr>
          <w:rStyle w:val="FootnoteReference"/>
        </w:rPr>
        <w:footnoteRef/>
      </w:r>
      <w:r w:rsidRPr="00A453EC">
        <w:t xml:space="preserve"> </w:t>
      </w:r>
      <w:r>
        <w:t>European Union</w:t>
      </w:r>
      <w:r w:rsidRPr="00A453EC">
        <w:t xml:space="preserve">'s appellant's submission, </w:t>
      </w:r>
      <w:r>
        <w:t>para. </w:t>
      </w:r>
      <w:r w:rsidRPr="00A453EC">
        <w:t>406.</w:t>
      </w:r>
    </w:p>
  </w:footnote>
  <w:footnote w:id="573">
    <w:p w:rsidR="00FD2727" w:rsidRPr="00A453EC" w:rsidRDefault="00FD2727" w:rsidP="00206326">
      <w:pPr>
        <w:pStyle w:val="FootnoteText"/>
      </w:pPr>
      <w:r w:rsidRPr="00A453EC">
        <w:rPr>
          <w:rStyle w:val="FootnoteReference"/>
        </w:rPr>
        <w:footnoteRef/>
      </w:r>
      <w:r w:rsidRPr="00A453EC">
        <w:t xml:space="preserve"> </w:t>
      </w:r>
      <w:r>
        <w:t>European Union</w:t>
      </w:r>
      <w:r w:rsidRPr="00A453EC">
        <w:t xml:space="preserve">'s appellant's submission, </w:t>
      </w:r>
      <w:r>
        <w:t>para. </w:t>
      </w:r>
      <w:r w:rsidRPr="00A453EC">
        <w:t>408.</w:t>
      </w:r>
    </w:p>
  </w:footnote>
  <w:footnote w:id="574">
    <w:p w:rsidR="00FD2727" w:rsidRPr="00A453EC" w:rsidRDefault="00FD2727">
      <w:pPr>
        <w:pStyle w:val="FootnoteText"/>
      </w:pPr>
      <w:r w:rsidRPr="00A453EC">
        <w:rPr>
          <w:rStyle w:val="FootnoteReference"/>
        </w:rPr>
        <w:footnoteRef/>
      </w:r>
      <w:r w:rsidRPr="00A453EC">
        <w:t xml:space="preserve"> </w:t>
      </w:r>
      <w:r>
        <w:t>European Union</w:t>
      </w:r>
      <w:r w:rsidRPr="00A453EC">
        <w:t xml:space="preserve">'s appellant's submission, </w:t>
      </w:r>
      <w:r>
        <w:t>para. </w:t>
      </w:r>
      <w:r w:rsidRPr="00A453EC">
        <w:t>409.</w:t>
      </w:r>
    </w:p>
  </w:footnote>
  <w:footnote w:id="575">
    <w:p w:rsidR="00FD2727" w:rsidRDefault="00FD2727" w:rsidP="00206326">
      <w:pPr>
        <w:pStyle w:val="FootnoteText"/>
        <w:keepLines/>
      </w:pPr>
      <w:r w:rsidRPr="00A453EC">
        <w:rPr>
          <w:rStyle w:val="FootnoteReference"/>
        </w:rPr>
        <w:footnoteRef/>
      </w:r>
      <w:r w:rsidRPr="00A453EC">
        <w:t xml:space="preserve"> </w:t>
      </w:r>
      <w:r>
        <w:t>European Union</w:t>
      </w:r>
      <w:r w:rsidRPr="00A453EC">
        <w:t xml:space="preserve">'s appellant's submission, </w:t>
      </w:r>
      <w:r>
        <w:t>para. 3</w:t>
      </w:r>
      <w:r w:rsidRPr="00A453EC">
        <w:t>69. (emphasis</w:t>
      </w:r>
      <w:r>
        <w:t xml:space="preserve"> original)</w:t>
      </w:r>
    </w:p>
  </w:footnote>
  <w:footnote w:id="576">
    <w:p w:rsidR="00FD2727" w:rsidRPr="00097064" w:rsidRDefault="00FD2727" w:rsidP="00206326">
      <w:pPr>
        <w:pStyle w:val="FootnoteText"/>
        <w:keepLines/>
      </w:pPr>
      <w:r w:rsidRPr="00097064">
        <w:rPr>
          <w:rStyle w:val="FootnoteReference"/>
        </w:rPr>
        <w:footnoteRef/>
      </w:r>
      <w:r w:rsidRPr="00097064">
        <w:t xml:space="preserve"> </w:t>
      </w:r>
      <w:r>
        <w:t>European Union</w:t>
      </w:r>
      <w:r w:rsidRPr="00097064">
        <w:t xml:space="preserve">'s appellant's submission, </w:t>
      </w:r>
      <w:r>
        <w:t>paras. </w:t>
      </w:r>
      <w:r w:rsidRPr="00097064">
        <w:t>368-369.</w:t>
      </w:r>
    </w:p>
  </w:footnote>
  <w:footnote w:id="577">
    <w:p w:rsidR="00FD2727" w:rsidRPr="00097064" w:rsidRDefault="00FD2727" w:rsidP="00206326">
      <w:pPr>
        <w:pStyle w:val="FootnoteText"/>
        <w:keepLines/>
      </w:pPr>
      <w:r w:rsidRPr="00097064">
        <w:rPr>
          <w:rStyle w:val="FootnoteReference"/>
        </w:rPr>
        <w:footnoteRef/>
      </w:r>
      <w:r w:rsidRPr="00097064">
        <w:t xml:space="preserve"> </w:t>
      </w:r>
      <w:r>
        <w:t>European Union</w:t>
      </w:r>
      <w:r w:rsidRPr="00097064">
        <w:t xml:space="preserve">'s appellant's submission, </w:t>
      </w:r>
      <w:r>
        <w:t>para. </w:t>
      </w:r>
      <w:r w:rsidRPr="00097064">
        <w:t xml:space="preserve">372 (quoting </w:t>
      </w:r>
      <w:r>
        <w:t>Article </w:t>
      </w:r>
      <w:r w:rsidRPr="00097064">
        <w:t xml:space="preserve">14(b) of the </w:t>
      </w:r>
      <w:r>
        <w:t>SCM Agreement</w:t>
      </w:r>
      <w:r w:rsidRPr="00097064">
        <w:t xml:space="preserve"> (emphasis added by the </w:t>
      </w:r>
      <w:r>
        <w:t>European Union</w:t>
      </w:r>
      <w:r w:rsidRPr="00097064">
        <w:t>)).</w:t>
      </w:r>
      <w:r>
        <w:t xml:space="preserve"> (additional text in fn 333 thereto omitted)</w:t>
      </w:r>
    </w:p>
  </w:footnote>
  <w:footnote w:id="578">
    <w:p w:rsidR="00FD2727" w:rsidRPr="00097064" w:rsidRDefault="00FD2727" w:rsidP="00206326">
      <w:pPr>
        <w:pStyle w:val="FootnoteText"/>
        <w:keepLines/>
      </w:pPr>
      <w:r w:rsidRPr="00097064">
        <w:rPr>
          <w:rStyle w:val="FootnoteReference"/>
        </w:rPr>
        <w:footnoteRef/>
      </w:r>
      <w:r w:rsidRPr="00097064">
        <w:t xml:space="preserve"> </w:t>
      </w:r>
      <w:r>
        <w:t>European Union</w:t>
      </w:r>
      <w:r w:rsidRPr="00097064">
        <w:t xml:space="preserve">'s appellant's submission, </w:t>
      </w:r>
      <w:r>
        <w:t>para. </w:t>
      </w:r>
      <w:r w:rsidRPr="00097064">
        <w:t xml:space="preserve">372 (quoting </w:t>
      </w:r>
      <w:r>
        <w:t>Appellate Body</w:t>
      </w:r>
      <w:r w:rsidRPr="00097064">
        <w:t xml:space="preserve"> Report, </w:t>
      </w:r>
      <w:r>
        <w:rPr>
          <w:i/>
        </w:rPr>
        <w:t>US ‒ Anti</w:t>
      </w:r>
      <w:r>
        <w:rPr>
          <w:i/>
        </w:rPr>
        <w:noBreakHyphen/>
      </w:r>
      <w:r w:rsidRPr="00097064">
        <w:rPr>
          <w:i/>
        </w:rPr>
        <w:t>Dumping and Countervailing Duties (China)</w:t>
      </w:r>
      <w:r w:rsidRPr="00097064">
        <w:t xml:space="preserve">, </w:t>
      </w:r>
      <w:r>
        <w:t>para. </w:t>
      </w:r>
      <w:r w:rsidRPr="00097064">
        <w:t>476</w:t>
      </w:r>
      <w:r>
        <w:t xml:space="preserve"> (emphasis added by the European Union); referring to Appellate Body Report, </w:t>
      </w:r>
      <w:r>
        <w:rPr>
          <w:i/>
          <w:iCs/>
        </w:rPr>
        <w:t>US – Carbon Steel (India)</w:t>
      </w:r>
      <w:r>
        <w:rPr>
          <w:iCs/>
        </w:rPr>
        <w:t>, para. </w:t>
      </w:r>
      <w:r>
        <w:t>4.345</w:t>
      </w:r>
      <w:r w:rsidRPr="00097064">
        <w:t>).</w:t>
      </w:r>
    </w:p>
  </w:footnote>
  <w:footnote w:id="579">
    <w:p w:rsidR="00FD2727" w:rsidRPr="00097064" w:rsidRDefault="00FD2727" w:rsidP="00206326">
      <w:pPr>
        <w:pStyle w:val="FootnoteText"/>
        <w:keepLines/>
      </w:pPr>
      <w:r w:rsidRPr="00097064">
        <w:rPr>
          <w:rStyle w:val="FootnoteReference"/>
        </w:rPr>
        <w:footnoteRef/>
      </w:r>
      <w:r w:rsidRPr="00097064">
        <w:t xml:space="preserve"> </w:t>
      </w:r>
      <w:r>
        <w:t>European Union</w:t>
      </w:r>
      <w:r w:rsidRPr="00097064">
        <w:t xml:space="preserve">'s appellant's submission, </w:t>
      </w:r>
      <w:r>
        <w:t>para. </w:t>
      </w:r>
      <w:r w:rsidRPr="00097064">
        <w:t>374. (emphasis original; fn omitted)</w:t>
      </w:r>
    </w:p>
  </w:footnote>
  <w:footnote w:id="580">
    <w:p w:rsidR="00FD2727" w:rsidRPr="00097064" w:rsidRDefault="00FD2727" w:rsidP="00206326">
      <w:pPr>
        <w:pStyle w:val="FootnoteText"/>
        <w:keepNext/>
        <w:keepLines/>
      </w:pPr>
      <w:r w:rsidRPr="00097064">
        <w:rPr>
          <w:rStyle w:val="FootnoteReference"/>
        </w:rPr>
        <w:footnoteRef/>
      </w:r>
      <w:r w:rsidRPr="00097064">
        <w:t xml:space="preserve"> </w:t>
      </w:r>
      <w:r>
        <w:t>European Union</w:t>
      </w:r>
      <w:r w:rsidRPr="00097064">
        <w:t xml:space="preserve">'s appellant's submission, </w:t>
      </w:r>
      <w:r>
        <w:t>para. </w:t>
      </w:r>
      <w:r w:rsidRPr="00097064">
        <w:t xml:space="preserve">374. The </w:t>
      </w:r>
      <w:r>
        <w:t>European Union</w:t>
      </w:r>
      <w:r w:rsidRPr="00097064">
        <w:t xml:space="preserve"> adds that, "{i}f a properly</w:t>
      </w:r>
      <w:r>
        <w:noBreakHyphen/>
      </w:r>
      <w:r w:rsidRPr="00097064">
        <w:t xml:space="preserve">executed progressive search for a benchmark nonetheless results in an imperfect match, with the selection of a commercial loan that reflects </w:t>
      </w:r>
      <w:r w:rsidRPr="00097064">
        <w:rPr>
          <w:i/>
        </w:rPr>
        <w:t>differences</w:t>
      </w:r>
      <w:r w:rsidRPr="00097064">
        <w:t xml:space="preserve"> with the investigated loan, </w:t>
      </w:r>
      <w:r w:rsidRPr="00097064">
        <w:rPr>
          <w:i/>
        </w:rPr>
        <w:t>adjustments</w:t>
      </w:r>
      <w:r w:rsidRPr="00097064">
        <w:t xml:space="preserve"> must be made to ensure comparability with the investigated loan." (</w:t>
      </w:r>
      <w:r>
        <w:t>Ibid.</w:t>
      </w:r>
      <w:r w:rsidRPr="00097064">
        <w:t xml:space="preserve">, </w:t>
      </w:r>
      <w:r>
        <w:t>para. </w:t>
      </w:r>
      <w:r w:rsidRPr="00097064">
        <w:t xml:space="preserve">377 (referring to </w:t>
      </w:r>
      <w:r>
        <w:t>Appellate Body</w:t>
      </w:r>
      <w:r w:rsidRPr="00097064">
        <w:t xml:space="preserve"> Report, </w:t>
      </w:r>
      <w:r w:rsidRPr="00097064">
        <w:rPr>
          <w:i/>
        </w:rPr>
        <w:t>US</w:t>
      </w:r>
      <w:r>
        <w:rPr>
          <w:i/>
        </w:rPr>
        <w:t> ‒ </w:t>
      </w:r>
      <w:r w:rsidRPr="00097064">
        <w:rPr>
          <w:i/>
        </w:rPr>
        <w:t>Anti-Dumping and Countervailing Duties (China)</w:t>
      </w:r>
      <w:r w:rsidRPr="00097064">
        <w:t xml:space="preserve">, </w:t>
      </w:r>
      <w:r>
        <w:t>para. </w:t>
      </w:r>
      <w:r w:rsidRPr="00097064">
        <w:t>486)</w:t>
      </w:r>
      <w:r w:rsidRPr="00F974A0">
        <w:t xml:space="preserve"> </w:t>
      </w:r>
      <w:r>
        <w:t>(emphasis original))</w:t>
      </w:r>
    </w:p>
  </w:footnote>
  <w:footnote w:id="581">
    <w:p w:rsidR="00FD2727" w:rsidRPr="00097064" w:rsidRDefault="00FD2727" w:rsidP="00206326">
      <w:pPr>
        <w:pStyle w:val="FootnoteText"/>
        <w:keepLines/>
      </w:pPr>
      <w:r w:rsidRPr="00097064">
        <w:rPr>
          <w:rStyle w:val="FootnoteReference"/>
        </w:rPr>
        <w:footnoteRef/>
      </w:r>
      <w:r w:rsidRPr="00097064">
        <w:t xml:space="preserve"> </w:t>
      </w:r>
      <w:r>
        <w:t>European Union</w:t>
      </w:r>
      <w:r w:rsidRPr="00097064">
        <w:t xml:space="preserve">'s appellant's submission, </w:t>
      </w:r>
      <w:r>
        <w:t>para. </w:t>
      </w:r>
      <w:r w:rsidRPr="00097064">
        <w:t>380 (</w:t>
      </w:r>
      <w:r>
        <w:t>quoting</w:t>
      </w:r>
      <w:r w:rsidRPr="00097064">
        <w:t xml:space="preserve"> </w:t>
      </w:r>
      <w:r>
        <w:t>Appellate Body</w:t>
      </w:r>
      <w:r w:rsidRPr="00097064">
        <w:t xml:space="preserve"> Report, </w:t>
      </w:r>
      <w:r w:rsidRPr="00097064">
        <w:rPr>
          <w:i/>
        </w:rPr>
        <w:t>US</w:t>
      </w:r>
      <w:r>
        <w:rPr>
          <w:i/>
        </w:rPr>
        <w:t> ‒ </w:t>
      </w:r>
      <w:r w:rsidRPr="00097064">
        <w:rPr>
          <w:i/>
        </w:rPr>
        <w:t>Anti</w:t>
      </w:r>
      <w:r>
        <w:rPr>
          <w:i/>
        </w:rPr>
        <w:noBreakHyphen/>
      </w:r>
      <w:r w:rsidRPr="00097064">
        <w:rPr>
          <w:i/>
        </w:rPr>
        <w:t>Dumping and Countervailing Duties (China)</w:t>
      </w:r>
      <w:r w:rsidRPr="00097064">
        <w:t xml:space="preserve">, </w:t>
      </w:r>
      <w:r>
        <w:t>paras. </w:t>
      </w:r>
      <w:r w:rsidRPr="00097064">
        <w:t>476 and 486</w:t>
      </w:r>
      <w:r>
        <w:t xml:space="preserve">; referring to Appellate Body Report, </w:t>
      </w:r>
      <w:r>
        <w:rPr>
          <w:i/>
          <w:iCs/>
        </w:rPr>
        <w:t>US – Carbon Steel (India)</w:t>
      </w:r>
      <w:r>
        <w:rPr>
          <w:iCs/>
        </w:rPr>
        <w:t>, para. </w:t>
      </w:r>
      <w:r>
        <w:t>4.345</w:t>
      </w:r>
      <w:r w:rsidRPr="00097064">
        <w:t>).</w:t>
      </w:r>
    </w:p>
  </w:footnote>
  <w:footnote w:id="582">
    <w:p w:rsidR="00FD2727" w:rsidRPr="00FC3605" w:rsidRDefault="00FD2727" w:rsidP="00206326">
      <w:pPr>
        <w:pStyle w:val="FootnoteText"/>
        <w:keepLines/>
        <w:rPr>
          <w:lang w:val="en-US"/>
        </w:rPr>
      </w:pPr>
      <w:r>
        <w:rPr>
          <w:rStyle w:val="FootnoteReference"/>
        </w:rPr>
        <w:footnoteRef/>
      </w:r>
      <w:r>
        <w:t xml:space="preserve"> European Union</w:t>
      </w:r>
      <w:r w:rsidRPr="00097064">
        <w:t xml:space="preserve">'s appellant's submission, </w:t>
      </w:r>
      <w:r>
        <w:t>para. </w:t>
      </w:r>
      <w:r w:rsidRPr="00097064">
        <w:t>384.</w:t>
      </w:r>
    </w:p>
  </w:footnote>
  <w:footnote w:id="583">
    <w:p w:rsidR="00FD2727" w:rsidRPr="00097064" w:rsidRDefault="00FD2727" w:rsidP="00206326">
      <w:pPr>
        <w:pStyle w:val="FootnoteText"/>
        <w:keepLines/>
      </w:pPr>
      <w:r w:rsidRPr="00097064">
        <w:rPr>
          <w:rStyle w:val="FootnoteReference"/>
        </w:rPr>
        <w:footnoteRef/>
      </w:r>
      <w:r w:rsidRPr="00097064">
        <w:t xml:space="preserve"> </w:t>
      </w:r>
      <w:r>
        <w:t>European Union</w:t>
      </w:r>
      <w:r w:rsidRPr="00097064">
        <w:t xml:space="preserve">'s appellant's submission, </w:t>
      </w:r>
      <w:r>
        <w:t>paras. </w:t>
      </w:r>
      <w:r w:rsidRPr="00097064">
        <w:t>393-395.</w:t>
      </w:r>
    </w:p>
  </w:footnote>
  <w:footnote w:id="584">
    <w:p w:rsidR="00FD2727" w:rsidRPr="00097064" w:rsidRDefault="00FD2727" w:rsidP="00206326">
      <w:pPr>
        <w:pStyle w:val="FootnoteText"/>
        <w:keepLines/>
      </w:pPr>
      <w:r w:rsidRPr="00097064">
        <w:rPr>
          <w:rStyle w:val="FootnoteReference"/>
        </w:rPr>
        <w:footnoteRef/>
      </w:r>
      <w:r w:rsidRPr="00097064">
        <w:t xml:space="preserve"> </w:t>
      </w:r>
      <w:r>
        <w:t>United States</w:t>
      </w:r>
      <w:r w:rsidRPr="00097064">
        <w:t xml:space="preserve">' appellee's submission, </w:t>
      </w:r>
      <w:r>
        <w:t>para. </w:t>
      </w:r>
      <w:r w:rsidRPr="00097064">
        <w:t xml:space="preserve">221 (quoting Panel Report, </w:t>
      </w:r>
      <w:r>
        <w:t>para. </w:t>
      </w:r>
      <w:r w:rsidRPr="00097064">
        <w:t>6.459).</w:t>
      </w:r>
    </w:p>
  </w:footnote>
  <w:footnote w:id="585">
    <w:p w:rsidR="00FD2727" w:rsidRPr="00097064" w:rsidRDefault="00FD2727" w:rsidP="00206326">
      <w:pPr>
        <w:pStyle w:val="FootnoteText"/>
        <w:keepLines/>
      </w:pPr>
      <w:r w:rsidRPr="00097064">
        <w:rPr>
          <w:rStyle w:val="FootnoteReference"/>
        </w:rPr>
        <w:footnoteRef/>
      </w:r>
      <w:r w:rsidRPr="00097064">
        <w:t xml:space="preserve"> </w:t>
      </w:r>
      <w:r>
        <w:t>United States</w:t>
      </w:r>
      <w:r w:rsidRPr="00097064">
        <w:t xml:space="preserve">' appellee's submission, </w:t>
      </w:r>
      <w:r>
        <w:t>para. </w:t>
      </w:r>
      <w:r w:rsidRPr="00097064">
        <w:t>222.</w:t>
      </w:r>
    </w:p>
  </w:footnote>
  <w:footnote w:id="586">
    <w:p w:rsidR="00FD2727" w:rsidRPr="00097064" w:rsidRDefault="00FD2727" w:rsidP="00206326">
      <w:pPr>
        <w:pStyle w:val="FootnoteText"/>
        <w:keepLines/>
      </w:pPr>
      <w:r w:rsidRPr="00097064">
        <w:rPr>
          <w:rStyle w:val="FootnoteReference"/>
        </w:rPr>
        <w:footnoteRef/>
      </w:r>
      <w:r w:rsidRPr="00097064">
        <w:t xml:space="preserve"> </w:t>
      </w:r>
      <w:r>
        <w:t>United States</w:t>
      </w:r>
      <w:r w:rsidRPr="00097064">
        <w:t xml:space="preserve">' appellee's submission, </w:t>
      </w:r>
      <w:r>
        <w:t>para. </w:t>
      </w:r>
      <w:r w:rsidRPr="00097064">
        <w:t>228.</w:t>
      </w:r>
    </w:p>
  </w:footnote>
  <w:footnote w:id="587">
    <w:p w:rsidR="00FD2727" w:rsidRPr="00097064" w:rsidRDefault="00FD2727" w:rsidP="00206326">
      <w:pPr>
        <w:pStyle w:val="FootnoteText"/>
        <w:keepLines/>
      </w:pPr>
      <w:r w:rsidRPr="00097064">
        <w:rPr>
          <w:rStyle w:val="FootnoteReference"/>
        </w:rPr>
        <w:footnoteRef/>
      </w:r>
      <w:r w:rsidRPr="00097064">
        <w:t xml:space="preserve"> </w:t>
      </w:r>
      <w:r>
        <w:t>United States</w:t>
      </w:r>
      <w:r w:rsidRPr="00097064">
        <w:t xml:space="preserve">' appellee's submission, </w:t>
      </w:r>
      <w:r>
        <w:t>para. </w:t>
      </w:r>
      <w:r w:rsidRPr="00097064">
        <w:t xml:space="preserve">228 (referring to Panel Report, </w:t>
      </w:r>
      <w:r>
        <w:t>para. </w:t>
      </w:r>
      <w:r w:rsidRPr="00097064">
        <w:t>6.434).</w:t>
      </w:r>
    </w:p>
  </w:footnote>
  <w:footnote w:id="588">
    <w:p w:rsidR="00FD2727" w:rsidRPr="00097064" w:rsidRDefault="00FD2727" w:rsidP="00206326">
      <w:pPr>
        <w:pStyle w:val="FootnoteText"/>
        <w:keepLines/>
      </w:pPr>
      <w:r w:rsidRPr="00097064">
        <w:rPr>
          <w:rStyle w:val="FootnoteReference"/>
        </w:rPr>
        <w:footnoteRef/>
      </w:r>
      <w:r w:rsidRPr="00097064">
        <w:t xml:space="preserve"> </w:t>
      </w:r>
      <w:r>
        <w:t>United States</w:t>
      </w:r>
      <w:r w:rsidRPr="00097064">
        <w:t xml:space="preserve">' appellee's submission, </w:t>
      </w:r>
      <w:r>
        <w:t>para. </w:t>
      </w:r>
      <w:r w:rsidRPr="00097064">
        <w:t xml:space="preserve">229 (quoting </w:t>
      </w:r>
      <w:r>
        <w:t>Appellate Body</w:t>
      </w:r>
      <w:r w:rsidRPr="00097064">
        <w:t xml:space="preserve"> Report, </w:t>
      </w:r>
      <w:r w:rsidRPr="00097064">
        <w:rPr>
          <w:i/>
        </w:rPr>
        <w:t>EC ‒ Fasteners (China)</w:t>
      </w:r>
      <w:r w:rsidRPr="00097064">
        <w:t xml:space="preserve">, </w:t>
      </w:r>
      <w:r>
        <w:t>para. </w:t>
      </w:r>
      <w:r w:rsidRPr="00097064">
        <w:t>566 (emphasis original)).</w:t>
      </w:r>
    </w:p>
  </w:footnote>
  <w:footnote w:id="589">
    <w:p w:rsidR="00FD2727" w:rsidRPr="00097064" w:rsidRDefault="00FD2727" w:rsidP="00206326">
      <w:pPr>
        <w:pStyle w:val="FootnoteText"/>
        <w:keepLines/>
      </w:pPr>
      <w:r w:rsidRPr="00097064">
        <w:rPr>
          <w:rStyle w:val="FootnoteReference"/>
        </w:rPr>
        <w:footnoteRef/>
      </w:r>
      <w:r w:rsidRPr="00097064">
        <w:t xml:space="preserve"> </w:t>
      </w:r>
      <w:r>
        <w:t>United States</w:t>
      </w:r>
      <w:r w:rsidRPr="00097064">
        <w:t xml:space="preserve">' appellee's submission, </w:t>
      </w:r>
      <w:r>
        <w:t>paras. </w:t>
      </w:r>
      <w:r w:rsidRPr="00097064">
        <w:t xml:space="preserve">231-232. In support of this argument, the </w:t>
      </w:r>
      <w:r>
        <w:t>United States</w:t>
      </w:r>
      <w:r w:rsidRPr="00097064">
        <w:t xml:space="preserve"> refers to the "affirmative obligation" of domestic authorities in terms of </w:t>
      </w:r>
      <w:r>
        <w:t>Article </w:t>
      </w:r>
      <w:r w:rsidRPr="00097064">
        <w:t xml:space="preserve">11.1 of the </w:t>
      </w:r>
      <w:r>
        <w:t>SCM Agreement</w:t>
      </w:r>
      <w:r w:rsidRPr="00097064">
        <w:t>, of which a "progressive search" would be one aspect. (Ibid.</w:t>
      </w:r>
      <w:r>
        <w:t>,</w:t>
      </w:r>
      <w:r w:rsidRPr="00097064">
        <w:t xml:space="preserve"> </w:t>
      </w:r>
      <w:r>
        <w:t>para. </w:t>
      </w:r>
      <w:r w:rsidRPr="00097064">
        <w:t>232)</w:t>
      </w:r>
    </w:p>
  </w:footnote>
  <w:footnote w:id="590">
    <w:p w:rsidR="00FD2727" w:rsidRPr="00097064" w:rsidRDefault="00FD2727" w:rsidP="00206326">
      <w:pPr>
        <w:pStyle w:val="FootnoteText"/>
        <w:keepLines/>
      </w:pPr>
      <w:r w:rsidRPr="00097064">
        <w:rPr>
          <w:rStyle w:val="FootnoteReference"/>
        </w:rPr>
        <w:footnoteRef/>
      </w:r>
      <w:r w:rsidRPr="00097064">
        <w:t xml:space="preserve"> </w:t>
      </w:r>
      <w:r>
        <w:t>United States</w:t>
      </w:r>
      <w:r w:rsidRPr="00097064">
        <w:t xml:space="preserve">' appellee's submission, </w:t>
      </w:r>
      <w:r>
        <w:t>para. </w:t>
      </w:r>
      <w:r w:rsidRPr="00097064">
        <w:t>233.</w:t>
      </w:r>
    </w:p>
  </w:footnote>
  <w:footnote w:id="591">
    <w:p w:rsidR="00FD2727" w:rsidRPr="00097064" w:rsidRDefault="00FD2727" w:rsidP="00206326">
      <w:pPr>
        <w:pStyle w:val="FootnoteText"/>
        <w:keepLines/>
      </w:pPr>
      <w:r w:rsidRPr="00097064">
        <w:rPr>
          <w:rStyle w:val="FootnoteReference"/>
        </w:rPr>
        <w:footnoteRef/>
      </w:r>
      <w:r w:rsidRPr="00097064">
        <w:t xml:space="preserve"> </w:t>
      </w:r>
      <w:r>
        <w:t>United States</w:t>
      </w:r>
      <w:r w:rsidRPr="00097064">
        <w:t xml:space="preserve">' appellee's submission, </w:t>
      </w:r>
      <w:r>
        <w:t>para. </w:t>
      </w:r>
      <w:r w:rsidRPr="00097064">
        <w:t>233.</w:t>
      </w:r>
    </w:p>
  </w:footnote>
  <w:footnote w:id="592">
    <w:p w:rsidR="00FD2727" w:rsidRPr="00097064" w:rsidRDefault="00FD2727" w:rsidP="00206326">
      <w:pPr>
        <w:pStyle w:val="FootnoteText"/>
        <w:keepLines/>
      </w:pPr>
      <w:r w:rsidRPr="00097064">
        <w:rPr>
          <w:rStyle w:val="FootnoteReference"/>
        </w:rPr>
        <w:footnoteRef/>
      </w:r>
      <w:r w:rsidRPr="00097064">
        <w:t xml:space="preserve"> </w:t>
      </w:r>
      <w:r>
        <w:t>United States</w:t>
      </w:r>
      <w:r w:rsidRPr="00097064">
        <w:t xml:space="preserve">' appellee's submission, </w:t>
      </w:r>
      <w:r>
        <w:t>para. </w:t>
      </w:r>
      <w:r w:rsidRPr="00097064">
        <w:t>234.</w:t>
      </w:r>
    </w:p>
  </w:footnote>
  <w:footnote w:id="593">
    <w:p w:rsidR="00FD2727" w:rsidRPr="00097064" w:rsidRDefault="00FD2727" w:rsidP="00206326">
      <w:pPr>
        <w:pStyle w:val="FootnoteText"/>
        <w:keepLines/>
      </w:pPr>
      <w:r w:rsidRPr="00097064">
        <w:rPr>
          <w:rStyle w:val="FootnoteReference"/>
        </w:rPr>
        <w:footnoteRef/>
      </w:r>
      <w:r w:rsidRPr="00097064">
        <w:t xml:space="preserve"> </w:t>
      </w:r>
      <w:r>
        <w:t>United States</w:t>
      </w:r>
      <w:r w:rsidRPr="00097064">
        <w:t xml:space="preserve">' appellee's submission, </w:t>
      </w:r>
      <w:r>
        <w:t>para. </w:t>
      </w:r>
      <w:r w:rsidRPr="00097064">
        <w:t xml:space="preserve">234 (quoting </w:t>
      </w:r>
      <w:r>
        <w:t>Appellate Body</w:t>
      </w:r>
      <w:r w:rsidRPr="00097064">
        <w:t xml:space="preserve"> Report, </w:t>
      </w:r>
      <w:r>
        <w:rPr>
          <w:i/>
        </w:rPr>
        <w:t>US ‒ </w:t>
      </w:r>
      <w:r w:rsidRPr="00097064">
        <w:rPr>
          <w:i/>
        </w:rPr>
        <w:t>Anti-Dumping and Countervailing Duties (China)</w:t>
      </w:r>
      <w:r w:rsidRPr="00097064">
        <w:t xml:space="preserve">, </w:t>
      </w:r>
      <w:r>
        <w:t>para. </w:t>
      </w:r>
      <w:r w:rsidRPr="00097064">
        <w:t>486).</w:t>
      </w:r>
      <w:r>
        <w:t xml:space="preserve"> </w:t>
      </w:r>
      <w:r w:rsidRPr="00097064">
        <w:t xml:space="preserve">While the </w:t>
      </w:r>
      <w:r>
        <w:t>United States</w:t>
      </w:r>
      <w:r w:rsidRPr="00097064">
        <w:t xml:space="preserve"> accepts that "there is a gap</w:t>
      </w:r>
      <w:r>
        <w:t xml:space="preserve"> in time</w:t>
      </w:r>
      <w:r w:rsidRPr="00097064">
        <w:t xml:space="preserve"> </w:t>
      </w:r>
      <w:r w:rsidRPr="00001C97">
        <w:t>between the conferral of the two sets of financing", it emphasizes that, "in all other</w:t>
      </w:r>
      <w:r w:rsidRPr="00097064">
        <w:t xml:space="preserve"> relevant respects, LA/MSF for the A380 and the A350</w:t>
      </w:r>
      <w:r>
        <w:t xml:space="preserve"> </w:t>
      </w:r>
      <w:r w:rsidRPr="00097064">
        <w:t xml:space="preserve">XWB were either identical or very </w:t>
      </w:r>
      <w:r w:rsidRPr="00001C97">
        <w:t>close – and certainly closer than was the case for any other commercial financing."</w:t>
      </w:r>
      <w:r>
        <w:t xml:space="preserve"> (Ibid.)</w:t>
      </w:r>
    </w:p>
  </w:footnote>
  <w:footnote w:id="594">
    <w:p w:rsidR="00FD2727" w:rsidRDefault="00FD2727" w:rsidP="00206326">
      <w:pPr>
        <w:pStyle w:val="FootnoteText"/>
        <w:keepLines/>
      </w:pPr>
      <w:r>
        <w:rPr>
          <w:rStyle w:val="FootnoteReference"/>
        </w:rPr>
        <w:footnoteRef/>
      </w:r>
      <w:r>
        <w:t xml:space="preserve"> Appellate Body</w:t>
      </w:r>
      <w:r w:rsidRPr="00097064">
        <w:t xml:space="preserve"> Report, </w:t>
      </w:r>
      <w:r w:rsidRPr="00097064">
        <w:rPr>
          <w:i/>
        </w:rPr>
        <w:t>US ‒ Anti-Dumping and Countervailing Duties (China)</w:t>
      </w:r>
      <w:r>
        <w:t>, para. 485.</w:t>
      </w:r>
    </w:p>
  </w:footnote>
  <w:footnote w:id="595">
    <w:p w:rsidR="00FD2727" w:rsidRPr="00097064" w:rsidRDefault="00FD2727" w:rsidP="00206326">
      <w:pPr>
        <w:pStyle w:val="FootnoteText"/>
        <w:keepLines/>
      </w:pPr>
      <w:r w:rsidRPr="00097064">
        <w:rPr>
          <w:rStyle w:val="FootnoteReference"/>
        </w:rPr>
        <w:footnoteRef/>
      </w:r>
      <w:r w:rsidRPr="00097064">
        <w:t xml:space="preserve"> </w:t>
      </w:r>
      <w:r>
        <w:t>European Union</w:t>
      </w:r>
      <w:r w:rsidRPr="00097064">
        <w:t xml:space="preserve">'s appellant's submission, </w:t>
      </w:r>
      <w:r>
        <w:t>para. </w:t>
      </w:r>
      <w:r w:rsidRPr="00097064">
        <w:t xml:space="preserve">373 (quoting </w:t>
      </w:r>
      <w:r>
        <w:t>Appellate Body</w:t>
      </w:r>
      <w:r w:rsidRPr="00097064">
        <w:t xml:space="preserve"> Report, </w:t>
      </w:r>
      <w:r>
        <w:rPr>
          <w:i/>
        </w:rPr>
        <w:t>US ‒ Anti</w:t>
      </w:r>
      <w:r>
        <w:rPr>
          <w:i/>
        </w:rPr>
        <w:noBreakHyphen/>
      </w:r>
      <w:r w:rsidRPr="00097064">
        <w:rPr>
          <w:i/>
        </w:rPr>
        <w:t>Dumping and Countervailing Duties (China)</w:t>
      </w:r>
      <w:r w:rsidRPr="00097064">
        <w:t xml:space="preserve">, </w:t>
      </w:r>
      <w:r>
        <w:t>para. </w:t>
      </w:r>
      <w:r w:rsidRPr="00097064">
        <w:t>486).</w:t>
      </w:r>
      <w:r>
        <w:t xml:space="preserve"> (additional text in fn 336 thereto omitted)</w:t>
      </w:r>
    </w:p>
  </w:footnote>
  <w:footnote w:id="596">
    <w:p w:rsidR="00FD2727" w:rsidRPr="00097064" w:rsidRDefault="00FD2727" w:rsidP="00206326">
      <w:pPr>
        <w:pStyle w:val="FootnoteText"/>
        <w:keepLines/>
      </w:pPr>
      <w:r w:rsidRPr="00097064">
        <w:rPr>
          <w:rStyle w:val="FootnoteReference"/>
        </w:rPr>
        <w:footnoteRef/>
      </w:r>
      <w:r w:rsidRPr="00097064">
        <w:t xml:space="preserve"> </w:t>
      </w:r>
      <w:r>
        <w:t>Appellate Body</w:t>
      </w:r>
      <w:r w:rsidRPr="00097064">
        <w:t xml:space="preserve"> Report, </w:t>
      </w:r>
      <w:r w:rsidRPr="00097064">
        <w:rPr>
          <w:i/>
        </w:rPr>
        <w:t>US – Anti-Dumping and Countervailing Duties (China)</w:t>
      </w:r>
      <w:r w:rsidRPr="00097064">
        <w:t xml:space="preserve">, </w:t>
      </w:r>
      <w:r>
        <w:t>para. </w:t>
      </w:r>
      <w:r w:rsidRPr="00097064">
        <w:t>465.</w:t>
      </w:r>
    </w:p>
  </w:footnote>
  <w:footnote w:id="597">
    <w:p w:rsidR="00FD2727" w:rsidRDefault="00FD2727" w:rsidP="00206326">
      <w:pPr>
        <w:pStyle w:val="FootnoteText"/>
        <w:keepLines/>
      </w:pPr>
      <w:r>
        <w:rPr>
          <w:rStyle w:val="FootnoteReference"/>
        </w:rPr>
        <w:footnoteRef/>
      </w:r>
      <w:r>
        <w:t xml:space="preserve"> The Appellate Body has also provided similar guidance regarding the provision of equity capital, pursuant to Article 14(a), and the provision of goods or services or purchase of goods by a government under Article 14(d) of the SCM Agreement. For instance, in </w:t>
      </w:r>
      <w:r w:rsidRPr="00097064">
        <w:rPr>
          <w:i/>
        </w:rPr>
        <w:t>US</w:t>
      </w:r>
      <w:r>
        <w:rPr>
          <w:i/>
        </w:rPr>
        <w:t> ‒ Softwood Lumber IV</w:t>
      </w:r>
      <w:r>
        <w:t>, the Appellate Body first alluded to this possibility in the context of Article 14(d) by stating that "</w:t>
      </w:r>
      <w:r w:rsidRPr="00DE1C6C">
        <w:t>an investigating authority may use a benchmark other than private prices in the country of provision, when it has been established that private prices of the goods in question in that country are distorted, because of the predominant role of the government in the market as a provider of the same or similar goods</w:t>
      </w:r>
      <w:r>
        <w:t>."</w:t>
      </w:r>
      <w:r w:rsidRPr="00E66527">
        <w:t xml:space="preserve"> </w:t>
      </w:r>
      <w:r>
        <w:t>(Appellate Body</w:t>
      </w:r>
      <w:r w:rsidRPr="00097064">
        <w:t xml:space="preserve"> Report, </w:t>
      </w:r>
      <w:r w:rsidRPr="00097064">
        <w:rPr>
          <w:i/>
        </w:rPr>
        <w:t xml:space="preserve">US – </w:t>
      </w:r>
      <w:r>
        <w:rPr>
          <w:i/>
        </w:rPr>
        <w:t>Softwood Lumber IV</w:t>
      </w:r>
      <w:r w:rsidRPr="00097064">
        <w:t xml:space="preserve">, </w:t>
      </w:r>
      <w:r>
        <w:t>para. 119)</w:t>
      </w:r>
    </w:p>
  </w:footnote>
  <w:footnote w:id="598">
    <w:p w:rsidR="00FD2727" w:rsidRDefault="00FD2727" w:rsidP="00206326">
      <w:pPr>
        <w:pStyle w:val="FootnoteText"/>
        <w:keepLines/>
      </w:pPr>
      <w:r>
        <w:rPr>
          <w:rStyle w:val="FootnoteReference"/>
        </w:rPr>
        <w:footnoteRef/>
      </w:r>
      <w:r>
        <w:t xml:space="preserve"> </w:t>
      </w:r>
      <w:r w:rsidRPr="005B49DE">
        <w:t xml:space="preserve">We do not mean to suggest that such a "progressive search" for comparable commercial loans is irrelevant in contexts other than those described in </w:t>
      </w:r>
      <w:r>
        <w:t xml:space="preserve">Appellate Body Report, </w:t>
      </w:r>
      <w:r w:rsidRPr="005B49DE">
        <w:rPr>
          <w:i/>
        </w:rPr>
        <w:t>US – Anti-Dumping and Countervailing Duties (China)</w:t>
      </w:r>
      <w:r w:rsidRPr="005B49DE">
        <w:t>.</w:t>
      </w:r>
    </w:p>
  </w:footnote>
  <w:footnote w:id="599">
    <w:p w:rsidR="00FD2727" w:rsidRPr="00097064" w:rsidRDefault="00FD2727" w:rsidP="00206326">
      <w:pPr>
        <w:pStyle w:val="FootnoteText"/>
        <w:keepLines/>
      </w:pPr>
      <w:r w:rsidRPr="00097064">
        <w:rPr>
          <w:rStyle w:val="FootnoteReference"/>
        </w:rPr>
        <w:footnoteRef/>
      </w:r>
      <w:r w:rsidRPr="00097064">
        <w:t xml:space="preserve"> </w:t>
      </w:r>
      <w:r>
        <w:t>European Union</w:t>
      </w:r>
      <w:r w:rsidRPr="00097064">
        <w:t xml:space="preserve">'s appellant's submission, </w:t>
      </w:r>
      <w:r>
        <w:t>para. </w:t>
      </w:r>
      <w:r w:rsidRPr="00097064">
        <w:t>374. (emphasis original; fn omitted)</w:t>
      </w:r>
    </w:p>
  </w:footnote>
  <w:footnote w:id="600">
    <w:p w:rsidR="00FD2727" w:rsidRPr="006C3615" w:rsidRDefault="00FD2727" w:rsidP="00206326">
      <w:pPr>
        <w:pStyle w:val="FootnoteText"/>
        <w:keepLines/>
      </w:pPr>
      <w:r w:rsidRPr="00097064">
        <w:rPr>
          <w:rStyle w:val="FootnoteReference"/>
        </w:rPr>
        <w:footnoteRef/>
      </w:r>
      <w:r w:rsidRPr="00097064">
        <w:t xml:space="preserve"> </w:t>
      </w:r>
      <w:r>
        <w:t>European Union</w:t>
      </w:r>
      <w:r w:rsidRPr="00097064">
        <w:t xml:space="preserve">'s appellant's submission, </w:t>
      </w:r>
      <w:r>
        <w:t>para. </w:t>
      </w:r>
      <w:r w:rsidRPr="00097064">
        <w:t xml:space="preserve">372 (quoting </w:t>
      </w:r>
      <w:r>
        <w:t>Appellate Body</w:t>
      </w:r>
      <w:r w:rsidRPr="00097064">
        <w:t xml:space="preserve"> Report, </w:t>
      </w:r>
      <w:r>
        <w:rPr>
          <w:i/>
        </w:rPr>
        <w:t>US ‒ Anti</w:t>
      </w:r>
      <w:r>
        <w:rPr>
          <w:i/>
        </w:rPr>
        <w:noBreakHyphen/>
      </w:r>
      <w:r w:rsidRPr="006C3615">
        <w:rPr>
          <w:i/>
        </w:rPr>
        <w:t>Dumping and Countervailing Duties (China)</w:t>
      </w:r>
      <w:r w:rsidRPr="006C3615">
        <w:t xml:space="preserve">, </w:t>
      </w:r>
      <w:r>
        <w:t>para. </w:t>
      </w:r>
      <w:r w:rsidRPr="006C3615">
        <w:t xml:space="preserve">476 (emphasis added by the </w:t>
      </w:r>
      <w:r>
        <w:t>European Union</w:t>
      </w:r>
      <w:r w:rsidRPr="006C3615">
        <w:t>)</w:t>
      </w:r>
      <w:r>
        <w:t xml:space="preserve">; referring to Appellate Body Report, </w:t>
      </w:r>
      <w:r>
        <w:rPr>
          <w:i/>
        </w:rPr>
        <w:t>US – Carbon Steel (India)</w:t>
      </w:r>
      <w:r>
        <w:t>, para. 4.345</w:t>
      </w:r>
      <w:r w:rsidRPr="006C3615">
        <w:t>).</w:t>
      </w:r>
    </w:p>
  </w:footnote>
  <w:footnote w:id="601">
    <w:p w:rsidR="00FD2727" w:rsidRPr="00097064" w:rsidRDefault="00FD2727" w:rsidP="00206326">
      <w:pPr>
        <w:pStyle w:val="FootnoteText"/>
        <w:keepLines/>
      </w:pPr>
      <w:r w:rsidRPr="00097064">
        <w:rPr>
          <w:rStyle w:val="FootnoteReference"/>
        </w:rPr>
        <w:footnoteRef/>
      </w:r>
      <w:r w:rsidRPr="00097064">
        <w:t xml:space="preserve"> </w:t>
      </w:r>
      <w:r>
        <w:t>European Union</w:t>
      </w:r>
      <w:r w:rsidRPr="00097064">
        <w:t xml:space="preserve">'s appellant's submission, </w:t>
      </w:r>
      <w:r>
        <w:t>para. </w:t>
      </w:r>
      <w:r w:rsidRPr="00097064">
        <w:t>395.</w:t>
      </w:r>
      <w:r>
        <w:t xml:space="preserve"> </w:t>
      </w:r>
      <w:r w:rsidRPr="00097064">
        <w:t>(emphasis</w:t>
      </w:r>
      <w:r>
        <w:t xml:space="preserve"> original)</w:t>
      </w:r>
    </w:p>
  </w:footnote>
  <w:footnote w:id="602">
    <w:p w:rsidR="00FD2727" w:rsidRPr="00097064" w:rsidRDefault="00FD2727" w:rsidP="00206326">
      <w:pPr>
        <w:pStyle w:val="FootnoteText"/>
        <w:keepLines/>
      </w:pPr>
      <w:r w:rsidRPr="00001C97">
        <w:rPr>
          <w:rStyle w:val="FootnoteReference"/>
        </w:rPr>
        <w:footnoteRef/>
      </w:r>
      <w:r w:rsidRPr="00001C97">
        <w:t xml:space="preserve"> Panel Report, </w:t>
      </w:r>
      <w:r>
        <w:t>para. </w:t>
      </w:r>
      <w:r w:rsidRPr="00001C97">
        <w:t>6.459.</w:t>
      </w:r>
    </w:p>
  </w:footnote>
  <w:footnote w:id="603">
    <w:p w:rsidR="00FD2727" w:rsidRPr="00097064" w:rsidRDefault="00FD2727" w:rsidP="00206326">
      <w:pPr>
        <w:pStyle w:val="FootnoteText"/>
        <w:keepLines/>
      </w:pPr>
      <w:r w:rsidRPr="00097064">
        <w:rPr>
          <w:rStyle w:val="FootnoteReference"/>
        </w:rPr>
        <w:footnoteRef/>
      </w:r>
      <w:r w:rsidRPr="00097064">
        <w:t xml:space="preserve"> Panel Report, </w:t>
      </w:r>
      <w:r>
        <w:t>para. </w:t>
      </w:r>
      <w:r w:rsidRPr="00097064">
        <w:t xml:space="preserve">6.434. In particular, the </w:t>
      </w:r>
      <w:r>
        <w:t>European Union</w:t>
      </w:r>
      <w:r w:rsidRPr="00097064">
        <w:t xml:space="preserve"> </w:t>
      </w:r>
      <w:r>
        <w:t xml:space="preserve">asserted </w:t>
      </w:r>
      <w:r w:rsidRPr="00097064">
        <w:t>that the JRP was not used as a project-specific risk premium in the original proceeding</w:t>
      </w:r>
      <w:r>
        <w:t>s</w:t>
      </w:r>
      <w:r w:rsidRPr="00097064">
        <w:t xml:space="preserve">, and that the </w:t>
      </w:r>
      <w:r>
        <w:t>United States</w:t>
      </w:r>
      <w:r w:rsidRPr="00097064">
        <w:t xml:space="preserve"> had not shown that the WRP was an appropriate risk premium for the A350XWB</w:t>
      </w:r>
      <w:r>
        <w:t>.</w:t>
      </w:r>
      <w:r w:rsidRPr="00097064">
        <w:t xml:space="preserve"> (Ibid.)</w:t>
      </w:r>
    </w:p>
  </w:footnote>
  <w:footnote w:id="604">
    <w:p w:rsidR="00FD2727" w:rsidRDefault="00FD2727" w:rsidP="00206326">
      <w:pPr>
        <w:pStyle w:val="FootnoteText"/>
        <w:keepLines/>
      </w:pPr>
      <w:r>
        <w:rPr>
          <w:rStyle w:val="FootnoteReference"/>
        </w:rPr>
        <w:footnoteRef/>
      </w:r>
      <w:r>
        <w:t xml:space="preserve"> European Union's appellant's submission, para. 383.</w:t>
      </w:r>
    </w:p>
  </w:footnote>
  <w:footnote w:id="605">
    <w:p w:rsidR="00FD2727" w:rsidRPr="006C3615" w:rsidRDefault="00FD2727" w:rsidP="00206326">
      <w:pPr>
        <w:pStyle w:val="FootnoteText"/>
        <w:keepLines/>
      </w:pPr>
      <w:r w:rsidRPr="006C3615">
        <w:rPr>
          <w:rStyle w:val="FootnoteReference"/>
        </w:rPr>
        <w:footnoteRef/>
      </w:r>
      <w:r w:rsidRPr="006C3615">
        <w:t xml:space="preserve"> A panel may seek to exercise its powers under </w:t>
      </w:r>
      <w:r>
        <w:t>Article </w:t>
      </w:r>
      <w:r w:rsidRPr="006C3615">
        <w:t xml:space="preserve">13 of the DSU. We also note the special process under Annex V </w:t>
      </w:r>
      <w:r>
        <w:t>to</w:t>
      </w:r>
      <w:r w:rsidRPr="006C3615">
        <w:t xml:space="preserve"> the </w:t>
      </w:r>
      <w:r>
        <w:t>SCM Agreement</w:t>
      </w:r>
      <w:r w:rsidRPr="006C3615">
        <w:t xml:space="preserve"> on "Procedures for Developing Information Concerning Serious Prejudice". </w:t>
      </w:r>
    </w:p>
  </w:footnote>
  <w:footnote w:id="606">
    <w:p w:rsidR="00FD2727" w:rsidRPr="00240CD3" w:rsidRDefault="00FD2727" w:rsidP="00206326">
      <w:pPr>
        <w:pStyle w:val="FootnoteText"/>
        <w:keepLines/>
      </w:pPr>
      <w:r>
        <w:rPr>
          <w:rStyle w:val="FootnoteReference"/>
        </w:rPr>
        <w:footnoteRef/>
      </w:r>
      <w:r w:rsidRPr="00240CD3">
        <w:t xml:space="preserve"> </w:t>
      </w:r>
      <w:r>
        <w:t>Appellate Body</w:t>
      </w:r>
      <w:r w:rsidRPr="00240CD3">
        <w:t xml:space="preserve"> Report, </w:t>
      </w:r>
      <w:r w:rsidRPr="00240CD3">
        <w:rPr>
          <w:i/>
        </w:rPr>
        <w:t>EC – Fasteners (China)</w:t>
      </w:r>
      <w:r w:rsidRPr="00240CD3">
        <w:t xml:space="preserve">, </w:t>
      </w:r>
      <w:r>
        <w:t>para. </w:t>
      </w:r>
      <w:r w:rsidRPr="00240CD3">
        <w:t>566.</w:t>
      </w:r>
    </w:p>
  </w:footnote>
  <w:footnote w:id="607">
    <w:p w:rsidR="00FD2727" w:rsidRPr="00097064" w:rsidRDefault="00FD2727" w:rsidP="00206326">
      <w:pPr>
        <w:pStyle w:val="FootnoteText"/>
        <w:keepLines/>
      </w:pPr>
      <w:r w:rsidRPr="00097064">
        <w:rPr>
          <w:rStyle w:val="FootnoteReference"/>
        </w:rPr>
        <w:footnoteRef/>
      </w:r>
      <w:r w:rsidRPr="00097064">
        <w:t xml:space="preserve"> </w:t>
      </w:r>
      <w:r>
        <w:t>European Union</w:t>
      </w:r>
      <w:r w:rsidRPr="00097064">
        <w:t xml:space="preserve">'s appellant's submission, </w:t>
      </w:r>
      <w:r>
        <w:t>para. </w:t>
      </w:r>
      <w:r w:rsidRPr="00097064">
        <w:t>394.</w:t>
      </w:r>
    </w:p>
  </w:footnote>
  <w:footnote w:id="608">
    <w:p w:rsidR="00FD2727" w:rsidRDefault="00FD2727" w:rsidP="00206326">
      <w:pPr>
        <w:pStyle w:val="FootnoteText"/>
        <w:keepLines/>
      </w:pPr>
      <w:r>
        <w:rPr>
          <w:rStyle w:val="FootnoteReference"/>
        </w:rPr>
        <w:footnoteRef/>
      </w:r>
      <w:r>
        <w:t xml:space="preserve"> United States' appellee's submission, para. 235 (referring to Appellate Body</w:t>
      </w:r>
      <w:r w:rsidRPr="00097064">
        <w:t xml:space="preserve"> Report, </w:t>
      </w:r>
      <w:r w:rsidRPr="00097064">
        <w:rPr>
          <w:i/>
        </w:rPr>
        <w:t>EC and certain member States – Large Civil Aircraft</w:t>
      </w:r>
      <w:r>
        <w:t>, para. 921).</w:t>
      </w:r>
    </w:p>
  </w:footnote>
  <w:footnote w:id="609">
    <w:p w:rsidR="00FD2727" w:rsidRDefault="00FD2727" w:rsidP="00206326">
      <w:pPr>
        <w:pStyle w:val="FootnoteText"/>
        <w:keepLines/>
      </w:pPr>
      <w:r>
        <w:rPr>
          <w:rStyle w:val="FootnoteReference"/>
        </w:rPr>
        <w:footnoteRef/>
      </w:r>
      <w:r>
        <w:t xml:space="preserve"> Appellate Body</w:t>
      </w:r>
      <w:r w:rsidRPr="00097064">
        <w:t xml:space="preserve"> Report, </w:t>
      </w:r>
      <w:r w:rsidRPr="00097064">
        <w:rPr>
          <w:i/>
        </w:rPr>
        <w:t>EC and certain member States – Large Civil Aircraft</w:t>
      </w:r>
      <w:r>
        <w:t>, para. 921.</w:t>
      </w:r>
    </w:p>
  </w:footnote>
  <w:footnote w:id="610">
    <w:p w:rsidR="00FD2727" w:rsidRPr="00097064" w:rsidRDefault="00FD2727" w:rsidP="00206326">
      <w:pPr>
        <w:pStyle w:val="FootnoteText"/>
        <w:keepLines/>
      </w:pPr>
      <w:r w:rsidRPr="00097064">
        <w:rPr>
          <w:rStyle w:val="FootnoteReference"/>
        </w:rPr>
        <w:footnoteRef/>
      </w:r>
      <w:r w:rsidRPr="00097064">
        <w:t xml:space="preserve"> </w:t>
      </w:r>
      <w:r>
        <w:t>European Union</w:t>
      </w:r>
      <w:r w:rsidRPr="00097064">
        <w:t xml:space="preserve">'s appellant's submission, </w:t>
      </w:r>
      <w:r>
        <w:t>para. 405</w:t>
      </w:r>
      <w:r w:rsidRPr="00097064">
        <w:t xml:space="preserve"> (</w:t>
      </w:r>
      <w:r>
        <w:t xml:space="preserve">quoting Appellate Body Report, </w:t>
      </w:r>
      <w:r>
        <w:rPr>
          <w:i/>
        </w:rPr>
        <w:t>US ‒ Anti</w:t>
      </w:r>
      <w:r>
        <w:rPr>
          <w:i/>
        </w:rPr>
        <w:noBreakHyphen/>
      </w:r>
      <w:r w:rsidRPr="005435FA">
        <w:rPr>
          <w:i/>
        </w:rPr>
        <w:t>Dump</w:t>
      </w:r>
      <w:r w:rsidRPr="0097319F">
        <w:rPr>
          <w:i/>
        </w:rPr>
        <w:t>ing and Countervailing Duties (China)</w:t>
      </w:r>
      <w:r>
        <w:t xml:space="preserve">, paras. 476 and 486; referring to Appellate Body Report, </w:t>
      </w:r>
      <w:r>
        <w:rPr>
          <w:i/>
        </w:rPr>
        <w:t>US – Carbon Steel (India)</w:t>
      </w:r>
      <w:r>
        <w:t>, para. 4.345</w:t>
      </w:r>
      <w:r w:rsidRPr="00097064">
        <w:t>)</w:t>
      </w:r>
      <w:r>
        <w:t>.</w:t>
      </w:r>
    </w:p>
  </w:footnote>
  <w:footnote w:id="611">
    <w:p w:rsidR="00FD2727" w:rsidRPr="00097064" w:rsidRDefault="00FD2727" w:rsidP="00206326">
      <w:pPr>
        <w:pStyle w:val="FootnoteText"/>
        <w:keepLines/>
      </w:pPr>
      <w:r w:rsidRPr="00097064">
        <w:rPr>
          <w:rStyle w:val="FootnoteReference"/>
        </w:rPr>
        <w:footnoteRef/>
      </w:r>
      <w:r w:rsidRPr="00097064">
        <w:t xml:space="preserve"> </w:t>
      </w:r>
      <w:r>
        <w:t>European Union</w:t>
      </w:r>
      <w:r w:rsidRPr="00097064">
        <w:t xml:space="preserve">'s appellant's submission, </w:t>
      </w:r>
      <w:r>
        <w:t>para. </w:t>
      </w:r>
      <w:r w:rsidRPr="00097064">
        <w:t>396.</w:t>
      </w:r>
    </w:p>
  </w:footnote>
  <w:footnote w:id="612">
    <w:p w:rsidR="00FD2727" w:rsidRPr="00097064" w:rsidRDefault="00FD2727" w:rsidP="00206326">
      <w:pPr>
        <w:pStyle w:val="FootnoteText"/>
        <w:keepLines/>
      </w:pPr>
      <w:r w:rsidRPr="00097064">
        <w:rPr>
          <w:rStyle w:val="FootnoteReference"/>
        </w:rPr>
        <w:footnoteRef/>
      </w:r>
      <w:r w:rsidRPr="00097064">
        <w:t xml:space="preserve"> </w:t>
      </w:r>
      <w:r>
        <w:t>European Union</w:t>
      </w:r>
      <w:r w:rsidRPr="00097064">
        <w:t xml:space="preserve">'s appellant's submission, </w:t>
      </w:r>
      <w:r>
        <w:t>para. </w:t>
      </w:r>
      <w:r w:rsidRPr="00097064">
        <w:t xml:space="preserve">397 (referring to Panel Report, </w:t>
      </w:r>
      <w:r>
        <w:t>para. </w:t>
      </w:r>
      <w:r w:rsidRPr="00097064">
        <w:t>6.608).</w:t>
      </w:r>
    </w:p>
  </w:footnote>
  <w:footnote w:id="613">
    <w:p w:rsidR="00FD2727" w:rsidRPr="00097064" w:rsidRDefault="00FD2727" w:rsidP="00206326">
      <w:pPr>
        <w:pStyle w:val="FootnoteText"/>
        <w:keepLines/>
      </w:pPr>
      <w:r w:rsidRPr="00097064">
        <w:rPr>
          <w:rStyle w:val="FootnoteReference"/>
        </w:rPr>
        <w:footnoteRef/>
      </w:r>
      <w:r w:rsidRPr="00097064">
        <w:t xml:space="preserve"> </w:t>
      </w:r>
      <w:r>
        <w:t>European Union</w:t>
      </w:r>
      <w:r w:rsidRPr="00097064">
        <w:t xml:space="preserve">'s appellant's submission, </w:t>
      </w:r>
      <w:r>
        <w:t>para. </w:t>
      </w:r>
      <w:r w:rsidRPr="00097064">
        <w:t xml:space="preserve">398 (quoting Panel Report, </w:t>
      </w:r>
      <w:r>
        <w:t>para. </w:t>
      </w:r>
      <w:r w:rsidRPr="00097064">
        <w:t xml:space="preserve">6.608 (emphasis added by the </w:t>
      </w:r>
      <w:r>
        <w:t>European Union</w:t>
      </w:r>
      <w:r w:rsidRPr="00097064">
        <w:t>)).</w:t>
      </w:r>
    </w:p>
  </w:footnote>
  <w:footnote w:id="614">
    <w:p w:rsidR="00FD2727" w:rsidRPr="00097064" w:rsidRDefault="00FD2727" w:rsidP="00206326">
      <w:pPr>
        <w:pStyle w:val="FootnoteText"/>
        <w:keepLines/>
      </w:pPr>
      <w:r w:rsidRPr="00097064">
        <w:rPr>
          <w:rStyle w:val="FootnoteReference"/>
        </w:rPr>
        <w:footnoteRef/>
      </w:r>
      <w:r w:rsidRPr="00097064">
        <w:t xml:space="preserve"> The </w:t>
      </w:r>
      <w:r>
        <w:t>European Union</w:t>
      </w:r>
      <w:r w:rsidRPr="00097064">
        <w:t xml:space="preserve"> observes that, </w:t>
      </w:r>
      <w:r>
        <w:t>for example,</w:t>
      </w:r>
      <w:r w:rsidRPr="00097064">
        <w:t xml:space="preserve"> risk-reducing terms in the </w:t>
      </w:r>
      <w:r w:rsidRPr="00097064">
        <w:rPr>
          <w:b/>
        </w:rPr>
        <w:t>[</w:t>
      </w:r>
      <w:r w:rsidRPr="00C8434D">
        <w:rPr>
          <w:b/>
          <w:szCs w:val="16"/>
        </w:rPr>
        <w:t>BCI</w:t>
      </w:r>
      <w:r w:rsidRPr="00097064">
        <w:rPr>
          <w:b/>
        </w:rPr>
        <w:t>]</w:t>
      </w:r>
      <w:r w:rsidRPr="00097064">
        <w:t xml:space="preserve"> </w:t>
      </w:r>
      <w:r w:rsidRPr="00001C97">
        <w:t xml:space="preserve">A350XWB LA/MSF contract were more extensive than in any of the A380 </w:t>
      </w:r>
      <w:r w:rsidRPr="00001C97">
        <w:rPr>
          <w:szCs w:val="20"/>
        </w:rPr>
        <w:t xml:space="preserve">LA/MSF </w:t>
      </w:r>
      <w:r w:rsidRPr="00001C97">
        <w:t>contracts.</w:t>
      </w:r>
      <w:r w:rsidRPr="00097064">
        <w:t xml:space="preserve"> (</w:t>
      </w:r>
      <w:r>
        <w:t>European Union</w:t>
      </w:r>
      <w:r w:rsidRPr="00097064">
        <w:t xml:space="preserve">'s appellant's submission, </w:t>
      </w:r>
      <w:r>
        <w:t>para. </w:t>
      </w:r>
      <w:r w:rsidRPr="00097064">
        <w:t>400)</w:t>
      </w:r>
    </w:p>
  </w:footnote>
  <w:footnote w:id="615">
    <w:p w:rsidR="00FD2727" w:rsidRPr="00097064" w:rsidRDefault="00FD2727" w:rsidP="00206326">
      <w:pPr>
        <w:pStyle w:val="FootnoteText"/>
        <w:keepLines/>
      </w:pPr>
      <w:r w:rsidRPr="00097064">
        <w:rPr>
          <w:rStyle w:val="FootnoteReference"/>
        </w:rPr>
        <w:footnoteRef/>
      </w:r>
      <w:r w:rsidRPr="00097064">
        <w:t xml:space="preserve"> </w:t>
      </w:r>
      <w:r>
        <w:t>European Union</w:t>
      </w:r>
      <w:r w:rsidRPr="00097064">
        <w:t xml:space="preserve">'s appellant's submission, </w:t>
      </w:r>
      <w:r>
        <w:t>paras. </w:t>
      </w:r>
      <w:r w:rsidRPr="00097064">
        <w:t>397-400.</w:t>
      </w:r>
    </w:p>
  </w:footnote>
  <w:footnote w:id="616">
    <w:p w:rsidR="00FD2727" w:rsidRPr="00097064" w:rsidRDefault="00FD2727" w:rsidP="00206326">
      <w:pPr>
        <w:pStyle w:val="FootnoteText"/>
        <w:keepLines/>
      </w:pPr>
      <w:r w:rsidRPr="00097064">
        <w:rPr>
          <w:rStyle w:val="FootnoteReference"/>
        </w:rPr>
        <w:footnoteRef/>
      </w:r>
      <w:r w:rsidRPr="00097064">
        <w:t xml:space="preserve"> </w:t>
      </w:r>
      <w:r>
        <w:t>European Union</w:t>
      </w:r>
      <w:r w:rsidRPr="00097064">
        <w:t xml:space="preserve">'s appellant's submission, </w:t>
      </w:r>
      <w:r>
        <w:t>para. </w:t>
      </w:r>
      <w:r w:rsidRPr="00097064">
        <w:t>403.</w:t>
      </w:r>
    </w:p>
  </w:footnote>
  <w:footnote w:id="617">
    <w:p w:rsidR="00FD2727" w:rsidRPr="00097064" w:rsidRDefault="00FD2727" w:rsidP="00206326">
      <w:pPr>
        <w:pStyle w:val="FootnoteText"/>
        <w:keepLines/>
      </w:pPr>
      <w:r w:rsidRPr="00097064">
        <w:rPr>
          <w:rStyle w:val="FootnoteReference"/>
        </w:rPr>
        <w:footnoteRef/>
      </w:r>
      <w:r w:rsidRPr="00097064">
        <w:t xml:space="preserve"> </w:t>
      </w:r>
      <w:r>
        <w:t>Appellate Body</w:t>
      </w:r>
      <w:r w:rsidRPr="00097064">
        <w:t xml:space="preserve"> Report, </w:t>
      </w:r>
      <w:r w:rsidRPr="00097064">
        <w:rPr>
          <w:i/>
        </w:rPr>
        <w:t>US – Anti-Dumping and Countervailing Duties (China)</w:t>
      </w:r>
      <w:r w:rsidRPr="00097064">
        <w:t xml:space="preserve">, </w:t>
      </w:r>
      <w:r>
        <w:t>para. </w:t>
      </w:r>
      <w:r w:rsidRPr="00097064">
        <w:t>486. (emphasis added)</w:t>
      </w:r>
    </w:p>
  </w:footnote>
  <w:footnote w:id="618">
    <w:p w:rsidR="00FD2727" w:rsidRPr="00A453EC" w:rsidRDefault="00FD2727">
      <w:pPr>
        <w:pStyle w:val="FootnoteText"/>
      </w:pPr>
      <w:r w:rsidRPr="00A453EC">
        <w:rPr>
          <w:rStyle w:val="FootnoteReference"/>
        </w:rPr>
        <w:footnoteRef/>
      </w:r>
      <w:r w:rsidRPr="00A453EC">
        <w:t xml:space="preserve"> </w:t>
      </w:r>
      <w:r w:rsidRPr="00145239">
        <w:t>See section 5.3.2.2.1 of this</w:t>
      </w:r>
      <w:r w:rsidRPr="00A453EC">
        <w:t xml:space="preserve"> Report.</w:t>
      </w:r>
    </w:p>
  </w:footnote>
  <w:footnote w:id="619">
    <w:p w:rsidR="00FD2727" w:rsidRPr="00A453EC" w:rsidRDefault="00FD2727" w:rsidP="00206326">
      <w:pPr>
        <w:pStyle w:val="FootnoteText"/>
        <w:keepLines/>
      </w:pPr>
      <w:r w:rsidRPr="00A453EC">
        <w:rPr>
          <w:rStyle w:val="FootnoteReference"/>
        </w:rPr>
        <w:footnoteRef/>
      </w:r>
      <w:r w:rsidRPr="00A453EC">
        <w:t xml:space="preserve"> </w:t>
      </w:r>
      <w:r>
        <w:t>European Union</w:t>
      </w:r>
      <w:r w:rsidRPr="00A453EC">
        <w:t xml:space="preserve">'s appellant's submission, </w:t>
      </w:r>
      <w:r>
        <w:t>para. </w:t>
      </w:r>
      <w:r w:rsidRPr="00A453EC">
        <w:t xml:space="preserve">372 (quoting </w:t>
      </w:r>
      <w:r>
        <w:t>Appellate Body</w:t>
      </w:r>
      <w:r w:rsidRPr="00A453EC">
        <w:t xml:space="preserve"> Report, </w:t>
      </w:r>
      <w:r w:rsidRPr="00A453EC">
        <w:rPr>
          <w:i/>
        </w:rPr>
        <w:t>US ‒ Anti</w:t>
      </w:r>
      <w:r w:rsidRPr="00A453EC">
        <w:rPr>
          <w:i/>
        </w:rPr>
        <w:noBreakHyphen/>
        <w:t>Dumping and Countervailing Duties (China)</w:t>
      </w:r>
      <w:r w:rsidRPr="00A453EC">
        <w:t xml:space="preserve">, </w:t>
      </w:r>
      <w:r>
        <w:t>para. </w:t>
      </w:r>
      <w:r w:rsidRPr="00A453EC">
        <w:t xml:space="preserve">476 (emphasis added by the </w:t>
      </w:r>
      <w:r>
        <w:t>European Union</w:t>
      </w:r>
      <w:r w:rsidRPr="00A453EC">
        <w:t>)</w:t>
      </w:r>
      <w:r>
        <w:t xml:space="preserve">; referring to Appellate Body Report, </w:t>
      </w:r>
      <w:r>
        <w:rPr>
          <w:i/>
        </w:rPr>
        <w:t>US – Carbon Steel (India)</w:t>
      </w:r>
      <w:r>
        <w:t>, para. 4.345</w:t>
      </w:r>
      <w:r w:rsidRPr="00A453EC">
        <w:t>).</w:t>
      </w:r>
    </w:p>
  </w:footnote>
  <w:footnote w:id="620">
    <w:p w:rsidR="00FD2727" w:rsidRPr="00097064" w:rsidRDefault="00FD2727" w:rsidP="00206326">
      <w:pPr>
        <w:pStyle w:val="FootnoteText"/>
        <w:keepLines/>
      </w:pPr>
      <w:r w:rsidRPr="00A453EC">
        <w:rPr>
          <w:rStyle w:val="FootnoteReference"/>
        </w:rPr>
        <w:footnoteRef/>
      </w:r>
      <w:r w:rsidRPr="00A453EC">
        <w:t xml:space="preserve"> </w:t>
      </w:r>
      <w:r>
        <w:t>European Union</w:t>
      </w:r>
      <w:r w:rsidRPr="00A453EC">
        <w:t>'s appellant's submission</w:t>
      </w:r>
      <w:r w:rsidRPr="00097064">
        <w:t xml:space="preserve">, </w:t>
      </w:r>
      <w:r>
        <w:t>para. </w:t>
      </w:r>
      <w:r w:rsidRPr="00097064">
        <w:t xml:space="preserve">377 (referring to </w:t>
      </w:r>
      <w:r>
        <w:t>Appellate Body</w:t>
      </w:r>
      <w:r w:rsidRPr="00097064">
        <w:t xml:space="preserve"> Report, </w:t>
      </w:r>
      <w:r>
        <w:rPr>
          <w:i/>
        </w:rPr>
        <w:t>US ‒ Anti</w:t>
      </w:r>
      <w:r>
        <w:rPr>
          <w:i/>
        </w:rPr>
        <w:noBreakHyphen/>
      </w:r>
      <w:r w:rsidRPr="00097064">
        <w:rPr>
          <w:i/>
        </w:rPr>
        <w:t>Dumping and Countervailing Duties (China)</w:t>
      </w:r>
      <w:r w:rsidRPr="00097064">
        <w:t xml:space="preserve">, </w:t>
      </w:r>
      <w:r>
        <w:t>para. </w:t>
      </w:r>
      <w:r w:rsidRPr="00097064">
        <w:t>486). (emphasis original)</w:t>
      </w:r>
    </w:p>
  </w:footnote>
  <w:footnote w:id="621">
    <w:p w:rsidR="00FD2727" w:rsidRDefault="00FD2727" w:rsidP="00206326">
      <w:pPr>
        <w:pStyle w:val="FootnoteText"/>
        <w:keepLines/>
      </w:pPr>
      <w:r>
        <w:rPr>
          <w:rStyle w:val="FootnoteReference"/>
        </w:rPr>
        <w:footnoteRef/>
      </w:r>
      <w:r>
        <w:t xml:space="preserve"> Appellate Body</w:t>
      </w:r>
      <w:r w:rsidRPr="00097064">
        <w:t xml:space="preserve"> Report, </w:t>
      </w:r>
      <w:r w:rsidRPr="00097064">
        <w:rPr>
          <w:i/>
        </w:rPr>
        <w:t>US ‒ Anti-Dumping and Countervailing Duties (China)</w:t>
      </w:r>
      <w:r w:rsidRPr="00097064">
        <w:t xml:space="preserve">, </w:t>
      </w:r>
      <w:r>
        <w:t>para. </w:t>
      </w:r>
      <w:r w:rsidRPr="00097064">
        <w:t>4</w:t>
      </w:r>
      <w:r>
        <w:t>85.</w:t>
      </w:r>
    </w:p>
  </w:footnote>
  <w:footnote w:id="622">
    <w:p w:rsidR="00FD2727" w:rsidRPr="00097064" w:rsidRDefault="00FD2727" w:rsidP="00206326">
      <w:pPr>
        <w:pStyle w:val="FootnoteText"/>
        <w:keepLines/>
      </w:pPr>
      <w:r w:rsidRPr="00097064">
        <w:rPr>
          <w:rStyle w:val="FootnoteReference"/>
        </w:rPr>
        <w:footnoteRef/>
      </w:r>
      <w:r w:rsidRPr="00097064">
        <w:t xml:space="preserve"> Panel Report, </w:t>
      </w:r>
      <w:r>
        <w:t>para. </w:t>
      </w:r>
      <w:r w:rsidRPr="00097064">
        <w:t>6.459.</w:t>
      </w:r>
    </w:p>
  </w:footnote>
  <w:footnote w:id="623">
    <w:p w:rsidR="00FD2727" w:rsidRPr="005C6E10" w:rsidRDefault="00FD2727" w:rsidP="00206326">
      <w:pPr>
        <w:pStyle w:val="FootnoteText"/>
        <w:keepLines/>
        <w:rPr>
          <w:lang w:val="en-US"/>
        </w:rPr>
      </w:pPr>
      <w:r>
        <w:rPr>
          <w:rStyle w:val="FootnoteReference"/>
        </w:rPr>
        <w:footnoteRef/>
      </w:r>
      <w:r>
        <w:t xml:space="preserve"> European Union</w:t>
      </w:r>
      <w:r w:rsidRPr="00097064">
        <w:t xml:space="preserve">'s appellant's submission, </w:t>
      </w:r>
      <w:r>
        <w:t>para. </w:t>
      </w:r>
      <w:r w:rsidRPr="00097064">
        <w:t xml:space="preserve">340 (referring to Panel Report, </w:t>
      </w:r>
      <w:r>
        <w:t>paras. </w:t>
      </w:r>
      <w:r w:rsidRPr="00097064">
        <w:t>6.487, 6.492, 6.527, 6.539-6.542, 6.579, 6.595, 6.607-6.610, 6.632 (Table 10), and 6.633).</w:t>
      </w:r>
    </w:p>
  </w:footnote>
  <w:footnote w:id="624">
    <w:p w:rsidR="00FD2727" w:rsidRPr="00097064" w:rsidRDefault="00FD2727" w:rsidP="00206326">
      <w:pPr>
        <w:pStyle w:val="FootnoteText"/>
        <w:keepLines/>
      </w:pPr>
      <w:r w:rsidRPr="00097064">
        <w:rPr>
          <w:rStyle w:val="FootnoteReference"/>
        </w:rPr>
        <w:footnoteRef/>
      </w:r>
      <w:r w:rsidRPr="00097064">
        <w:t xml:space="preserve"> </w:t>
      </w:r>
      <w:r>
        <w:t>European Union</w:t>
      </w:r>
      <w:r w:rsidRPr="00097064">
        <w:t xml:space="preserve">'s appellant's submission, </w:t>
      </w:r>
      <w:r>
        <w:t>para. </w:t>
      </w:r>
      <w:r w:rsidRPr="00097064">
        <w:t>396. (emphasis original)</w:t>
      </w:r>
    </w:p>
  </w:footnote>
  <w:footnote w:id="625">
    <w:p w:rsidR="00FD2727" w:rsidRPr="00097064" w:rsidRDefault="00FD2727" w:rsidP="00206326">
      <w:pPr>
        <w:pStyle w:val="FootnoteText"/>
        <w:keepLines/>
      </w:pPr>
      <w:r w:rsidRPr="00097064">
        <w:rPr>
          <w:rStyle w:val="FootnoteReference"/>
        </w:rPr>
        <w:footnoteRef/>
      </w:r>
      <w:r w:rsidRPr="00097064">
        <w:t xml:space="preserve"> </w:t>
      </w:r>
      <w:r>
        <w:t>European Union</w:t>
      </w:r>
      <w:r w:rsidRPr="00097064">
        <w:t xml:space="preserve">'s appellant's submission, </w:t>
      </w:r>
      <w:r>
        <w:t>para. </w:t>
      </w:r>
      <w:r w:rsidRPr="00097064">
        <w:t xml:space="preserve">372 (quoting </w:t>
      </w:r>
      <w:r>
        <w:t>Appellate Body</w:t>
      </w:r>
      <w:r w:rsidRPr="00097064">
        <w:t xml:space="preserve"> Report, </w:t>
      </w:r>
      <w:r>
        <w:rPr>
          <w:i/>
        </w:rPr>
        <w:t>US ‒ Anti</w:t>
      </w:r>
      <w:r>
        <w:rPr>
          <w:i/>
        </w:rPr>
        <w:noBreakHyphen/>
      </w:r>
      <w:r w:rsidRPr="00097064">
        <w:rPr>
          <w:i/>
        </w:rPr>
        <w:t>Dumping and Countervailing Duties (China)</w:t>
      </w:r>
      <w:r w:rsidRPr="00097064">
        <w:t xml:space="preserve">, </w:t>
      </w:r>
      <w:r>
        <w:t>para. </w:t>
      </w:r>
      <w:r w:rsidRPr="00097064">
        <w:t xml:space="preserve">476 (emphasis added by the </w:t>
      </w:r>
      <w:r>
        <w:t>European Union</w:t>
      </w:r>
      <w:r w:rsidRPr="00097064">
        <w:t>)</w:t>
      </w:r>
      <w:r>
        <w:t xml:space="preserve">; referring to Appellate Body Report, </w:t>
      </w:r>
      <w:r>
        <w:rPr>
          <w:i/>
        </w:rPr>
        <w:t>US – Carbon Steel (India)</w:t>
      </w:r>
      <w:r>
        <w:t>, para. 4.345).</w:t>
      </w:r>
    </w:p>
  </w:footnote>
  <w:footnote w:id="626">
    <w:p w:rsidR="00FD2727" w:rsidRPr="005C6E10" w:rsidRDefault="00FD2727" w:rsidP="00206326">
      <w:pPr>
        <w:pStyle w:val="FootnoteText"/>
        <w:keepLines/>
      </w:pPr>
      <w:r>
        <w:rPr>
          <w:rStyle w:val="FootnoteReference"/>
        </w:rPr>
        <w:footnoteRef/>
      </w:r>
      <w:r>
        <w:t xml:space="preserve"> I</w:t>
      </w:r>
      <w:r w:rsidRPr="006C3615">
        <w:t xml:space="preserve">n assessing other aspects of the benefit analysis, such as the expected rates of return (i.e. the </w:t>
      </w:r>
      <w:r>
        <w:t>IRRs)</w:t>
      </w:r>
      <w:r w:rsidRPr="006C3615">
        <w:t>, the Panel held that it could not "be certain that those expected IRRs {were} correct and {were} not overstated".</w:t>
      </w:r>
      <w:r>
        <w:t xml:space="preserve"> (Panel Report, para. 6.345) </w:t>
      </w:r>
      <w:r w:rsidRPr="006C3615">
        <w:t xml:space="preserve">Importantly, however, the Panel considered it preferable to proceed on the basis of the </w:t>
      </w:r>
      <w:r>
        <w:t>European Union</w:t>
      </w:r>
      <w:r w:rsidRPr="006C3615">
        <w:t xml:space="preserve">'s unvalidated IRRs rather than to use the rates of return advanced by the </w:t>
      </w:r>
      <w:r>
        <w:t>United States</w:t>
      </w:r>
      <w:r w:rsidRPr="006C3615">
        <w:t>.</w:t>
      </w:r>
      <w:r>
        <w:t xml:space="preserve"> (Ibid., para. 6.347)</w:t>
      </w:r>
    </w:p>
  </w:footnote>
  <w:footnote w:id="627">
    <w:p w:rsidR="00FD2727" w:rsidRDefault="00FD2727" w:rsidP="00FF5DAA">
      <w:pPr>
        <w:pStyle w:val="FootnoteText"/>
        <w:keepNext/>
        <w:keepLines/>
      </w:pPr>
      <w:r>
        <w:rPr>
          <w:rStyle w:val="FootnoteReference"/>
        </w:rPr>
        <w:footnoteRef/>
      </w:r>
      <w:r>
        <w:t xml:space="preserve"> European Union</w:t>
      </w:r>
      <w:r w:rsidRPr="00097064">
        <w:t xml:space="preserve">'s appellant's submission, </w:t>
      </w:r>
      <w:r>
        <w:t xml:space="preserve">para. 396. We note that the European Union argues that: </w:t>
      </w:r>
    </w:p>
    <w:p w:rsidR="00FD2727" w:rsidRDefault="00FD2727" w:rsidP="00FF5DAA">
      <w:pPr>
        <w:pStyle w:val="FootnoteQuotation"/>
        <w:keepNext/>
        <w:keepLines/>
      </w:pPr>
      <w:r w:rsidRPr="00051DE3">
        <w:t xml:space="preserve">the Panel applied the single, undifferentiated project risk premium derived from financing for the A380 project to financing for the A350XWB project, </w:t>
      </w:r>
      <w:r w:rsidRPr="00051DE3">
        <w:rPr>
          <w:i/>
        </w:rPr>
        <w:t>without making adjustments in light of differences between the two projects</w:t>
      </w:r>
      <w:r w:rsidRPr="00051DE3">
        <w:t>.</w:t>
      </w:r>
      <w:r>
        <w:t xml:space="preserve"> </w:t>
      </w:r>
    </w:p>
    <w:p w:rsidR="00FD2727" w:rsidRDefault="00FD2727" w:rsidP="00FF5DAA">
      <w:pPr>
        <w:pStyle w:val="FootnoteQuotation"/>
        <w:keepNext/>
        <w:keepLines/>
        <w:ind w:left="0"/>
      </w:pPr>
      <w:r>
        <w:t>(Ibid. (emphasis original))</w:t>
      </w:r>
    </w:p>
  </w:footnote>
  <w:footnote w:id="628">
    <w:p w:rsidR="00FD2727" w:rsidRPr="00721BD0" w:rsidRDefault="00FD2727">
      <w:pPr>
        <w:pStyle w:val="FootnoteText"/>
      </w:pPr>
      <w:r>
        <w:rPr>
          <w:rStyle w:val="FootnoteReference"/>
        </w:rPr>
        <w:footnoteRef/>
      </w:r>
      <w:r>
        <w:t xml:space="preserve"> Original Panel Report, para. 7.470.</w:t>
      </w:r>
    </w:p>
  </w:footnote>
  <w:footnote w:id="629">
    <w:p w:rsidR="00FD2727" w:rsidRPr="00097064" w:rsidRDefault="00FD2727" w:rsidP="00206326">
      <w:pPr>
        <w:pStyle w:val="FootnoteText"/>
        <w:keepLines/>
      </w:pPr>
      <w:r w:rsidRPr="00097064">
        <w:rPr>
          <w:rStyle w:val="FootnoteReference"/>
        </w:rPr>
        <w:footnoteRef/>
      </w:r>
      <w:r w:rsidRPr="00097064">
        <w:t xml:space="preserve"> </w:t>
      </w:r>
      <w:r>
        <w:t>Appellate Body</w:t>
      </w:r>
      <w:r w:rsidRPr="00097064">
        <w:t xml:space="preserve"> Report, </w:t>
      </w:r>
      <w:r w:rsidRPr="00097064">
        <w:rPr>
          <w:i/>
        </w:rPr>
        <w:t>EC and certain member States – Large Civil Aircraft</w:t>
      </w:r>
      <w:r w:rsidRPr="00097064">
        <w:t xml:space="preserve">, </w:t>
      </w:r>
      <w:r>
        <w:t>para. </w:t>
      </w:r>
      <w:r w:rsidRPr="00097064">
        <w:t>870.</w:t>
      </w:r>
      <w:r>
        <w:t xml:space="preserve"> (emphasis added)</w:t>
      </w:r>
    </w:p>
  </w:footnote>
  <w:footnote w:id="630">
    <w:p w:rsidR="00FD2727" w:rsidRPr="00097064" w:rsidRDefault="00FD2727" w:rsidP="00206326">
      <w:pPr>
        <w:pStyle w:val="FootnoteText"/>
        <w:keepLines/>
      </w:pPr>
      <w:r w:rsidRPr="00097064">
        <w:rPr>
          <w:rStyle w:val="FootnoteReference"/>
        </w:rPr>
        <w:footnoteRef/>
      </w:r>
      <w:r w:rsidRPr="00097064">
        <w:t xml:space="preserve"> </w:t>
      </w:r>
      <w:r>
        <w:t>Appellate Body</w:t>
      </w:r>
      <w:r w:rsidRPr="00097064">
        <w:t xml:space="preserve"> Report, </w:t>
      </w:r>
      <w:r w:rsidRPr="00097064">
        <w:rPr>
          <w:i/>
        </w:rPr>
        <w:t>EC and certain member States – Large Civil Aircraft</w:t>
      </w:r>
      <w:r w:rsidRPr="00097064">
        <w:t xml:space="preserve">, </w:t>
      </w:r>
      <w:r>
        <w:t>para. </w:t>
      </w:r>
      <w:r w:rsidRPr="00097064">
        <w:t>883.</w:t>
      </w:r>
    </w:p>
  </w:footnote>
  <w:footnote w:id="631">
    <w:p w:rsidR="00FD2727" w:rsidRDefault="00FD2727" w:rsidP="00206326">
      <w:pPr>
        <w:pStyle w:val="FootnoteText"/>
        <w:keepLines/>
      </w:pPr>
      <w:r>
        <w:rPr>
          <w:rStyle w:val="FootnoteReference"/>
        </w:rPr>
        <w:footnoteRef/>
      </w:r>
      <w:r>
        <w:t xml:space="preserve"> Appellate Body </w:t>
      </w:r>
      <w:r w:rsidRPr="00097064">
        <w:t xml:space="preserve">Report, </w:t>
      </w:r>
      <w:r w:rsidRPr="00097064">
        <w:rPr>
          <w:i/>
        </w:rPr>
        <w:t>US ‒ Anti-Dumping and Countervailing Duties (China)</w:t>
      </w:r>
      <w:r w:rsidRPr="00097064">
        <w:t xml:space="preserve">, </w:t>
      </w:r>
      <w:r>
        <w:t>para. </w:t>
      </w:r>
      <w:r w:rsidRPr="00097064">
        <w:t>4</w:t>
      </w:r>
      <w:r>
        <w:t>7</w:t>
      </w:r>
      <w:r w:rsidRPr="00097064">
        <w:t>6</w:t>
      </w:r>
      <w:r>
        <w:t>.</w:t>
      </w:r>
    </w:p>
  </w:footnote>
  <w:footnote w:id="632">
    <w:p w:rsidR="00FD2727" w:rsidRPr="00097064" w:rsidRDefault="00FD2727" w:rsidP="00206326">
      <w:pPr>
        <w:pStyle w:val="FootnoteText"/>
        <w:keepLines/>
      </w:pPr>
      <w:r w:rsidRPr="00097064">
        <w:rPr>
          <w:rStyle w:val="FootnoteReference"/>
        </w:rPr>
        <w:footnoteRef/>
      </w:r>
      <w:r w:rsidRPr="00097064">
        <w:t xml:space="preserve"> </w:t>
      </w:r>
      <w:r>
        <w:t>European Union</w:t>
      </w:r>
      <w:r w:rsidRPr="00097064">
        <w:t xml:space="preserve">'s appellant's submission, </w:t>
      </w:r>
      <w:r>
        <w:t>para. </w:t>
      </w:r>
      <w:r w:rsidRPr="00097064">
        <w:t>396.</w:t>
      </w:r>
      <w:r>
        <w:t xml:space="preserve"> (emphasis original)</w:t>
      </w:r>
    </w:p>
  </w:footnote>
  <w:footnote w:id="633">
    <w:p w:rsidR="00FD2727" w:rsidRPr="00097064" w:rsidRDefault="00FD2727" w:rsidP="00206326">
      <w:pPr>
        <w:pStyle w:val="FootnoteText"/>
        <w:keepLines/>
      </w:pPr>
      <w:r w:rsidRPr="00097064">
        <w:rPr>
          <w:rStyle w:val="FootnoteReference"/>
        </w:rPr>
        <w:footnoteRef/>
      </w:r>
      <w:r w:rsidRPr="00097064">
        <w:t xml:space="preserve"> </w:t>
      </w:r>
      <w:r>
        <w:t>European Union</w:t>
      </w:r>
      <w:r w:rsidRPr="00097064">
        <w:t xml:space="preserve">'s appellant's submission, </w:t>
      </w:r>
      <w:r>
        <w:t>para. </w:t>
      </w:r>
      <w:r w:rsidRPr="00097064">
        <w:t xml:space="preserve">340 (referring to Panel Report, </w:t>
      </w:r>
      <w:r>
        <w:t>paras. </w:t>
      </w:r>
      <w:r w:rsidRPr="00097064">
        <w:t>6.487, 6.492, 6.527, 6.539-6.542, 6.579, 6.595, 6.607-6.610, 6.632 (Table 10), and 6.633).</w:t>
      </w:r>
    </w:p>
  </w:footnote>
  <w:footnote w:id="634">
    <w:p w:rsidR="00FD2727" w:rsidRPr="00097064" w:rsidRDefault="00FD2727" w:rsidP="00206326">
      <w:pPr>
        <w:pStyle w:val="FootnoteText"/>
        <w:keepLines/>
      </w:pPr>
      <w:r w:rsidRPr="00097064">
        <w:rPr>
          <w:rStyle w:val="FootnoteReference"/>
        </w:rPr>
        <w:footnoteRef/>
      </w:r>
      <w:r w:rsidRPr="00097064">
        <w:t xml:space="preserve"> </w:t>
      </w:r>
      <w:r>
        <w:t>European Union</w:t>
      </w:r>
      <w:r w:rsidRPr="00097064">
        <w:t xml:space="preserve">'s appellant's submission, </w:t>
      </w:r>
      <w:r>
        <w:t>para. </w:t>
      </w:r>
      <w:r w:rsidRPr="00097064">
        <w:t>423.</w:t>
      </w:r>
    </w:p>
  </w:footnote>
  <w:footnote w:id="635">
    <w:p w:rsidR="00FD2727" w:rsidRPr="00097064" w:rsidRDefault="00FD2727" w:rsidP="00206326">
      <w:pPr>
        <w:pStyle w:val="FootnoteText"/>
        <w:keepLines/>
      </w:pPr>
      <w:r w:rsidRPr="00097064">
        <w:rPr>
          <w:rStyle w:val="FootnoteReference"/>
        </w:rPr>
        <w:footnoteRef/>
      </w:r>
      <w:r w:rsidRPr="00097064">
        <w:t xml:space="preserve"> </w:t>
      </w:r>
      <w:r>
        <w:t>European Union</w:t>
      </w:r>
      <w:r w:rsidRPr="00097064">
        <w:t xml:space="preserve">'s appellant's submission, </w:t>
      </w:r>
      <w:r>
        <w:t>para. </w:t>
      </w:r>
      <w:r w:rsidRPr="00097064">
        <w:t xml:space="preserve">410 (referring to </w:t>
      </w:r>
      <w:r>
        <w:t>Appellate Body</w:t>
      </w:r>
      <w:r w:rsidRPr="00097064">
        <w:t xml:space="preserve"> Report, </w:t>
      </w:r>
      <w:r w:rsidRPr="00097064">
        <w:rPr>
          <w:i/>
        </w:rPr>
        <w:t>EC and certain member States – Large Civil Aircraft</w:t>
      </w:r>
      <w:r w:rsidRPr="00097064">
        <w:t xml:space="preserve">, </w:t>
      </w:r>
      <w:r>
        <w:t>para. </w:t>
      </w:r>
      <w:r w:rsidRPr="00097064">
        <w:t>883).</w:t>
      </w:r>
      <w:r>
        <w:t xml:space="preserve"> </w:t>
      </w:r>
      <w:r w:rsidRPr="00097064">
        <w:t xml:space="preserve">The </w:t>
      </w:r>
      <w:r>
        <w:t>European Union</w:t>
      </w:r>
      <w:r w:rsidRPr="00097064">
        <w:t xml:space="preserve"> argues that the Panel's failure to engage in a search for the most appropriate benchmark is particularly surprising because the Panel was fully aware that </w:t>
      </w:r>
      <w:r w:rsidRPr="00001C97">
        <w:t xml:space="preserve">Airbus had secured large amounts of risk-sharing supplier financing for the A350XWB that, in the case of the A380, served as the basis for the project risk premium for A380 LA/MSF. Moreover, the </w:t>
      </w:r>
      <w:r>
        <w:t>European Union</w:t>
      </w:r>
      <w:r w:rsidRPr="00001C97">
        <w:t xml:space="preserve"> highlights that the Panel failed to seek information about the terms of risk-sharing supplier financing for the A350XWB, despite having exercised its discretion, under </w:t>
      </w:r>
      <w:r>
        <w:t>Article </w:t>
      </w:r>
      <w:r w:rsidRPr="00001C97">
        <w:t xml:space="preserve">13 of the DSU, to seek from the </w:t>
      </w:r>
      <w:r>
        <w:t>European Union</w:t>
      </w:r>
      <w:r w:rsidRPr="00001C97">
        <w:t xml:space="preserve"> documents memoriali</w:t>
      </w:r>
      <w:r>
        <w:t>z</w:t>
      </w:r>
      <w:r w:rsidRPr="00001C97">
        <w:t>ing the terms of the A350XWB</w:t>
      </w:r>
      <w:r w:rsidRPr="00097064">
        <w:t xml:space="preserve"> </w:t>
      </w:r>
      <w:r w:rsidRPr="00001C97">
        <w:t>LA/MSF contracts. (</w:t>
      </w:r>
      <w:r>
        <w:t>Ibid.</w:t>
      </w:r>
      <w:r w:rsidRPr="00001C97">
        <w:t xml:space="preserve">, </w:t>
      </w:r>
      <w:r>
        <w:t>para. </w:t>
      </w:r>
      <w:r w:rsidRPr="00001C97">
        <w:t>414)</w:t>
      </w:r>
    </w:p>
  </w:footnote>
  <w:footnote w:id="636">
    <w:p w:rsidR="00FD2727" w:rsidRPr="00097064" w:rsidRDefault="00FD2727" w:rsidP="00206326">
      <w:pPr>
        <w:pStyle w:val="FootnoteText"/>
        <w:keepLines/>
      </w:pPr>
      <w:r w:rsidRPr="00097064">
        <w:rPr>
          <w:rStyle w:val="FootnoteReference"/>
        </w:rPr>
        <w:footnoteRef/>
      </w:r>
      <w:r w:rsidRPr="00097064">
        <w:t xml:space="preserve"> </w:t>
      </w:r>
      <w:r>
        <w:t>United States</w:t>
      </w:r>
      <w:r w:rsidRPr="00097064">
        <w:t xml:space="preserve">' appellee's submission, </w:t>
      </w:r>
      <w:r>
        <w:t>paras. </w:t>
      </w:r>
      <w:r w:rsidRPr="00097064">
        <w:t xml:space="preserve">237 (quoting </w:t>
      </w:r>
      <w:r>
        <w:t>European Union</w:t>
      </w:r>
      <w:r w:rsidRPr="00097064">
        <w:t xml:space="preserve">'s appellant's submission, </w:t>
      </w:r>
      <w:r>
        <w:t>para. </w:t>
      </w:r>
      <w:r w:rsidRPr="00097064">
        <w:t xml:space="preserve">410, </w:t>
      </w:r>
      <w:r>
        <w:t>in turn quoting Appellate Body</w:t>
      </w:r>
      <w:r w:rsidRPr="00097064">
        <w:t xml:space="preserve"> Report, </w:t>
      </w:r>
      <w:r w:rsidRPr="00097064">
        <w:rPr>
          <w:i/>
        </w:rPr>
        <w:t>EC and certain member States – Large Civil Aircraft</w:t>
      </w:r>
      <w:r w:rsidRPr="00097064">
        <w:t xml:space="preserve">, </w:t>
      </w:r>
      <w:r>
        <w:t>para. </w:t>
      </w:r>
      <w:r w:rsidRPr="00097064">
        <w:t>883).</w:t>
      </w:r>
    </w:p>
  </w:footnote>
  <w:footnote w:id="637">
    <w:p w:rsidR="00FD2727" w:rsidRPr="00097064" w:rsidRDefault="00FD2727" w:rsidP="00206326">
      <w:pPr>
        <w:pStyle w:val="FootnoteText"/>
        <w:keepLines/>
      </w:pPr>
      <w:r w:rsidRPr="00097064">
        <w:rPr>
          <w:rStyle w:val="FootnoteReference"/>
        </w:rPr>
        <w:footnoteRef/>
      </w:r>
      <w:r w:rsidRPr="00097064">
        <w:t xml:space="preserve"> </w:t>
      </w:r>
      <w:r>
        <w:t>United States</w:t>
      </w:r>
      <w:r w:rsidRPr="00097064">
        <w:t xml:space="preserve">' appellee's submission, </w:t>
      </w:r>
      <w:r>
        <w:t>paras. </w:t>
      </w:r>
      <w:r w:rsidRPr="00097064">
        <w:t xml:space="preserve">238-239 (quoting </w:t>
      </w:r>
      <w:r>
        <w:t>Appellate Body</w:t>
      </w:r>
      <w:r w:rsidRPr="00097064">
        <w:t xml:space="preserve"> Report, </w:t>
      </w:r>
      <w:r>
        <w:rPr>
          <w:i/>
        </w:rPr>
        <w:t>EC </w:t>
      </w:r>
      <w:r w:rsidRPr="00097064">
        <w:rPr>
          <w:i/>
        </w:rPr>
        <w:t>and certain member States – Large Civil Aircraft</w:t>
      </w:r>
      <w:r w:rsidRPr="00097064">
        <w:t xml:space="preserve">, </w:t>
      </w:r>
      <w:r>
        <w:t>para. </w:t>
      </w:r>
      <w:r w:rsidRPr="00097064">
        <w:t>883).</w:t>
      </w:r>
    </w:p>
  </w:footnote>
  <w:footnote w:id="638">
    <w:p w:rsidR="00FD2727" w:rsidRPr="00097064" w:rsidRDefault="00FD2727" w:rsidP="00206326">
      <w:pPr>
        <w:pStyle w:val="FootnoteText"/>
        <w:keepLines/>
      </w:pPr>
      <w:r w:rsidRPr="00097064">
        <w:rPr>
          <w:rStyle w:val="FootnoteReference"/>
        </w:rPr>
        <w:footnoteRef/>
      </w:r>
      <w:r w:rsidRPr="00097064">
        <w:t xml:space="preserve"> </w:t>
      </w:r>
      <w:r>
        <w:t>United States</w:t>
      </w:r>
      <w:r w:rsidRPr="00097064">
        <w:t xml:space="preserve">' appellee's submission, </w:t>
      </w:r>
      <w:r>
        <w:t>para. </w:t>
      </w:r>
      <w:r w:rsidRPr="00097064">
        <w:t>238.</w:t>
      </w:r>
    </w:p>
  </w:footnote>
  <w:footnote w:id="639">
    <w:p w:rsidR="00FD2727" w:rsidRPr="00001C97" w:rsidRDefault="00FD2727" w:rsidP="00206326">
      <w:pPr>
        <w:pStyle w:val="FootnoteText"/>
        <w:keepLines/>
      </w:pPr>
      <w:r w:rsidRPr="00097064">
        <w:rPr>
          <w:rStyle w:val="FootnoteReference"/>
        </w:rPr>
        <w:footnoteRef/>
      </w:r>
      <w:r w:rsidRPr="00097064">
        <w:t xml:space="preserve"> </w:t>
      </w:r>
      <w:r>
        <w:t>United States</w:t>
      </w:r>
      <w:r w:rsidRPr="00097064">
        <w:t xml:space="preserve">' appellee's submission, </w:t>
      </w:r>
      <w:r>
        <w:t>para. </w:t>
      </w:r>
      <w:r w:rsidRPr="00097064">
        <w:t xml:space="preserve">239. The </w:t>
      </w:r>
      <w:r>
        <w:t>United States</w:t>
      </w:r>
      <w:r w:rsidRPr="00097064">
        <w:t xml:space="preserve"> further questions the significance of the contrast drawn by the </w:t>
      </w:r>
      <w:r>
        <w:t>European Union</w:t>
      </w:r>
      <w:r w:rsidRPr="00097064">
        <w:t xml:space="preserve"> between the Panel's decision to exercise it</w:t>
      </w:r>
      <w:r>
        <w:t>s</w:t>
      </w:r>
      <w:r w:rsidRPr="00097064">
        <w:t xml:space="preserve"> discretion </w:t>
      </w:r>
      <w:r>
        <w:t>under</w:t>
      </w:r>
      <w:r w:rsidRPr="00097064">
        <w:t xml:space="preserve"> </w:t>
      </w:r>
      <w:r>
        <w:t>Article </w:t>
      </w:r>
      <w:r w:rsidRPr="00097064">
        <w:t xml:space="preserve">13 of the DSU to request the </w:t>
      </w:r>
      <w:r>
        <w:t>European Union</w:t>
      </w:r>
      <w:r w:rsidRPr="00097064">
        <w:t xml:space="preserve"> </w:t>
      </w:r>
      <w:r>
        <w:t xml:space="preserve">to </w:t>
      </w:r>
      <w:r w:rsidRPr="00097064">
        <w:t xml:space="preserve">submit the </w:t>
      </w:r>
      <w:r w:rsidRPr="00001C97">
        <w:t>LA/MSF contracts for the A350XWB project</w:t>
      </w:r>
      <w:r>
        <w:t>,</w:t>
      </w:r>
      <w:r w:rsidRPr="00001C97">
        <w:t xml:space="preserve"> and the Panel's failure to request the </w:t>
      </w:r>
      <w:r>
        <w:t>European Union</w:t>
      </w:r>
      <w:r w:rsidRPr="00001C97">
        <w:t xml:space="preserve"> </w:t>
      </w:r>
      <w:r>
        <w:t xml:space="preserve">to </w:t>
      </w:r>
      <w:r w:rsidRPr="00001C97">
        <w:t xml:space="preserve">submit the relevant risk-sharing </w:t>
      </w:r>
      <w:r>
        <w:t xml:space="preserve">supplier </w:t>
      </w:r>
      <w:r w:rsidRPr="00001C97">
        <w:t xml:space="preserve">contracts. In the former case, the </w:t>
      </w:r>
      <w:r>
        <w:t>United States</w:t>
      </w:r>
      <w:r w:rsidRPr="00001C97">
        <w:t xml:space="preserve"> specifically requested the Panel to ask the </w:t>
      </w:r>
      <w:r>
        <w:t>European Union</w:t>
      </w:r>
      <w:r w:rsidRPr="00001C97">
        <w:t xml:space="preserve"> to submit the LA/MSF contracts, and the Panel partially did so having heard arguments on the matter from both sides. In the latter case, neither party requested the Panel to exercise its discretion</w:t>
      </w:r>
      <w:r>
        <w:t xml:space="preserve"> under Article 13</w:t>
      </w:r>
      <w:r w:rsidRPr="00001C97">
        <w:t xml:space="preserve">. In any event, the </w:t>
      </w:r>
      <w:r>
        <w:t>European Union</w:t>
      </w:r>
      <w:r w:rsidRPr="00001C97">
        <w:t xml:space="preserve"> "had ample opportunity" to submit the releva</w:t>
      </w:r>
      <w:r>
        <w:t>nt contracts. (Ibid., paras. 240</w:t>
      </w:r>
      <w:r>
        <w:noBreakHyphen/>
      </w:r>
      <w:r w:rsidRPr="00001C97">
        <w:t>241)</w:t>
      </w:r>
    </w:p>
  </w:footnote>
  <w:footnote w:id="640">
    <w:p w:rsidR="00FD2727" w:rsidRPr="00097064" w:rsidRDefault="00FD2727" w:rsidP="00206326">
      <w:pPr>
        <w:pStyle w:val="FootnoteText"/>
        <w:keepLines/>
      </w:pPr>
      <w:r w:rsidRPr="00097064">
        <w:rPr>
          <w:rStyle w:val="FootnoteReference"/>
        </w:rPr>
        <w:footnoteRef/>
      </w:r>
      <w:r w:rsidRPr="00097064">
        <w:t xml:space="preserve"> </w:t>
      </w:r>
      <w:r>
        <w:t>See European Union</w:t>
      </w:r>
      <w:r w:rsidRPr="00097064">
        <w:t>'s appellant's submission, fn 366 to</w:t>
      </w:r>
      <w:r>
        <w:t xml:space="preserve"> para. 408.</w:t>
      </w:r>
    </w:p>
  </w:footnote>
  <w:footnote w:id="641">
    <w:p w:rsidR="00FD2727" w:rsidRPr="00097064" w:rsidRDefault="00FD2727" w:rsidP="00206326">
      <w:pPr>
        <w:pStyle w:val="FootnoteText"/>
        <w:keepLines/>
      </w:pPr>
      <w:r w:rsidRPr="00097064">
        <w:rPr>
          <w:rStyle w:val="FootnoteReference"/>
        </w:rPr>
        <w:footnoteRef/>
      </w:r>
      <w:r w:rsidRPr="00097064">
        <w:t xml:space="preserve"> </w:t>
      </w:r>
      <w:r>
        <w:t>European Union</w:t>
      </w:r>
      <w:r w:rsidRPr="00097064">
        <w:t xml:space="preserve">'s appellant's submission, fn 366 to </w:t>
      </w:r>
      <w:r>
        <w:t>para. </w:t>
      </w:r>
      <w:r w:rsidRPr="00097064">
        <w:t>408. (emphasis added)</w:t>
      </w:r>
    </w:p>
  </w:footnote>
  <w:footnote w:id="642">
    <w:p w:rsidR="00FD2727" w:rsidRPr="00097064" w:rsidRDefault="00FD2727" w:rsidP="00206326">
      <w:pPr>
        <w:pStyle w:val="FootnoteText"/>
        <w:keepLines/>
      </w:pPr>
      <w:r w:rsidRPr="00097064">
        <w:rPr>
          <w:rStyle w:val="FootnoteReference"/>
        </w:rPr>
        <w:footnoteRef/>
      </w:r>
      <w:r w:rsidRPr="00097064">
        <w:t xml:space="preserve"> </w:t>
      </w:r>
      <w:r>
        <w:t>Appellate Body</w:t>
      </w:r>
      <w:r w:rsidRPr="00097064">
        <w:t xml:space="preserve"> Report, </w:t>
      </w:r>
      <w:r w:rsidRPr="00097064">
        <w:rPr>
          <w:i/>
        </w:rPr>
        <w:t>EC and certain member States – Large Civil Aircraft</w:t>
      </w:r>
      <w:r w:rsidRPr="00097064">
        <w:t xml:space="preserve">, </w:t>
      </w:r>
      <w:r>
        <w:t>para. </w:t>
      </w:r>
      <w:r w:rsidRPr="00097064">
        <w:t>872.</w:t>
      </w:r>
      <w:r>
        <w:t xml:space="preserve"> (emphasis original)</w:t>
      </w:r>
    </w:p>
  </w:footnote>
  <w:footnote w:id="643">
    <w:p w:rsidR="00FD2727" w:rsidRPr="00097064" w:rsidRDefault="00FD2727" w:rsidP="00206326">
      <w:pPr>
        <w:pStyle w:val="FootnoteText"/>
        <w:keepLines/>
      </w:pPr>
      <w:r w:rsidRPr="00097064">
        <w:rPr>
          <w:rStyle w:val="FootnoteReference"/>
        </w:rPr>
        <w:footnoteRef/>
      </w:r>
      <w:r w:rsidRPr="00097064">
        <w:t xml:space="preserve"> </w:t>
      </w:r>
      <w:r>
        <w:t>Appellate Body</w:t>
      </w:r>
      <w:r w:rsidRPr="00097064">
        <w:t xml:space="preserve"> Report, </w:t>
      </w:r>
      <w:r w:rsidRPr="00097064">
        <w:rPr>
          <w:i/>
        </w:rPr>
        <w:t>US – Large Civil Aircraft (2</w:t>
      </w:r>
      <w:r w:rsidRPr="00097064">
        <w:rPr>
          <w:i/>
          <w:vertAlign w:val="superscript"/>
        </w:rPr>
        <w:t>nd</w:t>
      </w:r>
      <w:r w:rsidRPr="00097064">
        <w:rPr>
          <w:i/>
        </w:rPr>
        <w:t xml:space="preserve"> complaint)</w:t>
      </w:r>
      <w:r w:rsidRPr="00097064">
        <w:t xml:space="preserve">, </w:t>
      </w:r>
      <w:r>
        <w:t>para. </w:t>
      </w:r>
      <w:r w:rsidRPr="00097064">
        <w:t xml:space="preserve">956. </w:t>
      </w:r>
      <w:r>
        <w:t>See also Appellate Body</w:t>
      </w:r>
      <w:r w:rsidRPr="00097064">
        <w:t xml:space="preserve"> Reports, </w:t>
      </w:r>
      <w:r w:rsidRPr="00097064">
        <w:rPr>
          <w:i/>
        </w:rPr>
        <w:t>Canada – Wheat Exports and Grain Imports</w:t>
      </w:r>
      <w:r w:rsidRPr="00097064">
        <w:t xml:space="preserve">, </w:t>
      </w:r>
      <w:r>
        <w:t>para. </w:t>
      </w:r>
      <w:r w:rsidRPr="00097064">
        <w:t xml:space="preserve">177; </w:t>
      </w:r>
      <w:r w:rsidRPr="00097064">
        <w:rPr>
          <w:i/>
        </w:rPr>
        <w:t>Japan – Apples</w:t>
      </w:r>
      <w:r w:rsidRPr="00097064">
        <w:t xml:space="preserve">, </w:t>
      </w:r>
      <w:r>
        <w:t>para. </w:t>
      </w:r>
      <w:r w:rsidRPr="00097064">
        <w:t>136.</w:t>
      </w:r>
    </w:p>
  </w:footnote>
  <w:footnote w:id="644">
    <w:p w:rsidR="00FD2727" w:rsidRPr="00097064" w:rsidRDefault="00FD2727" w:rsidP="00206326">
      <w:pPr>
        <w:pStyle w:val="FootnoteText"/>
        <w:keepLines/>
      </w:pPr>
      <w:r w:rsidRPr="00097064">
        <w:rPr>
          <w:rStyle w:val="FootnoteReference"/>
        </w:rPr>
        <w:footnoteRef/>
      </w:r>
      <w:r w:rsidRPr="00097064">
        <w:t xml:space="preserve"> </w:t>
      </w:r>
      <w:r>
        <w:t>Appellate Body</w:t>
      </w:r>
      <w:r w:rsidRPr="00097064">
        <w:t xml:space="preserve"> Report, </w:t>
      </w:r>
      <w:r w:rsidRPr="00097064">
        <w:rPr>
          <w:i/>
        </w:rPr>
        <w:t>US – Large Civil Aircraft (2</w:t>
      </w:r>
      <w:r w:rsidRPr="00097064">
        <w:rPr>
          <w:i/>
          <w:vertAlign w:val="superscript"/>
        </w:rPr>
        <w:t>nd</w:t>
      </w:r>
      <w:r w:rsidRPr="00097064">
        <w:rPr>
          <w:i/>
        </w:rPr>
        <w:t xml:space="preserve"> complaint)</w:t>
      </w:r>
      <w:r w:rsidRPr="00097064">
        <w:t xml:space="preserve">, </w:t>
      </w:r>
      <w:r>
        <w:t>para. </w:t>
      </w:r>
      <w:r w:rsidRPr="00097064">
        <w:t>958.</w:t>
      </w:r>
    </w:p>
  </w:footnote>
  <w:footnote w:id="645">
    <w:p w:rsidR="00FD2727" w:rsidRPr="00A453EC" w:rsidRDefault="00FD2727" w:rsidP="00206326">
      <w:pPr>
        <w:pStyle w:val="FootnoteText"/>
        <w:keepLines/>
      </w:pPr>
      <w:r>
        <w:rPr>
          <w:rStyle w:val="FootnoteReference"/>
        </w:rPr>
        <w:footnoteRef/>
      </w:r>
      <w:r>
        <w:t xml:space="preserve"> I</w:t>
      </w:r>
      <w:r w:rsidRPr="001F6A3B">
        <w:t xml:space="preserve">n the context of its claim of error in the application of </w:t>
      </w:r>
      <w:r>
        <w:t>Article </w:t>
      </w:r>
      <w:r w:rsidRPr="001F6A3B">
        <w:t xml:space="preserve">1.1(b), the </w:t>
      </w:r>
      <w:r>
        <w:t xml:space="preserve">European Union asserts </w:t>
      </w:r>
      <w:r w:rsidRPr="001F6A3B">
        <w:t>that, by focusing on whether the project-specific risk premium developed for the A380 project could be applied to assess the LA/MSF loans for the A350XWB project, the Panel failed to undertake a "progressive search" for a benchmark that ha</w:t>
      </w:r>
      <w:r>
        <w:t>d</w:t>
      </w:r>
      <w:r w:rsidRPr="001F6A3B">
        <w:t xml:space="preserve"> "as many elements as possible in common with" the A350XWB LA/MSF loans, and that was, therefore, most closely tailored to the risks associated with the A350XWB project</w:t>
      </w:r>
      <w:r>
        <w:t xml:space="preserve">. </w:t>
      </w:r>
      <w:r w:rsidRPr="001F6A3B">
        <w:t xml:space="preserve">In turn, </w:t>
      </w:r>
      <w:r>
        <w:t>under Article </w:t>
      </w:r>
      <w:r w:rsidRPr="001F6A3B">
        <w:t>11</w:t>
      </w:r>
      <w:r>
        <w:t xml:space="preserve"> of the DSU</w:t>
      </w:r>
      <w:r w:rsidRPr="001F6A3B">
        <w:t xml:space="preserve">, the </w:t>
      </w:r>
      <w:r>
        <w:t>European Union</w:t>
      </w:r>
      <w:r w:rsidRPr="001F6A3B">
        <w:t xml:space="preserve"> contends that the Panel acted inconsistently with this provision by limiting its analysis to a review of whether the use of either of the two benchmarks proposed by the </w:t>
      </w:r>
      <w:r>
        <w:t>United States</w:t>
      </w:r>
      <w:r w:rsidRPr="001F6A3B">
        <w:t xml:space="preserve"> (the JRP and the WRP) would be reasonable, rather than posing questions to the parties and constructing a </w:t>
      </w:r>
      <w:r w:rsidRPr="00A453EC">
        <w:t>risk premium that best reflected the risks associated with the A350XWB project on an independent basis. (</w:t>
      </w:r>
      <w:r>
        <w:t>European Union</w:t>
      </w:r>
      <w:r w:rsidRPr="00A453EC">
        <w:t xml:space="preserve">'s appellant's submission, </w:t>
      </w:r>
      <w:r>
        <w:t>paras. </w:t>
      </w:r>
      <w:r w:rsidRPr="00A453EC">
        <w:t>380 and 411)</w:t>
      </w:r>
    </w:p>
  </w:footnote>
  <w:footnote w:id="646">
    <w:p w:rsidR="00FD2727" w:rsidRPr="00145239" w:rsidRDefault="00FD2727" w:rsidP="00206326">
      <w:pPr>
        <w:pStyle w:val="FootnoteText"/>
        <w:keepLines/>
      </w:pPr>
      <w:r w:rsidRPr="00A453EC">
        <w:rPr>
          <w:rStyle w:val="FootnoteReference"/>
        </w:rPr>
        <w:footnoteRef/>
      </w:r>
      <w:r w:rsidRPr="00A453EC">
        <w:t xml:space="preserve"> </w:t>
      </w:r>
      <w:r w:rsidRPr="00145239">
        <w:t>See section 5.3.2.2.1 of this Report.</w:t>
      </w:r>
    </w:p>
  </w:footnote>
  <w:footnote w:id="647">
    <w:p w:rsidR="00FD2727" w:rsidRPr="00145239" w:rsidRDefault="00FD2727" w:rsidP="00206326">
      <w:pPr>
        <w:pStyle w:val="FootnoteText"/>
        <w:keepLines/>
      </w:pPr>
      <w:r w:rsidRPr="00145239">
        <w:rPr>
          <w:rStyle w:val="FootnoteReference"/>
        </w:rPr>
        <w:footnoteRef/>
      </w:r>
      <w:r w:rsidRPr="00145239">
        <w:t xml:space="preserve"> European Union's appellant's submission, para. 416. (emphasis original)</w:t>
      </w:r>
    </w:p>
  </w:footnote>
  <w:footnote w:id="648">
    <w:p w:rsidR="00FD2727" w:rsidRPr="00145239" w:rsidRDefault="00FD2727" w:rsidP="00206326">
      <w:pPr>
        <w:pStyle w:val="FootnoteText"/>
        <w:keepLines/>
      </w:pPr>
      <w:r w:rsidRPr="00145239">
        <w:rPr>
          <w:rStyle w:val="FootnoteReference"/>
        </w:rPr>
        <w:footnoteRef/>
      </w:r>
      <w:r w:rsidRPr="00145239">
        <w:t xml:space="preserve"> European Union's appellant's submission, para. 422.</w:t>
      </w:r>
    </w:p>
  </w:footnote>
  <w:footnote w:id="649">
    <w:p w:rsidR="00FD2727" w:rsidRPr="00097064" w:rsidRDefault="00FD2727" w:rsidP="00206326">
      <w:pPr>
        <w:pStyle w:val="FootnoteText"/>
        <w:keepLines/>
      </w:pPr>
      <w:r w:rsidRPr="00145239">
        <w:rPr>
          <w:rStyle w:val="FootnoteReference"/>
        </w:rPr>
        <w:footnoteRef/>
      </w:r>
      <w:r w:rsidRPr="00145239">
        <w:t xml:space="preserve"> United States' appellee's submission,</w:t>
      </w:r>
      <w:r w:rsidRPr="00097064">
        <w:t xml:space="preserve"> </w:t>
      </w:r>
      <w:r>
        <w:t>para. </w:t>
      </w:r>
      <w:r w:rsidRPr="00097064">
        <w:t>243.</w:t>
      </w:r>
    </w:p>
  </w:footnote>
  <w:footnote w:id="650">
    <w:p w:rsidR="00FD2727" w:rsidRPr="00097064" w:rsidRDefault="00FD2727" w:rsidP="00206326">
      <w:pPr>
        <w:pStyle w:val="FootnoteText"/>
        <w:keepLines/>
      </w:pPr>
      <w:r w:rsidRPr="00097064">
        <w:rPr>
          <w:rStyle w:val="FootnoteReference"/>
        </w:rPr>
        <w:footnoteRef/>
      </w:r>
      <w:r w:rsidRPr="00097064">
        <w:t xml:space="preserve"> </w:t>
      </w:r>
      <w:r>
        <w:t>United States</w:t>
      </w:r>
      <w:r w:rsidRPr="00097064">
        <w:t xml:space="preserve">' appellee's submission, </w:t>
      </w:r>
      <w:r>
        <w:t>para. </w:t>
      </w:r>
      <w:r w:rsidRPr="00097064">
        <w:t xml:space="preserve">243. The first group consisted of two projects (the A300 and A310 projects), the second four projects (the A320, A330/A340, A330-200, and </w:t>
      </w:r>
      <w:r w:rsidRPr="00AD360A">
        <w:t>A340-500/600 projects), and the final group of the A380 project alone. (Ibid.</w:t>
      </w:r>
      <w:r>
        <w:t xml:space="preserve"> (referring to Appellate Body</w:t>
      </w:r>
      <w:r w:rsidRPr="00097064">
        <w:t xml:space="preserve"> Report, </w:t>
      </w:r>
      <w:r w:rsidRPr="00097064">
        <w:rPr>
          <w:i/>
        </w:rPr>
        <w:t>EC and certain member States – Large Civil Aircraft</w:t>
      </w:r>
      <w:r w:rsidRPr="00097064">
        <w:t xml:space="preserve">, </w:t>
      </w:r>
      <w:r>
        <w:t>para. 882)</w:t>
      </w:r>
      <w:r w:rsidRPr="00AD360A">
        <w:t>)</w:t>
      </w:r>
    </w:p>
  </w:footnote>
  <w:footnote w:id="651">
    <w:p w:rsidR="00FD2727" w:rsidRPr="00097064" w:rsidRDefault="00FD2727" w:rsidP="00206326">
      <w:pPr>
        <w:pStyle w:val="FootnoteText"/>
        <w:keepLines/>
      </w:pPr>
      <w:r w:rsidRPr="00097064">
        <w:rPr>
          <w:rStyle w:val="FootnoteReference"/>
        </w:rPr>
        <w:footnoteRef/>
      </w:r>
      <w:r w:rsidRPr="00097064">
        <w:t xml:space="preserve"> </w:t>
      </w:r>
      <w:r>
        <w:t>United States</w:t>
      </w:r>
      <w:r w:rsidRPr="00097064">
        <w:t xml:space="preserve">' appellee's submission, </w:t>
      </w:r>
      <w:r>
        <w:t>para. </w:t>
      </w:r>
      <w:r w:rsidRPr="00097064">
        <w:t>244.</w:t>
      </w:r>
    </w:p>
  </w:footnote>
  <w:footnote w:id="652">
    <w:p w:rsidR="00FD2727" w:rsidRPr="00097064" w:rsidRDefault="00FD2727" w:rsidP="00206326">
      <w:pPr>
        <w:pStyle w:val="FootnoteText"/>
        <w:keepLines/>
      </w:pPr>
      <w:r w:rsidRPr="00097064">
        <w:rPr>
          <w:rStyle w:val="FootnoteReference"/>
        </w:rPr>
        <w:footnoteRef/>
      </w:r>
      <w:r w:rsidRPr="00097064">
        <w:t xml:space="preserve"> </w:t>
      </w:r>
      <w:r>
        <w:t>European Union</w:t>
      </w:r>
      <w:r w:rsidRPr="00097064">
        <w:t xml:space="preserve">'s appellant's submission, </w:t>
      </w:r>
      <w:r>
        <w:t>para. </w:t>
      </w:r>
      <w:r w:rsidRPr="00097064">
        <w:t>416. (emphasis original)</w:t>
      </w:r>
    </w:p>
  </w:footnote>
  <w:footnote w:id="653">
    <w:p w:rsidR="00FD2727" w:rsidRPr="00097064" w:rsidRDefault="00FD2727" w:rsidP="00206326">
      <w:pPr>
        <w:pStyle w:val="FootnoteText"/>
        <w:keepLines/>
      </w:pPr>
      <w:r w:rsidRPr="00097064">
        <w:rPr>
          <w:rStyle w:val="FootnoteReference"/>
        </w:rPr>
        <w:footnoteRef/>
      </w:r>
      <w:r w:rsidRPr="00097064">
        <w:t xml:space="preserve"> </w:t>
      </w:r>
      <w:r>
        <w:t>Appellate Body</w:t>
      </w:r>
      <w:r w:rsidRPr="00097064">
        <w:t xml:space="preserve"> Report, </w:t>
      </w:r>
      <w:r w:rsidRPr="00097064">
        <w:rPr>
          <w:i/>
        </w:rPr>
        <w:t>EC and certain member States – Large Civil Aircraft</w:t>
      </w:r>
      <w:r w:rsidRPr="00097064">
        <w:t xml:space="preserve">, </w:t>
      </w:r>
      <w:r>
        <w:t>para. </w:t>
      </w:r>
      <w:r w:rsidRPr="00097064">
        <w:t>870. (emphasis added)</w:t>
      </w:r>
    </w:p>
  </w:footnote>
  <w:footnote w:id="654">
    <w:p w:rsidR="00FD2727" w:rsidRPr="00097064" w:rsidRDefault="00FD2727" w:rsidP="00206326">
      <w:pPr>
        <w:pStyle w:val="FootnoteText"/>
        <w:keepLines/>
      </w:pPr>
      <w:r w:rsidRPr="00097064">
        <w:rPr>
          <w:rStyle w:val="FootnoteReference"/>
        </w:rPr>
        <w:footnoteRef/>
      </w:r>
      <w:r w:rsidRPr="00097064">
        <w:t xml:space="preserve"> </w:t>
      </w:r>
      <w:r>
        <w:t>Appellate Body</w:t>
      </w:r>
      <w:r w:rsidRPr="00097064">
        <w:t xml:space="preserve"> Report, </w:t>
      </w:r>
      <w:r w:rsidRPr="00097064">
        <w:rPr>
          <w:i/>
        </w:rPr>
        <w:t>EC and certain member States – Large Civil Aircraft</w:t>
      </w:r>
      <w:r w:rsidRPr="00097064">
        <w:t xml:space="preserve">, </w:t>
      </w:r>
      <w:r>
        <w:t>para. </w:t>
      </w:r>
      <w:r w:rsidRPr="00097064">
        <w:t xml:space="preserve">870. </w:t>
      </w:r>
    </w:p>
  </w:footnote>
  <w:footnote w:id="655">
    <w:p w:rsidR="00FD2727" w:rsidRPr="00097064" w:rsidRDefault="00FD2727" w:rsidP="00206326">
      <w:pPr>
        <w:pStyle w:val="FootnoteText"/>
        <w:keepLines/>
      </w:pPr>
      <w:r w:rsidRPr="00097064">
        <w:rPr>
          <w:rStyle w:val="FootnoteReference"/>
        </w:rPr>
        <w:footnoteRef/>
      </w:r>
      <w:r w:rsidRPr="00097064">
        <w:t xml:space="preserve"> </w:t>
      </w:r>
      <w:r>
        <w:t>European Union</w:t>
      </w:r>
      <w:r w:rsidRPr="00097064">
        <w:t xml:space="preserve">'s appellant's submission, </w:t>
      </w:r>
      <w:r>
        <w:t>para. </w:t>
      </w:r>
      <w:r w:rsidRPr="00097064">
        <w:t>416. (emphasis original)</w:t>
      </w:r>
    </w:p>
  </w:footnote>
  <w:footnote w:id="656">
    <w:p w:rsidR="00FD2727" w:rsidRPr="00A453EC" w:rsidRDefault="00FD2727" w:rsidP="00206326">
      <w:pPr>
        <w:pStyle w:val="FootnoteText"/>
        <w:keepLines/>
      </w:pPr>
      <w:r w:rsidRPr="00097064">
        <w:rPr>
          <w:rStyle w:val="FootnoteReference"/>
        </w:rPr>
        <w:footnoteRef/>
      </w:r>
      <w:r w:rsidRPr="00097064">
        <w:t xml:space="preserve"> </w:t>
      </w:r>
      <w:r>
        <w:t>Appellate Body</w:t>
      </w:r>
      <w:r w:rsidRPr="00A453EC">
        <w:t xml:space="preserve"> Report, </w:t>
      </w:r>
      <w:r w:rsidRPr="00A453EC">
        <w:rPr>
          <w:i/>
        </w:rPr>
        <w:t>EC and certain member States – Large Civil Aircraft</w:t>
      </w:r>
      <w:r w:rsidRPr="00A453EC">
        <w:t xml:space="preserve">, </w:t>
      </w:r>
      <w:r>
        <w:t>para. </w:t>
      </w:r>
      <w:r w:rsidRPr="00A453EC">
        <w:t xml:space="preserve">882 (referring to Original Panel Report, </w:t>
      </w:r>
      <w:r>
        <w:t>paras. </w:t>
      </w:r>
      <w:r w:rsidRPr="00A453EC">
        <w:t>7.469, 7.481, and 7.485-7.487).</w:t>
      </w:r>
    </w:p>
  </w:footnote>
  <w:footnote w:id="657">
    <w:p w:rsidR="00FD2727" w:rsidRPr="00A453EC" w:rsidRDefault="00FD2727" w:rsidP="00206326">
      <w:pPr>
        <w:pStyle w:val="FootnoteText"/>
        <w:keepLines/>
      </w:pPr>
      <w:r w:rsidRPr="00A453EC">
        <w:rPr>
          <w:rStyle w:val="FootnoteReference"/>
        </w:rPr>
        <w:footnoteRef/>
      </w:r>
      <w:r w:rsidRPr="00A453EC">
        <w:t xml:space="preserve"> </w:t>
      </w:r>
      <w:r>
        <w:t>Appellate Body</w:t>
      </w:r>
      <w:r w:rsidRPr="00A453EC">
        <w:t xml:space="preserve"> Report, </w:t>
      </w:r>
      <w:r w:rsidRPr="00A453EC">
        <w:rPr>
          <w:i/>
        </w:rPr>
        <w:t>EC and certain member States – Large Civil Aircraft</w:t>
      </w:r>
      <w:r w:rsidRPr="00A453EC">
        <w:t xml:space="preserve">, </w:t>
      </w:r>
      <w:r>
        <w:t>para. </w:t>
      </w:r>
      <w:r w:rsidRPr="00A453EC">
        <w:t>883.</w:t>
      </w:r>
    </w:p>
  </w:footnote>
  <w:footnote w:id="658">
    <w:p w:rsidR="00FD2727" w:rsidRPr="00145239" w:rsidRDefault="00FD2727" w:rsidP="00206326">
      <w:pPr>
        <w:pStyle w:val="FootnoteText"/>
        <w:keepLines/>
      </w:pPr>
      <w:r w:rsidRPr="00A453EC">
        <w:rPr>
          <w:rStyle w:val="FootnoteReference"/>
        </w:rPr>
        <w:footnoteRef/>
      </w:r>
      <w:r w:rsidRPr="00A453EC">
        <w:t xml:space="preserve"> </w:t>
      </w:r>
      <w:r>
        <w:t>European </w:t>
      </w:r>
      <w:r w:rsidRPr="00145239">
        <w:t>Union's appellant's submission, para. 421.</w:t>
      </w:r>
    </w:p>
  </w:footnote>
  <w:footnote w:id="659">
    <w:p w:rsidR="00FD2727" w:rsidRPr="00145239" w:rsidRDefault="00FD2727" w:rsidP="00206326">
      <w:pPr>
        <w:pStyle w:val="FootnoteText"/>
        <w:keepNext/>
        <w:keepLines/>
      </w:pPr>
      <w:r w:rsidRPr="00145239">
        <w:rPr>
          <w:rStyle w:val="FootnoteReference"/>
        </w:rPr>
        <w:footnoteRef/>
      </w:r>
      <w:r w:rsidRPr="00145239">
        <w:t xml:space="preserve"> We recall that, in section 5.3.2.2.2 of this Report, we reject the European Union's claim that the Panel erred under Article 1.1(b) by applying a single, undifferentiated project risk premium derived from the A380 project to the A350XWB project, </w:t>
      </w:r>
      <w:r w:rsidRPr="00145239">
        <w:rPr>
          <w:i/>
        </w:rPr>
        <w:t>without making adjustments</w:t>
      </w:r>
      <w:r w:rsidRPr="00145239">
        <w:t xml:space="preserve"> in light of differences between the two projects. (European Union's appellant's submission, para. 396)</w:t>
      </w:r>
    </w:p>
  </w:footnote>
  <w:footnote w:id="660">
    <w:p w:rsidR="00FD2727" w:rsidRPr="00A453EC" w:rsidRDefault="00FD2727" w:rsidP="00206326">
      <w:pPr>
        <w:pStyle w:val="FootnoteText"/>
        <w:keepLines/>
      </w:pPr>
      <w:r w:rsidRPr="00145239">
        <w:rPr>
          <w:rStyle w:val="FootnoteReference"/>
        </w:rPr>
        <w:footnoteRef/>
      </w:r>
      <w:r w:rsidRPr="00145239">
        <w:t xml:space="preserve"> See section 5.3.2.2.1 of this</w:t>
      </w:r>
      <w:r w:rsidRPr="00A453EC">
        <w:t xml:space="preserve"> Report.</w:t>
      </w:r>
    </w:p>
  </w:footnote>
  <w:footnote w:id="661">
    <w:p w:rsidR="00FD2727" w:rsidRPr="00097064" w:rsidRDefault="00FD2727" w:rsidP="00206326">
      <w:pPr>
        <w:pStyle w:val="FootnoteText"/>
        <w:keepLines/>
      </w:pPr>
      <w:r w:rsidRPr="00A453EC">
        <w:rPr>
          <w:rStyle w:val="FootnoteReference"/>
        </w:rPr>
        <w:footnoteRef/>
      </w:r>
      <w:r w:rsidRPr="00A453EC">
        <w:t xml:space="preserve"> </w:t>
      </w:r>
      <w:r>
        <w:t>European Union</w:t>
      </w:r>
      <w:r w:rsidRPr="00A453EC">
        <w:t>'s appellant's submission</w:t>
      </w:r>
      <w:r w:rsidRPr="00097064">
        <w:t xml:space="preserve">, </w:t>
      </w:r>
      <w:r>
        <w:t>para. </w:t>
      </w:r>
      <w:r w:rsidRPr="00097064">
        <w:t>423.</w:t>
      </w:r>
    </w:p>
  </w:footnote>
  <w:footnote w:id="662">
    <w:p w:rsidR="00FD2727" w:rsidRPr="00097064" w:rsidRDefault="00FD2727" w:rsidP="00206326">
      <w:pPr>
        <w:pStyle w:val="FootnoteText"/>
        <w:keepLines/>
      </w:pPr>
      <w:r w:rsidRPr="00097064">
        <w:rPr>
          <w:rStyle w:val="FootnoteReference"/>
        </w:rPr>
        <w:footnoteRef/>
      </w:r>
      <w:r w:rsidRPr="00097064">
        <w:t xml:space="preserve"> </w:t>
      </w:r>
      <w:r>
        <w:t>European Union</w:t>
      </w:r>
      <w:r w:rsidRPr="00097064">
        <w:t xml:space="preserve">'s appellant's submission, </w:t>
      </w:r>
      <w:r>
        <w:t>paras. </w:t>
      </w:r>
      <w:r w:rsidRPr="00097064">
        <w:t>355 and 424.</w:t>
      </w:r>
    </w:p>
  </w:footnote>
  <w:footnote w:id="663">
    <w:p w:rsidR="00FD2727" w:rsidRPr="00097064" w:rsidRDefault="00FD2727" w:rsidP="00206326">
      <w:pPr>
        <w:pStyle w:val="FootnoteText"/>
        <w:keepLines/>
      </w:pPr>
      <w:r w:rsidRPr="00097064">
        <w:rPr>
          <w:rStyle w:val="FootnoteReference"/>
        </w:rPr>
        <w:footnoteRef/>
      </w:r>
      <w:r w:rsidRPr="00097064">
        <w:t xml:space="preserve"> According to the </w:t>
      </w:r>
      <w:r>
        <w:t>European Union</w:t>
      </w:r>
      <w:r w:rsidRPr="00097064">
        <w:t>, development risk relates to the "likelihood that Airbus will not be able to deliver the aircraft as and when promised", including due to technological risks. (</w:t>
      </w:r>
      <w:r>
        <w:t>European Union</w:t>
      </w:r>
      <w:r w:rsidRPr="00097064">
        <w:t xml:space="preserve">'s appellant's submission, </w:t>
      </w:r>
      <w:r>
        <w:t>para. </w:t>
      </w:r>
      <w:r w:rsidRPr="00097064">
        <w:t xml:space="preserve">440 (quoting Panel Report, </w:t>
      </w:r>
      <w:r>
        <w:t>para. </w:t>
      </w:r>
      <w:r w:rsidRPr="00097064">
        <w:t>6.462))</w:t>
      </w:r>
    </w:p>
  </w:footnote>
  <w:footnote w:id="664">
    <w:p w:rsidR="00FD2727" w:rsidRPr="00097064" w:rsidRDefault="00FD2727" w:rsidP="00206326">
      <w:pPr>
        <w:pStyle w:val="FootnoteText"/>
        <w:keepLines/>
      </w:pPr>
      <w:r w:rsidRPr="00097064">
        <w:rPr>
          <w:rStyle w:val="FootnoteReference"/>
        </w:rPr>
        <w:footnoteRef/>
      </w:r>
      <w:r w:rsidRPr="00097064">
        <w:t xml:space="preserve"> Market risk is the "risk that the new aircraft will not sell as well as anticipated". (</w:t>
      </w:r>
      <w:r>
        <w:t>European Union</w:t>
      </w:r>
      <w:r w:rsidRPr="00097064">
        <w:t xml:space="preserve">'s appellant's submission, </w:t>
      </w:r>
      <w:r>
        <w:t>para. </w:t>
      </w:r>
      <w:r w:rsidRPr="00097064">
        <w:t xml:space="preserve">440 (quoting Panel Report, </w:t>
      </w:r>
      <w:r>
        <w:t>para. </w:t>
      </w:r>
      <w:r w:rsidRPr="00097064">
        <w:t>6.543))</w:t>
      </w:r>
    </w:p>
  </w:footnote>
  <w:footnote w:id="665">
    <w:p w:rsidR="00FD2727" w:rsidRPr="00097064" w:rsidRDefault="00FD2727" w:rsidP="00206326">
      <w:pPr>
        <w:pStyle w:val="FootnoteText"/>
        <w:keepLines/>
      </w:pPr>
      <w:r w:rsidRPr="00097064">
        <w:rPr>
          <w:rStyle w:val="FootnoteReference"/>
        </w:rPr>
        <w:footnoteRef/>
      </w:r>
      <w:r w:rsidRPr="00097064">
        <w:t xml:space="preserve"> </w:t>
      </w:r>
      <w:r>
        <w:t>European Union</w:t>
      </w:r>
      <w:r w:rsidRPr="00097064">
        <w:t xml:space="preserve">'s appellant's submission, </w:t>
      </w:r>
      <w:r>
        <w:t>para. </w:t>
      </w:r>
      <w:r w:rsidRPr="00097064">
        <w:t>442</w:t>
      </w:r>
      <w:r>
        <w:t xml:space="preserve"> (quoting Panel Report, paras. 6.485, 6.487, and 6.539 (emphasis original)).</w:t>
      </w:r>
    </w:p>
  </w:footnote>
  <w:footnote w:id="666">
    <w:p w:rsidR="00FD2727" w:rsidRPr="00097064" w:rsidRDefault="00FD2727" w:rsidP="00206326">
      <w:pPr>
        <w:pStyle w:val="FootnoteText"/>
        <w:keepLines/>
      </w:pPr>
      <w:r w:rsidRPr="00097064">
        <w:rPr>
          <w:rStyle w:val="FootnoteReference"/>
        </w:rPr>
        <w:footnoteRef/>
      </w:r>
      <w:r w:rsidRPr="00097064">
        <w:t xml:space="preserve"> </w:t>
      </w:r>
      <w:r>
        <w:t>European Union</w:t>
      </w:r>
      <w:r w:rsidRPr="00097064">
        <w:t xml:space="preserve">'s appellant's submission, </w:t>
      </w:r>
      <w:r>
        <w:t>para. </w:t>
      </w:r>
      <w:r w:rsidRPr="00097064">
        <w:t xml:space="preserve">447 (quoting Panel Report, </w:t>
      </w:r>
      <w:r>
        <w:t>para. </w:t>
      </w:r>
      <w:r w:rsidRPr="00097064">
        <w:t xml:space="preserve">6.487 </w:t>
      </w:r>
      <w:r>
        <w:br/>
      </w:r>
      <w:r w:rsidRPr="00097064">
        <w:t xml:space="preserve">(emphasis added by the </w:t>
      </w:r>
      <w:r>
        <w:t>European Union</w:t>
      </w:r>
      <w:r w:rsidRPr="00097064">
        <w:t>)</w:t>
      </w:r>
      <w:r>
        <w:t>).</w:t>
      </w:r>
    </w:p>
  </w:footnote>
  <w:footnote w:id="667">
    <w:p w:rsidR="00FD2727" w:rsidRPr="00097064" w:rsidRDefault="00FD2727" w:rsidP="00206326">
      <w:pPr>
        <w:pStyle w:val="FootnoteText"/>
        <w:keepLines/>
      </w:pPr>
      <w:r w:rsidRPr="00097064">
        <w:rPr>
          <w:rStyle w:val="FootnoteReference"/>
        </w:rPr>
        <w:footnoteRef/>
      </w:r>
      <w:r w:rsidRPr="00097064">
        <w:t xml:space="preserve"> </w:t>
      </w:r>
      <w:r>
        <w:t>European Union</w:t>
      </w:r>
      <w:r w:rsidRPr="00097064">
        <w:t xml:space="preserve">'s appellant's submission, </w:t>
      </w:r>
      <w:r>
        <w:t>para. </w:t>
      </w:r>
      <w:r w:rsidRPr="00097064">
        <w:t xml:space="preserve">447 (quoting Panel Report, </w:t>
      </w:r>
      <w:r>
        <w:t>paras. </w:t>
      </w:r>
      <w:r w:rsidRPr="00097064">
        <w:t>6.466 and 6.482</w:t>
      </w:r>
      <w:r>
        <w:t xml:space="preserve">). </w:t>
      </w:r>
      <w:r w:rsidRPr="00850ECD">
        <w:t>(emphasis omitted)</w:t>
      </w:r>
    </w:p>
  </w:footnote>
  <w:footnote w:id="668">
    <w:p w:rsidR="00FD2727" w:rsidRPr="001942DB" w:rsidRDefault="00FD2727">
      <w:pPr>
        <w:pStyle w:val="FootnoteText"/>
      </w:pPr>
      <w:r>
        <w:rPr>
          <w:rStyle w:val="FootnoteReference"/>
        </w:rPr>
        <w:footnoteRef/>
      </w:r>
      <w:r>
        <w:t xml:space="preserve"> European Union's appellant's submission, para. 444.</w:t>
      </w:r>
    </w:p>
  </w:footnote>
  <w:footnote w:id="669">
    <w:p w:rsidR="00FD2727" w:rsidRPr="00097064" w:rsidRDefault="00FD2727" w:rsidP="00206326">
      <w:pPr>
        <w:pStyle w:val="FootnoteText"/>
        <w:keepLines/>
      </w:pPr>
      <w:r w:rsidRPr="00097064">
        <w:rPr>
          <w:rStyle w:val="FootnoteReference"/>
        </w:rPr>
        <w:footnoteRef/>
      </w:r>
      <w:r w:rsidRPr="00097064">
        <w:t xml:space="preserve"> </w:t>
      </w:r>
      <w:r>
        <w:t xml:space="preserve">European Union's appellant's submission, para. 450 (quoting Panel Report, paras. 6.485 and 6.487 (emphasis original)). </w:t>
      </w:r>
      <w:r w:rsidRPr="00097064">
        <w:t xml:space="preserve">According to the </w:t>
      </w:r>
      <w:r>
        <w:t>European Union</w:t>
      </w:r>
      <w:r w:rsidRPr="00097064">
        <w:t>, th</w:t>
      </w:r>
      <w:r>
        <w:t>e</w:t>
      </w:r>
      <w:r w:rsidRPr="00097064">
        <w:t xml:space="preserve"> </w:t>
      </w:r>
      <w:r w:rsidRPr="005215AD">
        <w:t>missing link</w:t>
      </w:r>
      <w:r w:rsidRPr="00097064">
        <w:t xml:space="preserve"> in the Panel's analysis is particularly troubling given that the Panel's benefit findings are highly dependent on accuracy and precision in the benchmarking exercise. Even a small change in the project risk premium could potentially change the results for one or more of the A350XWB LA/MSF loans, from a finding of subsidi</w:t>
      </w:r>
      <w:r>
        <w:t>z</w:t>
      </w:r>
      <w:r w:rsidRPr="00097064">
        <w:t>ation to a finding of no subsidi</w:t>
      </w:r>
      <w:r>
        <w:t>z</w:t>
      </w:r>
      <w:r w:rsidRPr="00097064">
        <w:t>ation. (</w:t>
      </w:r>
      <w:r>
        <w:t>Ibid.</w:t>
      </w:r>
      <w:r w:rsidRPr="00097064">
        <w:t xml:space="preserve">, </w:t>
      </w:r>
      <w:r>
        <w:t>para. </w:t>
      </w:r>
      <w:r w:rsidRPr="00097064">
        <w:t>451)</w:t>
      </w:r>
    </w:p>
  </w:footnote>
  <w:footnote w:id="670">
    <w:p w:rsidR="00FD2727" w:rsidRPr="00097064" w:rsidRDefault="00FD2727" w:rsidP="00206326">
      <w:pPr>
        <w:pStyle w:val="FootnoteText"/>
        <w:keepNext/>
        <w:keepLines/>
      </w:pPr>
      <w:r w:rsidRPr="00097064">
        <w:rPr>
          <w:rStyle w:val="FootnoteReference"/>
        </w:rPr>
        <w:footnoteRef/>
      </w:r>
      <w:r w:rsidRPr="00097064">
        <w:t xml:space="preserve"> </w:t>
      </w:r>
      <w:r>
        <w:t>United States</w:t>
      </w:r>
      <w:r w:rsidRPr="00097064">
        <w:t xml:space="preserve">' appellee's submission, </w:t>
      </w:r>
      <w:r>
        <w:t>para. 253.</w:t>
      </w:r>
    </w:p>
  </w:footnote>
  <w:footnote w:id="671">
    <w:p w:rsidR="00FD2727" w:rsidRPr="00097064" w:rsidRDefault="00FD2727" w:rsidP="00206326">
      <w:pPr>
        <w:pStyle w:val="FootnoteText"/>
        <w:keepLines/>
      </w:pPr>
      <w:r w:rsidRPr="00097064">
        <w:rPr>
          <w:rStyle w:val="FootnoteReference"/>
        </w:rPr>
        <w:footnoteRef/>
      </w:r>
      <w:r w:rsidRPr="00097064">
        <w:t xml:space="preserve"> </w:t>
      </w:r>
      <w:r>
        <w:t>United States</w:t>
      </w:r>
      <w:r w:rsidRPr="00097064">
        <w:t xml:space="preserve">' appellee's submission, </w:t>
      </w:r>
      <w:r>
        <w:t>para. </w:t>
      </w:r>
      <w:r w:rsidRPr="00097064">
        <w:t xml:space="preserve">250. </w:t>
      </w:r>
      <w:r>
        <w:t>T</w:t>
      </w:r>
      <w:r w:rsidRPr="00097064">
        <w:t xml:space="preserve">he </w:t>
      </w:r>
      <w:r>
        <w:t>United States</w:t>
      </w:r>
      <w:r w:rsidRPr="00097064">
        <w:t xml:space="preserve"> points out</w:t>
      </w:r>
      <w:r>
        <w:t xml:space="preserve"> that,</w:t>
      </w:r>
      <w:r w:rsidRPr="00097064">
        <w:t xml:space="preserve"> </w:t>
      </w:r>
      <w:r>
        <w:t>i</w:t>
      </w:r>
      <w:r w:rsidRPr="00097064">
        <w:t>n any event</w:t>
      </w:r>
      <w:r>
        <w:t>,</w:t>
      </w:r>
      <w:r w:rsidRPr="00097064">
        <w:t xml:space="preserve"> the Panel did take account of certain quantitative elements, such as the </w:t>
      </w:r>
      <w:r>
        <w:t>research and development (</w:t>
      </w:r>
      <w:r w:rsidRPr="00097064">
        <w:t>R&amp;D</w:t>
      </w:r>
      <w:r>
        <w:t>)</w:t>
      </w:r>
      <w:r w:rsidRPr="00097064">
        <w:t xml:space="preserve"> costs associated with the two projects. (Ibid.</w:t>
      </w:r>
      <w:r>
        <w:t>,</w:t>
      </w:r>
      <w:r w:rsidRPr="00097064">
        <w:t xml:space="preserve"> </w:t>
      </w:r>
      <w:r>
        <w:t>paras. </w:t>
      </w:r>
      <w:r w:rsidRPr="00097064">
        <w:t>251 and 253)</w:t>
      </w:r>
    </w:p>
  </w:footnote>
  <w:footnote w:id="672">
    <w:p w:rsidR="00FD2727" w:rsidRPr="00AD360A" w:rsidRDefault="00FD2727" w:rsidP="00206326">
      <w:pPr>
        <w:pStyle w:val="FootnoteText"/>
        <w:keepLines/>
      </w:pPr>
      <w:r w:rsidRPr="00AD360A">
        <w:rPr>
          <w:rStyle w:val="FootnoteReference"/>
        </w:rPr>
        <w:footnoteRef/>
      </w:r>
      <w:r w:rsidRPr="00AD360A">
        <w:t xml:space="preserve"> </w:t>
      </w:r>
      <w:r>
        <w:t>United States</w:t>
      </w:r>
      <w:r w:rsidRPr="00AD360A">
        <w:t xml:space="preserve">' appellee's submission, </w:t>
      </w:r>
      <w:r>
        <w:t>para. </w:t>
      </w:r>
      <w:r w:rsidRPr="00AD360A">
        <w:t>253.</w:t>
      </w:r>
    </w:p>
  </w:footnote>
  <w:footnote w:id="673">
    <w:p w:rsidR="00FD2727" w:rsidRDefault="00FD2727" w:rsidP="00206326">
      <w:pPr>
        <w:pStyle w:val="FootnoteText"/>
        <w:keepLines/>
      </w:pPr>
      <w:r>
        <w:rPr>
          <w:rStyle w:val="FootnoteReference"/>
        </w:rPr>
        <w:footnoteRef/>
      </w:r>
      <w:r>
        <w:t xml:space="preserve"> Panel Report, para. 6.608.</w:t>
      </w:r>
    </w:p>
  </w:footnote>
  <w:footnote w:id="674">
    <w:p w:rsidR="00FD2727" w:rsidRDefault="00FD2727" w:rsidP="00206326">
      <w:pPr>
        <w:pStyle w:val="FootnoteText"/>
        <w:keepLines/>
      </w:pPr>
      <w:r>
        <w:rPr>
          <w:rStyle w:val="FootnoteReference"/>
        </w:rPr>
        <w:footnoteRef/>
      </w:r>
      <w:r>
        <w:t xml:space="preserve"> Panel Report, para. 6.608.</w:t>
      </w:r>
    </w:p>
  </w:footnote>
  <w:footnote w:id="675">
    <w:p w:rsidR="00FD2727" w:rsidRPr="00007177" w:rsidRDefault="00FD2727" w:rsidP="00206326">
      <w:pPr>
        <w:pStyle w:val="FootnoteText"/>
        <w:keepLines/>
      </w:pPr>
      <w:r w:rsidRPr="00097064">
        <w:rPr>
          <w:rStyle w:val="FootnoteReference"/>
        </w:rPr>
        <w:footnoteRef/>
      </w:r>
      <w:r w:rsidRPr="00097064">
        <w:t xml:space="preserve"> For instance, with respect to development risk, the </w:t>
      </w:r>
      <w:r>
        <w:t>European Union</w:t>
      </w:r>
      <w:r w:rsidRPr="00097064">
        <w:t xml:space="preserve"> argued that the </w:t>
      </w:r>
      <w:r w:rsidRPr="00AD360A">
        <w:t>"relevant question is whether the development risk of the A350XWB programme relative to the development risk of the A380 programme warrants applicat</w:t>
      </w:r>
      <w:r>
        <w:t>ion to the A350XWB of a project</w:t>
      </w:r>
      <w:r>
        <w:noBreakHyphen/>
      </w:r>
      <w:r w:rsidRPr="00AD360A">
        <w:t>specific risk premium associated with the A380"</w:t>
      </w:r>
      <w:r>
        <w:t>.</w:t>
      </w:r>
      <w:r w:rsidRPr="00AD360A">
        <w:t> (</w:t>
      </w:r>
      <w:r>
        <w:t>European Union</w:t>
      </w:r>
      <w:r w:rsidRPr="00AD360A">
        <w:t xml:space="preserve">'s </w:t>
      </w:r>
      <w:r>
        <w:t>c</w:t>
      </w:r>
      <w:r w:rsidRPr="00AD360A">
        <w:t xml:space="preserve">omments on </w:t>
      </w:r>
      <w:r>
        <w:t>the United States</w:t>
      </w:r>
      <w:r w:rsidRPr="00AD360A">
        <w:t xml:space="preserve">' </w:t>
      </w:r>
      <w:r>
        <w:t>r</w:t>
      </w:r>
      <w:r w:rsidRPr="00AD360A">
        <w:t>esponse to Panel</w:t>
      </w:r>
      <w:r>
        <w:t xml:space="preserve"> q</w:t>
      </w:r>
      <w:r w:rsidRPr="00AD360A">
        <w:t xml:space="preserve">uestion No. 90, </w:t>
      </w:r>
      <w:r>
        <w:t>para. </w:t>
      </w:r>
      <w:r w:rsidRPr="00AD360A">
        <w:t xml:space="preserve">709) With regard to market risk, the </w:t>
      </w:r>
      <w:r>
        <w:t>European Union</w:t>
      </w:r>
      <w:r w:rsidRPr="00AD360A">
        <w:t xml:space="preserve"> faulted the </w:t>
      </w:r>
      <w:r>
        <w:t>United States</w:t>
      </w:r>
      <w:r w:rsidRPr="00AD360A">
        <w:t xml:space="preserve"> for failing to provide forecasts for the A350XWB and A380 </w:t>
      </w:r>
      <w:r w:rsidRPr="00AD360A">
        <w:rPr>
          <w:szCs w:val="20"/>
        </w:rPr>
        <w:t>projects</w:t>
      </w:r>
      <w:r w:rsidRPr="00AD360A" w:rsidDel="00CA4D26">
        <w:t xml:space="preserve"> </w:t>
      </w:r>
      <w:r w:rsidRPr="00AD360A">
        <w:t xml:space="preserve">and to undertake a comparison of those forecasts, which would have allowed the Panel to assess comparative market risks as between the two </w:t>
      </w:r>
      <w:r>
        <w:t>projects</w:t>
      </w:r>
      <w:r w:rsidRPr="00AD360A">
        <w:t>. (</w:t>
      </w:r>
      <w:r>
        <w:t>Ibid.</w:t>
      </w:r>
      <w:r w:rsidRPr="00AD360A">
        <w:t xml:space="preserve">, </w:t>
      </w:r>
      <w:r>
        <w:t>para. </w:t>
      </w:r>
      <w:r w:rsidRPr="00AD360A">
        <w:t>685) Finally, with regard to</w:t>
      </w:r>
      <w:r w:rsidRPr="00097064">
        <w:t xml:space="preserve"> the price of risk, the </w:t>
      </w:r>
      <w:r>
        <w:t>European Union</w:t>
      </w:r>
      <w:r w:rsidRPr="00097064">
        <w:t xml:space="preserve"> argued that the </w:t>
      </w:r>
      <w:r>
        <w:t>United States</w:t>
      </w:r>
      <w:r w:rsidRPr="00097064">
        <w:t xml:space="preserve"> </w:t>
      </w:r>
      <w:r>
        <w:t xml:space="preserve">had </w:t>
      </w:r>
      <w:r w:rsidRPr="00097064">
        <w:t xml:space="preserve">failed to provide any basis to support the conclusion that the price of risk is </w:t>
      </w:r>
      <w:r w:rsidRPr="00097064">
        <w:rPr>
          <w:i/>
        </w:rPr>
        <w:t>at least</w:t>
      </w:r>
      <w:r w:rsidRPr="00097064">
        <w:t xml:space="preserve"> </w:t>
      </w:r>
      <w:r w:rsidRPr="00007177">
        <w:t xml:space="preserve">the same as or </w:t>
      </w:r>
      <w:r w:rsidRPr="00007177">
        <w:rPr>
          <w:i/>
        </w:rPr>
        <w:t>more</w:t>
      </w:r>
      <w:r w:rsidRPr="00007177">
        <w:t xml:space="preserve"> expensive t</w:t>
      </w:r>
      <w:r>
        <w:t>han it was at the time the A380 </w:t>
      </w:r>
      <w:r w:rsidRPr="00007177">
        <w:t xml:space="preserve">LA/MSF contracts were concluded. (Ibid., </w:t>
      </w:r>
      <w:r>
        <w:t>para. </w:t>
      </w:r>
      <w:r w:rsidRPr="00007177">
        <w:t>716)</w:t>
      </w:r>
    </w:p>
  </w:footnote>
  <w:footnote w:id="676">
    <w:p w:rsidR="00FD2727" w:rsidRPr="00A453EC" w:rsidRDefault="00FD2727" w:rsidP="00206326">
      <w:pPr>
        <w:pStyle w:val="FootnoteText"/>
        <w:keepLines/>
      </w:pPr>
      <w:r w:rsidRPr="00007177">
        <w:rPr>
          <w:rStyle w:val="FootnoteReference"/>
        </w:rPr>
        <w:footnoteRef/>
      </w:r>
      <w:r w:rsidRPr="00007177">
        <w:t xml:space="preserve"> Panel Report, </w:t>
      </w:r>
      <w:r>
        <w:t>para. </w:t>
      </w:r>
      <w:r w:rsidRPr="00007177">
        <w:t xml:space="preserve">6.468 (referring to </w:t>
      </w:r>
      <w:r w:rsidRPr="00007177">
        <w:rPr>
          <w:szCs w:val="16"/>
        </w:rPr>
        <w:t xml:space="preserve">A350XWB Chief </w:t>
      </w:r>
      <w:r w:rsidRPr="00A453EC">
        <w:rPr>
          <w:szCs w:val="16"/>
        </w:rPr>
        <w:t>Engineering Statement</w:t>
      </w:r>
      <w:r w:rsidRPr="00A453EC">
        <w:t xml:space="preserve"> (Panel Exhibit EU-18 (BCI/HSBI)); </w:t>
      </w:r>
      <w:r w:rsidRPr="00A453EC">
        <w:rPr>
          <w:szCs w:val="16"/>
        </w:rPr>
        <w:t>Statement by Gordon McConnell, Michel Lacabanne, Chantal Fualdes, François Cerbelaud and Burkhard Domke, A350XWB Chief Engineering, 13</w:t>
      </w:r>
      <w:r>
        <w:rPr>
          <w:szCs w:val="16"/>
        </w:rPr>
        <w:t> December 20</w:t>
      </w:r>
      <w:r w:rsidRPr="00A453EC">
        <w:rPr>
          <w:szCs w:val="16"/>
        </w:rPr>
        <w:t xml:space="preserve">12 (A350XWB Chief Engineering Rebuttal) </w:t>
      </w:r>
      <w:r w:rsidRPr="00A453EC">
        <w:t xml:space="preserve">(Panel Exhibit EU-128 (BCI/HSBI)); </w:t>
      </w:r>
      <w:r w:rsidRPr="00A453EC">
        <w:rPr>
          <w:szCs w:val="16"/>
        </w:rPr>
        <w:t xml:space="preserve">A350XWB Production Statement </w:t>
      </w:r>
      <w:r w:rsidRPr="00A453EC">
        <w:t xml:space="preserve">(Panel Exhibit EU-129 (BCI/HSBI)); </w:t>
      </w:r>
      <w:r>
        <w:rPr>
          <w:szCs w:val="16"/>
        </w:rPr>
        <w:t>Declaration of Larry Schneider, Senior Vice President of Product Development, Boeing Commercial Aircraft, "The Relevance of Prior Commercial Experience to Existing Model Improvements and New Aircraft Developments", 17 October 2012 (Schneider Declaration)</w:t>
      </w:r>
      <w:r w:rsidRPr="00A453EC">
        <w:rPr>
          <w:szCs w:val="16"/>
        </w:rPr>
        <w:t xml:space="preserve"> </w:t>
      </w:r>
      <w:r w:rsidRPr="00A453EC">
        <w:t>(Panel Exhibit USA-354</w:t>
      </w:r>
      <w:r w:rsidRPr="00A453EC">
        <w:rPr>
          <w:szCs w:val="16"/>
        </w:rPr>
        <w:t xml:space="preserve"> (BCI))</w:t>
      </w:r>
      <w:r w:rsidRPr="00A453EC">
        <w:t xml:space="preserve">; </w:t>
      </w:r>
      <w:r w:rsidRPr="00A453EC">
        <w:rPr>
          <w:szCs w:val="16"/>
        </w:rPr>
        <w:t>Declaration of Michael Bair: Products and Competition in the ICA Industry (16</w:t>
      </w:r>
      <w:r>
        <w:rPr>
          <w:szCs w:val="16"/>
        </w:rPr>
        <w:t> August 20</w:t>
      </w:r>
      <w:r w:rsidRPr="00A453EC">
        <w:rPr>
          <w:szCs w:val="16"/>
        </w:rPr>
        <w:t>12) (Bair Declaration)</w:t>
      </w:r>
      <w:r w:rsidRPr="00A453EC">
        <w:t xml:space="preserve"> (Panel Exhibit USA-339 (BCI))).</w:t>
      </w:r>
    </w:p>
  </w:footnote>
  <w:footnote w:id="677">
    <w:p w:rsidR="00FD2727" w:rsidRPr="00A453EC" w:rsidRDefault="00FD2727" w:rsidP="00206326">
      <w:pPr>
        <w:pStyle w:val="FootnoteText"/>
        <w:keepLines/>
      </w:pPr>
      <w:r w:rsidRPr="00A453EC">
        <w:rPr>
          <w:rStyle w:val="FootnoteReference"/>
        </w:rPr>
        <w:footnoteRef/>
      </w:r>
      <w:r w:rsidRPr="00A453EC">
        <w:t xml:space="preserve"> Panel Report, </w:t>
      </w:r>
      <w:r>
        <w:t>para. </w:t>
      </w:r>
      <w:r w:rsidRPr="00A453EC">
        <w:t xml:space="preserve">6.470. The Panel pointed out that the new composites technology in the A350XWB related to over half of the fuselage and wings, passenger doors, and flap support structures. (Ibid. (referring to </w:t>
      </w:r>
      <w:r w:rsidRPr="00A453EC">
        <w:rPr>
          <w:szCs w:val="16"/>
        </w:rPr>
        <w:t>"A350XWB – Technology", Airbus website, accessed 3</w:t>
      </w:r>
      <w:r>
        <w:rPr>
          <w:szCs w:val="16"/>
        </w:rPr>
        <w:t> October 20</w:t>
      </w:r>
      <w:r w:rsidRPr="00A453EC">
        <w:rPr>
          <w:szCs w:val="16"/>
        </w:rPr>
        <w:t>12</w:t>
      </w:r>
      <w:r w:rsidRPr="00A453EC">
        <w:t xml:space="preserve"> (Panel Exhibit USA-427); </w:t>
      </w:r>
      <w:r w:rsidRPr="00A453EC">
        <w:rPr>
          <w:szCs w:val="16"/>
        </w:rPr>
        <w:t>European Commission, State aid N 414/2010 – Belgium – Aid to SABCA 'Flap Support Structures' project, (5</w:t>
      </w:r>
      <w:r>
        <w:rPr>
          <w:szCs w:val="16"/>
        </w:rPr>
        <w:t> October 20</w:t>
      </w:r>
      <w:r w:rsidRPr="00A453EC">
        <w:rPr>
          <w:szCs w:val="16"/>
        </w:rPr>
        <w:t xml:space="preserve">11) </w:t>
      </w:r>
      <w:r w:rsidRPr="00A453EC">
        <w:t xml:space="preserve">(Panel Exhibit USA-441), </w:t>
      </w:r>
      <w:r>
        <w:rPr>
          <w:szCs w:val="16"/>
        </w:rPr>
        <w:t>para. </w:t>
      </w:r>
      <w:r w:rsidRPr="00A453EC">
        <w:rPr>
          <w:szCs w:val="16"/>
        </w:rPr>
        <w:t>52</w:t>
      </w:r>
      <w:r w:rsidRPr="00A453EC">
        <w:t>))</w:t>
      </w:r>
    </w:p>
  </w:footnote>
  <w:footnote w:id="678">
    <w:p w:rsidR="00FD2727" w:rsidRPr="00A453EC" w:rsidRDefault="00FD2727" w:rsidP="00206326">
      <w:pPr>
        <w:pStyle w:val="FootnoteText"/>
        <w:keepLines/>
      </w:pPr>
      <w:r w:rsidRPr="00A453EC">
        <w:rPr>
          <w:rStyle w:val="FootnoteReference"/>
        </w:rPr>
        <w:footnoteRef/>
      </w:r>
      <w:r w:rsidRPr="00A453EC">
        <w:t xml:space="preserve"> Panel Report, </w:t>
      </w:r>
      <w:r>
        <w:t>para. </w:t>
      </w:r>
      <w:r w:rsidRPr="00A453EC">
        <w:t>6.470.</w:t>
      </w:r>
    </w:p>
  </w:footnote>
  <w:footnote w:id="679">
    <w:p w:rsidR="00FD2727" w:rsidRPr="00A453EC" w:rsidRDefault="00FD2727" w:rsidP="00206326">
      <w:pPr>
        <w:pStyle w:val="FootnoteText"/>
        <w:keepLines/>
      </w:pPr>
      <w:r w:rsidRPr="00A453EC">
        <w:rPr>
          <w:rStyle w:val="FootnoteReference"/>
        </w:rPr>
        <w:footnoteRef/>
      </w:r>
      <w:r w:rsidRPr="00A453EC">
        <w:t xml:space="preserve"> Panel Report, </w:t>
      </w:r>
      <w:r>
        <w:t>para. </w:t>
      </w:r>
      <w:r w:rsidRPr="00A453EC">
        <w:t>6.473.</w:t>
      </w:r>
    </w:p>
  </w:footnote>
  <w:footnote w:id="680">
    <w:p w:rsidR="00FD2727" w:rsidRPr="00A453EC" w:rsidRDefault="00FD2727" w:rsidP="00206326">
      <w:pPr>
        <w:pStyle w:val="FootnoteText"/>
        <w:keepNext/>
        <w:keepLines/>
      </w:pPr>
      <w:r w:rsidRPr="00A453EC">
        <w:rPr>
          <w:rStyle w:val="FootnoteReference"/>
        </w:rPr>
        <w:footnoteRef/>
      </w:r>
      <w:r w:rsidRPr="00A453EC">
        <w:t xml:space="preserve"> Panel Report, </w:t>
      </w:r>
      <w:r>
        <w:t>para. </w:t>
      </w:r>
      <w:r w:rsidRPr="00A453EC">
        <w:t xml:space="preserve">6.473 (quoting </w:t>
      </w:r>
      <w:r w:rsidRPr="00A453EC">
        <w:rPr>
          <w:szCs w:val="16"/>
        </w:rPr>
        <w:t>A350XWB Chief Engineering Statement</w:t>
      </w:r>
      <w:r w:rsidRPr="00A453EC">
        <w:t xml:space="preserve"> (Panel Exhibit EU-18 (BCI/HSBI)), </w:t>
      </w:r>
      <w:r>
        <w:t>para. </w:t>
      </w:r>
      <w:r w:rsidRPr="00A453EC">
        <w:t xml:space="preserve">26). </w:t>
      </w:r>
    </w:p>
  </w:footnote>
  <w:footnote w:id="681">
    <w:p w:rsidR="00FD2727" w:rsidRPr="00A453EC" w:rsidRDefault="00FD2727" w:rsidP="00206326">
      <w:pPr>
        <w:pStyle w:val="FootnoteText"/>
        <w:keepNext/>
        <w:keepLines/>
      </w:pPr>
      <w:r w:rsidRPr="00A453EC">
        <w:rPr>
          <w:rStyle w:val="FootnoteReference"/>
        </w:rPr>
        <w:footnoteRef/>
      </w:r>
      <w:r w:rsidRPr="00A453EC">
        <w:t xml:space="preserve"> Panel Report, </w:t>
      </w:r>
      <w:r>
        <w:t>para. </w:t>
      </w:r>
      <w:r w:rsidRPr="00A453EC">
        <w:t>6.474. By way of example, the Panel notes that:</w:t>
      </w:r>
    </w:p>
    <w:p w:rsidR="00FD2727" w:rsidRPr="00A453EC" w:rsidRDefault="00FD2727" w:rsidP="00206326">
      <w:pPr>
        <w:pStyle w:val="FootnoteQuotation"/>
        <w:keepLines/>
      </w:pPr>
      <w:r w:rsidRPr="00A453EC">
        <w:t xml:space="preserve">a design engineer specialized in a very specific aspect of systems installation for aluminium fuselage structures … has to learn new requirements and design principles to perform design tasks on a CFRP composite fuselage. According to Airbus, such a fuselage "requires a completely different set of skills and know-how to be applied, including, for example, the design solutions for lightning strike protection and systems that are not required on aluminium structures." </w:t>
      </w:r>
    </w:p>
    <w:p w:rsidR="00FD2727" w:rsidRPr="00A453EC" w:rsidRDefault="00FD2727" w:rsidP="00206326">
      <w:pPr>
        <w:pStyle w:val="FootnoteText"/>
        <w:keepNext/>
        <w:keepLines/>
        <w:ind w:firstLine="0"/>
      </w:pPr>
      <w:r w:rsidRPr="00A453EC">
        <w:t xml:space="preserve">(Ibid. (quoting A350XWB Chief Engineering Statement (Panel Exhibit EU-18 (BCI/HSBI)), </w:t>
      </w:r>
      <w:r>
        <w:t>para. </w:t>
      </w:r>
      <w:r w:rsidRPr="00A453EC">
        <w:t>26))</w:t>
      </w:r>
    </w:p>
  </w:footnote>
  <w:footnote w:id="682">
    <w:p w:rsidR="00FD2727" w:rsidRPr="00A453EC" w:rsidRDefault="00FD2727" w:rsidP="00206326">
      <w:pPr>
        <w:pStyle w:val="FootnoteText"/>
        <w:keepLines/>
      </w:pPr>
      <w:r w:rsidRPr="00A453EC">
        <w:rPr>
          <w:rStyle w:val="FootnoteReference"/>
        </w:rPr>
        <w:footnoteRef/>
      </w:r>
      <w:r w:rsidRPr="00A453EC">
        <w:t xml:space="preserve"> Panel Report, </w:t>
      </w:r>
      <w:r>
        <w:t>para. </w:t>
      </w:r>
      <w:r w:rsidRPr="00A453EC">
        <w:t>6.475.</w:t>
      </w:r>
    </w:p>
  </w:footnote>
  <w:footnote w:id="683">
    <w:p w:rsidR="00FD2727" w:rsidRDefault="00FD2727" w:rsidP="00206326">
      <w:pPr>
        <w:pStyle w:val="FootnoteText"/>
        <w:keepLines/>
      </w:pPr>
      <w:r w:rsidRPr="00A453EC">
        <w:rPr>
          <w:rStyle w:val="FootnoteReference"/>
        </w:rPr>
        <w:footnoteRef/>
      </w:r>
      <w:r w:rsidRPr="00A453EC">
        <w:t xml:space="preserve"> Panel Report, </w:t>
      </w:r>
      <w:r>
        <w:t>para. </w:t>
      </w:r>
      <w:r w:rsidRPr="00A453EC">
        <w:t xml:space="preserve">6.476 (quoting </w:t>
      </w:r>
      <w:r w:rsidRPr="00A453EC">
        <w:rPr>
          <w:szCs w:val="16"/>
        </w:rPr>
        <w:t xml:space="preserve">A350XWB Production Statement </w:t>
      </w:r>
      <w:r w:rsidRPr="00A453EC">
        <w:t>(Panel Exhibit EU</w:t>
      </w:r>
      <w:r w:rsidRPr="003B5DDE">
        <w:t>-129 (BCI/HSBI)</w:t>
      </w:r>
      <w:r>
        <w:t>)</w:t>
      </w:r>
      <w:r w:rsidRPr="003B5DDE">
        <w:t xml:space="preserve">, </w:t>
      </w:r>
      <w:r>
        <w:t>para. </w:t>
      </w:r>
      <w:r w:rsidRPr="003B5DDE">
        <w:t>11).</w:t>
      </w:r>
    </w:p>
  </w:footnote>
  <w:footnote w:id="684">
    <w:p w:rsidR="00FD2727" w:rsidRPr="00A453EC" w:rsidRDefault="00FD2727" w:rsidP="00206326">
      <w:pPr>
        <w:pStyle w:val="FootnoteText"/>
        <w:keepLines/>
      </w:pPr>
      <w:r>
        <w:rPr>
          <w:rStyle w:val="FootnoteReference"/>
        </w:rPr>
        <w:footnoteRef/>
      </w:r>
      <w:r>
        <w:t xml:space="preserve"> Panel Report, para. 6.480 (</w:t>
      </w:r>
      <w:r w:rsidRPr="00007177">
        <w:t xml:space="preserve">referring to </w:t>
      </w:r>
      <w:r>
        <w:t>European Union</w:t>
      </w:r>
      <w:r w:rsidRPr="00007177">
        <w:t xml:space="preserve">'s comments on the </w:t>
      </w:r>
      <w:r>
        <w:t>United States</w:t>
      </w:r>
      <w:r w:rsidRPr="00007177">
        <w:t xml:space="preserve">' response to Panel question No. 104, </w:t>
      </w:r>
      <w:r>
        <w:t>para. </w:t>
      </w:r>
      <w:r w:rsidRPr="00007177">
        <w:t>810). (emphasis original) The Panel observed that the unprecedented size of the A380 posed various technological</w:t>
      </w:r>
      <w:r>
        <w:t xml:space="preserve"> challenges, </w:t>
      </w:r>
      <w:r w:rsidRPr="00A453EC">
        <w:t>particularly, in terms of aerodynamics, structure, noise and emission limits, and airport infrastructure constraints. (Ibid.)</w:t>
      </w:r>
    </w:p>
  </w:footnote>
  <w:footnote w:id="685">
    <w:p w:rsidR="00FD2727" w:rsidRPr="00A453EC" w:rsidRDefault="00FD2727" w:rsidP="00206326">
      <w:pPr>
        <w:pStyle w:val="FootnoteText"/>
        <w:keepLines/>
      </w:pPr>
      <w:r w:rsidRPr="00A453EC">
        <w:rPr>
          <w:rStyle w:val="FootnoteReference"/>
        </w:rPr>
        <w:footnoteRef/>
      </w:r>
      <w:r w:rsidRPr="00A453EC">
        <w:t xml:space="preserve"> Panel Report, </w:t>
      </w:r>
      <w:r>
        <w:t>para. </w:t>
      </w:r>
      <w:r w:rsidRPr="00A453EC">
        <w:t>6.482.</w:t>
      </w:r>
    </w:p>
  </w:footnote>
  <w:footnote w:id="686">
    <w:p w:rsidR="00FD2727" w:rsidRPr="00A453EC" w:rsidRDefault="00FD2727" w:rsidP="00206326">
      <w:pPr>
        <w:pStyle w:val="FootnoteText"/>
        <w:keepLines/>
        <w:rPr>
          <w:b/>
        </w:rPr>
      </w:pPr>
      <w:r w:rsidRPr="00A453EC">
        <w:rPr>
          <w:rStyle w:val="FootnoteReference"/>
        </w:rPr>
        <w:footnoteRef/>
      </w:r>
      <w:r w:rsidRPr="00A453EC">
        <w:t xml:space="preserve"> Panel Report, </w:t>
      </w:r>
      <w:r>
        <w:t>para. </w:t>
      </w:r>
      <w:r w:rsidRPr="00A453EC">
        <w:t xml:space="preserve">6.482 (quoting </w:t>
      </w:r>
      <w:r w:rsidRPr="00A453EC">
        <w:rPr>
          <w:szCs w:val="16"/>
        </w:rPr>
        <w:t xml:space="preserve">A350XWB Chief Engineering Rebuttal </w:t>
      </w:r>
      <w:r w:rsidRPr="00A453EC">
        <w:t xml:space="preserve">(Panel Exhibit EU-128 (BCI/HSBI)), </w:t>
      </w:r>
      <w:r>
        <w:t>para. </w:t>
      </w:r>
      <w:r w:rsidRPr="00A453EC">
        <w:t>13 (emphasis original)).</w:t>
      </w:r>
    </w:p>
  </w:footnote>
  <w:footnote w:id="687">
    <w:p w:rsidR="00FD2727" w:rsidRPr="00A453EC" w:rsidRDefault="00FD2727" w:rsidP="00E05F1C">
      <w:pPr>
        <w:pStyle w:val="FootnoteText"/>
        <w:keepLines/>
      </w:pPr>
      <w:r w:rsidRPr="00A453EC">
        <w:rPr>
          <w:rStyle w:val="FootnoteReference"/>
        </w:rPr>
        <w:footnoteRef/>
      </w:r>
      <w:r w:rsidRPr="00A453EC">
        <w:t xml:space="preserve"> Panel Report, </w:t>
      </w:r>
      <w:r>
        <w:t>para. </w:t>
      </w:r>
      <w:r w:rsidRPr="00A453EC">
        <w:t>6.483 (referring</w:t>
      </w:r>
      <w:r>
        <w:t xml:space="preserve"> to, </w:t>
      </w:r>
      <w:r>
        <w:rPr>
          <w:i/>
        </w:rPr>
        <w:t>inter alia</w:t>
      </w:r>
      <w:r>
        <w:t>,</w:t>
      </w:r>
      <w:r w:rsidRPr="00A453EC">
        <w:t xml:space="preserve"> </w:t>
      </w:r>
      <w:r w:rsidRPr="00A453EC">
        <w:rPr>
          <w:szCs w:val="16"/>
        </w:rPr>
        <w:t xml:space="preserve">Max Kingsley-Jones, "Paris Air Show: A350 XWB Ready to Rock", </w:t>
      </w:r>
      <w:r w:rsidRPr="00A453EC">
        <w:rPr>
          <w:i/>
          <w:szCs w:val="16"/>
        </w:rPr>
        <w:t>FlightGlobal News</w:t>
      </w:r>
      <w:r w:rsidRPr="00A453EC">
        <w:rPr>
          <w:szCs w:val="16"/>
        </w:rPr>
        <w:t>, 5</w:t>
      </w:r>
      <w:r>
        <w:rPr>
          <w:szCs w:val="16"/>
        </w:rPr>
        <w:t> June 20</w:t>
      </w:r>
      <w:r w:rsidRPr="00A453EC">
        <w:rPr>
          <w:szCs w:val="16"/>
        </w:rPr>
        <w:t>09</w:t>
      </w:r>
      <w:r w:rsidRPr="00A453EC">
        <w:t xml:space="preserve"> (Panel Exhibit USA-428)).</w:t>
      </w:r>
    </w:p>
  </w:footnote>
  <w:footnote w:id="688">
    <w:p w:rsidR="00FD2727" w:rsidRPr="00A453EC" w:rsidRDefault="00FD2727" w:rsidP="00206326">
      <w:pPr>
        <w:pStyle w:val="FootnoteText"/>
        <w:keepLines/>
      </w:pPr>
      <w:r w:rsidRPr="00A453EC">
        <w:rPr>
          <w:rStyle w:val="FootnoteReference"/>
        </w:rPr>
        <w:footnoteRef/>
      </w:r>
      <w:r w:rsidRPr="00A453EC">
        <w:t xml:space="preserve"> Panel Report, </w:t>
      </w:r>
      <w:r>
        <w:t>para. </w:t>
      </w:r>
      <w:r w:rsidRPr="00A453EC">
        <w:t>6.484.</w:t>
      </w:r>
      <w:r>
        <w:t xml:space="preserve"> (emphasis original)</w:t>
      </w:r>
    </w:p>
  </w:footnote>
  <w:footnote w:id="689">
    <w:p w:rsidR="00FD2727" w:rsidRDefault="00FD2727" w:rsidP="00206326">
      <w:pPr>
        <w:pStyle w:val="FootnoteText"/>
        <w:keepLines/>
      </w:pPr>
      <w:r w:rsidRPr="00A453EC">
        <w:rPr>
          <w:rStyle w:val="FootnoteReference"/>
        </w:rPr>
        <w:footnoteRef/>
      </w:r>
      <w:r w:rsidRPr="00A453EC">
        <w:t xml:space="preserve"> Panel Report, </w:t>
      </w:r>
      <w:r>
        <w:t>para. </w:t>
      </w:r>
      <w:r w:rsidRPr="00A453EC">
        <w:t>6.485. (emphasis original</w:t>
      </w:r>
      <w:r>
        <w:t>; fn omitted</w:t>
      </w:r>
      <w:r w:rsidRPr="00A453EC">
        <w:t>) The Panel further stated that, while the A380 and the A350XWB projects involved "different technological challenges", it was satisfied that "the technological</w:t>
      </w:r>
      <w:r>
        <w:t xml:space="preserve"> risk associated with the A350XWB was </w:t>
      </w:r>
      <w:r>
        <w:rPr>
          <w:i/>
        </w:rPr>
        <w:t>at least as high or higher</w:t>
      </w:r>
      <w:r>
        <w:t xml:space="preserve"> than the technological risk associated with development of the </w:t>
      </w:r>
      <w:r w:rsidRPr="00007177">
        <w:t xml:space="preserve">A380". (Ibid., </w:t>
      </w:r>
      <w:r>
        <w:t>para. </w:t>
      </w:r>
      <w:r w:rsidRPr="00007177">
        <w:t>6.487 (emphasis original)</w:t>
      </w:r>
      <w:r>
        <w:t>)</w:t>
      </w:r>
    </w:p>
  </w:footnote>
  <w:footnote w:id="690">
    <w:p w:rsidR="00FD2727" w:rsidRPr="00097064" w:rsidRDefault="00FD2727" w:rsidP="00206326">
      <w:pPr>
        <w:pStyle w:val="FootnoteText"/>
        <w:keepLines/>
      </w:pPr>
      <w:r w:rsidRPr="00097064">
        <w:rPr>
          <w:rStyle w:val="FootnoteReference"/>
        </w:rPr>
        <w:footnoteRef/>
      </w:r>
      <w:r w:rsidRPr="00097064">
        <w:t xml:space="preserve"> </w:t>
      </w:r>
      <w:r>
        <w:t>European Union</w:t>
      </w:r>
      <w:r w:rsidRPr="00097064">
        <w:t xml:space="preserve">'s appellant's submission, </w:t>
      </w:r>
      <w:r>
        <w:t>para. </w:t>
      </w:r>
      <w:r w:rsidRPr="00097064">
        <w:t>450 (</w:t>
      </w:r>
      <w:r>
        <w:t>quoting</w:t>
      </w:r>
      <w:r w:rsidRPr="00097064">
        <w:t xml:space="preserve"> Panel Report, </w:t>
      </w:r>
      <w:r>
        <w:t>paras. </w:t>
      </w:r>
      <w:r w:rsidRPr="00097064">
        <w:t>6.485 and 6.487</w:t>
      </w:r>
      <w:r>
        <w:t xml:space="preserve"> </w:t>
      </w:r>
      <w:r w:rsidRPr="00097064">
        <w:t>(emphasis original)</w:t>
      </w:r>
      <w:r>
        <w:t>).</w:t>
      </w:r>
    </w:p>
  </w:footnote>
  <w:footnote w:id="691">
    <w:p w:rsidR="00FD2727" w:rsidRPr="00097064" w:rsidRDefault="00FD2727" w:rsidP="00206326">
      <w:pPr>
        <w:pStyle w:val="FootnoteText"/>
        <w:keepLines/>
      </w:pPr>
      <w:r w:rsidRPr="00097064">
        <w:rPr>
          <w:rStyle w:val="FootnoteReference"/>
        </w:rPr>
        <w:footnoteRef/>
      </w:r>
      <w:r w:rsidRPr="00097064">
        <w:t xml:space="preserve"> </w:t>
      </w:r>
      <w:r>
        <w:t>European Union</w:t>
      </w:r>
      <w:r w:rsidRPr="00097064">
        <w:t xml:space="preserve">'s appellant's submission, </w:t>
      </w:r>
      <w:r>
        <w:t>para. </w:t>
      </w:r>
      <w:r w:rsidRPr="00097064">
        <w:t>453.</w:t>
      </w:r>
    </w:p>
  </w:footnote>
  <w:footnote w:id="692">
    <w:p w:rsidR="00FD2727" w:rsidRPr="00097064" w:rsidRDefault="00FD2727" w:rsidP="00206326">
      <w:pPr>
        <w:pStyle w:val="FootnoteText"/>
        <w:keepLines/>
      </w:pPr>
      <w:r w:rsidRPr="00097064">
        <w:rPr>
          <w:rStyle w:val="FootnoteReference"/>
        </w:rPr>
        <w:footnoteRef/>
      </w:r>
      <w:r w:rsidRPr="00097064">
        <w:t xml:space="preserve"> </w:t>
      </w:r>
      <w:r>
        <w:t>European Union</w:t>
      </w:r>
      <w:r w:rsidRPr="00097064">
        <w:t xml:space="preserve">'s appellant's submission, </w:t>
      </w:r>
      <w:r>
        <w:t>para. </w:t>
      </w:r>
      <w:r w:rsidRPr="00097064">
        <w:t>462 (referring to</w:t>
      </w:r>
      <w:r>
        <w:t xml:space="preserve"> Panel Report, paras. 6.485 and </w:t>
      </w:r>
      <w:r w:rsidRPr="00097064">
        <w:t>6.487).</w:t>
      </w:r>
    </w:p>
  </w:footnote>
  <w:footnote w:id="693">
    <w:p w:rsidR="00FD2727" w:rsidRPr="00097064" w:rsidRDefault="00FD2727" w:rsidP="00206326">
      <w:pPr>
        <w:pStyle w:val="FootnoteText"/>
        <w:keepLines/>
      </w:pPr>
      <w:r w:rsidRPr="00097064">
        <w:rPr>
          <w:rStyle w:val="FootnoteReference"/>
        </w:rPr>
        <w:footnoteRef/>
      </w:r>
      <w:r w:rsidRPr="00097064">
        <w:t xml:space="preserve"> </w:t>
      </w:r>
      <w:r>
        <w:t>European Union</w:t>
      </w:r>
      <w:r w:rsidRPr="00097064">
        <w:t xml:space="preserve">'s appellant's submission, </w:t>
      </w:r>
      <w:r>
        <w:t>para. </w:t>
      </w:r>
      <w:r w:rsidRPr="00097064">
        <w:t xml:space="preserve">462 (referring to Panel Report, </w:t>
      </w:r>
      <w:r>
        <w:t>para. </w:t>
      </w:r>
      <w:r w:rsidRPr="00097064">
        <w:t>6.527).</w:t>
      </w:r>
    </w:p>
  </w:footnote>
  <w:footnote w:id="694">
    <w:p w:rsidR="00FD2727" w:rsidRPr="00097064" w:rsidRDefault="00FD2727" w:rsidP="00206326">
      <w:pPr>
        <w:pStyle w:val="FootnoteText"/>
        <w:keepLines/>
      </w:pPr>
      <w:r w:rsidRPr="00097064">
        <w:rPr>
          <w:rStyle w:val="FootnoteReference"/>
        </w:rPr>
        <w:footnoteRef/>
      </w:r>
      <w:r w:rsidRPr="00097064">
        <w:t xml:space="preserve"> </w:t>
      </w:r>
      <w:r>
        <w:t>European Union</w:t>
      </w:r>
      <w:r w:rsidRPr="00097064">
        <w:t xml:space="preserve">'s appellant's submission, </w:t>
      </w:r>
      <w:r>
        <w:t>para. </w:t>
      </w:r>
      <w:r w:rsidRPr="00097064">
        <w:t xml:space="preserve">462 (quoting Panel Report, </w:t>
      </w:r>
      <w:r>
        <w:t>para. </w:t>
      </w:r>
      <w:r w:rsidRPr="00097064">
        <w:t>6.608).</w:t>
      </w:r>
    </w:p>
  </w:footnote>
  <w:footnote w:id="695">
    <w:p w:rsidR="00FD2727" w:rsidRPr="00097064" w:rsidRDefault="00FD2727" w:rsidP="00206326">
      <w:pPr>
        <w:pStyle w:val="FootnoteText"/>
        <w:keepLines/>
      </w:pPr>
      <w:r w:rsidRPr="00097064">
        <w:rPr>
          <w:rStyle w:val="FootnoteReference"/>
        </w:rPr>
        <w:footnoteRef/>
      </w:r>
      <w:r w:rsidRPr="00097064">
        <w:t xml:space="preserve"> Panel Report, </w:t>
      </w:r>
      <w:r>
        <w:t>para. </w:t>
      </w:r>
      <w:r w:rsidRPr="00097064">
        <w:t>6.465.</w:t>
      </w:r>
    </w:p>
  </w:footnote>
  <w:footnote w:id="696">
    <w:p w:rsidR="00FD2727" w:rsidRPr="00A453EC" w:rsidRDefault="00FD2727" w:rsidP="00206326">
      <w:pPr>
        <w:pStyle w:val="FootnoteText"/>
        <w:keepLines/>
      </w:pPr>
      <w:r w:rsidRPr="00097064">
        <w:rPr>
          <w:rStyle w:val="FootnoteReference"/>
        </w:rPr>
        <w:footnoteRef/>
      </w:r>
      <w:r w:rsidRPr="00097064">
        <w:t xml:space="preserve"> Panel Report, </w:t>
      </w:r>
      <w:r>
        <w:t>para. </w:t>
      </w:r>
      <w:r w:rsidRPr="00097064">
        <w:t>6.</w:t>
      </w:r>
      <w:r w:rsidRPr="00A453EC">
        <w:t>466.</w:t>
      </w:r>
    </w:p>
  </w:footnote>
  <w:footnote w:id="697">
    <w:p w:rsidR="00FD2727" w:rsidRPr="00145239" w:rsidRDefault="00FD2727" w:rsidP="00206326">
      <w:pPr>
        <w:pStyle w:val="FootnoteText"/>
        <w:keepLines/>
      </w:pPr>
      <w:r w:rsidRPr="00A453EC">
        <w:rPr>
          <w:rStyle w:val="FootnoteReference"/>
        </w:rPr>
        <w:footnoteRef/>
      </w:r>
      <w:r w:rsidRPr="00A453EC">
        <w:t xml:space="preserve"> Panel Report, </w:t>
      </w:r>
      <w:r>
        <w:t>para. </w:t>
      </w:r>
      <w:r w:rsidRPr="00A453EC">
        <w:t xml:space="preserve">6.468 (referring to </w:t>
      </w:r>
      <w:r w:rsidRPr="00A453EC">
        <w:rPr>
          <w:szCs w:val="16"/>
        </w:rPr>
        <w:t>A350XWB Chief Engineering Statement</w:t>
      </w:r>
      <w:r w:rsidRPr="00A453EC">
        <w:t xml:space="preserve"> (Panel Exhibit EU-18 (BCI/HSBI)); </w:t>
      </w:r>
      <w:r w:rsidRPr="00A453EC">
        <w:rPr>
          <w:szCs w:val="16"/>
        </w:rPr>
        <w:t xml:space="preserve">A350XWB Chief Engineering Rebuttal </w:t>
      </w:r>
      <w:r w:rsidRPr="00A453EC">
        <w:t xml:space="preserve">(Panel Exhibit EU-128 (BCI/HSBI)); </w:t>
      </w:r>
      <w:r w:rsidRPr="00A453EC">
        <w:rPr>
          <w:szCs w:val="16"/>
        </w:rPr>
        <w:t xml:space="preserve">A350XWB Production Statement </w:t>
      </w:r>
      <w:r w:rsidRPr="00A453EC">
        <w:t xml:space="preserve">(Panel Exhibit EU-129 (BCI/HSBI)); </w:t>
      </w:r>
      <w:r w:rsidRPr="00A453EC">
        <w:rPr>
          <w:szCs w:val="16"/>
        </w:rPr>
        <w:t xml:space="preserve">Schneider </w:t>
      </w:r>
      <w:r>
        <w:rPr>
          <w:szCs w:val="16"/>
        </w:rPr>
        <w:t>Declaration</w:t>
      </w:r>
      <w:r w:rsidRPr="00A453EC">
        <w:rPr>
          <w:szCs w:val="16"/>
        </w:rPr>
        <w:t xml:space="preserve"> </w:t>
      </w:r>
      <w:r w:rsidRPr="00A453EC">
        <w:t>(Panel Exhibit USA-354</w:t>
      </w:r>
      <w:r w:rsidRPr="00A453EC">
        <w:rPr>
          <w:szCs w:val="16"/>
        </w:rPr>
        <w:t xml:space="preserve"> (BCI))</w:t>
      </w:r>
      <w:r w:rsidRPr="00A453EC">
        <w:t xml:space="preserve">; </w:t>
      </w:r>
      <w:r w:rsidRPr="00A453EC">
        <w:rPr>
          <w:szCs w:val="16"/>
        </w:rPr>
        <w:t>Bair </w:t>
      </w:r>
      <w:r w:rsidRPr="00145239">
        <w:rPr>
          <w:szCs w:val="16"/>
        </w:rPr>
        <w:t>Declaration</w:t>
      </w:r>
      <w:r w:rsidRPr="00145239">
        <w:t xml:space="preserve"> (Panel Exhibit USA-339 (BCI))).</w:t>
      </w:r>
    </w:p>
  </w:footnote>
  <w:footnote w:id="698">
    <w:p w:rsidR="00FD2727" w:rsidRPr="00145239" w:rsidRDefault="00FD2727" w:rsidP="00206326">
      <w:pPr>
        <w:pStyle w:val="FootnoteText"/>
        <w:keepLines/>
      </w:pPr>
      <w:r w:rsidRPr="00145239">
        <w:rPr>
          <w:rStyle w:val="FootnoteReference"/>
        </w:rPr>
        <w:footnoteRef/>
      </w:r>
      <w:r w:rsidRPr="00145239">
        <w:t xml:space="preserve"> See para. 5.257</w:t>
      </w:r>
      <w:r w:rsidRPr="00145239">
        <w:rPr>
          <w:szCs w:val="16"/>
        </w:rPr>
        <w:t xml:space="preserve"> above.</w:t>
      </w:r>
      <w:r w:rsidRPr="00145239">
        <w:t xml:space="preserve"> </w:t>
      </w:r>
    </w:p>
  </w:footnote>
  <w:footnote w:id="699">
    <w:p w:rsidR="00FD2727" w:rsidRPr="00A453EC" w:rsidRDefault="00FD2727" w:rsidP="00206326">
      <w:pPr>
        <w:pStyle w:val="FootnoteText"/>
        <w:keepLines/>
      </w:pPr>
      <w:r w:rsidRPr="00145239">
        <w:rPr>
          <w:rStyle w:val="FootnoteReference"/>
        </w:rPr>
        <w:footnoteRef/>
      </w:r>
      <w:r w:rsidRPr="00145239">
        <w:t xml:space="preserve"> Panel Report</w:t>
      </w:r>
      <w:r w:rsidRPr="00A453EC">
        <w:t xml:space="preserve">, </w:t>
      </w:r>
      <w:r>
        <w:t>para. </w:t>
      </w:r>
      <w:r w:rsidRPr="00A453EC">
        <w:t>6.485.</w:t>
      </w:r>
    </w:p>
  </w:footnote>
  <w:footnote w:id="700">
    <w:p w:rsidR="00FD2727" w:rsidRPr="00097064" w:rsidRDefault="00FD2727" w:rsidP="00206326">
      <w:pPr>
        <w:pStyle w:val="FootnoteText"/>
        <w:keepLines/>
      </w:pPr>
      <w:r w:rsidRPr="00A453EC">
        <w:rPr>
          <w:rStyle w:val="FootnoteReference"/>
        </w:rPr>
        <w:footnoteRef/>
      </w:r>
      <w:r w:rsidRPr="00A453EC">
        <w:t xml:space="preserve"> Panel Report, </w:t>
      </w:r>
      <w:r>
        <w:t>para. </w:t>
      </w:r>
      <w:r w:rsidRPr="00A453EC">
        <w:t>6.485. (</w:t>
      </w:r>
      <w:r>
        <w:t>emphasis original; fn omitted)</w:t>
      </w:r>
    </w:p>
  </w:footnote>
  <w:footnote w:id="701">
    <w:p w:rsidR="00FD2727" w:rsidRPr="00097064" w:rsidRDefault="00FD2727" w:rsidP="00206326">
      <w:pPr>
        <w:pStyle w:val="FootnoteText"/>
        <w:keepLines/>
      </w:pPr>
      <w:r w:rsidRPr="00097064">
        <w:rPr>
          <w:rStyle w:val="FootnoteReference"/>
        </w:rPr>
        <w:footnoteRef/>
      </w:r>
      <w:r w:rsidRPr="00097064">
        <w:t xml:space="preserve"> Panel Report, </w:t>
      </w:r>
      <w:r>
        <w:t>para. </w:t>
      </w:r>
      <w:r w:rsidRPr="00097064">
        <w:t>6.466.</w:t>
      </w:r>
    </w:p>
  </w:footnote>
  <w:footnote w:id="702">
    <w:p w:rsidR="00FD2727" w:rsidRPr="00A453EC" w:rsidRDefault="00FD2727" w:rsidP="00206326">
      <w:pPr>
        <w:pStyle w:val="FootnoteText"/>
        <w:keepLines/>
      </w:pPr>
      <w:r>
        <w:rPr>
          <w:rStyle w:val="FootnoteReference"/>
        </w:rPr>
        <w:footnoteRef/>
      </w:r>
      <w:r>
        <w:t xml:space="preserve"> Panel Report, para. 6.499 (</w:t>
      </w:r>
      <w:r w:rsidRPr="00A453EC">
        <w:t xml:space="preserve">quoting </w:t>
      </w:r>
      <w:r w:rsidRPr="00A453EC">
        <w:rPr>
          <w:szCs w:val="16"/>
        </w:rPr>
        <w:t>UK House of Commons Trade and Industry Committee, "Recent Developments with Airbus", Ninth Report of Session</w:t>
      </w:r>
      <w:r>
        <w:rPr>
          <w:szCs w:val="16"/>
        </w:rPr>
        <w:t> 20</w:t>
      </w:r>
      <w:r w:rsidRPr="00A453EC">
        <w:rPr>
          <w:szCs w:val="16"/>
        </w:rPr>
        <w:t>06-07, Vol. I: Report and formal minutes,</w:t>
      </w:r>
      <w:r w:rsidRPr="00A453EC">
        <w:rPr>
          <w:rFonts w:ascii="FrutigerLTStd-Italic" w:hAnsi="FrutigerLTStd-Italic" w:cs="FrutigerLTStd-Italic"/>
          <w:i/>
          <w:iCs/>
          <w:sz w:val="32"/>
          <w:szCs w:val="32"/>
        </w:rPr>
        <w:t xml:space="preserve"> </w:t>
      </w:r>
      <w:r w:rsidRPr="00A453EC">
        <w:rPr>
          <w:szCs w:val="16"/>
        </w:rPr>
        <w:t>19</w:t>
      </w:r>
      <w:r>
        <w:rPr>
          <w:szCs w:val="16"/>
        </w:rPr>
        <w:t> June 20</w:t>
      </w:r>
      <w:r w:rsidRPr="00A453EC">
        <w:rPr>
          <w:szCs w:val="16"/>
        </w:rPr>
        <w:t>07</w:t>
      </w:r>
      <w:r w:rsidRPr="00A453EC">
        <w:t xml:space="preserve"> (Panel </w:t>
      </w:r>
      <w:r w:rsidRPr="00A453EC">
        <w:rPr>
          <w:rFonts w:cs="FrutigerLTStd-Roman"/>
          <w:color w:val="010202"/>
        </w:rPr>
        <w:t>Exhibit USA-562</w:t>
      </w:r>
      <w:r w:rsidRPr="00A453EC">
        <w:t>), p. 10).</w:t>
      </w:r>
    </w:p>
  </w:footnote>
  <w:footnote w:id="703">
    <w:p w:rsidR="00FD2727" w:rsidRPr="00A453EC" w:rsidRDefault="00FD2727" w:rsidP="00206326">
      <w:pPr>
        <w:pStyle w:val="FootnoteText"/>
        <w:keepLines/>
      </w:pPr>
      <w:r w:rsidRPr="00A453EC">
        <w:rPr>
          <w:rStyle w:val="FootnoteReference"/>
        </w:rPr>
        <w:footnoteRef/>
      </w:r>
      <w:r w:rsidRPr="00A453EC">
        <w:t xml:space="preserve"> Panel Report, </w:t>
      </w:r>
      <w:r>
        <w:t>para. </w:t>
      </w:r>
      <w:r w:rsidRPr="00A453EC">
        <w:t xml:space="preserve">6.500 (referring to A350XWB Chief Engineering Statement (Panel Exhibit EU-18 (BCI/HSBI)), </w:t>
      </w:r>
      <w:r>
        <w:t>para. </w:t>
      </w:r>
      <w:r w:rsidRPr="00A453EC">
        <w:t>40 (lines 4-5)).</w:t>
      </w:r>
    </w:p>
  </w:footnote>
  <w:footnote w:id="704">
    <w:p w:rsidR="00FD2727" w:rsidRPr="00A453EC" w:rsidRDefault="00FD2727" w:rsidP="00206326">
      <w:pPr>
        <w:pStyle w:val="FootnoteText"/>
        <w:keepLines/>
      </w:pPr>
      <w:r w:rsidRPr="00A453EC">
        <w:rPr>
          <w:rStyle w:val="FootnoteReference"/>
        </w:rPr>
        <w:footnoteRef/>
      </w:r>
      <w:r w:rsidRPr="00A453EC">
        <w:t xml:space="preserve"> Panel Report, </w:t>
      </w:r>
      <w:r>
        <w:t>para. </w:t>
      </w:r>
      <w:r w:rsidRPr="00A453EC">
        <w:t>6.500.</w:t>
      </w:r>
    </w:p>
  </w:footnote>
  <w:footnote w:id="705">
    <w:p w:rsidR="00FD2727" w:rsidRPr="001942DB" w:rsidRDefault="00FD2727">
      <w:pPr>
        <w:pStyle w:val="FootnoteText"/>
        <w:rPr>
          <w:lang w:val="en-US"/>
        </w:rPr>
      </w:pPr>
      <w:r>
        <w:rPr>
          <w:rStyle w:val="FootnoteReference"/>
        </w:rPr>
        <w:footnoteRef/>
      </w:r>
      <w:r>
        <w:t xml:space="preserve"> </w:t>
      </w:r>
      <w:r>
        <w:rPr>
          <w:lang w:val="en-US"/>
        </w:rPr>
        <w:t>Panel Report, para. 6.501.</w:t>
      </w:r>
    </w:p>
  </w:footnote>
  <w:footnote w:id="706">
    <w:p w:rsidR="00FD2727" w:rsidRPr="001942DB" w:rsidRDefault="00FD2727">
      <w:pPr>
        <w:pStyle w:val="FootnoteText"/>
        <w:rPr>
          <w:lang w:val="en-US"/>
        </w:rPr>
      </w:pPr>
      <w:r>
        <w:rPr>
          <w:rStyle w:val="FootnoteReference"/>
        </w:rPr>
        <w:footnoteRef/>
      </w:r>
      <w:r>
        <w:t xml:space="preserve"> </w:t>
      </w:r>
      <w:r>
        <w:rPr>
          <w:lang w:val="en-US"/>
        </w:rPr>
        <w:t>Panel Report, para. 6.502.</w:t>
      </w:r>
    </w:p>
  </w:footnote>
  <w:footnote w:id="707">
    <w:p w:rsidR="00FD2727" w:rsidRPr="00A453EC" w:rsidRDefault="00FD2727" w:rsidP="00206326">
      <w:pPr>
        <w:pStyle w:val="FootnoteText"/>
        <w:keepLines/>
      </w:pPr>
      <w:r w:rsidRPr="00A453EC">
        <w:rPr>
          <w:rStyle w:val="FootnoteReference"/>
        </w:rPr>
        <w:footnoteRef/>
      </w:r>
      <w:r w:rsidRPr="00A453EC">
        <w:t xml:space="preserve"> Panel Report, </w:t>
      </w:r>
      <w:r>
        <w:t>para. </w:t>
      </w:r>
      <w:r w:rsidRPr="00A453EC">
        <w:t>6.505.</w:t>
      </w:r>
    </w:p>
  </w:footnote>
  <w:footnote w:id="708">
    <w:p w:rsidR="00FD2727" w:rsidRPr="00A453EC" w:rsidRDefault="00FD2727" w:rsidP="00206326">
      <w:pPr>
        <w:pStyle w:val="FootnoteText"/>
        <w:keepLines/>
      </w:pPr>
      <w:r w:rsidRPr="00A453EC">
        <w:rPr>
          <w:rStyle w:val="FootnoteReference"/>
        </w:rPr>
        <w:footnoteRef/>
      </w:r>
      <w:r w:rsidRPr="00A453EC">
        <w:t xml:space="preserve"> Panel Report, </w:t>
      </w:r>
      <w:r>
        <w:t>para. </w:t>
      </w:r>
      <w:r w:rsidRPr="00A453EC">
        <w:t>6.505.</w:t>
      </w:r>
    </w:p>
  </w:footnote>
  <w:footnote w:id="709">
    <w:p w:rsidR="00FD2727" w:rsidRPr="00A453EC" w:rsidRDefault="00FD2727" w:rsidP="00206326">
      <w:pPr>
        <w:pStyle w:val="FootnoteText"/>
        <w:keepLines/>
      </w:pPr>
      <w:r w:rsidRPr="00A453EC">
        <w:rPr>
          <w:rStyle w:val="FootnoteReference"/>
        </w:rPr>
        <w:footnoteRef/>
      </w:r>
      <w:r w:rsidRPr="00A453EC">
        <w:t xml:space="preserve"> Panel Report, </w:t>
      </w:r>
      <w:r>
        <w:t>para. </w:t>
      </w:r>
      <w:r w:rsidRPr="00A453EC">
        <w:t>6.513. In this regard, the Panel stated:</w:t>
      </w:r>
    </w:p>
    <w:p w:rsidR="00FD2727" w:rsidRPr="00A453EC" w:rsidRDefault="00FD2727" w:rsidP="00206326">
      <w:pPr>
        <w:pStyle w:val="FootnoteQuotation"/>
        <w:keepLines/>
      </w:pPr>
      <w:r w:rsidRPr="00A453EC">
        <w:t xml:space="preserve">{I}t is apparent that the DARE process involved a very strong element of outsourcing, fragmentation of the supply-chain, and significant pressure to develop quickly, with potentially disastrous consequences for time schedules if one part of the supply chain were to experience problems. These aspects would have contributed to development risks associated with the A350XWB programme. This degree of risk did not exist with the A380 where there were fewer suppliers and more work was completed by Airbus. </w:t>
      </w:r>
    </w:p>
    <w:p w:rsidR="00FD2727" w:rsidRPr="003C1ECC" w:rsidRDefault="00FD2727" w:rsidP="00206326">
      <w:pPr>
        <w:pStyle w:val="FootnoteQuotation"/>
        <w:keepLines/>
        <w:ind w:left="0"/>
        <w:rPr>
          <w:lang w:val="es-ES"/>
        </w:rPr>
      </w:pPr>
      <w:r w:rsidRPr="003C1ECC">
        <w:rPr>
          <w:lang w:val="es-ES"/>
        </w:rPr>
        <w:t>(Ibid., para. 6.505)</w:t>
      </w:r>
    </w:p>
  </w:footnote>
  <w:footnote w:id="710">
    <w:p w:rsidR="00FD2727" w:rsidRPr="000F57A7" w:rsidRDefault="00FD2727" w:rsidP="00206326">
      <w:pPr>
        <w:pStyle w:val="FootnoteText"/>
        <w:keepLines/>
      </w:pPr>
      <w:r w:rsidRPr="00A453EC">
        <w:rPr>
          <w:rStyle w:val="FootnoteReference"/>
        </w:rPr>
        <w:footnoteRef/>
      </w:r>
      <w:r w:rsidRPr="003E742D">
        <w:rPr>
          <w:lang w:val="es-ES"/>
        </w:rPr>
        <w:t xml:space="preserve"> Panel Report, para. </w:t>
      </w:r>
      <w:r w:rsidRPr="00A453EC">
        <w:t xml:space="preserve">6.514 (quoting </w:t>
      </w:r>
      <w:r>
        <w:t>European Union</w:t>
      </w:r>
      <w:r w:rsidRPr="00A453EC">
        <w:t xml:space="preserve">'s second written submission to the Panel, </w:t>
      </w:r>
      <w:r>
        <w:t>para. </w:t>
      </w:r>
      <w:r w:rsidRPr="00A453EC">
        <w:t>332, in turn referring to A350XWB Chief Engineering Statement (Panel Exhibit EU-18 (BCI</w:t>
      </w:r>
      <w:r w:rsidRPr="000F57A7">
        <w:t xml:space="preserve">/HSBI)), </w:t>
      </w:r>
      <w:r>
        <w:t>paras. </w:t>
      </w:r>
      <w:r w:rsidRPr="000F57A7">
        <w:t>13-17 and 33-59).</w:t>
      </w:r>
    </w:p>
  </w:footnote>
  <w:footnote w:id="711">
    <w:p w:rsidR="00FD2727" w:rsidRPr="00A453EC" w:rsidRDefault="00FD2727" w:rsidP="00206326">
      <w:pPr>
        <w:pStyle w:val="FootnoteText"/>
        <w:keepLines/>
      </w:pPr>
      <w:r w:rsidRPr="000F57A7">
        <w:rPr>
          <w:rStyle w:val="FootnoteReference"/>
        </w:rPr>
        <w:footnoteRef/>
      </w:r>
      <w:r w:rsidRPr="000F57A7">
        <w:t xml:space="preserve"> Panel Report, </w:t>
      </w:r>
      <w:r>
        <w:t>para. </w:t>
      </w:r>
      <w:r w:rsidRPr="000F57A7">
        <w:t xml:space="preserve">6.514 (quoting </w:t>
      </w:r>
      <w:r>
        <w:t>European Union</w:t>
      </w:r>
      <w:r w:rsidRPr="000F57A7">
        <w:t xml:space="preserve">'s second written submission to the Panel, </w:t>
      </w:r>
      <w:r>
        <w:t>para. </w:t>
      </w:r>
      <w:r w:rsidRPr="000F57A7">
        <w:t xml:space="preserve">332, in turn referring to A350XWB Chief Engineering </w:t>
      </w:r>
      <w:r w:rsidRPr="00A453EC">
        <w:t xml:space="preserve">Statement (Panel Exhibit EU-18 (BCI/HSBI)), </w:t>
      </w:r>
      <w:r>
        <w:t>paras. </w:t>
      </w:r>
      <w:r w:rsidRPr="00A453EC">
        <w:t xml:space="preserve">13-17 and 33-59; first written submission to the Panel, </w:t>
      </w:r>
      <w:r>
        <w:t>paras. </w:t>
      </w:r>
      <w:r w:rsidRPr="00A453EC">
        <w:t>1110-1129).</w:t>
      </w:r>
    </w:p>
  </w:footnote>
  <w:footnote w:id="712">
    <w:p w:rsidR="00FD2727" w:rsidRPr="00A453EC" w:rsidRDefault="00FD2727" w:rsidP="00206326">
      <w:pPr>
        <w:pStyle w:val="FootnoteText"/>
        <w:keepLines/>
      </w:pPr>
      <w:r w:rsidRPr="00A453EC">
        <w:rPr>
          <w:rStyle w:val="FootnoteReference"/>
        </w:rPr>
        <w:footnoteRef/>
      </w:r>
      <w:r w:rsidRPr="00A453EC">
        <w:t xml:space="preserve"> Panel Report, </w:t>
      </w:r>
      <w:r>
        <w:t>para. </w:t>
      </w:r>
      <w:r w:rsidRPr="00A453EC">
        <w:t>6.522.</w:t>
      </w:r>
    </w:p>
  </w:footnote>
  <w:footnote w:id="713">
    <w:p w:rsidR="00FD2727" w:rsidRDefault="00FD2727" w:rsidP="00206326">
      <w:pPr>
        <w:pStyle w:val="FootnoteText"/>
        <w:keepLines/>
      </w:pPr>
      <w:r w:rsidRPr="00A453EC">
        <w:rPr>
          <w:rStyle w:val="FootnoteReference"/>
        </w:rPr>
        <w:footnoteRef/>
      </w:r>
      <w:r w:rsidRPr="00A453EC">
        <w:t xml:space="preserve"> Panel Report, </w:t>
      </w:r>
      <w:r>
        <w:t>para. </w:t>
      </w:r>
      <w:r w:rsidRPr="00A453EC">
        <w:t>6.524. The Panel specified that, "{i}n</w:t>
      </w:r>
      <w:r>
        <w:t> June 20</w:t>
      </w:r>
      <w:r w:rsidRPr="00A453EC">
        <w:t>09, commentators noted that Airbus was to 'undertake an intense development programme of the A350 X</w:t>
      </w:r>
      <w:r>
        <w:t>WB over the next 24 months, the </w:t>
      </w:r>
      <w:r w:rsidRPr="00A453EC">
        <w:t>likes of which it ha{d} not seen for decades. Between {then} and mid-2011, when final assembly beg{an}, the A350 engineering teams {had to} complete the detailed design lead variant, the -900, and prove the carbonfibre production plan for construction to begin, while firming up the bas</w:t>
      </w:r>
      <w:r>
        <w:t>eline specification for the two </w:t>
      </w:r>
      <w:r w:rsidRPr="00A453EC">
        <w:t xml:space="preserve">derivatives.'" (Ibid. (quoting Max Kingsley-Jones, "Paris Air Show: A350 XWB ready to rock", </w:t>
      </w:r>
      <w:r>
        <w:rPr>
          <w:i/>
        </w:rPr>
        <w:t>FlightGlobal </w:t>
      </w:r>
      <w:r w:rsidRPr="00A453EC">
        <w:rPr>
          <w:i/>
        </w:rPr>
        <w:t>News</w:t>
      </w:r>
      <w:r w:rsidRPr="00A453EC">
        <w:t>, 5</w:t>
      </w:r>
      <w:r>
        <w:t> June 20</w:t>
      </w:r>
      <w:r w:rsidRPr="00A453EC">
        <w:t xml:space="preserve">09 (Panel Exhibit USA-428))) The Panel added that "{t}he same commentators noted that a similar development process had not been undertaken with respect to the A380: 'Not since it introduced the A330/A340 family of twin and quadjets in 1993 ha{d} the airframer undertaken such ambitious multi-variant parallel development'." (Ibid. (quoting Max Kingsley-Jones, "Paris Air Show: A350 XWB ready to rock", </w:t>
      </w:r>
      <w:r w:rsidRPr="00A453EC">
        <w:rPr>
          <w:i/>
        </w:rPr>
        <w:t>FlightGlobal News</w:t>
      </w:r>
      <w:r w:rsidRPr="00A453EC">
        <w:t>, 5</w:t>
      </w:r>
      <w:r>
        <w:t> June 20</w:t>
      </w:r>
      <w:r w:rsidRPr="00A453EC">
        <w:t>09 (Panel Exhibit USA-428)))</w:t>
      </w:r>
    </w:p>
  </w:footnote>
  <w:footnote w:id="714">
    <w:p w:rsidR="00FD2727" w:rsidRPr="00097064" w:rsidRDefault="00FD2727" w:rsidP="00206326">
      <w:pPr>
        <w:pStyle w:val="FootnoteText"/>
        <w:keepLines/>
      </w:pPr>
      <w:r w:rsidRPr="00097064">
        <w:rPr>
          <w:rStyle w:val="FootnoteReference"/>
        </w:rPr>
        <w:footnoteRef/>
      </w:r>
      <w:r w:rsidRPr="00097064">
        <w:t xml:space="preserve"> Panel Report, </w:t>
      </w:r>
      <w:r>
        <w:t>para. </w:t>
      </w:r>
      <w:r w:rsidRPr="00097064">
        <w:t>6.525.</w:t>
      </w:r>
    </w:p>
  </w:footnote>
  <w:footnote w:id="715">
    <w:p w:rsidR="00FD2727" w:rsidRPr="00097064" w:rsidRDefault="00FD2727" w:rsidP="00206326">
      <w:pPr>
        <w:pStyle w:val="FootnoteText"/>
        <w:keepLines/>
      </w:pPr>
      <w:r w:rsidRPr="00097064">
        <w:rPr>
          <w:rStyle w:val="FootnoteReference"/>
        </w:rPr>
        <w:footnoteRef/>
      </w:r>
      <w:r w:rsidRPr="00097064">
        <w:t xml:space="preserve"> Panel Report, </w:t>
      </w:r>
      <w:r>
        <w:t>para. </w:t>
      </w:r>
      <w:r w:rsidRPr="00097064">
        <w:t>6.525.</w:t>
      </w:r>
    </w:p>
  </w:footnote>
  <w:footnote w:id="716">
    <w:p w:rsidR="00FD2727" w:rsidRPr="00097064" w:rsidRDefault="00FD2727" w:rsidP="00206326">
      <w:pPr>
        <w:pStyle w:val="FootnoteText"/>
        <w:keepLines/>
      </w:pPr>
      <w:r w:rsidRPr="00097064">
        <w:rPr>
          <w:rStyle w:val="FootnoteReference"/>
        </w:rPr>
        <w:footnoteRef/>
      </w:r>
      <w:r w:rsidRPr="00097064">
        <w:t xml:space="preserve"> Panel Report, </w:t>
      </w:r>
      <w:r>
        <w:t>para. </w:t>
      </w:r>
      <w:r w:rsidRPr="00097064">
        <w:t>6.527. (emphasis added)</w:t>
      </w:r>
    </w:p>
  </w:footnote>
  <w:footnote w:id="717">
    <w:p w:rsidR="00FD2727" w:rsidRPr="00097064" w:rsidRDefault="00FD2727" w:rsidP="00206326">
      <w:pPr>
        <w:pStyle w:val="FootnoteText"/>
        <w:keepLines/>
      </w:pPr>
      <w:r w:rsidRPr="00097064">
        <w:rPr>
          <w:rStyle w:val="FootnoteReference"/>
        </w:rPr>
        <w:footnoteRef/>
      </w:r>
      <w:r w:rsidRPr="00097064">
        <w:t xml:space="preserve"> Panel Report, </w:t>
      </w:r>
      <w:r>
        <w:t>para. </w:t>
      </w:r>
      <w:r w:rsidRPr="00097064">
        <w:t>6.541.</w:t>
      </w:r>
    </w:p>
  </w:footnote>
  <w:footnote w:id="718">
    <w:p w:rsidR="00FD2727" w:rsidRPr="00097064" w:rsidRDefault="00FD2727" w:rsidP="00206326">
      <w:pPr>
        <w:pStyle w:val="FootnoteText"/>
        <w:keepLines/>
      </w:pPr>
      <w:r w:rsidRPr="00097064">
        <w:rPr>
          <w:rStyle w:val="FootnoteReference"/>
        </w:rPr>
        <w:footnoteRef/>
      </w:r>
      <w:r w:rsidRPr="00097064">
        <w:t xml:space="preserve"> Panel Report, </w:t>
      </w:r>
      <w:r>
        <w:t>para. </w:t>
      </w:r>
      <w:r w:rsidRPr="00097064">
        <w:t>6.541.</w:t>
      </w:r>
    </w:p>
  </w:footnote>
  <w:footnote w:id="719">
    <w:p w:rsidR="00FD2727" w:rsidRPr="00097064" w:rsidRDefault="00FD2727" w:rsidP="00206326">
      <w:pPr>
        <w:pStyle w:val="FootnoteText"/>
        <w:keepLines/>
      </w:pPr>
      <w:r w:rsidRPr="00097064">
        <w:rPr>
          <w:rStyle w:val="FootnoteReference"/>
        </w:rPr>
        <w:footnoteRef/>
      </w:r>
      <w:r w:rsidRPr="00097064">
        <w:t xml:space="preserve"> Panel Report, </w:t>
      </w:r>
      <w:r>
        <w:t>para. </w:t>
      </w:r>
      <w:r w:rsidRPr="00097064">
        <w:t>6.542.</w:t>
      </w:r>
      <w:r>
        <w:t xml:space="preserve"> </w:t>
      </w:r>
      <w:r w:rsidRPr="00097064">
        <w:t>(emphasis added)</w:t>
      </w:r>
    </w:p>
  </w:footnote>
  <w:footnote w:id="720">
    <w:p w:rsidR="00FD2727" w:rsidRPr="00A453EC" w:rsidRDefault="00FD2727" w:rsidP="00206326">
      <w:pPr>
        <w:pStyle w:val="FootnoteText"/>
        <w:keepLines/>
      </w:pPr>
      <w:r>
        <w:rPr>
          <w:rStyle w:val="FootnoteReference"/>
        </w:rPr>
        <w:footnoteRef/>
      </w:r>
      <w:r>
        <w:t xml:space="preserve"> </w:t>
      </w:r>
      <w:r w:rsidRPr="00145239">
        <w:t>See para. 5.257 above</w:t>
      </w:r>
      <w:r>
        <w:t>.</w:t>
      </w:r>
    </w:p>
  </w:footnote>
  <w:footnote w:id="721">
    <w:p w:rsidR="00FD2727" w:rsidRPr="00A453EC" w:rsidRDefault="00FD2727" w:rsidP="00206326">
      <w:pPr>
        <w:pStyle w:val="FootnoteText"/>
        <w:keepLines/>
      </w:pPr>
      <w:r w:rsidRPr="00A453EC">
        <w:rPr>
          <w:rStyle w:val="FootnoteReference"/>
        </w:rPr>
        <w:footnoteRef/>
      </w:r>
      <w:r w:rsidRPr="00A453EC">
        <w:t xml:space="preserve"> Panel Report, </w:t>
      </w:r>
      <w:r>
        <w:t>para. </w:t>
      </w:r>
      <w:r w:rsidRPr="00A453EC">
        <w:t>6.485.</w:t>
      </w:r>
    </w:p>
  </w:footnote>
  <w:footnote w:id="722">
    <w:p w:rsidR="00FD2727" w:rsidRPr="00A453EC" w:rsidRDefault="00FD2727" w:rsidP="00206326">
      <w:pPr>
        <w:pStyle w:val="FootnoteText"/>
        <w:keepLines/>
      </w:pPr>
      <w:r w:rsidRPr="00A453EC">
        <w:rPr>
          <w:rStyle w:val="FootnoteReference"/>
        </w:rPr>
        <w:footnoteRef/>
      </w:r>
      <w:r w:rsidRPr="00A453EC">
        <w:t xml:space="preserve"> Panel Report, </w:t>
      </w:r>
      <w:r>
        <w:t>para. </w:t>
      </w:r>
      <w:r w:rsidRPr="00A453EC">
        <w:t>6.485. (</w:t>
      </w:r>
      <w:r>
        <w:t xml:space="preserve">emphasis original; </w:t>
      </w:r>
      <w:r w:rsidRPr="00A453EC">
        <w:t>fn omitted)</w:t>
      </w:r>
    </w:p>
  </w:footnote>
  <w:footnote w:id="723">
    <w:p w:rsidR="00FD2727" w:rsidRPr="00097064" w:rsidRDefault="00FD2727" w:rsidP="00206326">
      <w:pPr>
        <w:pStyle w:val="FootnoteText"/>
        <w:keepLines/>
      </w:pPr>
      <w:r w:rsidRPr="00A453EC">
        <w:rPr>
          <w:rStyle w:val="FootnoteReference"/>
        </w:rPr>
        <w:footnoteRef/>
      </w:r>
      <w:r w:rsidRPr="00A453EC">
        <w:t xml:space="preserve"> Panel Report, </w:t>
      </w:r>
      <w:r>
        <w:t>para. </w:t>
      </w:r>
      <w:r w:rsidRPr="00097064">
        <w:t>6.542.</w:t>
      </w:r>
    </w:p>
  </w:footnote>
  <w:footnote w:id="724">
    <w:p w:rsidR="00FD2727" w:rsidRDefault="00FD2727" w:rsidP="00206326">
      <w:pPr>
        <w:pStyle w:val="FootnoteText"/>
        <w:keepLines/>
      </w:pPr>
      <w:r>
        <w:rPr>
          <w:rStyle w:val="FootnoteReference"/>
        </w:rPr>
        <w:footnoteRef/>
      </w:r>
      <w:r>
        <w:t xml:space="preserve"> </w:t>
      </w:r>
      <w:r w:rsidRPr="00097064">
        <w:t xml:space="preserve">Panel Report, </w:t>
      </w:r>
      <w:r>
        <w:t>para. </w:t>
      </w:r>
      <w:r w:rsidRPr="00097064">
        <w:t>6.542.</w:t>
      </w:r>
      <w:r>
        <w:t xml:space="preserve"> </w:t>
      </w:r>
      <w:r w:rsidRPr="00097064">
        <w:t xml:space="preserve">(emphasis </w:t>
      </w:r>
      <w:r>
        <w:t>original</w:t>
      </w:r>
      <w:r w:rsidRPr="00097064">
        <w:t>)</w:t>
      </w:r>
    </w:p>
  </w:footnote>
  <w:footnote w:id="725">
    <w:p w:rsidR="00FD2727" w:rsidRPr="00097064" w:rsidRDefault="00FD2727" w:rsidP="00206326">
      <w:pPr>
        <w:pStyle w:val="FootnoteText"/>
        <w:keepLines/>
      </w:pPr>
      <w:r w:rsidRPr="00097064">
        <w:rPr>
          <w:rStyle w:val="FootnoteReference"/>
        </w:rPr>
        <w:footnoteRef/>
      </w:r>
      <w:r w:rsidRPr="00097064">
        <w:t xml:space="preserve"> According to the </w:t>
      </w:r>
      <w:r>
        <w:t>European Union</w:t>
      </w:r>
      <w:r w:rsidRPr="00097064">
        <w:t>, the A350XWB was thus considered</w:t>
      </w:r>
      <w:r>
        <w:t xml:space="preserve"> </w:t>
      </w:r>
      <w:r w:rsidRPr="00D00650">
        <w:t>by the Panel</w:t>
      </w:r>
      <w:r w:rsidRPr="00097064">
        <w:t xml:space="preserve"> </w:t>
      </w:r>
      <w:r>
        <w:t xml:space="preserve">to be </w:t>
      </w:r>
      <w:r w:rsidRPr="00097064">
        <w:t>"technically very different" from the A380, involving particular technological challenges not previously faced by Airbus, and worthy of a project risk premium at least as sizable as the project risk premium due for A380 LA/MSF</w:t>
      </w:r>
      <w:r>
        <w:t>.</w:t>
      </w:r>
      <w:r w:rsidRPr="00097064">
        <w:t xml:space="preserve"> (</w:t>
      </w:r>
      <w:r>
        <w:t>European Union</w:t>
      </w:r>
      <w:r w:rsidRPr="00097064">
        <w:t xml:space="preserve">'s appellant's submission, </w:t>
      </w:r>
      <w:r>
        <w:t>para. </w:t>
      </w:r>
      <w:r w:rsidRPr="00097064">
        <w:t>465</w:t>
      </w:r>
      <w:r>
        <w:t xml:space="preserve"> (quoting Panel Report, para. 6.487)</w:t>
      </w:r>
      <w:r w:rsidRPr="00097064">
        <w:t>)</w:t>
      </w:r>
    </w:p>
  </w:footnote>
  <w:footnote w:id="726">
    <w:p w:rsidR="00FD2727" w:rsidRPr="00097064" w:rsidRDefault="00FD2727" w:rsidP="00206326">
      <w:pPr>
        <w:pStyle w:val="FootnoteText"/>
        <w:keepLines/>
      </w:pPr>
      <w:r w:rsidRPr="00097064">
        <w:rPr>
          <w:rStyle w:val="FootnoteReference"/>
        </w:rPr>
        <w:footnoteRef/>
      </w:r>
      <w:r w:rsidRPr="00097064">
        <w:t xml:space="preserve"> </w:t>
      </w:r>
      <w:r>
        <w:t>European Union</w:t>
      </w:r>
      <w:r w:rsidRPr="00097064">
        <w:t xml:space="preserve">'s appellant's submission, </w:t>
      </w:r>
      <w:r>
        <w:t>para. </w:t>
      </w:r>
      <w:r w:rsidRPr="00097064">
        <w:t>466.</w:t>
      </w:r>
      <w:r>
        <w:t xml:space="preserve"> </w:t>
      </w:r>
      <w:r w:rsidRPr="00AD360A">
        <w:t xml:space="preserve">The </w:t>
      </w:r>
      <w:r>
        <w:t>European Union</w:t>
      </w:r>
      <w:r w:rsidRPr="00AD360A">
        <w:t xml:space="preserve"> recalls that, in the section </w:t>
      </w:r>
      <w:r>
        <w:t>of its Report dealing with</w:t>
      </w:r>
      <w:r w:rsidRPr="00AD360A">
        <w:t xml:space="preserve"> the "effects of the subsidies", "the Panel concluded that the A350XWB project </w:t>
      </w:r>
      <w:r w:rsidRPr="007E0DDC">
        <w:t>'</w:t>
      </w:r>
      <w:r w:rsidRPr="00AD360A">
        <w:rPr>
          <w:i/>
        </w:rPr>
        <w:t>significantly benefitted from Learning Effects</w:t>
      </w:r>
      <w:r w:rsidRPr="00AD360A">
        <w:t>', in particular from the A380 project."</w:t>
      </w:r>
      <w:r>
        <w:t xml:space="preserve"> (Ibid.</w:t>
      </w:r>
      <w:r w:rsidRPr="00097064">
        <w:t xml:space="preserve">, </w:t>
      </w:r>
      <w:r>
        <w:t>para. </w:t>
      </w:r>
      <w:r w:rsidRPr="00097064">
        <w:t xml:space="preserve">471 (quoting Panel Report, </w:t>
      </w:r>
      <w:r>
        <w:t>para. </w:t>
      </w:r>
      <w:r w:rsidRPr="00097064">
        <w:t>6.1747 (emphasi</w:t>
      </w:r>
      <w:r>
        <w:t xml:space="preserve">s added by the European Union))) </w:t>
      </w:r>
      <w:r w:rsidRPr="00AD360A">
        <w:t xml:space="preserve">In the </w:t>
      </w:r>
      <w:r>
        <w:t>European Union</w:t>
      </w:r>
      <w:r w:rsidRPr="00AD360A">
        <w:t>'s view, "{a}ssuming these findings are correct, these significant learning effects must have a bearing on – and decrease – the development risks involved in the A350XWB project and, accordingly, the project risk premium a market lender would demand as compensation for bearing those risks."</w:t>
      </w:r>
      <w:r>
        <w:t xml:space="preserve"> (Ibid., para. </w:t>
      </w:r>
      <w:r w:rsidRPr="00097064">
        <w:t>471</w:t>
      </w:r>
      <w:r>
        <w:t>)</w:t>
      </w:r>
    </w:p>
  </w:footnote>
  <w:footnote w:id="727">
    <w:p w:rsidR="00FD2727" w:rsidRPr="00097064" w:rsidRDefault="00FD2727" w:rsidP="00206326">
      <w:pPr>
        <w:pStyle w:val="FootnoteText"/>
        <w:keepLines/>
      </w:pPr>
      <w:r w:rsidRPr="00097064">
        <w:rPr>
          <w:rStyle w:val="FootnoteReference"/>
        </w:rPr>
        <w:footnoteRef/>
      </w:r>
      <w:r w:rsidRPr="00097064">
        <w:t xml:space="preserve"> </w:t>
      </w:r>
      <w:r>
        <w:t>European Union</w:t>
      </w:r>
      <w:r w:rsidRPr="00097064">
        <w:t xml:space="preserve">'s appellant's submission, </w:t>
      </w:r>
      <w:r>
        <w:t>para. </w:t>
      </w:r>
      <w:r w:rsidRPr="00097064">
        <w:t>468.</w:t>
      </w:r>
    </w:p>
  </w:footnote>
  <w:footnote w:id="728">
    <w:p w:rsidR="00FD2727" w:rsidRPr="00097064" w:rsidRDefault="00FD2727" w:rsidP="00206326">
      <w:pPr>
        <w:pStyle w:val="FootnoteText"/>
        <w:keepLines/>
      </w:pPr>
      <w:r w:rsidRPr="00097064">
        <w:rPr>
          <w:rStyle w:val="FootnoteReference"/>
        </w:rPr>
        <w:footnoteRef/>
      </w:r>
      <w:r w:rsidRPr="00097064">
        <w:t xml:space="preserve"> </w:t>
      </w:r>
      <w:r>
        <w:t>European Union</w:t>
      </w:r>
      <w:r w:rsidRPr="00097064">
        <w:t xml:space="preserve">'s appellant's submission, </w:t>
      </w:r>
      <w:r>
        <w:t>para. </w:t>
      </w:r>
      <w:r w:rsidRPr="00097064">
        <w:t>464.</w:t>
      </w:r>
    </w:p>
  </w:footnote>
  <w:footnote w:id="729">
    <w:p w:rsidR="00FD2727" w:rsidRPr="00097064" w:rsidRDefault="00FD2727" w:rsidP="00206326">
      <w:pPr>
        <w:pStyle w:val="FootnoteText"/>
        <w:keepLines/>
      </w:pPr>
      <w:r w:rsidRPr="00097064">
        <w:rPr>
          <w:rStyle w:val="FootnoteReference"/>
        </w:rPr>
        <w:footnoteRef/>
      </w:r>
      <w:r w:rsidRPr="00097064">
        <w:t xml:space="preserve"> </w:t>
      </w:r>
      <w:r>
        <w:t>European Union</w:t>
      </w:r>
      <w:r w:rsidRPr="00097064">
        <w:t xml:space="preserve">'s appellant's submission, </w:t>
      </w:r>
      <w:r>
        <w:t>para. </w:t>
      </w:r>
      <w:r w:rsidRPr="00097064">
        <w:t>473.</w:t>
      </w:r>
    </w:p>
  </w:footnote>
  <w:footnote w:id="730">
    <w:p w:rsidR="00FD2727" w:rsidRPr="00097064" w:rsidRDefault="00FD2727" w:rsidP="00206326">
      <w:pPr>
        <w:pStyle w:val="FootnoteText"/>
        <w:keepLines/>
      </w:pPr>
      <w:r w:rsidRPr="00097064">
        <w:rPr>
          <w:rStyle w:val="FootnoteReference"/>
        </w:rPr>
        <w:footnoteRef/>
      </w:r>
      <w:r w:rsidRPr="00097064">
        <w:t xml:space="preserve"> Panel Report, </w:t>
      </w:r>
      <w:r>
        <w:t>para. </w:t>
      </w:r>
      <w:r w:rsidRPr="00097064">
        <w:t xml:space="preserve">6.489 (quoting </w:t>
      </w:r>
      <w:r>
        <w:t>European Union</w:t>
      </w:r>
      <w:r w:rsidRPr="00097064">
        <w:t xml:space="preserve">'s comments on the </w:t>
      </w:r>
      <w:r>
        <w:t>United States</w:t>
      </w:r>
      <w:r w:rsidRPr="00097064">
        <w:t xml:space="preserve">' response to Panel questions Nos. 91-107, </w:t>
      </w:r>
      <w:r>
        <w:t>para. </w:t>
      </w:r>
      <w:r w:rsidRPr="00097064">
        <w:t>713).</w:t>
      </w:r>
      <w:r>
        <w:t xml:space="preserve"> </w:t>
      </w:r>
    </w:p>
  </w:footnote>
  <w:footnote w:id="731">
    <w:p w:rsidR="00FD2727" w:rsidRPr="00097064" w:rsidRDefault="00FD2727" w:rsidP="00206326">
      <w:pPr>
        <w:pStyle w:val="FootnoteText"/>
        <w:keepLines/>
      </w:pPr>
      <w:r w:rsidRPr="00097064">
        <w:rPr>
          <w:rStyle w:val="FootnoteReference"/>
        </w:rPr>
        <w:footnoteRef/>
      </w:r>
      <w:r w:rsidRPr="00097064">
        <w:t xml:space="preserve"> Panel Report, </w:t>
      </w:r>
      <w:r>
        <w:t>para. </w:t>
      </w:r>
      <w:r w:rsidRPr="00097064">
        <w:t xml:space="preserve">6.490 (quoting </w:t>
      </w:r>
      <w:r>
        <w:t>United States</w:t>
      </w:r>
      <w:r w:rsidRPr="00097064">
        <w:t xml:space="preserve">' second written submission </w:t>
      </w:r>
      <w:r w:rsidRPr="000F57A7">
        <w:t>to the Panel</w:t>
      </w:r>
      <w:r w:rsidRPr="00097064">
        <w:t xml:space="preserve">, </w:t>
      </w:r>
      <w:r>
        <w:t>para. </w:t>
      </w:r>
      <w:r w:rsidRPr="00097064">
        <w:t>565</w:t>
      </w:r>
      <w:r>
        <w:t>; in turn referring to European Union's first written submission to the Panel, para. 1160</w:t>
      </w:r>
      <w:r w:rsidRPr="00097064">
        <w:t>).</w:t>
      </w:r>
    </w:p>
  </w:footnote>
  <w:footnote w:id="732">
    <w:p w:rsidR="00FD2727" w:rsidRPr="00097064" w:rsidRDefault="00FD2727" w:rsidP="00206326">
      <w:pPr>
        <w:pStyle w:val="FootnoteText"/>
        <w:keepLines/>
      </w:pPr>
      <w:r w:rsidRPr="00097064">
        <w:rPr>
          <w:rStyle w:val="FootnoteReference"/>
        </w:rPr>
        <w:footnoteRef/>
      </w:r>
      <w:r w:rsidRPr="00097064">
        <w:t xml:space="preserve"> Panel Report, </w:t>
      </w:r>
      <w:r>
        <w:t>para. </w:t>
      </w:r>
      <w:r w:rsidRPr="00097064">
        <w:t>6.491.</w:t>
      </w:r>
    </w:p>
  </w:footnote>
  <w:footnote w:id="733">
    <w:p w:rsidR="00FD2727" w:rsidRPr="00097064" w:rsidRDefault="00FD2727" w:rsidP="00206326">
      <w:pPr>
        <w:pStyle w:val="FootnoteText"/>
        <w:keepLines/>
      </w:pPr>
      <w:r w:rsidRPr="00097064">
        <w:rPr>
          <w:rStyle w:val="FootnoteReference"/>
        </w:rPr>
        <w:footnoteRef/>
      </w:r>
      <w:r w:rsidRPr="00097064">
        <w:t xml:space="preserve"> Panel Report, </w:t>
      </w:r>
      <w:r>
        <w:t>para. </w:t>
      </w:r>
      <w:r w:rsidRPr="00097064">
        <w:t>6.491.</w:t>
      </w:r>
    </w:p>
  </w:footnote>
  <w:footnote w:id="734">
    <w:p w:rsidR="00FD2727" w:rsidRPr="00097064" w:rsidRDefault="00FD2727" w:rsidP="00206326">
      <w:pPr>
        <w:pStyle w:val="FootnoteText"/>
        <w:keepLines/>
      </w:pPr>
      <w:r w:rsidRPr="00097064">
        <w:rPr>
          <w:rStyle w:val="FootnoteReference"/>
        </w:rPr>
        <w:footnoteRef/>
      </w:r>
      <w:r w:rsidRPr="00097064">
        <w:t xml:space="preserve"> Panel Report, </w:t>
      </w:r>
      <w:r>
        <w:t>para. </w:t>
      </w:r>
      <w:r w:rsidRPr="00097064">
        <w:t>6.492. (fns omitted)</w:t>
      </w:r>
    </w:p>
  </w:footnote>
  <w:footnote w:id="735">
    <w:p w:rsidR="00FD2727" w:rsidRPr="00097064" w:rsidRDefault="00FD2727" w:rsidP="00206326">
      <w:pPr>
        <w:pStyle w:val="FootnoteText"/>
        <w:keepLines/>
      </w:pPr>
      <w:r w:rsidRPr="00097064">
        <w:rPr>
          <w:rStyle w:val="FootnoteReference"/>
        </w:rPr>
        <w:footnoteRef/>
      </w:r>
      <w:r w:rsidRPr="00097064">
        <w:t xml:space="preserve"> Panel Report, </w:t>
      </w:r>
      <w:r>
        <w:t>para. </w:t>
      </w:r>
      <w:r w:rsidRPr="00097064">
        <w:t>6.492.</w:t>
      </w:r>
    </w:p>
  </w:footnote>
  <w:footnote w:id="736">
    <w:p w:rsidR="00FD2727" w:rsidRPr="00097064" w:rsidRDefault="00FD2727" w:rsidP="00206326">
      <w:pPr>
        <w:pStyle w:val="FootnoteText"/>
        <w:keepLines/>
      </w:pPr>
      <w:r w:rsidRPr="00097064">
        <w:rPr>
          <w:rStyle w:val="FootnoteReference"/>
        </w:rPr>
        <w:footnoteRef/>
      </w:r>
      <w:r w:rsidRPr="00097064">
        <w:t xml:space="preserve"> Panel Report, </w:t>
      </w:r>
      <w:r>
        <w:t>para. </w:t>
      </w:r>
      <w:r w:rsidRPr="00097064">
        <w:t>6.487.</w:t>
      </w:r>
    </w:p>
  </w:footnote>
  <w:footnote w:id="737">
    <w:p w:rsidR="00FD2727" w:rsidRPr="00A453EC" w:rsidRDefault="00FD2727" w:rsidP="00206326">
      <w:pPr>
        <w:pStyle w:val="FootnoteText"/>
        <w:keepLines/>
      </w:pPr>
      <w:r w:rsidRPr="00097064">
        <w:rPr>
          <w:rStyle w:val="FootnoteReference"/>
        </w:rPr>
        <w:footnoteRef/>
      </w:r>
      <w:r w:rsidRPr="00097064">
        <w:t xml:space="preserve"> Panel Report, </w:t>
      </w:r>
      <w:r>
        <w:t>para. </w:t>
      </w:r>
      <w:r w:rsidRPr="00097064">
        <w:t xml:space="preserve">6.1546 (referring to Guy Norris, "Airline criticism </w:t>
      </w:r>
      <w:r w:rsidRPr="00A453EC">
        <w:t xml:space="preserve">of Airbus A350 forces airframer to make radical changes to fuselage, wing and engines", </w:t>
      </w:r>
      <w:r w:rsidRPr="00A453EC">
        <w:rPr>
          <w:i/>
        </w:rPr>
        <w:t>Flight International</w:t>
      </w:r>
      <w:r w:rsidRPr="00A453EC">
        <w:t>, 8</w:t>
      </w:r>
      <w:r>
        <w:t> May 20</w:t>
      </w:r>
      <w:r w:rsidRPr="00A453EC">
        <w:t>06 (Panel Exhibit USA</w:t>
      </w:r>
      <w:r w:rsidRPr="00A453EC">
        <w:noBreakHyphen/>
        <w:t>26)).</w:t>
      </w:r>
    </w:p>
  </w:footnote>
  <w:footnote w:id="738">
    <w:p w:rsidR="00FD2727" w:rsidRPr="00A453EC" w:rsidRDefault="00FD2727" w:rsidP="00206326">
      <w:pPr>
        <w:pStyle w:val="FootnoteText"/>
        <w:keepLines/>
      </w:pPr>
      <w:r w:rsidRPr="00A453EC">
        <w:rPr>
          <w:rStyle w:val="FootnoteReference"/>
        </w:rPr>
        <w:footnoteRef/>
      </w:r>
      <w:r w:rsidRPr="00A453EC">
        <w:t xml:space="preserve"> Panel Report, </w:t>
      </w:r>
      <w:r>
        <w:t>para. </w:t>
      </w:r>
      <w:r w:rsidRPr="00A453EC">
        <w:t xml:space="preserve">6.1546 (quoting and referring to, respectively, Goldman Sachs Investment Analysis, </w:t>
      </w:r>
      <w:r w:rsidRPr="00A453EC">
        <w:rPr>
          <w:i/>
        </w:rPr>
        <w:t>A350: Not an option but essential for Airbus' future</w:t>
      </w:r>
      <w:r w:rsidRPr="00A453EC">
        <w:t xml:space="preserve">, </w:t>
      </w:r>
      <w:r w:rsidRPr="00E90B11">
        <w:rPr>
          <w:i/>
        </w:rPr>
        <w:t>in our view</w:t>
      </w:r>
      <w:r w:rsidRPr="00A453EC">
        <w:t>, 21</w:t>
      </w:r>
      <w:r>
        <w:t> November 20</w:t>
      </w:r>
      <w:r w:rsidRPr="00A453EC">
        <w:t>06 (Pa</w:t>
      </w:r>
      <w:r>
        <w:t>nel Exhibit </w:t>
      </w:r>
      <w:r w:rsidRPr="00A453EC">
        <w:t>USA-30), pp.</w:t>
      </w:r>
      <w:r>
        <w:t> 20</w:t>
      </w:r>
      <w:r w:rsidRPr="00A453EC">
        <w:t xml:space="preserve">-22; Guy Norris, "Airline criticism of Airbus A350 forces airframer to make radical changes to fuselage, wing and engines", </w:t>
      </w:r>
      <w:r w:rsidRPr="00A453EC">
        <w:rPr>
          <w:i/>
        </w:rPr>
        <w:t>Flight International</w:t>
      </w:r>
      <w:r w:rsidRPr="00A453EC">
        <w:t>, 8</w:t>
      </w:r>
      <w:r>
        <w:t> May 20</w:t>
      </w:r>
      <w:r w:rsidRPr="00A453EC">
        <w:t xml:space="preserve">06 (Panel Exhibit USA-26); </w:t>
      </w:r>
      <w:r w:rsidRPr="00A453EC">
        <w:rPr>
          <w:szCs w:val="16"/>
        </w:rPr>
        <w:t xml:space="preserve">Scott Hamilton, "A350 Redesign Threatens Boeing 777; Boeing prepares 787 for Challenge", </w:t>
      </w:r>
      <w:r w:rsidRPr="00A453EC">
        <w:rPr>
          <w:i/>
          <w:szCs w:val="16"/>
        </w:rPr>
        <w:t>Leeham.net</w:t>
      </w:r>
      <w:r w:rsidRPr="00A453EC">
        <w:rPr>
          <w:szCs w:val="16"/>
        </w:rPr>
        <w:t>, 6</w:t>
      </w:r>
      <w:r>
        <w:rPr>
          <w:szCs w:val="16"/>
        </w:rPr>
        <w:t> June 20</w:t>
      </w:r>
      <w:r w:rsidRPr="00A453EC">
        <w:rPr>
          <w:szCs w:val="16"/>
        </w:rPr>
        <w:t xml:space="preserve">06 </w:t>
      </w:r>
      <w:r>
        <w:t>(Panel Exhibit </w:t>
      </w:r>
      <w:r w:rsidRPr="00A453EC">
        <w:t>USA-27)).</w:t>
      </w:r>
    </w:p>
  </w:footnote>
  <w:footnote w:id="739">
    <w:p w:rsidR="00FD2727" w:rsidRPr="00097064" w:rsidRDefault="00FD2727" w:rsidP="00206326">
      <w:pPr>
        <w:pStyle w:val="FootnoteText"/>
        <w:keepLines/>
      </w:pPr>
      <w:r w:rsidRPr="00A453EC">
        <w:rPr>
          <w:rStyle w:val="FootnoteReference"/>
        </w:rPr>
        <w:footnoteRef/>
      </w:r>
      <w:r w:rsidRPr="00A453EC">
        <w:t xml:space="preserve"> The </w:t>
      </w:r>
      <w:r>
        <w:t>European Union</w:t>
      </w:r>
      <w:r w:rsidRPr="00A453EC">
        <w:t xml:space="preserve"> observes that "market risk" refers to the "risk that the new</w:t>
      </w:r>
      <w:r w:rsidRPr="00097064">
        <w:t xml:space="preserve"> aircraft will not sell as well as anticipated</w:t>
      </w:r>
      <w:r>
        <w:t>"</w:t>
      </w:r>
      <w:r w:rsidRPr="00097064">
        <w:t>. (</w:t>
      </w:r>
      <w:r>
        <w:t>European Union</w:t>
      </w:r>
      <w:r w:rsidRPr="00097064">
        <w:t xml:space="preserve">'s appellant's submission, </w:t>
      </w:r>
      <w:r>
        <w:t>para. </w:t>
      </w:r>
      <w:r w:rsidRPr="00097064">
        <w:t xml:space="preserve">476 (referring to Panel Report, </w:t>
      </w:r>
      <w:r>
        <w:t>para. </w:t>
      </w:r>
      <w:r w:rsidRPr="00097064">
        <w:t>6.543))</w:t>
      </w:r>
    </w:p>
  </w:footnote>
  <w:footnote w:id="740">
    <w:p w:rsidR="00FD2727" w:rsidRPr="00EE6F87" w:rsidRDefault="00FD2727" w:rsidP="00206326">
      <w:pPr>
        <w:pStyle w:val="FootnoteText"/>
        <w:keepLines/>
      </w:pPr>
      <w:r w:rsidRPr="00EE6F87">
        <w:rPr>
          <w:rStyle w:val="FootnoteReference"/>
        </w:rPr>
        <w:footnoteRef/>
      </w:r>
      <w:r w:rsidRPr="00EE6F87">
        <w:t xml:space="preserve"> </w:t>
      </w:r>
      <w:r>
        <w:t>European Union</w:t>
      </w:r>
      <w:r w:rsidRPr="00EE6F87">
        <w:t xml:space="preserve">'s appellant's submission, </w:t>
      </w:r>
      <w:r>
        <w:t>para. </w:t>
      </w:r>
      <w:r w:rsidRPr="00EE6F87">
        <w:t>478.</w:t>
      </w:r>
    </w:p>
  </w:footnote>
  <w:footnote w:id="741">
    <w:p w:rsidR="00FD2727" w:rsidRPr="00EE6F87" w:rsidRDefault="00FD2727" w:rsidP="00206326">
      <w:pPr>
        <w:pStyle w:val="FootnoteText"/>
        <w:keepLines/>
      </w:pPr>
      <w:r w:rsidRPr="00EE6F87">
        <w:rPr>
          <w:rStyle w:val="FootnoteReference"/>
        </w:rPr>
        <w:footnoteRef/>
      </w:r>
      <w:r w:rsidRPr="00EE6F87">
        <w:t xml:space="preserve"> </w:t>
      </w:r>
      <w:r>
        <w:t>European Union</w:t>
      </w:r>
      <w:r w:rsidRPr="00EE6F87">
        <w:t xml:space="preserve">'s appellant's submission, </w:t>
      </w:r>
      <w:r>
        <w:t>para. </w:t>
      </w:r>
      <w:r w:rsidRPr="00EE6F87">
        <w:t xml:space="preserve">479 (quoting Panel Report, </w:t>
      </w:r>
      <w:r>
        <w:t>para. </w:t>
      </w:r>
      <w:r w:rsidRPr="00EE6F87">
        <w:t>6.579).</w:t>
      </w:r>
    </w:p>
  </w:footnote>
  <w:footnote w:id="742">
    <w:p w:rsidR="00FD2727" w:rsidRPr="00097064" w:rsidRDefault="00FD2727" w:rsidP="00206326">
      <w:pPr>
        <w:pStyle w:val="FootnoteText"/>
        <w:keepLines/>
      </w:pPr>
      <w:r w:rsidRPr="00097064">
        <w:rPr>
          <w:rStyle w:val="FootnoteReference"/>
        </w:rPr>
        <w:footnoteRef/>
      </w:r>
      <w:r w:rsidRPr="00097064">
        <w:t xml:space="preserve"> </w:t>
      </w:r>
      <w:r>
        <w:t>European Union</w:t>
      </w:r>
      <w:r w:rsidRPr="00097064">
        <w:t xml:space="preserve">'s appellant's submission, </w:t>
      </w:r>
      <w:r>
        <w:t>para. </w:t>
      </w:r>
      <w:r w:rsidRPr="00097064">
        <w:t xml:space="preserve">484 (quoting Panel Report, </w:t>
      </w:r>
      <w:r>
        <w:t>para. </w:t>
      </w:r>
      <w:r w:rsidRPr="00097064">
        <w:t>6.610 (</w:t>
      </w:r>
      <w:r>
        <w:t>emphases</w:t>
      </w:r>
      <w:r w:rsidRPr="00097064">
        <w:t xml:space="preserve"> added by the </w:t>
      </w:r>
      <w:r>
        <w:t>European Union</w:t>
      </w:r>
      <w:r w:rsidRPr="00097064">
        <w:t>)</w:t>
      </w:r>
      <w:r w:rsidRPr="00850ECD">
        <w:t>).</w:t>
      </w:r>
    </w:p>
  </w:footnote>
  <w:footnote w:id="743">
    <w:p w:rsidR="00FD2727" w:rsidRPr="00097064" w:rsidRDefault="00FD2727" w:rsidP="00206326">
      <w:pPr>
        <w:pStyle w:val="FootnoteText"/>
        <w:keepLines/>
      </w:pPr>
      <w:r w:rsidRPr="00097064">
        <w:rPr>
          <w:rStyle w:val="FootnoteReference"/>
        </w:rPr>
        <w:footnoteRef/>
      </w:r>
      <w:r w:rsidRPr="00097064">
        <w:t xml:space="preserve"> </w:t>
      </w:r>
      <w:r>
        <w:t>European Union</w:t>
      </w:r>
      <w:r w:rsidRPr="00097064">
        <w:t xml:space="preserve">'s appellant's submission, </w:t>
      </w:r>
      <w:r>
        <w:t>para. </w:t>
      </w:r>
      <w:r w:rsidRPr="00097064">
        <w:t>485.</w:t>
      </w:r>
    </w:p>
  </w:footnote>
  <w:footnote w:id="744">
    <w:p w:rsidR="00FD2727" w:rsidRPr="00097064" w:rsidRDefault="00FD2727" w:rsidP="00206326">
      <w:pPr>
        <w:pStyle w:val="FootnoteText"/>
        <w:keepLines/>
      </w:pPr>
      <w:r w:rsidRPr="00097064">
        <w:rPr>
          <w:rStyle w:val="FootnoteReference"/>
        </w:rPr>
        <w:footnoteRef/>
      </w:r>
      <w:r w:rsidRPr="00097064">
        <w:t xml:space="preserve"> </w:t>
      </w:r>
      <w:r>
        <w:t>European Union</w:t>
      </w:r>
      <w:r w:rsidRPr="00097064">
        <w:t xml:space="preserve">'s appellant's submission, </w:t>
      </w:r>
      <w:r>
        <w:t>para. </w:t>
      </w:r>
      <w:r w:rsidRPr="00097064">
        <w:t xml:space="preserve">372 (quoting </w:t>
      </w:r>
      <w:r>
        <w:t>Appellate Body</w:t>
      </w:r>
      <w:r w:rsidRPr="00097064">
        <w:t xml:space="preserve"> Report, </w:t>
      </w:r>
      <w:r>
        <w:rPr>
          <w:i/>
        </w:rPr>
        <w:t>US ‒ Anti</w:t>
      </w:r>
      <w:r>
        <w:rPr>
          <w:i/>
        </w:rPr>
        <w:noBreakHyphen/>
      </w:r>
      <w:r w:rsidRPr="00097064">
        <w:rPr>
          <w:i/>
        </w:rPr>
        <w:t>Dumping and Countervailing Duties (China)</w:t>
      </w:r>
      <w:r w:rsidRPr="00097064">
        <w:t xml:space="preserve">, </w:t>
      </w:r>
      <w:r>
        <w:t>para. </w:t>
      </w:r>
      <w:r w:rsidRPr="00097064">
        <w:t>476).</w:t>
      </w:r>
    </w:p>
  </w:footnote>
  <w:footnote w:id="745">
    <w:p w:rsidR="00FD2727" w:rsidRPr="00097064" w:rsidRDefault="00FD2727" w:rsidP="00206326">
      <w:pPr>
        <w:pStyle w:val="FootnoteText"/>
        <w:keepLines/>
      </w:pPr>
      <w:r w:rsidRPr="00097064">
        <w:rPr>
          <w:rStyle w:val="FootnoteReference"/>
        </w:rPr>
        <w:footnoteRef/>
      </w:r>
      <w:r w:rsidRPr="00097064">
        <w:t xml:space="preserve"> The </w:t>
      </w:r>
      <w:r>
        <w:t>European Union</w:t>
      </w:r>
      <w:r w:rsidRPr="00097064">
        <w:t xml:space="preserve"> argues that the Panel's findings regarding the second type of </w:t>
      </w:r>
      <w:r w:rsidRPr="00F45052">
        <w:t>programme</w:t>
      </w:r>
      <w:r w:rsidRPr="00097064">
        <w:t xml:space="preserve"> risk (i.e. market risk) "suffer from flaws similar to those identified </w:t>
      </w:r>
      <w:r>
        <w:t xml:space="preserve">… </w:t>
      </w:r>
      <w:r w:rsidRPr="00097064">
        <w:t>with respect to development risk". (</w:t>
      </w:r>
      <w:r>
        <w:t>European Union</w:t>
      </w:r>
      <w:r w:rsidRPr="00097064">
        <w:t xml:space="preserve">'s </w:t>
      </w:r>
      <w:r>
        <w:t>appellant's submission, para. 475</w:t>
      </w:r>
      <w:r w:rsidRPr="00097064">
        <w:t>)</w:t>
      </w:r>
    </w:p>
  </w:footnote>
  <w:footnote w:id="746">
    <w:p w:rsidR="00FD2727" w:rsidRPr="00E90B11" w:rsidRDefault="00FD2727">
      <w:pPr>
        <w:pStyle w:val="FootnoteText"/>
      </w:pPr>
      <w:r>
        <w:rPr>
          <w:rStyle w:val="FootnoteReference"/>
        </w:rPr>
        <w:footnoteRef/>
      </w:r>
      <w:r>
        <w:t xml:space="preserve"> European Union's appellant's submission, para. 448. (emphasis omitted)</w:t>
      </w:r>
    </w:p>
  </w:footnote>
  <w:footnote w:id="747">
    <w:p w:rsidR="00FD2727" w:rsidRPr="00145239" w:rsidRDefault="00FD2727" w:rsidP="00206326">
      <w:pPr>
        <w:pStyle w:val="FootnoteText"/>
        <w:keepLines/>
      </w:pPr>
      <w:r w:rsidRPr="00097064">
        <w:rPr>
          <w:rStyle w:val="FootnoteReference"/>
        </w:rPr>
        <w:footnoteRef/>
      </w:r>
      <w:r w:rsidRPr="00097064">
        <w:t xml:space="preserve"> </w:t>
      </w:r>
      <w:r>
        <w:t xml:space="preserve">European Union's </w:t>
      </w:r>
      <w:r w:rsidRPr="00145239">
        <w:t>appellant's submission, para. 448. (emphasis original)</w:t>
      </w:r>
    </w:p>
  </w:footnote>
  <w:footnote w:id="748">
    <w:p w:rsidR="00FD2727" w:rsidRDefault="00FD2727" w:rsidP="00206326">
      <w:pPr>
        <w:pStyle w:val="FootnoteText"/>
        <w:keepLines/>
      </w:pPr>
      <w:r w:rsidRPr="00145239">
        <w:rPr>
          <w:rStyle w:val="FootnoteReference"/>
        </w:rPr>
        <w:footnoteRef/>
      </w:r>
      <w:r w:rsidRPr="00145239">
        <w:t xml:space="preserve"> See</w:t>
      </w:r>
      <w:r>
        <w:t xml:space="preserve"> </w:t>
      </w:r>
      <w:r w:rsidRPr="00D52557">
        <w:t>paras. 5.257-5.259</w:t>
      </w:r>
      <w:r>
        <w:t xml:space="preserve"> above.</w:t>
      </w:r>
    </w:p>
  </w:footnote>
  <w:footnote w:id="749">
    <w:p w:rsidR="00FD2727" w:rsidRDefault="00FD2727" w:rsidP="00206326">
      <w:pPr>
        <w:pStyle w:val="FootnoteText"/>
        <w:keepLines/>
      </w:pPr>
      <w:r>
        <w:rPr>
          <w:rStyle w:val="FootnoteReference"/>
        </w:rPr>
        <w:footnoteRef/>
      </w:r>
      <w:r>
        <w:t xml:space="preserve"> </w:t>
      </w:r>
      <w:r w:rsidRPr="00097064">
        <w:t xml:space="preserve">Panel Report, </w:t>
      </w:r>
      <w:r>
        <w:t>para. </w:t>
      </w:r>
      <w:r w:rsidRPr="00097064">
        <w:t>6.485.</w:t>
      </w:r>
    </w:p>
  </w:footnote>
  <w:footnote w:id="750">
    <w:p w:rsidR="00FD2727" w:rsidRPr="00097064" w:rsidRDefault="00FD2727" w:rsidP="00206326">
      <w:pPr>
        <w:pStyle w:val="FootnoteText"/>
        <w:keepLines/>
      </w:pPr>
      <w:r w:rsidRPr="00097064">
        <w:rPr>
          <w:rStyle w:val="FootnoteReference"/>
        </w:rPr>
        <w:footnoteRef/>
      </w:r>
      <w:r w:rsidRPr="00097064">
        <w:t xml:space="preserve"> Panel Report, </w:t>
      </w:r>
      <w:r>
        <w:t>para. </w:t>
      </w:r>
      <w:r w:rsidRPr="00097064">
        <w:t xml:space="preserve">6.485. </w:t>
      </w:r>
      <w:r>
        <w:t>(emphasis original; fn omitted)</w:t>
      </w:r>
    </w:p>
  </w:footnote>
  <w:footnote w:id="751">
    <w:p w:rsidR="00FD2727" w:rsidRDefault="00FD2727" w:rsidP="00206326">
      <w:pPr>
        <w:pStyle w:val="FootnoteText"/>
        <w:keepLines/>
      </w:pPr>
      <w:r>
        <w:rPr>
          <w:rStyle w:val="FootnoteReference"/>
        </w:rPr>
        <w:footnoteRef/>
      </w:r>
      <w:r>
        <w:t xml:space="preserve"> </w:t>
      </w:r>
      <w:r w:rsidRPr="00097064">
        <w:t xml:space="preserve">Panel Report, </w:t>
      </w:r>
      <w:r>
        <w:t>para. </w:t>
      </w:r>
      <w:r w:rsidRPr="00097064">
        <w:t>6.5</w:t>
      </w:r>
      <w:r>
        <w:t>45 (quoting European Union's second written submission to the Panel, paras. 323-326)</w:t>
      </w:r>
      <w:r w:rsidRPr="00097064">
        <w:t>.</w:t>
      </w:r>
    </w:p>
  </w:footnote>
  <w:footnote w:id="752">
    <w:p w:rsidR="00FD2727" w:rsidRDefault="00FD2727" w:rsidP="00206326">
      <w:pPr>
        <w:pStyle w:val="FootnoteText"/>
        <w:keepLines/>
      </w:pPr>
      <w:r>
        <w:rPr>
          <w:rStyle w:val="FootnoteReference"/>
        </w:rPr>
        <w:footnoteRef/>
      </w:r>
      <w:r>
        <w:t xml:space="preserve"> </w:t>
      </w:r>
      <w:r w:rsidRPr="00097064">
        <w:t xml:space="preserve">Panel Report, </w:t>
      </w:r>
      <w:r>
        <w:t>para. </w:t>
      </w:r>
      <w:r w:rsidRPr="00097064">
        <w:t>6.5</w:t>
      </w:r>
      <w:r>
        <w:t>65</w:t>
      </w:r>
      <w:r w:rsidRPr="00097064">
        <w:t>.</w:t>
      </w:r>
    </w:p>
  </w:footnote>
  <w:footnote w:id="753">
    <w:p w:rsidR="00FD2727" w:rsidRDefault="00FD2727" w:rsidP="00206326">
      <w:pPr>
        <w:pStyle w:val="FootnoteText"/>
        <w:keepLines/>
      </w:pPr>
      <w:r>
        <w:rPr>
          <w:rStyle w:val="FootnoteReference"/>
        </w:rPr>
        <w:footnoteRef/>
      </w:r>
      <w:r>
        <w:t xml:space="preserve"> </w:t>
      </w:r>
      <w:r w:rsidRPr="00097064">
        <w:t xml:space="preserve">Panel Report, </w:t>
      </w:r>
      <w:r>
        <w:t>para. </w:t>
      </w:r>
      <w:r w:rsidRPr="00097064">
        <w:t>6.5</w:t>
      </w:r>
      <w:r>
        <w:t>67</w:t>
      </w:r>
      <w:r w:rsidRPr="00097064">
        <w:t>.</w:t>
      </w:r>
    </w:p>
  </w:footnote>
  <w:footnote w:id="754">
    <w:p w:rsidR="00FD2727" w:rsidRDefault="00FD2727" w:rsidP="00206326">
      <w:pPr>
        <w:pStyle w:val="FootnoteText"/>
        <w:keepLines/>
      </w:pPr>
      <w:r>
        <w:rPr>
          <w:rStyle w:val="FootnoteReference"/>
        </w:rPr>
        <w:footnoteRef/>
      </w:r>
      <w:r>
        <w:t xml:space="preserve"> </w:t>
      </w:r>
      <w:r w:rsidRPr="00097064">
        <w:t xml:space="preserve">Panel Report, </w:t>
      </w:r>
      <w:r>
        <w:t>para. </w:t>
      </w:r>
      <w:r w:rsidRPr="00097064">
        <w:t>6.5</w:t>
      </w:r>
      <w:r>
        <w:t>68</w:t>
      </w:r>
      <w:r w:rsidRPr="00097064">
        <w:t>.</w:t>
      </w:r>
    </w:p>
  </w:footnote>
  <w:footnote w:id="755">
    <w:p w:rsidR="00FD2727" w:rsidRDefault="00FD2727" w:rsidP="00206326">
      <w:pPr>
        <w:pStyle w:val="FootnoteText"/>
        <w:keepLines/>
      </w:pPr>
      <w:r>
        <w:rPr>
          <w:rStyle w:val="FootnoteReference"/>
        </w:rPr>
        <w:footnoteRef/>
      </w:r>
      <w:r>
        <w:t xml:space="preserve"> </w:t>
      </w:r>
      <w:r w:rsidRPr="00097064">
        <w:t xml:space="preserve">Panel Report, </w:t>
      </w:r>
      <w:r>
        <w:t>para. </w:t>
      </w:r>
      <w:r w:rsidRPr="00097064">
        <w:t>6.57</w:t>
      </w:r>
      <w:r>
        <w:t>0</w:t>
      </w:r>
      <w:r w:rsidRPr="00097064">
        <w:t>.</w:t>
      </w:r>
    </w:p>
  </w:footnote>
  <w:footnote w:id="756">
    <w:p w:rsidR="00FD2727" w:rsidRPr="00A453EC" w:rsidRDefault="00FD2727" w:rsidP="00206326">
      <w:pPr>
        <w:pStyle w:val="FootnoteText"/>
        <w:keepLines/>
      </w:pPr>
      <w:r>
        <w:rPr>
          <w:rStyle w:val="FootnoteReference"/>
        </w:rPr>
        <w:footnoteRef/>
      </w:r>
      <w:r>
        <w:t xml:space="preserve"> </w:t>
      </w:r>
      <w:r w:rsidRPr="00097064">
        <w:t xml:space="preserve">Panel Report, </w:t>
      </w:r>
      <w:r>
        <w:t>para. </w:t>
      </w:r>
      <w:r w:rsidRPr="00097064">
        <w:t>6.5</w:t>
      </w:r>
      <w:r>
        <w:t>69 (</w:t>
      </w:r>
      <w:r w:rsidRPr="00F14F3C">
        <w:t xml:space="preserve">referring to </w:t>
      </w:r>
      <w:r>
        <w:rPr>
          <w:szCs w:val="16"/>
        </w:rPr>
        <w:t xml:space="preserve">"Presentation to the EADS Board", </w:t>
      </w:r>
      <w:r>
        <w:rPr>
          <w:b/>
          <w:szCs w:val="16"/>
        </w:rPr>
        <w:t>[</w:t>
      </w:r>
      <w:r w:rsidRPr="00C8434D">
        <w:rPr>
          <w:b/>
          <w:szCs w:val="16"/>
        </w:rPr>
        <w:t>BCI</w:t>
      </w:r>
      <w:r>
        <w:rPr>
          <w:b/>
          <w:szCs w:val="16"/>
        </w:rPr>
        <w:t xml:space="preserve">] </w:t>
      </w:r>
      <w:r>
        <w:rPr>
          <w:szCs w:val="16"/>
        </w:rPr>
        <w:t>(slides 1-45) and "A350XWB Business Case: Assumptions, Sensitivities and Limitations, Presentation to EADS BoD – status", 2 November 2006 (slides 46-68) (A350XWB Business Case presentation)</w:t>
      </w:r>
      <w:r w:rsidRPr="00A453EC">
        <w:t xml:space="preserve"> (Panel Exhibit EU-130</w:t>
      </w:r>
      <w:r w:rsidRPr="00A453EC">
        <w:rPr>
          <w:b/>
          <w:i/>
        </w:rPr>
        <w:t xml:space="preserve"> </w:t>
      </w:r>
      <w:r w:rsidRPr="00A453EC">
        <w:t>(HSBI))</w:t>
      </w:r>
      <w:r w:rsidRPr="00A453EC">
        <w:rPr>
          <w:szCs w:val="16"/>
        </w:rPr>
        <w:t>, slides 50-51).</w:t>
      </w:r>
    </w:p>
  </w:footnote>
  <w:footnote w:id="757">
    <w:p w:rsidR="00FD2727" w:rsidRPr="00A453EC" w:rsidRDefault="00FD2727" w:rsidP="00206326">
      <w:pPr>
        <w:pStyle w:val="FootnoteText"/>
        <w:keepLines/>
      </w:pPr>
      <w:r w:rsidRPr="00A453EC">
        <w:rPr>
          <w:rStyle w:val="FootnoteReference"/>
        </w:rPr>
        <w:footnoteRef/>
      </w:r>
      <w:r w:rsidRPr="00A453EC">
        <w:t xml:space="preserve"> Panel Report, </w:t>
      </w:r>
      <w:r>
        <w:t>para. </w:t>
      </w:r>
      <w:r w:rsidRPr="00A453EC">
        <w:t>6.571. (fn omitted)</w:t>
      </w:r>
    </w:p>
  </w:footnote>
  <w:footnote w:id="758">
    <w:p w:rsidR="00FD2727" w:rsidRDefault="00FD2727" w:rsidP="00206326">
      <w:pPr>
        <w:pStyle w:val="FootnoteText"/>
        <w:keepLines/>
      </w:pPr>
      <w:r w:rsidRPr="00A453EC">
        <w:rPr>
          <w:rStyle w:val="FootnoteReference"/>
        </w:rPr>
        <w:footnoteRef/>
      </w:r>
      <w:r w:rsidRPr="00A453EC">
        <w:t xml:space="preserve"> Panel Report, </w:t>
      </w:r>
      <w:r>
        <w:t>para. </w:t>
      </w:r>
      <w:r w:rsidRPr="00A453EC">
        <w:t>6.572 (referring to Amro Aerospace &amp; Defence Sector Research, "EADS: Results Analysed – A3XX Project Review – Recommendation Upgrade", 13</w:t>
      </w:r>
      <w:r>
        <w:t> December 20</w:t>
      </w:r>
      <w:r w:rsidRPr="00A453EC">
        <w:t>00 (Panel Exhibit USA-490), pp. 9-10).</w:t>
      </w:r>
    </w:p>
  </w:footnote>
  <w:footnote w:id="759">
    <w:p w:rsidR="00FD2727" w:rsidRPr="00A453EC" w:rsidRDefault="00FD2727" w:rsidP="00206326">
      <w:pPr>
        <w:pStyle w:val="FootnoteText"/>
        <w:keepLines/>
      </w:pPr>
      <w:r>
        <w:rPr>
          <w:rStyle w:val="FootnoteReference"/>
        </w:rPr>
        <w:footnoteRef/>
      </w:r>
      <w:r>
        <w:t xml:space="preserve"> </w:t>
      </w:r>
      <w:r w:rsidRPr="00097064">
        <w:t xml:space="preserve">Panel Report, </w:t>
      </w:r>
      <w:r>
        <w:t>para. </w:t>
      </w:r>
      <w:r w:rsidRPr="00097064">
        <w:t>6.</w:t>
      </w:r>
      <w:r w:rsidRPr="00F14F3C">
        <w:t xml:space="preserve">573 (referring to </w:t>
      </w:r>
      <w:r w:rsidRPr="00F14F3C">
        <w:rPr>
          <w:szCs w:val="16"/>
        </w:rPr>
        <w:t xml:space="preserve">Scott Hamilton, "A350 </w:t>
      </w:r>
      <w:r w:rsidRPr="00A453EC">
        <w:rPr>
          <w:szCs w:val="16"/>
        </w:rPr>
        <w:t xml:space="preserve">Redesign Threatens Boeing 777; Boeing prepares 787 for Challenge", </w:t>
      </w:r>
      <w:r w:rsidRPr="00A453EC">
        <w:rPr>
          <w:i/>
          <w:szCs w:val="16"/>
        </w:rPr>
        <w:t>Leeham.net</w:t>
      </w:r>
      <w:r w:rsidRPr="00A453EC">
        <w:rPr>
          <w:szCs w:val="16"/>
        </w:rPr>
        <w:t>, 6</w:t>
      </w:r>
      <w:r>
        <w:rPr>
          <w:szCs w:val="16"/>
        </w:rPr>
        <w:t> June 20</w:t>
      </w:r>
      <w:r w:rsidRPr="00A453EC">
        <w:rPr>
          <w:szCs w:val="16"/>
        </w:rPr>
        <w:t>06 (Original Panel Exhibit US-141;</w:t>
      </w:r>
      <w:r w:rsidRPr="00A453EC">
        <w:t xml:space="preserve"> Panel Exhibit USA</w:t>
      </w:r>
      <w:r w:rsidRPr="00A453EC">
        <w:noBreakHyphen/>
        <w:t xml:space="preserve">27); </w:t>
      </w:r>
      <w:r w:rsidRPr="00A453EC">
        <w:rPr>
          <w:szCs w:val="16"/>
        </w:rPr>
        <w:t xml:space="preserve">Guy Norris, "Airline criticism of Airbus A350 forces airframer to make radical changes to fuselage, wing and engines", </w:t>
      </w:r>
      <w:r w:rsidRPr="00A453EC">
        <w:rPr>
          <w:i/>
          <w:szCs w:val="16"/>
        </w:rPr>
        <w:t>Flight International</w:t>
      </w:r>
      <w:r w:rsidRPr="00A453EC">
        <w:rPr>
          <w:szCs w:val="16"/>
        </w:rPr>
        <w:t>, 8</w:t>
      </w:r>
      <w:r>
        <w:rPr>
          <w:szCs w:val="16"/>
        </w:rPr>
        <w:t> May 20</w:t>
      </w:r>
      <w:r w:rsidRPr="00A453EC">
        <w:rPr>
          <w:szCs w:val="16"/>
        </w:rPr>
        <w:t>06</w:t>
      </w:r>
      <w:r w:rsidRPr="00A453EC">
        <w:t xml:space="preserve"> (Panel Exhibit USA-26); </w:t>
      </w:r>
      <w:r w:rsidRPr="00A453EC">
        <w:rPr>
          <w:szCs w:val="16"/>
        </w:rPr>
        <w:t xml:space="preserve">Dominic Gates, "Airplane Kingpins tell Airbus: Overhaul A350", </w:t>
      </w:r>
      <w:r w:rsidRPr="00A453EC">
        <w:rPr>
          <w:i/>
          <w:szCs w:val="16"/>
        </w:rPr>
        <w:t>The Seattle Times</w:t>
      </w:r>
      <w:r w:rsidRPr="00A453EC">
        <w:rPr>
          <w:szCs w:val="16"/>
        </w:rPr>
        <w:t>, 29</w:t>
      </w:r>
      <w:r>
        <w:rPr>
          <w:szCs w:val="16"/>
        </w:rPr>
        <w:t> March 20</w:t>
      </w:r>
      <w:r w:rsidRPr="00A453EC">
        <w:rPr>
          <w:szCs w:val="16"/>
        </w:rPr>
        <w:t>06 (Panel Exhibit USA-24)</w:t>
      </w:r>
      <w:r w:rsidRPr="00A453EC">
        <w:t>).</w:t>
      </w:r>
    </w:p>
  </w:footnote>
  <w:footnote w:id="760">
    <w:p w:rsidR="00FD2727" w:rsidRDefault="00FD2727" w:rsidP="00206326">
      <w:pPr>
        <w:pStyle w:val="FootnoteText"/>
        <w:keepLines/>
      </w:pPr>
      <w:r w:rsidRPr="00A453EC">
        <w:rPr>
          <w:rStyle w:val="FootnoteReference"/>
        </w:rPr>
        <w:footnoteRef/>
      </w:r>
      <w:r w:rsidRPr="00A453EC">
        <w:t xml:space="preserve"> Panel Report, </w:t>
      </w:r>
      <w:r>
        <w:t>para. </w:t>
      </w:r>
      <w:r w:rsidRPr="00A453EC">
        <w:t>6.576.</w:t>
      </w:r>
    </w:p>
  </w:footnote>
  <w:footnote w:id="761">
    <w:p w:rsidR="00FD2727" w:rsidRDefault="00FD2727" w:rsidP="00206326">
      <w:pPr>
        <w:pStyle w:val="FootnoteText"/>
        <w:keepLines/>
      </w:pPr>
      <w:r>
        <w:rPr>
          <w:rStyle w:val="FootnoteReference"/>
        </w:rPr>
        <w:footnoteRef/>
      </w:r>
      <w:r>
        <w:t xml:space="preserve"> </w:t>
      </w:r>
      <w:r w:rsidRPr="00097064">
        <w:t xml:space="preserve">Panel Report, </w:t>
      </w:r>
      <w:r>
        <w:t>para. </w:t>
      </w:r>
      <w:r w:rsidRPr="00097064">
        <w:t>6.57</w:t>
      </w:r>
      <w:r>
        <w:t>8</w:t>
      </w:r>
      <w:r w:rsidRPr="00097064">
        <w:t>.</w:t>
      </w:r>
      <w:r>
        <w:t xml:space="preserve"> (emphasis added)</w:t>
      </w:r>
    </w:p>
  </w:footnote>
  <w:footnote w:id="762">
    <w:p w:rsidR="00FD2727" w:rsidRDefault="00FD2727" w:rsidP="00206326">
      <w:pPr>
        <w:pStyle w:val="FootnoteText"/>
        <w:keepLines/>
      </w:pPr>
      <w:r>
        <w:rPr>
          <w:rStyle w:val="FootnoteReference"/>
        </w:rPr>
        <w:footnoteRef/>
      </w:r>
      <w:r>
        <w:t xml:space="preserve"> </w:t>
      </w:r>
      <w:r w:rsidRPr="00097064">
        <w:t xml:space="preserve">Panel Report, </w:t>
      </w:r>
      <w:r>
        <w:t>para. </w:t>
      </w:r>
      <w:r w:rsidRPr="00097064">
        <w:t>6.57</w:t>
      </w:r>
      <w:r>
        <w:t>8</w:t>
      </w:r>
      <w:r w:rsidRPr="00097064">
        <w:t>.</w:t>
      </w:r>
    </w:p>
  </w:footnote>
  <w:footnote w:id="763">
    <w:p w:rsidR="00FD2727" w:rsidRDefault="00FD2727" w:rsidP="00206326">
      <w:pPr>
        <w:pStyle w:val="FootnoteText"/>
        <w:keepLines/>
      </w:pPr>
      <w:r>
        <w:rPr>
          <w:rStyle w:val="FootnoteReference"/>
        </w:rPr>
        <w:footnoteRef/>
      </w:r>
      <w:r>
        <w:t xml:space="preserve"> </w:t>
      </w:r>
      <w:r w:rsidRPr="00097064">
        <w:t xml:space="preserve">Panel Report, </w:t>
      </w:r>
      <w:r>
        <w:t>para. </w:t>
      </w:r>
      <w:r w:rsidRPr="00097064">
        <w:t>6.579.</w:t>
      </w:r>
    </w:p>
  </w:footnote>
  <w:footnote w:id="764">
    <w:p w:rsidR="00FD2727" w:rsidRPr="00097064" w:rsidRDefault="00FD2727" w:rsidP="00206326">
      <w:pPr>
        <w:pStyle w:val="FootnoteText"/>
        <w:keepLines/>
      </w:pPr>
      <w:r w:rsidRPr="00097064">
        <w:rPr>
          <w:rStyle w:val="FootnoteReference"/>
        </w:rPr>
        <w:footnoteRef/>
      </w:r>
      <w:r w:rsidRPr="00097064">
        <w:t xml:space="preserve"> Panel Report, </w:t>
      </w:r>
      <w:r>
        <w:t>para. </w:t>
      </w:r>
      <w:r w:rsidRPr="00097064">
        <w:t>6.579.</w:t>
      </w:r>
    </w:p>
  </w:footnote>
  <w:footnote w:id="765">
    <w:p w:rsidR="00FD2727" w:rsidRPr="00097064" w:rsidRDefault="00FD2727" w:rsidP="00206326">
      <w:pPr>
        <w:pStyle w:val="FootnoteText"/>
        <w:keepLines/>
      </w:pPr>
      <w:r w:rsidRPr="00097064">
        <w:rPr>
          <w:rStyle w:val="FootnoteReference"/>
        </w:rPr>
        <w:footnoteRef/>
      </w:r>
      <w:r w:rsidRPr="00097064">
        <w:t xml:space="preserve"> </w:t>
      </w:r>
      <w:r>
        <w:t>European Union</w:t>
      </w:r>
      <w:r w:rsidRPr="00097064">
        <w:t xml:space="preserve">'s appellant's submission, </w:t>
      </w:r>
      <w:r>
        <w:t>para. </w:t>
      </w:r>
      <w:r w:rsidRPr="00097064">
        <w:t>488.</w:t>
      </w:r>
    </w:p>
  </w:footnote>
  <w:footnote w:id="766">
    <w:p w:rsidR="00FD2727" w:rsidRDefault="00FD2727" w:rsidP="00206326">
      <w:pPr>
        <w:pStyle w:val="FootnoteText"/>
        <w:keepLines/>
      </w:pPr>
      <w:r>
        <w:rPr>
          <w:rStyle w:val="FootnoteReference"/>
        </w:rPr>
        <w:footnoteRef/>
      </w:r>
      <w:r>
        <w:t xml:space="preserve"> </w:t>
      </w:r>
      <w:r w:rsidRPr="00097064">
        <w:t xml:space="preserve">Panel Report, </w:t>
      </w:r>
      <w:r>
        <w:t>para. </w:t>
      </w:r>
      <w:r w:rsidRPr="00097064">
        <w:t>6.542.</w:t>
      </w:r>
      <w:r>
        <w:t xml:space="preserve"> </w:t>
      </w:r>
      <w:r w:rsidRPr="00097064">
        <w:t xml:space="preserve">(emphasis </w:t>
      </w:r>
      <w:r>
        <w:t>original</w:t>
      </w:r>
      <w:r w:rsidRPr="00097064">
        <w:t>)</w:t>
      </w:r>
    </w:p>
  </w:footnote>
  <w:footnote w:id="767">
    <w:p w:rsidR="00FD2727" w:rsidRPr="00097064" w:rsidRDefault="00FD2727" w:rsidP="00206326">
      <w:pPr>
        <w:pStyle w:val="FootnoteText"/>
        <w:keepLines/>
      </w:pPr>
      <w:r w:rsidRPr="00097064">
        <w:rPr>
          <w:rStyle w:val="FootnoteReference"/>
        </w:rPr>
        <w:footnoteRef/>
      </w:r>
      <w:r w:rsidRPr="00097064">
        <w:t xml:space="preserve"> </w:t>
      </w:r>
      <w:r>
        <w:t>European Union</w:t>
      </w:r>
      <w:r w:rsidRPr="00097064">
        <w:t xml:space="preserve">'s appellant's submission, </w:t>
      </w:r>
      <w:r>
        <w:t>para. </w:t>
      </w:r>
      <w:r w:rsidRPr="00097064">
        <w:t>468.</w:t>
      </w:r>
    </w:p>
  </w:footnote>
  <w:footnote w:id="768">
    <w:p w:rsidR="00FD2727" w:rsidRPr="00097064" w:rsidRDefault="00FD2727" w:rsidP="00206326">
      <w:pPr>
        <w:pStyle w:val="FootnoteText"/>
        <w:keepLines/>
      </w:pPr>
      <w:r w:rsidRPr="00097064">
        <w:rPr>
          <w:rStyle w:val="FootnoteReference"/>
        </w:rPr>
        <w:footnoteRef/>
      </w:r>
      <w:r w:rsidRPr="00097064">
        <w:t xml:space="preserve"> </w:t>
      </w:r>
      <w:r>
        <w:t>European Union</w:t>
      </w:r>
      <w:r w:rsidRPr="00097064">
        <w:t xml:space="preserve">'s appellant's submission, </w:t>
      </w:r>
      <w:r>
        <w:t>para. </w:t>
      </w:r>
      <w:r w:rsidRPr="00097064">
        <w:t>492.</w:t>
      </w:r>
    </w:p>
  </w:footnote>
  <w:footnote w:id="769">
    <w:p w:rsidR="00FD2727" w:rsidRPr="00097064" w:rsidRDefault="00FD2727" w:rsidP="00206326">
      <w:pPr>
        <w:pStyle w:val="FootnoteText"/>
        <w:keepLines/>
      </w:pPr>
      <w:r w:rsidRPr="00097064">
        <w:rPr>
          <w:rStyle w:val="FootnoteReference"/>
        </w:rPr>
        <w:footnoteRef/>
      </w:r>
      <w:r w:rsidRPr="00097064">
        <w:t xml:space="preserve"> </w:t>
      </w:r>
      <w:r>
        <w:t>European Union</w:t>
      </w:r>
      <w:r w:rsidRPr="00097064">
        <w:t xml:space="preserve">'s appellant's submission, </w:t>
      </w:r>
      <w:r>
        <w:t>para. </w:t>
      </w:r>
      <w:r w:rsidRPr="00097064">
        <w:t xml:space="preserve">505 (quoting Panel Report, </w:t>
      </w:r>
      <w:r>
        <w:t>paras. </w:t>
      </w:r>
      <w:r w:rsidRPr="00097064">
        <w:t xml:space="preserve">6.595 and 6.609 (emphasis added by the </w:t>
      </w:r>
      <w:r>
        <w:t>European Union</w:t>
      </w:r>
      <w:r w:rsidRPr="00097064">
        <w:t>)).</w:t>
      </w:r>
    </w:p>
  </w:footnote>
  <w:footnote w:id="770">
    <w:p w:rsidR="00FD2727" w:rsidRPr="00097064" w:rsidRDefault="00FD2727" w:rsidP="00206326">
      <w:pPr>
        <w:pStyle w:val="FootnoteText"/>
        <w:keepLines/>
      </w:pPr>
      <w:r w:rsidRPr="00097064">
        <w:rPr>
          <w:rStyle w:val="FootnoteReference"/>
        </w:rPr>
        <w:footnoteRef/>
      </w:r>
      <w:r w:rsidRPr="00097064">
        <w:t xml:space="preserve"> </w:t>
      </w:r>
      <w:r>
        <w:t>European Union</w:t>
      </w:r>
      <w:r w:rsidRPr="00097064">
        <w:t xml:space="preserve">'s appellant's submission, </w:t>
      </w:r>
      <w:r>
        <w:t>para. </w:t>
      </w:r>
      <w:r w:rsidRPr="00097064">
        <w:t>496 (referring to Pa</w:t>
      </w:r>
      <w:r>
        <w:t>nel Report, para. 6.594 and fn </w:t>
      </w:r>
      <w:r w:rsidRPr="00097064">
        <w:t xml:space="preserve">1065 thereto, </w:t>
      </w:r>
      <w:r>
        <w:t>paras. </w:t>
      </w:r>
      <w:r w:rsidRPr="00097064">
        <w:t>6.602 and 6.606). (emphasis original)</w:t>
      </w:r>
    </w:p>
  </w:footnote>
  <w:footnote w:id="771">
    <w:p w:rsidR="00FD2727" w:rsidRPr="00097064" w:rsidRDefault="00FD2727" w:rsidP="00206326">
      <w:pPr>
        <w:pStyle w:val="FootnoteText"/>
        <w:keepLines/>
      </w:pPr>
      <w:r w:rsidRPr="00097064">
        <w:rPr>
          <w:rStyle w:val="FootnoteReference"/>
        </w:rPr>
        <w:footnoteRef/>
      </w:r>
      <w:r w:rsidRPr="00097064">
        <w:t xml:space="preserve"> </w:t>
      </w:r>
      <w:r>
        <w:t>European Union</w:t>
      </w:r>
      <w:r w:rsidRPr="00097064">
        <w:t xml:space="preserve">'s appellant's submission, </w:t>
      </w:r>
      <w:r>
        <w:t>para. </w:t>
      </w:r>
      <w:r w:rsidRPr="00097064">
        <w:t xml:space="preserve">497 (referring to Panel Report, </w:t>
      </w:r>
      <w:r>
        <w:t>paras. 6.602 and </w:t>
      </w:r>
      <w:r w:rsidRPr="00097064">
        <w:t>6.606). (</w:t>
      </w:r>
      <w:r>
        <w:t>emphases original; additional text in fn 453 thereto omitted</w:t>
      </w:r>
      <w:r w:rsidRPr="00097064">
        <w:t>)</w:t>
      </w:r>
    </w:p>
  </w:footnote>
  <w:footnote w:id="772">
    <w:p w:rsidR="00FD2727" w:rsidRPr="00097064" w:rsidRDefault="00FD2727" w:rsidP="00206326">
      <w:pPr>
        <w:pStyle w:val="FootnoteText"/>
        <w:keepLines/>
      </w:pPr>
      <w:r w:rsidRPr="00097064">
        <w:rPr>
          <w:rStyle w:val="FootnoteReference"/>
        </w:rPr>
        <w:footnoteRef/>
      </w:r>
      <w:r w:rsidRPr="00097064">
        <w:t xml:space="preserve"> </w:t>
      </w:r>
      <w:r>
        <w:t>European Union</w:t>
      </w:r>
      <w:r w:rsidRPr="00097064">
        <w:t xml:space="preserve">'s appellant's submission, </w:t>
      </w:r>
      <w:r>
        <w:t>para. </w:t>
      </w:r>
      <w:r w:rsidRPr="00097064">
        <w:t>496. (emphasis original)</w:t>
      </w:r>
    </w:p>
  </w:footnote>
  <w:footnote w:id="773">
    <w:p w:rsidR="00FD2727" w:rsidRPr="00097064" w:rsidRDefault="00FD2727" w:rsidP="00206326">
      <w:pPr>
        <w:pStyle w:val="FootnoteText"/>
        <w:keepLines/>
      </w:pPr>
      <w:r w:rsidRPr="00097064">
        <w:rPr>
          <w:rStyle w:val="FootnoteReference"/>
        </w:rPr>
        <w:footnoteRef/>
      </w:r>
      <w:r w:rsidRPr="00097064">
        <w:t xml:space="preserve"> </w:t>
      </w:r>
      <w:r>
        <w:t>European Union</w:t>
      </w:r>
      <w:r w:rsidRPr="00097064">
        <w:t xml:space="preserve">'s appellant's submission, </w:t>
      </w:r>
      <w:r>
        <w:t>para. </w:t>
      </w:r>
      <w:r w:rsidRPr="00097064">
        <w:t>498.</w:t>
      </w:r>
    </w:p>
  </w:footnote>
  <w:footnote w:id="774">
    <w:p w:rsidR="00FD2727" w:rsidRPr="006322B6" w:rsidRDefault="00FD2727" w:rsidP="00206326">
      <w:pPr>
        <w:pStyle w:val="FootnoteText"/>
        <w:keepLines/>
      </w:pPr>
      <w:r w:rsidRPr="006322B6">
        <w:rPr>
          <w:rStyle w:val="FootnoteReference"/>
        </w:rPr>
        <w:footnoteRef/>
      </w:r>
      <w:r w:rsidRPr="006322B6">
        <w:t xml:space="preserve"> Panel Report, </w:t>
      </w:r>
      <w:r>
        <w:t>para. </w:t>
      </w:r>
      <w:r w:rsidRPr="006322B6">
        <w:t xml:space="preserve">6.590 (referring to </w:t>
      </w:r>
      <w:r>
        <w:t>European Union</w:t>
      </w:r>
      <w:r w:rsidRPr="006322B6">
        <w:t xml:space="preserve">'s second written submission to the Panel, </w:t>
      </w:r>
      <w:r>
        <w:t>paras. </w:t>
      </w:r>
      <w:r w:rsidRPr="006322B6">
        <w:t>339-340</w:t>
      </w:r>
      <w:r>
        <w:t>; response to Panel question No. 100, paras. 404-405</w:t>
      </w:r>
      <w:r w:rsidRPr="006322B6">
        <w:t>).</w:t>
      </w:r>
    </w:p>
  </w:footnote>
  <w:footnote w:id="775">
    <w:p w:rsidR="00FD2727" w:rsidRPr="00097064" w:rsidRDefault="00FD2727" w:rsidP="00206326">
      <w:pPr>
        <w:pStyle w:val="FootnoteText"/>
        <w:keepLines/>
      </w:pPr>
      <w:r w:rsidRPr="006322B6">
        <w:rPr>
          <w:rStyle w:val="FootnoteReference"/>
        </w:rPr>
        <w:footnoteRef/>
      </w:r>
      <w:r w:rsidRPr="006322B6">
        <w:t xml:space="preserve"> Panel Report, </w:t>
      </w:r>
      <w:r>
        <w:t>para. </w:t>
      </w:r>
      <w:r w:rsidRPr="006322B6">
        <w:t xml:space="preserve">6.591 (quoting </w:t>
      </w:r>
      <w:r>
        <w:t>European Union</w:t>
      </w:r>
      <w:r w:rsidRPr="006322B6">
        <w:t xml:space="preserve">'s second written submission to the Panel, </w:t>
      </w:r>
      <w:r>
        <w:t>para. </w:t>
      </w:r>
      <w:r w:rsidRPr="006322B6">
        <w:t>340</w:t>
      </w:r>
      <w:r>
        <w:t>; referring to European Union's response to Panel question No. 100, para. 405</w:t>
      </w:r>
      <w:r w:rsidRPr="006322B6">
        <w:t>).</w:t>
      </w:r>
    </w:p>
  </w:footnote>
  <w:footnote w:id="776">
    <w:p w:rsidR="00FD2727" w:rsidRPr="00097064" w:rsidRDefault="00FD2727" w:rsidP="00206326">
      <w:pPr>
        <w:pStyle w:val="FootnoteText"/>
        <w:keepLines/>
      </w:pPr>
      <w:r w:rsidRPr="00097064">
        <w:rPr>
          <w:rStyle w:val="FootnoteReference"/>
        </w:rPr>
        <w:footnoteRef/>
      </w:r>
      <w:r w:rsidRPr="00097064">
        <w:t xml:space="preserve"> Panel Report, </w:t>
      </w:r>
      <w:r>
        <w:t>para. </w:t>
      </w:r>
      <w:r w:rsidRPr="00097064">
        <w:t xml:space="preserve">6.592 (referring to </w:t>
      </w:r>
      <w:r>
        <w:t>United States</w:t>
      </w:r>
      <w:r w:rsidRPr="00097064">
        <w:t xml:space="preserve">' comments on the </w:t>
      </w:r>
      <w:r>
        <w:t>European Union</w:t>
      </w:r>
      <w:r w:rsidRPr="00097064">
        <w:t xml:space="preserve">'s response to Panel question No. 100, </w:t>
      </w:r>
      <w:r>
        <w:t>paras. </w:t>
      </w:r>
      <w:r w:rsidRPr="00097064">
        <w:t>276-280).</w:t>
      </w:r>
    </w:p>
  </w:footnote>
  <w:footnote w:id="777">
    <w:p w:rsidR="00FD2727" w:rsidRPr="00097064" w:rsidRDefault="00FD2727" w:rsidP="00206326">
      <w:pPr>
        <w:pStyle w:val="FootnoteText"/>
        <w:keepLines/>
      </w:pPr>
      <w:r w:rsidRPr="00097064">
        <w:rPr>
          <w:rStyle w:val="FootnoteReference"/>
        </w:rPr>
        <w:footnoteRef/>
      </w:r>
      <w:r w:rsidRPr="00097064">
        <w:t xml:space="preserve"> Panel Report, </w:t>
      </w:r>
      <w:r>
        <w:t>para. </w:t>
      </w:r>
      <w:r w:rsidRPr="00097064">
        <w:t xml:space="preserve">6.592 (quoting </w:t>
      </w:r>
      <w:r>
        <w:t>European Union</w:t>
      </w:r>
      <w:r w:rsidRPr="00097064">
        <w:t xml:space="preserve">'s response to Panel question No. 100, </w:t>
      </w:r>
      <w:r>
        <w:t>para. </w:t>
      </w:r>
      <w:r w:rsidRPr="00097064">
        <w:t>405).</w:t>
      </w:r>
    </w:p>
  </w:footnote>
  <w:footnote w:id="778">
    <w:p w:rsidR="00FD2727" w:rsidRPr="00097064" w:rsidRDefault="00FD2727" w:rsidP="00206326">
      <w:pPr>
        <w:pStyle w:val="FootnoteText"/>
        <w:keepLines/>
      </w:pPr>
      <w:r w:rsidRPr="00097064">
        <w:rPr>
          <w:rStyle w:val="FootnoteReference"/>
        </w:rPr>
        <w:footnoteRef/>
      </w:r>
      <w:r w:rsidRPr="00097064">
        <w:t xml:space="preserve"> Panel Report, </w:t>
      </w:r>
      <w:r>
        <w:t>para. </w:t>
      </w:r>
      <w:r w:rsidRPr="00097064">
        <w:t xml:space="preserve">6.592 (quoting </w:t>
      </w:r>
      <w:r>
        <w:t>United States</w:t>
      </w:r>
      <w:r w:rsidRPr="00097064">
        <w:t xml:space="preserve">' comments on the </w:t>
      </w:r>
      <w:r>
        <w:t>European Union</w:t>
      </w:r>
      <w:r w:rsidRPr="00097064">
        <w:t xml:space="preserve">'s response to Panel question No. 100, </w:t>
      </w:r>
      <w:r>
        <w:t>para. </w:t>
      </w:r>
      <w:r w:rsidRPr="00097064">
        <w:t>280).</w:t>
      </w:r>
    </w:p>
  </w:footnote>
  <w:footnote w:id="779">
    <w:p w:rsidR="00FD2727" w:rsidRPr="00097064" w:rsidRDefault="00FD2727" w:rsidP="00206326">
      <w:pPr>
        <w:pStyle w:val="FootnoteText"/>
        <w:keepLines/>
      </w:pPr>
      <w:r w:rsidRPr="00097064">
        <w:rPr>
          <w:rStyle w:val="FootnoteReference"/>
        </w:rPr>
        <w:footnoteRef/>
      </w:r>
      <w:r w:rsidRPr="00097064">
        <w:t xml:space="preserve"> Panel Report, </w:t>
      </w:r>
      <w:r>
        <w:t>para. </w:t>
      </w:r>
      <w:r w:rsidRPr="00097064">
        <w:t>6.594.</w:t>
      </w:r>
      <w:r>
        <w:t xml:space="preserve"> (fn omitted)</w:t>
      </w:r>
    </w:p>
  </w:footnote>
  <w:footnote w:id="780">
    <w:p w:rsidR="00FD2727" w:rsidRPr="00097064" w:rsidRDefault="00FD2727" w:rsidP="00206326">
      <w:pPr>
        <w:pStyle w:val="FootnoteText"/>
        <w:keepLines/>
      </w:pPr>
      <w:r w:rsidRPr="00097064">
        <w:rPr>
          <w:rStyle w:val="FootnoteReference"/>
        </w:rPr>
        <w:footnoteRef/>
      </w:r>
      <w:r w:rsidRPr="00097064">
        <w:t xml:space="preserve"> Panel Report, </w:t>
      </w:r>
      <w:r>
        <w:t>para. </w:t>
      </w:r>
      <w:r w:rsidRPr="00097064">
        <w:t>6.595.</w:t>
      </w:r>
    </w:p>
  </w:footnote>
  <w:footnote w:id="781">
    <w:p w:rsidR="00FD2727" w:rsidRPr="00097064" w:rsidRDefault="00FD2727" w:rsidP="00206326">
      <w:pPr>
        <w:pStyle w:val="FootnoteText"/>
        <w:keepLines/>
      </w:pPr>
      <w:r w:rsidRPr="00097064">
        <w:rPr>
          <w:rStyle w:val="FootnoteReference"/>
        </w:rPr>
        <w:footnoteRef/>
      </w:r>
      <w:r w:rsidRPr="00097064">
        <w:t xml:space="preserve"> Panel Report, </w:t>
      </w:r>
      <w:r>
        <w:t>para. </w:t>
      </w:r>
      <w:r w:rsidRPr="00097064">
        <w:t>6.595. (emphasis added)</w:t>
      </w:r>
    </w:p>
  </w:footnote>
  <w:footnote w:id="782">
    <w:p w:rsidR="00FD2727" w:rsidRPr="00097064" w:rsidRDefault="00FD2727" w:rsidP="00206326">
      <w:pPr>
        <w:pStyle w:val="FootnoteText"/>
        <w:keepLines/>
      </w:pPr>
      <w:r w:rsidRPr="00097064">
        <w:rPr>
          <w:rStyle w:val="FootnoteReference"/>
        </w:rPr>
        <w:footnoteRef/>
      </w:r>
      <w:r w:rsidRPr="00097064">
        <w:t xml:space="preserve"> </w:t>
      </w:r>
      <w:r>
        <w:t>European Union</w:t>
      </w:r>
      <w:r w:rsidRPr="00097064">
        <w:t xml:space="preserve">'s appellant's submission, </w:t>
      </w:r>
      <w:r>
        <w:t>para. </w:t>
      </w:r>
      <w:r w:rsidRPr="00097064">
        <w:t>496. (emphasis added</w:t>
      </w:r>
      <w:r>
        <w:t>; fn omitted</w:t>
      </w:r>
      <w:r w:rsidRPr="00097064">
        <w:t>)</w:t>
      </w:r>
    </w:p>
  </w:footnote>
  <w:footnote w:id="783">
    <w:p w:rsidR="00FD2727" w:rsidRPr="00097064" w:rsidRDefault="00FD2727" w:rsidP="00206326">
      <w:pPr>
        <w:pStyle w:val="FootnoteText"/>
        <w:keepLines/>
      </w:pPr>
      <w:r w:rsidRPr="00097064">
        <w:rPr>
          <w:rStyle w:val="FootnoteReference"/>
        </w:rPr>
        <w:footnoteRef/>
      </w:r>
      <w:r w:rsidRPr="00097064">
        <w:t xml:space="preserve"> Panel Report, </w:t>
      </w:r>
      <w:r>
        <w:t>para. </w:t>
      </w:r>
      <w:r w:rsidRPr="00097064">
        <w:t>6.595. (emphasis added)</w:t>
      </w:r>
    </w:p>
  </w:footnote>
  <w:footnote w:id="784">
    <w:p w:rsidR="00FD2727" w:rsidRPr="00097064" w:rsidRDefault="00FD2727" w:rsidP="00206326">
      <w:pPr>
        <w:pStyle w:val="FootnoteText"/>
        <w:keepLines/>
      </w:pPr>
      <w:r w:rsidRPr="00097064">
        <w:rPr>
          <w:rStyle w:val="FootnoteReference"/>
        </w:rPr>
        <w:footnoteRef/>
      </w:r>
      <w:r w:rsidRPr="00097064">
        <w:t xml:space="preserve"> Panel Report, </w:t>
      </w:r>
      <w:r>
        <w:t>para. </w:t>
      </w:r>
      <w:r w:rsidRPr="00097064">
        <w:t xml:space="preserve">6.595 (referring to </w:t>
      </w:r>
      <w:r>
        <w:t xml:space="preserve">Original </w:t>
      </w:r>
      <w:r w:rsidRPr="00097064">
        <w:t>Panel Rep</w:t>
      </w:r>
      <w:r>
        <w:t>ort, para. 7.481; Appellate Body</w:t>
      </w:r>
      <w:r w:rsidRPr="00097064">
        <w:t xml:space="preserve"> Report, </w:t>
      </w:r>
      <w:r>
        <w:rPr>
          <w:i/>
        </w:rPr>
        <w:t>EC </w:t>
      </w:r>
      <w:r w:rsidRPr="00097064">
        <w:rPr>
          <w:i/>
        </w:rPr>
        <w:t>and certain member States – Large Civil Aircraft</w:t>
      </w:r>
      <w:r w:rsidRPr="00097064">
        <w:t xml:space="preserve">, </w:t>
      </w:r>
      <w:r>
        <w:t>para. </w:t>
      </w:r>
      <w:r w:rsidRPr="00097064">
        <w:t>923).</w:t>
      </w:r>
    </w:p>
  </w:footnote>
  <w:footnote w:id="785">
    <w:p w:rsidR="00FD2727" w:rsidRPr="00097064" w:rsidRDefault="00FD2727" w:rsidP="00206326">
      <w:pPr>
        <w:pStyle w:val="FootnoteText"/>
        <w:keepLines/>
      </w:pPr>
      <w:r w:rsidRPr="00097064">
        <w:rPr>
          <w:rStyle w:val="FootnoteReference"/>
        </w:rPr>
        <w:footnoteRef/>
      </w:r>
      <w:r w:rsidRPr="00097064">
        <w:t xml:space="preserve"> Panel Report, </w:t>
      </w:r>
      <w:r>
        <w:t>para. </w:t>
      </w:r>
      <w:r w:rsidRPr="00097064">
        <w:t>6.595.</w:t>
      </w:r>
    </w:p>
  </w:footnote>
  <w:footnote w:id="786">
    <w:p w:rsidR="00FD2727" w:rsidRPr="00097064" w:rsidRDefault="00FD2727" w:rsidP="00206326">
      <w:pPr>
        <w:pStyle w:val="FootnoteText"/>
        <w:keepLines/>
      </w:pPr>
      <w:r w:rsidRPr="00097064">
        <w:rPr>
          <w:rStyle w:val="FootnoteReference"/>
        </w:rPr>
        <w:footnoteRef/>
      </w:r>
      <w:r w:rsidRPr="00097064">
        <w:t xml:space="preserve"> </w:t>
      </w:r>
      <w:r>
        <w:t>Appellate Body</w:t>
      </w:r>
      <w:r w:rsidRPr="00097064">
        <w:t xml:space="preserve"> Report, </w:t>
      </w:r>
      <w:r w:rsidRPr="00097064">
        <w:rPr>
          <w:i/>
        </w:rPr>
        <w:t>EC – Fasteners (China)</w:t>
      </w:r>
      <w:r w:rsidRPr="00097064">
        <w:t xml:space="preserve">, </w:t>
      </w:r>
      <w:r>
        <w:t>para. </w:t>
      </w:r>
      <w:r w:rsidRPr="00097064">
        <w:t>442.</w:t>
      </w:r>
    </w:p>
  </w:footnote>
  <w:footnote w:id="787">
    <w:p w:rsidR="00FD2727" w:rsidRPr="00097064" w:rsidRDefault="00FD2727" w:rsidP="00206326">
      <w:pPr>
        <w:pStyle w:val="FootnoteText"/>
        <w:keepLines/>
      </w:pPr>
      <w:r w:rsidRPr="00097064">
        <w:rPr>
          <w:rStyle w:val="FootnoteReference"/>
        </w:rPr>
        <w:footnoteRef/>
      </w:r>
      <w:r w:rsidRPr="00097064">
        <w:t xml:space="preserve"> </w:t>
      </w:r>
      <w:r>
        <w:t>European Union</w:t>
      </w:r>
      <w:r w:rsidRPr="00097064">
        <w:t xml:space="preserve">'s appellant's submission, </w:t>
      </w:r>
      <w:r>
        <w:t>para. </w:t>
      </w:r>
      <w:r w:rsidRPr="00097064">
        <w:t>498.</w:t>
      </w:r>
    </w:p>
  </w:footnote>
  <w:footnote w:id="788">
    <w:p w:rsidR="00FD2727" w:rsidRPr="0033159B" w:rsidRDefault="00FD2727" w:rsidP="00206326">
      <w:pPr>
        <w:pStyle w:val="FootnoteText"/>
        <w:keepLines/>
      </w:pPr>
      <w:r>
        <w:rPr>
          <w:rStyle w:val="FootnoteReference"/>
        </w:rPr>
        <w:footnoteRef/>
      </w:r>
      <w:r>
        <w:t xml:space="preserve"> Panel Report, para. 6.595.</w:t>
      </w:r>
    </w:p>
  </w:footnote>
  <w:footnote w:id="789">
    <w:p w:rsidR="00FD2727" w:rsidRPr="00097064" w:rsidRDefault="00FD2727" w:rsidP="00206326">
      <w:pPr>
        <w:pStyle w:val="FootnoteText"/>
        <w:keepLines/>
      </w:pPr>
      <w:r w:rsidRPr="00097064">
        <w:rPr>
          <w:rStyle w:val="FootnoteReference"/>
        </w:rPr>
        <w:footnoteRef/>
      </w:r>
      <w:r w:rsidRPr="00097064">
        <w:t xml:space="preserve"> </w:t>
      </w:r>
      <w:r>
        <w:t>European Union</w:t>
      </w:r>
      <w:r w:rsidRPr="00097064">
        <w:t xml:space="preserve">'s appellant's submission, </w:t>
      </w:r>
      <w:r>
        <w:t>para. </w:t>
      </w:r>
      <w:r w:rsidRPr="00097064">
        <w:t>497.</w:t>
      </w:r>
      <w:r>
        <w:t xml:space="preserve"> (emphasis original)</w:t>
      </w:r>
    </w:p>
  </w:footnote>
  <w:footnote w:id="790">
    <w:p w:rsidR="00FD2727" w:rsidRPr="00097064" w:rsidRDefault="00FD2727" w:rsidP="00206326">
      <w:pPr>
        <w:pStyle w:val="FootnoteText"/>
        <w:keepLines/>
      </w:pPr>
      <w:r w:rsidRPr="00097064">
        <w:rPr>
          <w:rStyle w:val="FootnoteReference"/>
        </w:rPr>
        <w:footnoteRef/>
      </w:r>
      <w:r w:rsidRPr="00097064">
        <w:t xml:space="preserve"> Panel Report, </w:t>
      </w:r>
      <w:r>
        <w:t>para. </w:t>
      </w:r>
      <w:r w:rsidRPr="00097064">
        <w:t>6.595. (emphasis added)</w:t>
      </w:r>
    </w:p>
  </w:footnote>
  <w:footnote w:id="791">
    <w:p w:rsidR="00FD2727" w:rsidRPr="00097064" w:rsidRDefault="00FD2727" w:rsidP="00206326">
      <w:pPr>
        <w:pStyle w:val="FootnoteText"/>
        <w:keepLines/>
      </w:pPr>
      <w:r w:rsidRPr="00097064">
        <w:rPr>
          <w:rStyle w:val="FootnoteReference"/>
        </w:rPr>
        <w:footnoteRef/>
      </w:r>
      <w:r w:rsidRPr="00097064">
        <w:t xml:space="preserve"> </w:t>
      </w:r>
      <w:r>
        <w:t>European Union</w:t>
      </w:r>
      <w:r w:rsidRPr="00097064">
        <w:t xml:space="preserve">'s appellant's submission, </w:t>
      </w:r>
      <w:r>
        <w:t>para. </w:t>
      </w:r>
      <w:r w:rsidRPr="00097064">
        <w:t xml:space="preserve">497 (referring to Panel Report, </w:t>
      </w:r>
      <w:r>
        <w:t>paras. 6.602 and </w:t>
      </w:r>
      <w:r w:rsidRPr="00097064">
        <w:t>6.606). (</w:t>
      </w:r>
      <w:r>
        <w:t>emphases original; additional text in fn 453 thereto omitted</w:t>
      </w:r>
      <w:r w:rsidRPr="00097064">
        <w:t>)</w:t>
      </w:r>
    </w:p>
  </w:footnote>
  <w:footnote w:id="792">
    <w:p w:rsidR="00FD2727" w:rsidRPr="00097064" w:rsidRDefault="00FD2727" w:rsidP="00206326">
      <w:pPr>
        <w:pStyle w:val="FootnoteText"/>
        <w:keepLines/>
      </w:pPr>
      <w:r w:rsidRPr="00097064">
        <w:rPr>
          <w:rStyle w:val="FootnoteReference"/>
        </w:rPr>
        <w:footnoteRef/>
      </w:r>
      <w:r w:rsidRPr="00097064">
        <w:t xml:space="preserve"> </w:t>
      </w:r>
      <w:r>
        <w:t>European Union</w:t>
      </w:r>
      <w:r w:rsidRPr="00097064">
        <w:t xml:space="preserve">'s </w:t>
      </w:r>
      <w:r>
        <w:t>s</w:t>
      </w:r>
      <w:r w:rsidRPr="00097064">
        <w:t xml:space="preserve">econd </w:t>
      </w:r>
      <w:r>
        <w:t>w</w:t>
      </w:r>
      <w:r w:rsidRPr="00097064">
        <w:t xml:space="preserve">ritten </w:t>
      </w:r>
      <w:r>
        <w:t>s</w:t>
      </w:r>
      <w:r w:rsidRPr="00097064">
        <w:t xml:space="preserve">ubmission to the Panel, </w:t>
      </w:r>
      <w:r>
        <w:t>paras. </w:t>
      </w:r>
      <w:r w:rsidRPr="00097064">
        <w:t xml:space="preserve">339-342; </w:t>
      </w:r>
      <w:r>
        <w:t>r</w:t>
      </w:r>
      <w:r w:rsidRPr="00097064">
        <w:t xml:space="preserve">esponse to Panel </w:t>
      </w:r>
      <w:r>
        <w:t>q</w:t>
      </w:r>
      <w:r w:rsidRPr="00097064">
        <w:t xml:space="preserve">uestion No. 100, </w:t>
      </w:r>
      <w:r>
        <w:t>paras. </w:t>
      </w:r>
      <w:r w:rsidRPr="00097064">
        <w:t>401-407.</w:t>
      </w:r>
    </w:p>
  </w:footnote>
  <w:footnote w:id="793">
    <w:p w:rsidR="00FD2727" w:rsidRPr="00097064" w:rsidRDefault="00FD2727" w:rsidP="00206326">
      <w:pPr>
        <w:pStyle w:val="FootnoteText"/>
        <w:keepLines/>
      </w:pPr>
      <w:r w:rsidRPr="00097064">
        <w:rPr>
          <w:rStyle w:val="FootnoteReference"/>
        </w:rPr>
        <w:footnoteRef/>
      </w:r>
      <w:r w:rsidRPr="00097064">
        <w:t xml:space="preserve"> </w:t>
      </w:r>
      <w:r>
        <w:t>European Union</w:t>
      </w:r>
      <w:r w:rsidRPr="00097064">
        <w:t xml:space="preserve">'s </w:t>
      </w:r>
      <w:r>
        <w:t>s</w:t>
      </w:r>
      <w:r w:rsidRPr="00097064">
        <w:t xml:space="preserve">econd </w:t>
      </w:r>
      <w:r>
        <w:t>w</w:t>
      </w:r>
      <w:r w:rsidRPr="00097064">
        <w:t xml:space="preserve">ritten </w:t>
      </w:r>
      <w:r>
        <w:t>s</w:t>
      </w:r>
      <w:r w:rsidRPr="00097064">
        <w:t xml:space="preserve">ubmission to the Panel, </w:t>
      </w:r>
      <w:r>
        <w:t>para. </w:t>
      </w:r>
      <w:r w:rsidRPr="00097064">
        <w:t xml:space="preserve">340; </w:t>
      </w:r>
      <w:r>
        <w:t>r</w:t>
      </w:r>
      <w:r w:rsidRPr="00097064">
        <w:t xml:space="preserve">esponse to Panel </w:t>
      </w:r>
      <w:r>
        <w:t>question No. </w:t>
      </w:r>
      <w:r w:rsidRPr="00097064">
        <w:t xml:space="preserve">100, </w:t>
      </w:r>
      <w:r>
        <w:t>para. </w:t>
      </w:r>
      <w:r w:rsidRPr="00097064">
        <w:t>405.</w:t>
      </w:r>
    </w:p>
  </w:footnote>
  <w:footnote w:id="794">
    <w:p w:rsidR="00FD2727" w:rsidRPr="00097064" w:rsidRDefault="00FD2727" w:rsidP="00206326">
      <w:pPr>
        <w:pStyle w:val="FootnoteText"/>
        <w:keepLines/>
      </w:pPr>
      <w:r w:rsidRPr="00097064">
        <w:rPr>
          <w:rStyle w:val="FootnoteReference"/>
        </w:rPr>
        <w:footnoteRef/>
      </w:r>
      <w:r w:rsidRPr="00097064">
        <w:t xml:space="preserve"> </w:t>
      </w:r>
      <w:r>
        <w:t>European Union</w:t>
      </w:r>
      <w:r w:rsidRPr="00097064">
        <w:t xml:space="preserve">'s appellant's submission, </w:t>
      </w:r>
      <w:r>
        <w:t>para. </w:t>
      </w:r>
      <w:r w:rsidRPr="00097064">
        <w:t>497.</w:t>
      </w:r>
    </w:p>
  </w:footnote>
  <w:footnote w:id="795">
    <w:p w:rsidR="00FD2727" w:rsidRPr="00097064" w:rsidRDefault="00FD2727" w:rsidP="00206326">
      <w:pPr>
        <w:pStyle w:val="FootnoteText"/>
        <w:keepLines/>
      </w:pPr>
      <w:r w:rsidRPr="00097064">
        <w:rPr>
          <w:rStyle w:val="FootnoteReference"/>
        </w:rPr>
        <w:footnoteRef/>
      </w:r>
      <w:r w:rsidRPr="00097064">
        <w:t xml:space="preserve"> </w:t>
      </w:r>
      <w:r>
        <w:t>European Union</w:t>
      </w:r>
      <w:r w:rsidRPr="00097064">
        <w:t xml:space="preserve">'s </w:t>
      </w:r>
      <w:r>
        <w:t>r</w:t>
      </w:r>
      <w:r w:rsidRPr="00097064">
        <w:t xml:space="preserve">esponse to Panel </w:t>
      </w:r>
      <w:r>
        <w:t>q</w:t>
      </w:r>
      <w:r w:rsidRPr="00097064">
        <w:t xml:space="preserve">uestion No. 100, </w:t>
      </w:r>
      <w:r>
        <w:t>para. </w:t>
      </w:r>
      <w:r w:rsidRPr="00097064">
        <w:t>405.</w:t>
      </w:r>
    </w:p>
  </w:footnote>
  <w:footnote w:id="796">
    <w:p w:rsidR="00FD2727" w:rsidRPr="00097064" w:rsidRDefault="00FD2727" w:rsidP="00206326">
      <w:pPr>
        <w:pStyle w:val="FootnoteText"/>
        <w:keepLines/>
      </w:pPr>
      <w:r w:rsidRPr="00097064">
        <w:rPr>
          <w:rStyle w:val="FootnoteReference"/>
        </w:rPr>
        <w:footnoteRef/>
      </w:r>
      <w:r w:rsidRPr="00097064">
        <w:t xml:space="preserve"> </w:t>
      </w:r>
      <w:r>
        <w:t>Appellate Body</w:t>
      </w:r>
      <w:r w:rsidRPr="00097064">
        <w:t xml:space="preserve"> Reports, </w:t>
      </w:r>
      <w:r w:rsidRPr="00097064">
        <w:rPr>
          <w:i/>
        </w:rPr>
        <w:t>China – Rare Earths</w:t>
      </w:r>
      <w:r w:rsidRPr="00097064">
        <w:t xml:space="preserve">, </w:t>
      </w:r>
      <w:r>
        <w:t>para. </w:t>
      </w:r>
      <w:r w:rsidRPr="00097064">
        <w:t xml:space="preserve">5.227 (quoting </w:t>
      </w:r>
      <w:r>
        <w:t>Appellate Body</w:t>
      </w:r>
      <w:r w:rsidRPr="00097064">
        <w:t xml:space="preserve"> Report, </w:t>
      </w:r>
      <w:r w:rsidRPr="00097064">
        <w:rPr>
          <w:i/>
        </w:rPr>
        <w:t>EC</w:t>
      </w:r>
      <w:r>
        <w:rPr>
          <w:i/>
        </w:rPr>
        <w:t> ‒ </w:t>
      </w:r>
      <w:r w:rsidRPr="00097064">
        <w:rPr>
          <w:i/>
        </w:rPr>
        <w:t>Poultry</w:t>
      </w:r>
      <w:r w:rsidRPr="00097064">
        <w:t xml:space="preserve">, </w:t>
      </w:r>
      <w:r>
        <w:t>para. </w:t>
      </w:r>
      <w:r w:rsidRPr="00097064">
        <w:t>133).</w:t>
      </w:r>
    </w:p>
  </w:footnote>
  <w:footnote w:id="797">
    <w:p w:rsidR="00FD2727" w:rsidRPr="00097064" w:rsidRDefault="00FD2727" w:rsidP="00206326">
      <w:pPr>
        <w:pStyle w:val="FootnoteText"/>
        <w:keepLines/>
      </w:pPr>
      <w:r w:rsidRPr="00097064">
        <w:rPr>
          <w:rStyle w:val="FootnoteReference"/>
        </w:rPr>
        <w:footnoteRef/>
      </w:r>
      <w:r w:rsidRPr="00097064">
        <w:t xml:space="preserve"> </w:t>
      </w:r>
      <w:r>
        <w:t>Appellate Body</w:t>
      </w:r>
      <w:r w:rsidRPr="00097064">
        <w:t xml:space="preserve"> Reports, </w:t>
      </w:r>
      <w:r w:rsidRPr="00097064">
        <w:rPr>
          <w:i/>
          <w:iCs/>
        </w:rPr>
        <w:t>EC – Sardines</w:t>
      </w:r>
      <w:r w:rsidRPr="00097064">
        <w:t xml:space="preserve">, </w:t>
      </w:r>
      <w:r>
        <w:t>para. </w:t>
      </w:r>
      <w:r w:rsidRPr="00097064">
        <w:t xml:space="preserve">299 (quoting </w:t>
      </w:r>
      <w:r>
        <w:t>Appellate Body</w:t>
      </w:r>
      <w:r w:rsidRPr="00097064">
        <w:t xml:space="preserve"> Report, </w:t>
      </w:r>
      <w:r w:rsidRPr="00097064">
        <w:rPr>
          <w:i/>
          <w:iCs/>
        </w:rPr>
        <w:t>US</w:t>
      </w:r>
      <w:r w:rsidRPr="00097064">
        <w:rPr>
          <w:i/>
        </w:rPr>
        <w:t> ‒ </w:t>
      </w:r>
      <w:r w:rsidRPr="00097064">
        <w:rPr>
          <w:i/>
          <w:iCs/>
        </w:rPr>
        <w:t>Wheat Gluten</w:t>
      </w:r>
      <w:r w:rsidRPr="00097064">
        <w:t xml:space="preserve">, </w:t>
      </w:r>
      <w:r>
        <w:t>para. </w:t>
      </w:r>
      <w:r w:rsidRPr="00097064">
        <w:t xml:space="preserve">151); </w:t>
      </w:r>
      <w:r w:rsidRPr="00097064">
        <w:rPr>
          <w:i/>
          <w:iCs/>
        </w:rPr>
        <w:t>US – Carbon Steel</w:t>
      </w:r>
      <w:r w:rsidRPr="00097064">
        <w:t xml:space="preserve">, </w:t>
      </w:r>
      <w:r>
        <w:t>para. </w:t>
      </w:r>
      <w:r w:rsidRPr="00097064">
        <w:t>142.</w:t>
      </w:r>
    </w:p>
  </w:footnote>
  <w:footnote w:id="798">
    <w:p w:rsidR="00FD2727" w:rsidRPr="0072627E" w:rsidRDefault="00FD2727" w:rsidP="00206326">
      <w:pPr>
        <w:pStyle w:val="FootnoteText"/>
        <w:keepLines/>
      </w:pPr>
      <w:r>
        <w:rPr>
          <w:rStyle w:val="FootnoteReference"/>
        </w:rPr>
        <w:footnoteRef/>
      </w:r>
      <w:r>
        <w:t xml:space="preserve"> Appellate Body</w:t>
      </w:r>
      <w:r w:rsidRPr="00097064">
        <w:t xml:space="preserve"> Report, </w:t>
      </w:r>
      <w:r w:rsidRPr="00097064">
        <w:rPr>
          <w:i/>
          <w:iCs/>
        </w:rPr>
        <w:t>US – Wheat Gluten</w:t>
      </w:r>
      <w:r w:rsidRPr="00097064">
        <w:t xml:space="preserve">, </w:t>
      </w:r>
      <w:r>
        <w:t>para. </w:t>
      </w:r>
      <w:r w:rsidRPr="00097064">
        <w:t>151.</w:t>
      </w:r>
    </w:p>
  </w:footnote>
  <w:footnote w:id="799">
    <w:p w:rsidR="00FD2727" w:rsidRPr="00097064" w:rsidRDefault="00FD2727" w:rsidP="00206326">
      <w:pPr>
        <w:pStyle w:val="FootnoteText"/>
        <w:keepLines/>
      </w:pPr>
      <w:r w:rsidRPr="00097064">
        <w:rPr>
          <w:rStyle w:val="FootnoteReference"/>
        </w:rPr>
        <w:footnoteRef/>
      </w:r>
      <w:r w:rsidRPr="00097064">
        <w:t xml:space="preserve"> </w:t>
      </w:r>
      <w:r>
        <w:t>European Union</w:t>
      </w:r>
      <w:r w:rsidRPr="00097064">
        <w:t xml:space="preserve">'s appellant's submission, </w:t>
      </w:r>
      <w:r>
        <w:t>para. </w:t>
      </w:r>
      <w:r w:rsidRPr="00097064">
        <w:t>498.</w:t>
      </w:r>
    </w:p>
  </w:footnote>
  <w:footnote w:id="800">
    <w:p w:rsidR="00FD2727" w:rsidRPr="00097064" w:rsidRDefault="00FD2727" w:rsidP="00206326">
      <w:pPr>
        <w:pStyle w:val="FootnoteText"/>
        <w:keepLines/>
      </w:pPr>
      <w:r w:rsidRPr="00097064">
        <w:rPr>
          <w:rStyle w:val="FootnoteReference"/>
        </w:rPr>
        <w:footnoteRef/>
      </w:r>
      <w:r w:rsidRPr="00097064">
        <w:t xml:space="preserve"> </w:t>
      </w:r>
      <w:r>
        <w:t>European Union</w:t>
      </w:r>
      <w:r w:rsidRPr="00097064">
        <w:t xml:space="preserve">'s appellant's submission, </w:t>
      </w:r>
      <w:r>
        <w:t>para. </w:t>
      </w:r>
      <w:r w:rsidRPr="00097064">
        <w:t xml:space="preserve">500 (referring to Panel Report, </w:t>
      </w:r>
      <w:r>
        <w:t>para. </w:t>
      </w:r>
      <w:r w:rsidRPr="00097064">
        <w:t>6.598).</w:t>
      </w:r>
    </w:p>
  </w:footnote>
  <w:footnote w:id="801">
    <w:p w:rsidR="00FD2727" w:rsidRPr="00EE6F87" w:rsidRDefault="00FD2727" w:rsidP="00206326">
      <w:pPr>
        <w:pStyle w:val="FootnoteText"/>
        <w:keepLines/>
      </w:pPr>
      <w:r w:rsidRPr="00EE6F87">
        <w:rPr>
          <w:rStyle w:val="FootnoteReference"/>
        </w:rPr>
        <w:footnoteRef/>
      </w:r>
      <w:r w:rsidRPr="00EE6F87">
        <w:t xml:space="preserve"> The </w:t>
      </w:r>
      <w:r>
        <w:t>European Union</w:t>
      </w:r>
      <w:r w:rsidRPr="00EE6F87">
        <w:t xml:space="preserve"> adds that </w:t>
      </w:r>
      <w:r w:rsidRPr="00EE6F87">
        <w:rPr>
          <w:b/>
        </w:rPr>
        <w:t>[</w:t>
      </w:r>
      <w:r w:rsidRPr="00C8434D">
        <w:rPr>
          <w:b/>
          <w:szCs w:val="16"/>
        </w:rPr>
        <w:t>BCI</w:t>
      </w:r>
      <w:r w:rsidRPr="00EE6F87">
        <w:rPr>
          <w:b/>
        </w:rPr>
        <w:t>]</w:t>
      </w:r>
      <w:r w:rsidRPr="00EE6F87">
        <w:t xml:space="preserve"> A350XWB LA/MSF contract did not contain risk</w:t>
      </w:r>
      <w:r w:rsidRPr="00EE6F87">
        <w:noBreakHyphen/>
        <w:t>reducing terms. (</w:t>
      </w:r>
      <w:r>
        <w:t>European Union</w:t>
      </w:r>
      <w:r w:rsidRPr="00EE6F87">
        <w:t xml:space="preserve">'s appellant's submission, </w:t>
      </w:r>
      <w:r>
        <w:t>para. </w:t>
      </w:r>
      <w:r w:rsidRPr="00EE6F87">
        <w:t>500)</w:t>
      </w:r>
    </w:p>
  </w:footnote>
  <w:footnote w:id="802">
    <w:p w:rsidR="00FD2727" w:rsidRPr="00097064" w:rsidRDefault="00FD2727" w:rsidP="00206326">
      <w:pPr>
        <w:pStyle w:val="FootnoteText"/>
        <w:keepLines/>
      </w:pPr>
      <w:r w:rsidRPr="00EE6F87">
        <w:rPr>
          <w:rStyle w:val="FootnoteReference"/>
        </w:rPr>
        <w:footnoteRef/>
      </w:r>
      <w:r w:rsidRPr="00EE6F87">
        <w:t xml:space="preserve"> </w:t>
      </w:r>
      <w:r>
        <w:t>European Union</w:t>
      </w:r>
      <w:r w:rsidRPr="00EE6F87">
        <w:t xml:space="preserve">'s appellant's submission, </w:t>
      </w:r>
      <w:r>
        <w:t>para. </w:t>
      </w:r>
      <w:r w:rsidRPr="00EE6F87">
        <w:t xml:space="preserve">501. The </w:t>
      </w:r>
      <w:r>
        <w:t>European Union</w:t>
      </w:r>
      <w:r w:rsidRPr="00EE6F87">
        <w:t xml:space="preserve"> notes that the</w:t>
      </w:r>
      <w:r w:rsidRPr="00EE6F87">
        <w:rPr>
          <w:b/>
        </w:rPr>
        <w:t xml:space="preserve"> [</w:t>
      </w:r>
      <w:r w:rsidRPr="00C8434D">
        <w:rPr>
          <w:b/>
          <w:szCs w:val="16"/>
        </w:rPr>
        <w:t>BCI</w:t>
      </w:r>
      <w:r w:rsidRPr="00EE6F87">
        <w:rPr>
          <w:b/>
        </w:rPr>
        <w:t>]</w:t>
      </w:r>
      <w:r w:rsidRPr="00EE6F87">
        <w:t xml:space="preserve"> other LA/MSF </w:t>
      </w:r>
      <w:r w:rsidRPr="009343AF">
        <w:rPr>
          <w:b/>
        </w:rPr>
        <w:t>[</w:t>
      </w:r>
      <w:r w:rsidRPr="00C8434D">
        <w:rPr>
          <w:b/>
          <w:szCs w:val="16"/>
        </w:rPr>
        <w:t>BCI</w:t>
      </w:r>
      <w:r w:rsidRPr="009343AF">
        <w:rPr>
          <w:b/>
        </w:rPr>
        <w:t>]</w:t>
      </w:r>
      <w:r w:rsidRPr="00EE6F87">
        <w:t xml:space="preserve"> (the</w:t>
      </w:r>
      <w:r w:rsidRPr="00EE6F87">
        <w:rPr>
          <w:b/>
        </w:rPr>
        <w:t xml:space="preserve"> [</w:t>
      </w:r>
      <w:r w:rsidRPr="00C8434D">
        <w:rPr>
          <w:b/>
          <w:szCs w:val="16"/>
        </w:rPr>
        <w:t>BCI</w:t>
      </w:r>
      <w:r w:rsidRPr="009343AF">
        <w:rPr>
          <w:b/>
        </w:rPr>
        <w:t>]</w:t>
      </w:r>
      <w:r w:rsidRPr="00EE6F87">
        <w:t xml:space="preserve">), which accounted for approximately </w:t>
      </w:r>
      <w:r w:rsidRPr="00EE6F87">
        <w:rPr>
          <w:b/>
        </w:rPr>
        <w:t>[</w:t>
      </w:r>
      <w:r w:rsidRPr="00C8434D">
        <w:rPr>
          <w:b/>
          <w:szCs w:val="16"/>
        </w:rPr>
        <w:t>BCI</w:t>
      </w:r>
      <w:r w:rsidRPr="00EE6F87">
        <w:rPr>
          <w:b/>
        </w:rPr>
        <w:t>]</w:t>
      </w:r>
      <w:r w:rsidRPr="00EE6F87">
        <w:t>% of all LA/MSF, did not contain risk-reducing terms. (Ibid.)</w:t>
      </w:r>
    </w:p>
  </w:footnote>
  <w:footnote w:id="803">
    <w:p w:rsidR="00FD2727" w:rsidRPr="00097064" w:rsidRDefault="00FD2727" w:rsidP="00206326">
      <w:pPr>
        <w:pStyle w:val="FootnoteText"/>
        <w:keepLines/>
      </w:pPr>
      <w:r w:rsidRPr="00097064">
        <w:rPr>
          <w:rStyle w:val="FootnoteReference"/>
        </w:rPr>
        <w:footnoteRef/>
      </w:r>
      <w:r w:rsidRPr="00097064">
        <w:t xml:space="preserve"> </w:t>
      </w:r>
      <w:r>
        <w:t>European Union</w:t>
      </w:r>
      <w:r w:rsidRPr="00097064">
        <w:t xml:space="preserve">'s appellant's submission, </w:t>
      </w:r>
      <w:r>
        <w:t>para. </w:t>
      </w:r>
      <w:r w:rsidRPr="00097064">
        <w:t>502.</w:t>
      </w:r>
    </w:p>
  </w:footnote>
  <w:footnote w:id="804">
    <w:p w:rsidR="00FD2727" w:rsidRPr="00097064" w:rsidRDefault="00FD2727" w:rsidP="00206326">
      <w:pPr>
        <w:pStyle w:val="FootnoteText"/>
        <w:keepLines/>
      </w:pPr>
      <w:r w:rsidRPr="00097064">
        <w:rPr>
          <w:rStyle w:val="FootnoteReference"/>
        </w:rPr>
        <w:footnoteRef/>
      </w:r>
      <w:r w:rsidRPr="00097064">
        <w:t xml:space="preserve"> Panel Report, </w:t>
      </w:r>
      <w:r>
        <w:t>para. </w:t>
      </w:r>
      <w:r w:rsidRPr="00097064">
        <w:t>6.459.</w:t>
      </w:r>
    </w:p>
  </w:footnote>
  <w:footnote w:id="805">
    <w:p w:rsidR="00FD2727" w:rsidRPr="00097064" w:rsidRDefault="00FD2727" w:rsidP="00206326">
      <w:pPr>
        <w:pStyle w:val="FootnoteText"/>
        <w:keepLines/>
      </w:pPr>
      <w:r w:rsidRPr="00097064">
        <w:rPr>
          <w:rStyle w:val="FootnoteReference"/>
        </w:rPr>
        <w:footnoteRef/>
      </w:r>
      <w:r w:rsidRPr="00097064">
        <w:t xml:space="preserve"> </w:t>
      </w:r>
      <w:r>
        <w:t>European Union</w:t>
      </w:r>
      <w:r w:rsidRPr="00097064">
        <w:t xml:space="preserve">'s appellant's submission, </w:t>
      </w:r>
      <w:r>
        <w:t>paras. </w:t>
      </w:r>
      <w:r w:rsidRPr="00097064">
        <w:t>503-504.</w:t>
      </w:r>
    </w:p>
  </w:footnote>
  <w:footnote w:id="806">
    <w:p w:rsidR="00FD2727" w:rsidRPr="00097064" w:rsidRDefault="00FD2727" w:rsidP="00206326">
      <w:pPr>
        <w:pStyle w:val="FootnoteText"/>
        <w:keepLines/>
      </w:pPr>
      <w:r w:rsidRPr="00097064">
        <w:rPr>
          <w:rStyle w:val="FootnoteReference"/>
        </w:rPr>
        <w:footnoteRef/>
      </w:r>
      <w:r w:rsidRPr="00097064">
        <w:t xml:space="preserve"> </w:t>
      </w:r>
      <w:r>
        <w:t>Appellate Body</w:t>
      </w:r>
      <w:r w:rsidRPr="00097064">
        <w:t xml:space="preserve"> Report, </w:t>
      </w:r>
      <w:r w:rsidRPr="00097064">
        <w:rPr>
          <w:i/>
          <w:iCs/>
        </w:rPr>
        <w:t>US – Wheat Gluten</w:t>
      </w:r>
      <w:r w:rsidRPr="00097064">
        <w:t xml:space="preserve">, </w:t>
      </w:r>
      <w:r>
        <w:t>para. </w:t>
      </w:r>
      <w:r w:rsidRPr="00097064">
        <w:t>151.</w:t>
      </w:r>
    </w:p>
  </w:footnote>
  <w:footnote w:id="807">
    <w:p w:rsidR="00FD2727" w:rsidRDefault="00FD2727" w:rsidP="00206326">
      <w:pPr>
        <w:pStyle w:val="FootnoteText"/>
        <w:keepLines/>
      </w:pPr>
      <w:r>
        <w:rPr>
          <w:rStyle w:val="FootnoteReference"/>
        </w:rPr>
        <w:footnoteRef/>
      </w:r>
      <w:r>
        <w:t xml:space="preserve"> European Union</w:t>
      </w:r>
      <w:r w:rsidRPr="00EE6F87">
        <w:t xml:space="preserve">'s appellant's submission, </w:t>
      </w:r>
      <w:r>
        <w:t>para. </w:t>
      </w:r>
      <w:r w:rsidRPr="00DD5D7D">
        <w:t>514</w:t>
      </w:r>
      <w:r w:rsidRPr="00EE6F87">
        <w:t>.</w:t>
      </w:r>
      <w:r>
        <w:t xml:space="preserve"> In the European Union's view, t</w:t>
      </w:r>
      <w:r w:rsidRPr="00EE6F87">
        <w:t xml:space="preserve">he Panel appears implicitly to have assumed that the similarity between the A350XWB LA/MSF contracts and the A380 </w:t>
      </w:r>
      <w:r w:rsidRPr="00627703">
        <w:t>r</w:t>
      </w:r>
      <w:r>
        <w:t>isk</w:t>
      </w:r>
      <w:r>
        <w:noBreakHyphen/>
      </w:r>
      <w:r w:rsidRPr="00627703">
        <w:t xml:space="preserve">sharing supplier </w:t>
      </w:r>
      <w:r w:rsidRPr="00EE6F87">
        <w:t xml:space="preserve">contracts could be inferred from the fact that the A350XWB LA/MSF contracts </w:t>
      </w:r>
      <w:r>
        <w:t>were</w:t>
      </w:r>
      <w:r w:rsidRPr="00EE6F87">
        <w:t xml:space="preserve"> sufficiently similar to the terms of the A380 LA/MSF contracts and the fact that the A380 LA/MSF contracts </w:t>
      </w:r>
      <w:r>
        <w:t>were</w:t>
      </w:r>
      <w:r w:rsidRPr="00EE6F87">
        <w:t xml:space="preserve"> sufficiently similar to the terms of the A380 </w:t>
      </w:r>
      <w:r w:rsidRPr="00627703">
        <w:t xml:space="preserve">risk-sharing supplier </w:t>
      </w:r>
      <w:r w:rsidRPr="00EE6F87">
        <w:t>contracts.</w:t>
      </w:r>
      <w:r>
        <w:t xml:space="preserve"> (Ibid., para. 511)</w:t>
      </w:r>
    </w:p>
  </w:footnote>
  <w:footnote w:id="808">
    <w:p w:rsidR="00FD2727" w:rsidRPr="00EE6F87" w:rsidRDefault="00FD2727" w:rsidP="00206326">
      <w:pPr>
        <w:pStyle w:val="FootnoteText"/>
        <w:keepLines/>
      </w:pPr>
      <w:r w:rsidRPr="00EE6F87">
        <w:rPr>
          <w:rStyle w:val="FootnoteReference"/>
        </w:rPr>
        <w:footnoteRef/>
      </w:r>
      <w:r w:rsidRPr="00EE6F87">
        <w:t xml:space="preserve"> </w:t>
      </w:r>
      <w:r>
        <w:t>European Union</w:t>
      </w:r>
      <w:r w:rsidRPr="00EE6F87">
        <w:t xml:space="preserve">'s appellant's submission, </w:t>
      </w:r>
      <w:r>
        <w:t>paras. </w:t>
      </w:r>
      <w:r w:rsidRPr="00EE6F87">
        <w:t>508 and 511.</w:t>
      </w:r>
    </w:p>
  </w:footnote>
  <w:footnote w:id="809">
    <w:p w:rsidR="00FD2727" w:rsidRPr="00097064" w:rsidRDefault="00FD2727" w:rsidP="00206326">
      <w:pPr>
        <w:pStyle w:val="FootnoteText"/>
        <w:keepLines/>
      </w:pPr>
      <w:r w:rsidRPr="00097064">
        <w:rPr>
          <w:rStyle w:val="FootnoteReference"/>
        </w:rPr>
        <w:footnoteRef/>
      </w:r>
      <w:r w:rsidRPr="00097064">
        <w:t xml:space="preserve"> </w:t>
      </w:r>
      <w:r>
        <w:t>United States</w:t>
      </w:r>
      <w:r w:rsidRPr="00097064">
        <w:t xml:space="preserve">' appellee's submission, </w:t>
      </w:r>
      <w:r>
        <w:t>para. </w:t>
      </w:r>
      <w:r w:rsidRPr="00097064">
        <w:t xml:space="preserve">259. The </w:t>
      </w:r>
      <w:r>
        <w:t>United States</w:t>
      </w:r>
      <w:r w:rsidRPr="00097064">
        <w:t xml:space="preserve"> asserts that "{i}t is unclear why the {</w:t>
      </w:r>
      <w:r>
        <w:t>European Union</w:t>
      </w:r>
      <w:r w:rsidRPr="00097064">
        <w:t>} believes this outcome suggests some lack of objectivity on</w:t>
      </w:r>
      <w:r>
        <w:t xml:space="preserve"> the Panel's part." Indeed, the United States</w:t>
      </w:r>
      <w:r w:rsidRPr="00097064">
        <w:t xml:space="preserve"> further notes, the </w:t>
      </w:r>
      <w:r>
        <w:t>European Union</w:t>
      </w:r>
      <w:r w:rsidRPr="00097064">
        <w:t xml:space="preserve"> itself "struggles to identify the supposed error". (Ibid.</w:t>
      </w:r>
      <w:r>
        <w:t xml:space="preserve"> (fn omitted)</w:t>
      </w:r>
      <w:r w:rsidRPr="00097064">
        <w:t>)</w:t>
      </w:r>
    </w:p>
  </w:footnote>
  <w:footnote w:id="810">
    <w:p w:rsidR="00FD2727" w:rsidRPr="00097064" w:rsidRDefault="00FD2727" w:rsidP="00206326">
      <w:pPr>
        <w:pStyle w:val="FootnoteText"/>
        <w:keepLines/>
      </w:pPr>
      <w:r w:rsidRPr="00097064">
        <w:rPr>
          <w:rStyle w:val="FootnoteReference"/>
        </w:rPr>
        <w:footnoteRef/>
      </w:r>
      <w:r w:rsidRPr="00097064">
        <w:t xml:space="preserve"> </w:t>
      </w:r>
      <w:r>
        <w:t>United States</w:t>
      </w:r>
      <w:r w:rsidRPr="00097064">
        <w:t xml:space="preserve">' appellee's submission, </w:t>
      </w:r>
      <w:r>
        <w:t>para. </w:t>
      </w:r>
      <w:r w:rsidRPr="00097064">
        <w:t>260.</w:t>
      </w:r>
    </w:p>
  </w:footnote>
  <w:footnote w:id="811">
    <w:p w:rsidR="00FD2727" w:rsidRPr="00097064" w:rsidRDefault="00FD2727" w:rsidP="00206326">
      <w:pPr>
        <w:pStyle w:val="FootnoteText"/>
        <w:keepLines/>
      </w:pPr>
      <w:r w:rsidRPr="00097064">
        <w:rPr>
          <w:rStyle w:val="FootnoteReference"/>
        </w:rPr>
        <w:footnoteRef/>
      </w:r>
      <w:r w:rsidRPr="00097064">
        <w:t xml:space="preserve"> </w:t>
      </w:r>
      <w:r>
        <w:t>European Union</w:t>
      </w:r>
      <w:r w:rsidRPr="00097064">
        <w:t xml:space="preserve">'s appellant's submission, </w:t>
      </w:r>
      <w:r>
        <w:t>para. </w:t>
      </w:r>
      <w:r w:rsidRPr="00097064">
        <w:t>508.</w:t>
      </w:r>
    </w:p>
  </w:footnote>
  <w:footnote w:id="812">
    <w:p w:rsidR="00FD2727" w:rsidRPr="00097064" w:rsidRDefault="00FD2727" w:rsidP="00206326">
      <w:pPr>
        <w:pStyle w:val="FootnoteText"/>
        <w:keepLines/>
      </w:pPr>
      <w:r w:rsidRPr="00097064">
        <w:rPr>
          <w:rStyle w:val="FootnoteReference"/>
        </w:rPr>
        <w:footnoteRef/>
      </w:r>
      <w:r w:rsidRPr="00097064">
        <w:t xml:space="preserve"> </w:t>
      </w:r>
      <w:r>
        <w:t>Appellate Body</w:t>
      </w:r>
      <w:r w:rsidRPr="00097064">
        <w:t xml:space="preserve"> Report, </w:t>
      </w:r>
      <w:r w:rsidRPr="00097064">
        <w:rPr>
          <w:i/>
        </w:rPr>
        <w:t>EC and certain member States – Large Civil Aircraft</w:t>
      </w:r>
      <w:r w:rsidRPr="00097064">
        <w:t xml:space="preserve">, </w:t>
      </w:r>
      <w:r>
        <w:t>para. </w:t>
      </w:r>
      <w:r w:rsidRPr="00097064">
        <w:t>100.</w:t>
      </w:r>
    </w:p>
  </w:footnote>
  <w:footnote w:id="813">
    <w:p w:rsidR="00FD2727" w:rsidRPr="00A453EC" w:rsidRDefault="00FD2727" w:rsidP="00206326">
      <w:pPr>
        <w:pStyle w:val="FootnoteText"/>
        <w:keepLines/>
      </w:pPr>
      <w:r w:rsidRPr="00EE6F87">
        <w:rPr>
          <w:rStyle w:val="FootnoteReference"/>
        </w:rPr>
        <w:footnoteRef/>
      </w:r>
      <w:r w:rsidRPr="00EE6F87">
        <w:t xml:space="preserve"> Indeed, the original panel stated that "the one contract that the European Communities has submitted shows that there is at least one major difference between the repayment terms under this contract and LA/MSF which </w:t>
      </w:r>
      <w:r w:rsidRPr="00A453EC">
        <w:t>we believe reduces its relative level of risk". (</w:t>
      </w:r>
      <w:r>
        <w:t>Appellate Body</w:t>
      </w:r>
      <w:r w:rsidRPr="00A453EC">
        <w:t xml:space="preserve"> Report, </w:t>
      </w:r>
      <w:r w:rsidRPr="00A453EC">
        <w:rPr>
          <w:i/>
        </w:rPr>
        <w:t>EC and certain member States – Large Civil Aircraft</w:t>
      </w:r>
      <w:r w:rsidRPr="00A453EC">
        <w:t xml:space="preserve">, </w:t>
      </w:r>
      <w:r>
        <w:t>para. </w:t>
      </w:r>
      <w:r w:rsidRPr="00A453EC">
        <w:t>100 (</w:t>
      </w:r>
      <w:r>
        <w:t>quoting</w:t>
      </w:r>
      <w:r w:rsidRPr="00A453EC">
        <w:t xml:space="preserve"> Original Panel Report, </w:t>
      </w:r>
      <w:r>
        <w:t>para. </w:t>
      </w:r>
      <w:r w:rsidRPr="00A453EC">
        <w:t>7.480)) This contract is found in Original Panel Exhibit EC-117 and is HSBI.</w:t>
      </w:r>
    </w:p>
  </w:footnote>
  <w:footnote w:id="814">
    <w:p w:rsidR="00FD2727" w:rsidRPr="00A453EC" w:rsidRDefault="00FD2727" w:rsidP="00206326">
      <w:pPr>
        <w:pStyle w:val="FootnoteText"/>
        <w:keepLines/>
      </w:pPr>
      <w:r w:rsidRPr="00A453EC">
        <w:rPr>
          <w:rStyle w:val="FootnoteReference"/>
        </w:rPr>
        <w:footnoteRef/>
      </w:r>
      <w:r w:rsidRPr="00A453EC">
        <w:t xml:space="preserve"> </w:t>
      </w:r>
      <w:r w:rsidRPr="00A453EC">
        <w:rPr>
          <w:lang w:eastAsia="en-US"/>
        </w:rPr>
        <w:t>The Panel defines "price of risk" by reference to "</w:t>
      </w:r>
      <w:r w:rsidRPr="00A453EC">
        <w:t xml:space="preserve">the extent to which market lenders were, as a general matter, willing to accept risk at the time of the provision of A380 and A350XWB LA/MSF". (Panel Report, </w:t>
      </w:r>
      <w:r>
        <w:t>para. </w:t>
      </w:r>
      <w:r w:rsidRPr="00A453EC">
        <w:t>6.460)</w:t>
      </w:r>
    </w:p>
  </w:footnote>
  <w:footnote w:id="815">
    <w:p w:rsidR="00FD2727" w:rsidRPr="00097064" w:rsidRDefault="00FD2727" w:rsidP="00206326">
      <w:pPr>
        <w:pStyle w:val="FootnoteText"/>
        <w:keepLines/>
      </w:pPr>
      <w:r w:rsidRPr="00A453EC">
        <w:rPr>
          <w:rStyle w:val="FootnoteReference"/>
        </w:rPr>
        <w:footnoteRef/>
      </w:r>
      <w:r w:rsidRPr="00A453EC">
        <w:t xml:space="preserve"> </w:t>
      </w:r>
      <w:r>
        <w:t>European Union</w:t>
      </w:r>
      <w:r w:rsidRPr="00A453EC">
        <w:t>'s</w:t>
      </w:r>
      <w:r w:rsidRPr="00097064">
        <w:t xml:space="preserve"> appellant's submission, </w:t>
      </w:r>
      <w:r>
        <w:t>para. </w:t>
      </w:r>
      <w:r w:rsidRPr="00097064">
        <w:t xml:space="preserve">434 (quoting Panel Report, </w:t>
      </w:r>
      <w:r>
        <w:t>para. </w:t>
      </w:r>
      <w:r w:rsidRPr="00097064">
        <w:t>6.608</w:t>
      </w:r>
      <w:r>
        <w:t xml:space="preserve"> (emphasis added by the European Union omitted)).</w:t>
      </w:r>
    </w:p>
  </w:footnote>
  <w:footnote w:id="816">
    <w:p w:rsidR="00FD2727" w:rsidRPr="00097064" w:rsidRDefault="00FD2727" w:rsidP="00206326">
      <w:pPr>
        <w:pStyle w:val="FootnoteText"/>
        <w:keepLines/>
      </w:pPr>
      <w:r w:rsidRPr="00097064">
        <w:rPr>
          <w:rStyle w:val="FootnoteReference"/>
        </w:rPr>
        <w:footnoteRef/>
      </w:r>
      <w:r w:rsidRPr="00097064">
        <w:t xml:space="preserve"> </w:t>
      </w:r>
      <w:r>
        <w:t>European Union</w:t>
      </w:r>
      <w:r w:rsidRPr="00097064">
        <w:t xml:space="preserve">'s appellant's submission, </w:t>
      </w:r>
      <w:r>
        <w:t>para. </w:t>
      </w:r>
      <w:r w:rsidRPr="00097064">
        <w:t xml:space="preserve">436 (quoting Panel Report, </w:t>
      </w:r>
      <w:r>
        <w:t>para. </w:t>
      </w:r>
      <w:r w:rsidRPr="00097064">
        <w:t>6.608).</w:t>
      </w:r>
    </w:p>
  </w:footnote>
  <w:footnote w:id="817">
    <w:p w:rsidR="00FD2727" w:rsidRPr="00097064" w:rsidRDefault="00FD2727" w:rsidP="00206326">
      <w:pPr>
        <w:pStyle w:val="FootnoteText"/>
        <w:keepLines/>
      </w:pPr>
      <w:r w:rsidRPr="00097064">
        <w:rPr>
          <w:rStyle w:val="FootnoteReference"/>
        </w:rPr>
        <w:footnoteRef/>
      </w:r>
      <w:r w:rsidRPr="00097064">
        <w:t xml:space="preserve"> </w:t>
      </w:r>
      <w:r>
        <w:t>European Union</w:t>
      </w:r>
      <w:r w:rsidRPr="00097064">
        <w:t xml:space="preserve">'s appellant's submission, </w:t>
      </w:r>
      <w:r>
        <w:t>para. </w:t>
      </w:r>
      <w:r w:rsidRPr="00097064">
        <w:t xml:space="preserve">436 (quoting Panel Report, </w:t>
      </w:r>
      <w:r>
        <w:t>para. </w:t>
      </w:r>
      <w:r w:rsidRPr="00097064">
        <w:t>6.608).</w:t>
      </w:r>
    </w:p>
  </w:footnote>
  <w:footnote w:id="818">
    <w:p w:rsidR="00FD2727" w:rsidRPr="00E90B11" w:rsidRDefault="00FD2727">
      <w:pPr>
        <w:pStyle w:val="FootnoteText"/>
      </w:pPr>
      <w:r>
        <w:rPr>
          <w:rStyle w:val="FootnoteReference"/>
        </w:rPr>
        <w:footnoteRef/>
      </w:r>
      <w:r>
        <w:t xml:space="preserve"> European Union's appellant's submission, para. 437.</w:t>
      </w:r>
    </w:p>
  </w:footnote>
  <w:footnote w:id="819">
    <w:p w:rsidR="00FD2727" w:rsidRPr="00097064" w:rsidRDefault="00FD2727" w:rsidP="00206326">
      <w:pPr>
        <w:pStyle w:val="FootnoteText"/>
        <w:keepLines/>
      </w:pPr>
      <w:r w:rsidRPr="00097064">
        <w:rPr>
          <w:rStyle w:val="FootnoteReference"/>
        </w:rPr>
        <w:footnoteRef/>
      </w:r>
      <w:r w:rsidRPr="00097064">
        <w:t xml:space="preserve"> </w:t>
      </w:r>
      <w:r>
        <w:t>European Union</w:t>
      </w:r>
      <w:r w:rsidRPr="00097064">
        <w:t xml:space="preserve">'s appellant's submission, </w:t>
      </w:r>
      <w:r>
        <w:t>para. </w:t>
      </w:r>
      <w:r w:rsidRPr="00097064">
        <w:t xml:space="preserve">437 (quoting Panel Report, </w:t>
      </w:r>
      <w:r>
        <w:t>paras. </w:t>
      </w:r>
      <w:r w:rsidRPr="00097064">
        <w:t xml:space="preserve">6.608 and 6.610 (emphasis added by the </w:t>
      </w:r>
      <w:r>
        <w:t>European Union</w:t>
      </w:r>
      <w:r w:rsidRPr="00097064">
        <w:t>)).</w:t>
      </w:r>
    </w:p>
  </w:footnote>
  <w:footnote w:id="820">
    <w:p w:rsidR="00FD2727" w:rsidRPr="00097064" w:rsidRDefault="00FD2727" w:rsidP="00206326">
      <w:pPr>
        <w:pStyle w:val="FootnoteText"/>
        <w:keepLines/>
      </w:pPr>
      <w:r w:rsidRPr="00097064">
        <w:rPr>
          <w:rStyle w:val="FootnoteReference"/>
        </w:rPr>
        <w:footnoteRef/>
      </w:r>
      <w:r w:rsidRPr="00097064">
        <w:t xml:space="preserve"> </w:t>
      </w:r>
      <w:r>
        <w:t>United States</w:t>
      </w:r>
      <w:r w:rsidRPr="00097064">
        <w:t xml:space="preserve">' appellee's submission, </w:t>
      </w:r>
      <w:r>
        <w:t>para. </w:t>
      </w:r>
      <w:r w:rsidRPr="00097064">
        <w:t xml:space="preserve">249 (referring to Panel Report, </w:t>
      </w:r>
      <w:r>
        <w:t>para. </w:t>
      </w:r>
      <w:r w:rsidRPr="00097064">
        <w:t>6.608). The</w:t>
      </w:r>
      <w:r>
        <w:t> United States</w:t>
      </w:r>
      <w:r w:rsidRPr="00097064">
        <w:t xml:space="preserve"> also points out that, in reaching this conclusion, the Panel considered and rejected arguments made by </w:t>
      </w:r>
      <w:r>
        <w:t>the United States</w:t>
      </w:r>
      <w:r w:rsidRPr="00097064">
        <w:t xml:space="preserve"> </w:t>
      </w:r>
      <w:r w:rsidRPr="00C572CB">
        <w:t xml:space="preserve">and the </w:t>
      </w:r>
      <w:r>
        <w:t>European Union</w:t>
      </w:r>
      <w:r w:rsidRPr="00097064">
        <w:t xml:space="preserve"> "that the financial environment at the time of the conclusion of the A350</w:t>
      </w:r>
      <w:r>
        <w:t xml:space="preserve"> </w:t>
      </w:r>
      <w:r w:rsidRPr="00097064">
        <w:t xml:space="preserve">XWB {project} would have altered the project-specific risk". (Ibid. (referring to Panel Report, </w:t>
      </w:r>
      <w:r>
        <w:t>paras. </w:t>
      </w:r>
      <w:r w:rsidRPr="00097064">
        <w:t>6.580 and 6.583­6.584))</w:t>
      </w:r>
    </w:p>
  </w:footnote>
  <w:footnote w:id="821">
    <w:p w:rsidR="00FD2727" w:rsidRPr="00097064" w:rsidRDefault="00FD2727" w:rsidP="00206326">
      <w:pPr>
        <w:pStyle w:val="FootnoteText"/>
        <w:keepLines/>
      </w:pPr>
      <w:r w:rsidRPr="00097064">
        <w:rPr>
          <w:rStyle w:val="FootnoteReference"/>
        </w:rPr>
        <w:footnoteRef/>
      </w:r>
      <w:r w:rsidRPr="00097064">
        <w:t xml:space="preserve"> </w:t>
      </w:r>
      <w:r>
        <w:t>European Union</w:t>
      </w:r>
      <w:r w:rsidRPr="00097064">
        <w:t xml:space="preserve">'s appellant's submission, </w:t>
      </w:r>
      <w:r>
        <w:t>para. </w:t>
      </w:r>
      <w:r w:rsidRPr="00097064">
        <w:t xml:space="preserve">436 (quoting Panel Report, </w:t>
      </w:r>
      <w:r>
        <w:t>para. </w:t>
      </w:r>
      <w:r w:rsidRPr="00097064">
        <w:t>6.608).</w:t>
      </w:r>
    </w:p>
  </w:footnote>
  <w:footnote w:id="822">
    <w:p w:rsidR="00FD2727" w:rsidRPr="00097064" w:rsidRDefault="00FD2727" w:rsidP="00206326">
      <w:pPr>
        <w:pStyle w:val="FootnoteText"/>
        <w:keepLines/>
      </w:pPr>
      <w:r w:rsidRPr="00097064">
        <w:rPr>
          <w:rStyle w:val="FootnoteReference"/>
        </w:rPr>
        <w:footnoteRef/>
      </w:r>
      <w:r w:rsidRPr="00097064">
        <w:t xml:space="preserve"> </w:t>
      </w:r>
      <w:r>
        <w:t>European Union</w:t>
      </w:r>
      <w:r w:rsidRPr="00097064">
        <w:t xml:space="preserve">'s appellant's submission, </w:t>
      </w:r>
      <w:r>
        <w:t>para. </w:t>
      </w:r>
      <w:r w:rsidRPr="00097064">
        <w:t xml:space="preserve">436 (quoting Panel Report, </w:t>
      </w:r>
      <w:r>
        <w:t>para. </w:t>
      </w:r>
      <w:r w:rsidRPr="00097064">
        <w:t>6.608).</w:t>
      </w:r>
    </w:p>
  </w:footnote>
  <w:footnote w:id="823">
    <w:p w:rsidR="00FD2727" w:rsidRPr="00097064" w:rsidRDefault="00FD2727" w:rsidP="00206326">
      <w:pPr>
        <w:pStyle w:val="FootnoteText"/>
        <w:keepLines/>
      </w:pPr>
      <w:r w:rsidRPr="00097064">
        <w:rPr>
          <w:rStyle w:val="FootnoteReference"/>
        </w:rPr>
        <w:footnoteRef/>
      </w:r>
      <w:r w:rsidRPr="00097064">
        <w:t xml:space="preserve"> </w:t>
      </w:r>
      <w:r>
        <w:t>European Union</w:t>
      </w:r>
      <w:r w:rsidRPr="00097064">
        <w:t xml:space="preserve">'s appellant's submission, </w:t>
      </w:r>
      <w:r>
        <w:t>para. </w:t>
      </w:r>
      <w:r w:rsidRPr="00097064">
        <w:t xml:space="preserve">437 (quoting Panel Report, </w:t>
      </w:r>
      <w:r>
        <w:t>paras. </w:t>
      </w:r>
      <w:r w:rsidRPr="00097064">
        <w:t xml:space="preserve">6.608 and 6.610 (emphasis added by the </w:t>
      </w:r>
      <w:r>
        <w:t>European Union</w:t>
      </w:r>
      <w:r w:rsidRPr="00097064">
        <w:t>)).</w:t>
      </w:r>
    </w:p>
  </w:footnote>
  <w:footnote w:id="824">
    <w:p w:rsidR="00FD2727" w:rsidRPr="00097064" w:rsidRDefault="00FD2727" w:rsidP="00206326">
      <w:pPr>
        <w:pStyle w:val="FootnoteText"/>
        <w:keepLines/>
      </w:pPr>
      <w:r w:rsidRPr="00097064">
        <w:rPr>
          <w:rStyle w:val="FootnoteReference"/>
        </w:rPr>
        <w:footnoteRef/>
      </w:r>
      <w:r w:rsidRPr="00097064">
        <w:t xml:space="preserve"> Panel Report, </w:t>
      </w:r>
      <w:r>
        <w:t>para. </w:t>
      </w:r>
      <w:r w:rsidRPr="00097064">
        <w:t>6.459.</w:t>
      </w:r>
    </w:p>
  </w:footnote>
  <w:footnote w:id="825">
    <w:p w:rsidR="00FD2727" w:rsidRPr="00097064" w:rsidRDefault="00FD2727" w:rsidP="00206326">
      <w:pPr>
        <w:pStyle w:val="FootnoteText"/>
        <w:keepLines/>
      </w:pPr>
      <w:r w:rsidRPr="00097064">
        <w:rPr>
          <w:rStyle w:val="FootnoteReference"/>
        </w:rPr>
        <w:footnoteRef/>
      </w:r>
      <w:r w:rsidRPr="00097064">
        <w:t xml:space="preserve"> Panel Report, </w:t>
      </w:r>
      <w:r>
        <w:t>para. </w:t>
      </w:r>
      <w:r w:rsidRPr="00097064">
        <w:t>6.4</w:t>
      </w:r>
      <w:r>
        <w:t>60</w:t>
      </w:r>
      <w:r w:rsidRPr="00097064">
        <w:t>.</w:t>
      </w:r>
    </w:p>
  </w:footnote>
  <w:footnote w:id="826">
    <w:p w:rsidR="00FD2727" w:rsidRPr="00097064" w:rsidRDefault="00FD2727" w:rsidP="00206326">
      <w:pPr>
        <w:pStyle w:val="FootnoteText"/>
        <w:keepLines/>
      </w:pPr>
      <w:r w:rsidRPr="00097064">
        <w:rPr>
          <w:rStyle w:val="FootnoteReference"/>
        </w:rPr>
        <w:footnoteRef/>
      </w:r>
      <w:r w:rsidRPr="00097064">
        <w:t xml:space="preserve"> Panel Report, </w:t>
      </w:r>
      <w:r>
        <w:t>para. </w:t>
      </w:r>
      <w:r w:rsidRPr="00097064">
        <w:t>6.608.</w:t>
      </w:r>
    </w:p>
  </w:footnote>
  <w:footnote w:id="827">
    <w:p w:rsidR="00FD2727" w:rsidRPr="00097064" w:rsidRDefault="00FD2727" w:rsidP="00206326">
      <w:pPr>
        <w:pStyle w:val="FootnoteText"/>
        <w:keepLines/>
      </w:pPr>
      <w:r w:rsidRPr="00097064">
        <w:rPr>
          <w:rStyle w:val="FootnoteReference"/>
        </w:rPr>
        <w:footnoteRef/>
      </w:r>
      <w:r w:rsidRPr="00097064">
        <w:t xml:space="preserve"> Panel Report, </w:t>
      </w:r>
      <w:r>
        <w:t>para. </w:t>
      </w:r>
      <w:r w:rsidRPr="00097064">
        <w:t>6.580.</w:t>
      </w:r>
    </w:p>
  </w:footnote>
  <w:footnote w:id="828">
    <w:p w:rsidR="00FD2727" w:rsidRPr="00A453EC" w:rsidRDefault="00FD2727" w:rsidP="00206326">
      <w:pPr>
        <w:pStyle w:val="FootnoteText"/>
        <w:keepLines/>
      </w:pPr>
      <w:r w:rsidRPr="00A453EC">
        <w:rPr>
          <w:rStyle w:val="FootnoteReference"/>
        </w:rPr>
        <w:footnoteRef/>
      </w:r>
      <w:r w:rsidRPr="00A453EC">
        <w:t xml:space="preserve"> Panel Report, </w:t>
      </w:r>
      <w:r>
        <w:t>para. </w:t>
      </w:r>
      <w:r w:rsidRPr="00A453EC">
        <w:t xml:space="preserve">6.581 (quoting Jordan Report (Panel Exhibit USA-475 (BCI/HSBI)), </w:t>
      </w:r>
      <w:r>
        <w:t>para. </w:t>
      </w:r>
      <w:r w:rsidRPr="00A453EC">
        <w:t>22 (emphasis added)).</w:t>
      </w:r>
    </w:p>
  </w:footnote>
  <w:footnote w:id="829">
    <w:p w:rsidR="00FD2727" w:rsidRPr="00A453EC" w:rsidRDefault="00FD2727" w:rsidP="00206326">
      <w:pPr>
        <w:pStyle w:val="FootnoteText"/>
        <w:keepNext/>
        <w:keepLines/>
      </w:pPr>
      <w:r w:rsidRPr="00A453EC">
        <w:rPr>
          <w:rStyle w:val="FootnoteReference"/>
        </w:rPr>
        <w:footnoteRef/>
      </w:r>
      <w:r w:rsidRPr="00A453EC">
        <w:t xml:space="preserve"> Panel Report, </w:t>
      </w:r>
      <w:r>
        <w:t>para. </w:t>
      </w:r>
      <w:r w:rsidRPr="00A453EC">
        <w:t xml:space="preserve">6.581 (referring to </w:t>
      </w:r>
      <w:r>
        <w:t>United States</w:t>
      </w:r>
      <w:r w:rsidRPr="00A453EC">
        <w:t xml:space="preserve">' comments on the </w:t>
      </w:r>
      <w:r>
        <w:t>European Union</w:t>
      </w:r>
      <w:r w:rsidRPr="00A453EC">
        <w:t xml:space="preserve">'s response to Panel question No. 100, </w:t>
      </w:r>
      <w:r>
        <w:t>para. </w:t>
      </w:r>
      <w:r w:rsidRPr="00A453EC">
        <w:t xml:space="preserve">277). The </w:t>
      </w:r>
      <w:r>
        <w:t>United States</w:t>
      </w:r>
      <w:r w:rsidRPr="00A453EC">
        <w:t xml:space="preserve"> substantiated its position in the following manner:</w:t>
      </w:r>
    </w:p>
    <w:p w:rsidR="00FD2727" w:rsidRDefault="00FD2727" w:rsidP="00206326">
      <w:pPr>
        <w:pStyle w:val="FootnoteQuotation"/>
        <w:keepNext/>
        <w:keepLines/>
      </w:pPr>
      <w:r w:rsidRPr="00A453EC">
        <w:t xml:space="preserve">The </w:t>
      </w:r>
      <w:r>
        <w:t>United States</w:t>
      </w:r>
      <w:r w:rsidRPr="00A453EC">
        <w:t xml:space="preserve"> submit{ted} evidence presented by Dr Jordan concerning the yield spread between investment-grade and below-investment grade debt, showing</w:t>
      </w:r>
      <w:r>
        <w:t xml:space="preserve"> the additional yield that investors demand to invest in the lower-rated debt. According to Dr Jordan, "because the risks related to providing project-specific financing for the A350XWB are undoubtedly much higher than {those} related to investment-grade debt, non-investment grade debt provides a better assessment of the effect of credit conditions on potential financing for the A350XWB". The United States point{ed} to Dr Jordan's statements that this yield spread remained high in </w:t>
      </w:r>
      <w:r>
        <w:rPr>
          <w:b/>
        </w:rPr>
        <w:t>[</w:t>
      </w:r>
      <w:r w:rsidRPr="00C8434D">
        <w:rPr>
          <w:b/>
          <w:szCs w:val="16"/>
        </w:rPr>
        <w:t>BCI</w:t>
      </w:r>
      <w:r>
        <w:rPr>
          <w:b/>
        </w:rPr>
        <w:t>]</w:t>
      </w:r>
      <w:r>
        <w:t xml:space="preserve"> when the LA/MSF agreements were finalised, relative to pre-2007 ("pre-crisis") levels. Specifically, the United States note{d} Dr Jordan's evidence that the yield spread between investment-grade industrial companies and below-investment grade industrial companies ranged from 1% to 2% in a pre-crisis period (2006-2007), peaked at almost 7% during the financial crisis (late 2008-early 2009), and then remained elevated at 3.5% to 5% in the </w:t>
      </w:r>
      <w:r w:rsidRPr="00E70C2A">
        <w:rPr>
          <w:b/>
        </w:rPr>
        <w:t>[</w:t>
      </w:r>
      <w:r w:rsidRPr="00C8434D">
        <w:rPr>
          <w:b/>
          <w:szCs w:val="16"/>
        </w:rPr>
        <w:t>BCI</w:t>
      </w:r>
      <w:r w:rsidRPr="00E70C2A">
        <w:rPr>
          <w:b/>
        </w:rPr>
        <w:t>]</w:t>
      </w:r>
      <w:r w:rsidRPr="00E70C2A">
        <w:t>.</w:t>
      </w:r>
      <w:r>
        <w:t xml:space="preserve"> </w:t>
      </w:r>
    </w:p>
    <w:p w:rsidR="00FD2727" w:rsidRDefault="00FD2727" w:rsidP="00206326">
      <w:pPr>
        <w:pStyle w:val="FootnoteText"/>
        <w:keepNext/>
        <w:keepLines/>
        <w:ind w:firstLine="0"/>
      </w:pPr>
      <w:r>
        <w:t>(Ibid. (fns omitted))</w:t>
      </w:r>
    </w:p>
  </w:footnote>
  <w:footnote w:id="830">
    <w:p w:rsidR="00FD2727" w:rsidRDefault="00FD2727" w:rsidP="00206326">
      <w:pPr>
        <w:pStyle w:val="FootnoteText"/>
        <w:keepLines/>
      </w:pPr>
      <w:r>
        <w:rPr>
          <w:rStyle w:val="FootnoteReference"/>
        </w:rPr>
        <w:footnoteRef/>
      </w:r>
      <w:r>
        <w:t xml:space="preserve"> </w:t>
      </w:r>
      <w:r w:rsidRPr="00097064">
        <w:t xml:space="preserve">Panel Report, </w:t>
      </w:r>
      <w:r>
        <w:t>para. </w:t>
      </w:r>
      <w:r w:rsidRPr="00097064">
        <w:t>6.58</w:t>
      </w:r>
      <w:r>
        <w:t>5</w:t>
      </w:r>
      <w:r w:rsidRPr="00097064">
        <w:t>.</w:t>
      </w:r>
    </w:p>
  </w:footnote>
  <w:footnote w:id="831">
    <w:p w:rsidR="00FD2727" w:rsidRDefault="00FD2727" w:rsidP="00206326">
      <w:pPr>
        <w:pStyle w:val="FootnoteText"/>
        <w:keepLines/>
      </w:pPr>
      <w:r>
        <w:rPr>
          <w:rStyle w:val="FootnoteReference"/>
        </w:rPr>
        <w:footnoteRef/>
      </w:r>
      <w:r>
        <w:t xml:space="preserve"> </w:t>
      </w:r>
      <w:r w:rsidRPr="00097064">
        <w:t xml:space="preserve">Panel Report, </w:t>
      </w:r>
      <w:r>
        <w:t>para. </w:t>
      </w:r>
      <w:r w:rsidRPr="00097064">
        <w:t>6.58</w:t>
      </w:r>
      <w:r>
        <w:t>5</w:t>
      </w:r>
      <w:r w:rsidRPr="00097064">
        <w:t>.</w:t>
      </w:r>
    </w:p>
  </w:footnote>
  <w:footnote w:id="832">
    <w:p w:rsidR="00FD2727" w:rsidRPr="00097064" w:rsidRDefault="00FD2727" w:rsidP="00206326">
      <w:pPr>
        <w:pStyle w:val="FootnoteText"/>
        <w:keepLines/>
      </w:pPr>
      <w:r w:rsidRPr="00097064">
        <w:rPr>
          <w:rStyle w:val="FootnoteReference"/>
        </w:rPr>
        <w:footnoteRef/>
      </w:r>
      <w:r w:rsidRPr="00097064">
        <w:t xml:space="preserve"> Panel Report, </w:t>
      </w:r>
      <w:r>
        <w:t>para. </w:t>
      </w:r>
      <w:r w:rsidRPr="00097064">
        <w:t>6.588.</w:t>
      </w:r>
    </w:p>
  </w:footnote>
  <w:footnote w:id="833">
    <w:p w:rsidR="00FD2727" w:rsidRPr="00097064" w:rsidRDefault="00FD2727" w:rsidP="00206326">
      <w:pPr>
        <w:pStyle w:val="FootnoteText"/>
        <w:keepLines/>
      </w:pPr>
      <w:r w:rsidRPr="00097064">
        <w:rPr>
          <w:rStyle w:val="FootnoteReference"/>
        </w:rPr>
        <w:footnoteRef/>
      </w:r>
      <w:r w:rsidRPr="00097064">
        <w:t xml:space="preserve"> </w:t>
      </w:r>
      <w:r>
        <w:t>European Union</w:t>
      </w:r>
      <w:r w:rsidRPr="00097064">
        <w:t xml:space="preserve">'s appellant's submission, </w:t>
      </w:r>
      <w:r>
        <w:t>para. </w:t>
      </w:r>
      <w:r w:rsidRPr="00097064">
        <w:t>436. (emphasis original)</w:t>
      </w:r>
    </w:p>
  </w:footnote>
  <w:footnote w:id="834">
    <w:p w:rsidR="00FD2727" w:rsidRPr="00097064" w:rsidRDefault="00FD2727" w:rsidP="00206326">
      <w:pPr>
        <w:pStyle w:val="FootnoteText"/>
        <w:keepLines/>
      </w:pPr>
      <w:r w:rsidRPr="00097064">
        <w:rPr>
          <w:rStyle w:val="FootnoteReference"/>
        </w:rPr>
        <w:footnoteRef/>
      </w:r>
      <w:r w:rsidRPr="00097064">
        <w:t xml:space="preserve"> Panel Report, </w:t>
      </w:r>
      <w:r>
        <w:t>para. </w:t>
      </w:r>
      <w:r w:rsidRPr="00097064">
        <w:t>6.58</w:t>
      </w:r>
      <w:r>
        <w:t>8</w:t>
      </w:r>
      <w:r w:rsidRPr="00097064">
        <w:t>.</w:t>
      </w:r>
    </w:p>
  </w:footnote>
  <w:footnote w:id="835">
    <w:p w:rsidR="00FD2727" w:rsidRDefault="00FD2727" w:rsidP="00206326">
      <w:pPr>
        <w:pStyle w:val="FootnoteText"/>
        <w:keepLines/>
      </w:pPr>
      <w:r>
        <w:rPr>
          <w:rStyle w:val="FootnoteReference"/>
        </w:rPr>
        <w:footnoteRef/>
      </w:r>
      <w:r>
        <w:t xml:space="preserve"> </w:t>
      </w:r>
      <w:r w:rsidRPr="00097064">
        <w:t xml:space="preserve">Panel Report, </w:t>
      </w:r>
      <w:r>
        <w:t>para. </w:t>
      </w:r>
      <w:r w:rsidRPr="00097064">
        <w:t>6.608</w:t>
      </w:r>
      <w:r>
        <w:t>.</w:t>
      </w:r>
    </w:p>
  </w:footnote>
  <w:footnote w:id="836">
    <w:p w:rsidR="00FD2727" w:rsidRPr="00E90B11" w:rsidRDefault="00FD2727">
      <w:pPr>
        <w:pStyle w:val="FootnoteText"/>
        <w:rPr>
          <w:lang w:val="en-US"/>
        </w:rPr>
      </w:pPr>
      <w:r>
        <w:rPr>
          <w:rStyle w:val="FootnoteReference"/>
        </w:rPr>
        <w:footnoteRef/>
      </w:r>
      <w:r>
        <w:t xml:space="preserve"> </w:t>
      </w:r>
      <w:r>
        <w:rPr>
          <w:lang w:val="en-US"/>
        </w:rPr>
        <w:t>European Union's appellant's submission, para. 437.</w:t>
      </w:r>
    </w:p>
  </w:footnote>
  <w:footnote w:id="837">
    <w:p w:rsidR="00FD2727" w:rsidRPr="00097064" w:rsidRDefault="00FD2727" w:rsidP="00206326">
      <w:pPr>
        <w:pStyle w:val="FootnoteText"/>
        <w:keepLines/>
      </w:pPr>
      <w:r w:rsidRPr="00097064">
        <w:rPr>
          <w:rStyle w:val="FootnoteReference"/>
        </w:rPr>
        <w:footnoteRef/>
      </w:r>
      <w:r w:rsidRPr="00097064">
        <w:t xml:space="preserve"> Panel Report, </w:t>
      </w:r>
      <w:r>
        <w:t>para. </w:t>
      </w:r>
      <w:r w:rsidRPr="00097064">
        <w:t>6.58</w:t>
      </w:r>
      <w:r>
        <w:t>8</w:t>
      </w:r>
      <w:r w:rsidRPr="00097064">
        <w:t>.</w:t>
      </w:r>
    </w:p>
  </w:footnote>
  <w:footnote w:id="838">
    <w:p w:rsidR="00FD2727" w:rsidRPr="001817C8" w:rsidRDefault="00FD2727">
      <w:pPr>
        <w:pStyle w:val="FootnoteText"/>
      </w:pPr>
      <w:r>
        <w:rPr>
          <w:rStyle w:val="FootnoteReference"/>
        </w:rPr>
        <w:footnoteRef/>
      </w:r>
      <w:r>
        <w:t xml:space="preserve"> </w:t>
      </w:r>
      <w:r w:rsidRPr="00097064">
        <w:t xml:space="preserve">Panel Report, </w:t>
      </w:r>
      <w:r>
        <w:t>para. 6.459. (emphasis added)</w:t>
      </w:r>
    </w:p>
  </w:footnote>
  <w:footnote w:id="839">
    <w:p w:rsidR="00FD2727" w:rsidRPr="00097064" w:rsidRDefault="00FD2727" w:rsidP="00206326">
      <w:pPr>
        <w:pStyle w:val="FootnoteText"/>
        <w:keepLines/>
      </w:pPr>
      <w:r w:rsidRPr="00097064">
        <w:rPr>
          <w:rStyle w:val="FootnoteReference"/>
        </w:rPr>
        <w:footnoteRef/>
      </w:r>
      <w:r w:rsidRPr="00097064">
        <w:t xml:space="preserve"> Panel Report, </w:t>
      </w:r>
      <w:r>
        <w:t>para. </w:t>
      </w:r>
      <w:r w:rsidRPr="00097064">
        <w:t>6.</w:t>
      </w:r>
      <w:r>
        <w:t>608</w:t>
      </w:r>
      <w:r w:rsidRPr="00097064">
        <w:t>.</w:t>
      </w:r>
    </w:p>
  </w:footnote>
  <w:footnote w:id="840">
    <w:p w:rsidR="00FD2727" w:rsidRPr="00097064" w:rsidRDefault="00FD2727" w:rsidP="00206326">
      <w:pPr>
        <w:pStyle w:val="FootnoteText"/>
        <w:keepLines/>
      </w:pPr>
      <w:r w:rsidRPr="00097064">
        <w:rPr>
          <w:rStyle w:val="FootnoteReference"/>
        </w:rPr>
        <w:footnoteRef/>
      </w:r>
      <w:r w:rsidRPr="00097064">
        <w:t xml:space="preserve"> </w:t>
      </w:r>
      <w:r>
        <w:t>European Union</w:t>
      </w:r>
      <w:r w:rsidRPr="00097064">
        <w:t xml:space="preserve">'s appellant's submission, </w:t>
      </w:r>
      <w:r>
        <w:t>paras. </w:t>
      </w:r>
      <w:r w:rsidRPr="00097064">
        <w:t>517-518.</w:t>
      </w:r>
    </w:p>
  </w:footnote>
  <w:footnote w:id="841">
    <w:p w:rsidR="00FD2727" w:rsidRPr="00EE6F87" w:rsidRDefault="00FD2727" w:rsidP="00206326">
      <w:pPr>
        <w:pStyle w:val="FootnoteText"/>
        <w:keepLines/>
      </w:pPr>
      <w:r w:rsidRPr="00EE6F87">
        <w:rPr>
          <w:rStyle w:val="FootnoteReference"/>
        </w:rPr>
        <w:footnoteRef/>
      </w:r>
      <w:r w:rsidRPr="00EE6F87">
        <w:t xml:space="preserve"> </w:t>
      </w:r>
      <w:r>
        <w:t>European Union</w:t>
      </w:r>
      <w:r w:rsidRPr="00EE6F87">
        <w:t xml:space="preserve">'s appellant's submission, </w:t>
      </w:r>
      <w:r>
        <w:t>para. </w:t>
      </w:r>
      <w:r w:rsidRPr="00EE6F87">
        <w:t>522.</w:t>
      </w:r>
    </w:p>
  </w:footnote>
  <w:footnote w:id="842">
    <w:p w:rsidR="00FD2727" w:rsidRPr="00EE6F87" w:rsidRDefault="00FD2727" w:rsidP="00206326">
      <w:pPr>
        <w:pStyle w:val="FootnoteText"/>
        <w:keepLines/>
      </w:pPr>
      <w:r w:rsidRPr="00EE6F87">
        <w:rPr>
          <w:rStyle w:val="FootnoteReference"/>
        </w:rPr>
        <w:footnoteRef/>
      </w:r>
      <w:r w:rsidRPr="00EE6F87">
        <w:t xml:space="preserve"> By way of example, the </w:t>
      </w:r>
      <w:r>
        <w:t>European Union</w:t>
      </w:r>
      <w:r w:rsidRPr="00EE6F87">
        <w:t xml:space="preserve"> observes </w:t>
      </w:r>
      <w:r w:rsidRPr="00500E03">
        <w:t>that</w:t>
      </w:r>
      <w:r w:rsidRPr="00500E03">
        <w:rPr>
          <w:b/>
        </w:rPr>
        <w:t xml:space="preserve"> </w:t>
      </w:r>
      <w:r w:rsidRPr="00500E03">
        <w:t>"</w:t>
      </w:r>
      <w:r w:rsidRPr="00500E03">
        <w:rPr>
          <w:b/>
        </w:rPr>
        <w:t>[</w:t>
      </w:r>
      <w:r w:rsidRPr="00C8434D">
        <w:rPr>
          <w:b/>
          <w:szCs w:val="16"/>
        </w:rPr>
        <w:t>BCI</w:t>
      </w:r>
      <w:r w:rsidRPr="00500E03">
        <w:rPr>
          <w:b/>
        </w:rPr>
        <w:t xml:space="preserve">] </w:t>
      </w:r>
      <w:r w:rsidRPr="00500E03">
        <w:t>A350XWB</w:t>
      </w:r>
      <w:r w:rsidRPr="00EE6F87">
        <w:t xml:space="preserve"> LA/MSF </w:t>
      </w:r>
      <w:r w:rsidRPr="00EE6F87">
        <w:rPr>
          <w:b/>
        </w:rPr>
        <w:t>[</w:t>
      </w:r>
      <w:r w:rsidRPr="00C8434D">
        <w:rPr>
          <w:b/>
          <w:szCs w:val="16"/>
        </w:rPr>
        <w:t>BCI</w:t>
      </w:r>
      <w:r w:rsidRPr="00EE6F87">
        <w:rPr>
          <w:b/>
        </w:rPr>
        <w:t>]</w:t>
      </w:r>
      <w:r w:rsidRPr="00EE6F87">
        <w:t xml:space="preserve"> protected the government against</w:t>
      </w:r>
      <w:r w:rsidRPr="00EE6F87">
        <w:rPr>
          <w:b/>
        </w:rPr>
        <w:t xml:space="preserve"> [</w:t>
      </w:r>
      <w:r w:rsidRPr="00C8434D">
        <w:rPr>
          <w:b/>
          <w:szCs w:val="16"/>
        </w:rPr>
        <w:t>BCI</w:t>
      </w:r>
      <w:r w:rsidRPr="00EE6F87">
        <w:rPr>
          <w:b/>
        </w:rPr>
        <w:t>]</w:t>
      </w:r>
      <w:r w:rsidRPr="00EE6F87">
        <w:t xml:space="preserve"> (</w:t>
      </w:r>
      <w:r w:rsidRPr="008E75EC">
        <w:rPr>
          <w:i/>
        </w:rPr>
        <w:t>i.e.</w:t>
      </w:r>
      <w:r w:rsidRPr="00EE6F87">
        <w:t xml:space="preserve">, the </w:t>
      </w:r>
      <w:r w:rsidRPr="00EE6F87">
        <w:rPr>
          <w:b/>
        </w:rPr>
        <w:t>[</w:t>
      </w:r>
      <w:r w:rsidRPr="00C8434D">
        <w:rPr>
          <w:b/>
          <w:szCs w:val="16"/>
        </w:rPr>
        <w:t>BCI</w:t>
      </w:r>
      <w:r w:rsidRPr="00EE6F87">
        <w:rPr>
          <w:b/>
        </w:rPr>
        <w:t>]</w:t>
      </w:r>
      <w:r w:rsidRPr="00EE6F87">
        <w:t xml:space="preserve"> LA/MSF </w:t>
      </w:r>
      <w:r w:rsidRPr="00833BE1">
        <w:t>contract</w:t>
      </w:r>
      <w:r w:rsidRPr="00EE6F87">
        <w:t xml:space="preserve">), whereas </w:t>
      </w:r>
      <w:r w:rsidRPr="00833BE1">
        <w:t xml:space="preserve">other </w:t>
      </w:r>
      <w:r w:rsidRPr="00EE6F87">
        <w:t xml:space="preserve">A350XWB LA/MSF </w:t>
      </w:r>
      <w:r w:rsidRPr="00833BE1">
        <w:t xml:space="preserve">contracts </w:t>
      </w:r>
      <w:r w:rsidRPr="00EE6F87">
        <w:t>provided no such protection (</w:t>
      </w:r>
      <w:r w:rsidRPr="008E75EC">
        <w:rPr>
          <w:i/>
        </w:rPr>
        <w:t>i.e.</w:t>
      </w:r>
      <w:r w:rsidRPr="00EE6F87">
        <w:t>, the</w:t>
      </w:r>
      <w:r w:rsidRPr="00EE6F87">
        <w:rPr>
          <w:b/>
        </w:rPr>
        <w:t xml:space="preserve"> [</w:t>
      </w:r>
      <w:r w:rsidRPr="00C8434D">
        <w:rPr>
          <w:b/>
          <w:szCs w:val="16"/>
        </w:rPr>
        <w:t>BCI</w:t>
      </w:r>
      <w:r w:rsidRPr="00EE6F87">
        <w:rPr>
          <w:b/>
        </w:rPr>
        <w:t xml:space="preserve">] </w:t>
      </w:r>
      <w:r w:rsidRPr="00EE6F87">
        <w:t>LA/MSF contract)</w:t>
      </w:r>
      <w:r>
        <w:t>."</w:t>
      </w:r>
      <w:r w:rsidRPr="00EE6F87">
        <w:t xml:space="preserve"> (</w:t>
      </w:r>
      <w:r>
        <w:t>European Union</w:t>
      </w:r>
      <w:r w:rsidRPr="00EE6F87">
        <w:t xml:space="preserve">'s appellant's submission, </w:t>
      </w:r>
      <w:r>
        <w:t>para. </w:t>
      </w:r>
      <w:r w:rsidRPr="00EE6F87">
        <w:t xml:space="preserve">519 (referring to Panel Report, </w:t>
      </w:r>
      <w:r>
        <w:t>paras. </w:t>
      </w:r>
      <w:r w:rsidRPr="00EE6F87">
        <w:t>6.</w:t>
      </w:r>
      <w:r>
        <w:t>59</w:t>
      </w:r>
      <w:r w:rsidRPr="00EE6F87">
        <w:t>4 and 6.598)</w:t>
      </w:r>
      <w:r>
        <w:t xml:space="preserve">) </w:t>
      </w:r>
    </w:p>
  </w:footnote>
  <w:footnote w:id="843">
    <w:p w:rsidR="00FD2727" w:rsidRPr="00EE6F87" w:rsidRDefault="00FD2727" w:rsidP="00206326">
      <w:pPr>
        <w:pStyle w:val="FootnoteText"/>
        <w:keepLines/>
      </w:pPr>
      <w:r w:rsidRPr="00EE6F87">
        <w:rPr>
          <w:rStyle w:val="FootnoteReference"/>
        </w:rPr>
        <w:footnoteRef/>
      </w:r>
      <w:r w:rsidRPr="00EE6F87">
        <w:t xml:space="preserve"> </w:t>
      </w:r>
      <w:r>
        <w:t>European Union</w:t>
      </w:r>
      <w:r w:rsidRPr="00EE6F87">
        <w:t xml:space="preserve">'s appellant's submission, </w:t>
      </w:r>
      <w:r>
        <w:t>para. </w:t>
      </w:r>
      <w:r w:rsidRPr="00EE6F87">
        <w:t>519.</w:t>
      </w:r>
    </w:p>
  </w:footnote>
  <w:footnote w:id="844">
    <w:p w:rsidR="00FD2727" w:rsidRPr="00097064" w:rsidRDefault="00FD2727" w:rsidP="00206326">
      <w:pPr>
        <w:pStyle w:val="FootnoteText"/>
        <w:keepLines/>
      </w:pPr>
      <w:r w:rsidRPr="00EE6F87">
        <w:rPr>
          <w:rStyle w:val="FootnoteReference"/>
        </w:rPr>
        <w:footnoteRef/>
      </w:r>
      <w:r w:rsidRPr="00EE6F87">
        <w:t xml:space="preserve"> </w:t>
      </w:r>
      <w:r>
        <w:t>European Union</w:t>
      </w:r>
      <w:r w:rsidRPr="00EE6F87">
        <w:t xml:space="preserve">'s appellant's submission, </w:t>
      </w:r>
      <w:r>
        <w:t>paras. </w:t>
      </w:r>
      <w:r w:rsidRPr="00EE6F87">
        <w:t>521-522.</w:t>
      </w:r>
    </w:p>
  </w:footnote>
  <w:footnote w:id="845">
    <w:p w:rsidR="00FD2727" w:rsidRPr="00097064" w:rsidRDefault="00FD2727" w:rsidP="00206326">
      <w:pPr>
        <w:pStyle w:val="FootnoteText"/>
        <w:keepLines/>
      </w:pPr>
      <w:r w:rsidRPr="00097064">
        <w:rPr>
          <w:rStyle w:val="FootnoteReference"/>
        </w:rPr>
        <w:footnoteRef/>
      </w:r>
      <w:r w:rsidRPr="00097064">
        <w:t xml:space="preserve"> </w:t>
      </w:r>
      <w:r>
        <w:t>United States</w:t>
      </w:r>
      <w:r w:rsidRPr="00097064">
        <w:t xml:space="preserve">' appellee's submission, </w:t>
      </w:r>
      <w:r>
        <w:t>para. </w:t>
      </w:r>
      <w:r w:rsidRPr="00097064">
        <w:t xml:space="preserve">262. The </w:t>
      </w:r>
      <w:r>
        <w:t>United States</w:t>
      </w:r>
      <w:r w:rsidRPr="00097064">
        <w:t xml:space="preserve"> also notes that the original panel used </w:t>
      </w:r>
      <w:r w:rsidRPr="00500E03">
        <w:t>a uniform</w:t>
      </w:r>
      <w:r w:rsidRPr="00097064">
        <w:t xml:space="preserve"> project-specific risk premium for all four instances of LA/MSF for the A380, even though they </w:t>
      </w:r>
      <w:r w:rsidRPr="00500E03">
        <w:t>exhibited v</w:t>
      </w:r>
      <w:r w:rsidRPr="00097064">
        <w:t>ariations similar to those at issue for the A350XWB. (Ibid.)</w:t>
      </w:r>
    </w:p>
  </w:footnote>
  <w:footnote w:id="846">
    <w:p w:rsidR="00FD2727" w:rsidRPr="00097064" w:rsidRDefault="00FD2727" w:rsidP="00206326">
      <w:pPr>
        <w:pStyle w:val="FootnoteText"/>
        <w:keepLines/>
      </w:pPr>
      <w:r w:rsidRPr="00097064">
        <w:rPr>
          <w:rStyle w:val="FootnoteReference"/>
        </w:rPr>
        <w:footnoteRef/>
      </w:r>
      <w:r w:rsidRPr="00097064">
        <w:t xml:space="preserve"> </w:t>
      </w:r>
      <w:r>
        <w:t>European Union</w:t>
      </w:r>
      <w:r w:rsidRPr="00097064">
        <w:t xml:space="preserve">'s appellant's submission, </w:t>
      </w:r>
      <w:r>
        <w:t>para. </w:t>
      </w:r>
      <w:r w:rsidRPr="00097064">
        <w:t>522.</w:t>
      </w:r>
    </w:p>
  </w:footnote>
  <w:footnote w:id="847">
    <w:p w:rsidR="00FD2727" w:rsidRDefault="00FD2727" w:rsidP="00206326">
      <w:pPr>
        <w:pStyle w:val="FootnoteText"/>
        <w:keepLines/>
      </w:pPr>
      <w:r>
        <w:rPr>
          <w:rStyle w:val="FootnoteReference"/>
        </w:rPr>
        <w:footnoteRef/>
      </w:r>
      <w:r>
        <w:t xml:space="preserve"> </w:t>
      </w:r>
      <w:r w:rsidRPr="00145239">
        <w:t>See para. 5.229 above</w:t>
      </w:r>
      <w:r>
        <w:t xml:space="preserve">. </w:t>
      </w:r>
    </w:p>
  </w:footnote>
  <w:footnote w:id="848">
    <w:p w:rsidR="00FD2727" w:rsidRPr="008D3395" w:rsidRDefault="00FD2727" w:rsidP="00206326">
      <w:pPr>
        <w:pStyle w:val="FootnoteText"/>
        <w:keepLines/>
        <w:rPr>
          <w:lang w:val="en-US"/>
        </w:rPr>
      </w:pPr>
      <w:r>
        <w:rPr>
          <w:rStyle w:val="FootnoteReference"/>
        </w:rPr>
        <w:footnoteRef/>
      </w:r>
      <w:r>
        <w:t xml:space="preserve"> European Union</w:t>
      </w:r>
      <w:r w:rsidRPr="00097064">
        <w:t xml:space="preserve">'s appellant's submission, </w:t>
      </w:r>
      <w:r>
        <w:t>para. </w:t>
      </w:r>
      <w:r w:rsidRPr="00097064">
        <w:t>521.</w:t>
      </w:r>
      <w:r>
        <w:t xml:space="preserve"> (emphasis added; fn omitted)</w:t>
      </w:r>
    </w:p>
  </w:footnote>
  <w:footnote w:id="849">
    <w:p w:rsidR="00FD2727" w:rsidRPr="00097064" w:rsidRDefault="00FD2727" w:rsidP="00206326">
      <w:pPr>
        <w:pStyle w:val="FootnoteText"/>
        <w:keepLines/>
      </w:pPr>
      <w:r w:rsidRPr="00097064">
        <w:rPr>
          <w:rStyle w:val="FootnoteReference"/>
        </w:rPr>
        <w:footnoteRef/>
      </w:r>
      <w:r w:rsidRPr="00097064">
        <w:t xml:space="preserve"> Panel Report, </w:t>
      </w:r>
      <w:r>
        <w:t>para. </w:t>
      </w:r>
      <w:r w:rsidRPr="00097064">
        <w:t>6.598.</w:t>
      </w:r>
    </w:p>
  </w:footnote>
  <w:footnote w:id="850">
    <w:p w:rsidR="00FD2727" w:rsidRPr="00097064" w:rsidRDefault="00FD2727" w:rsidP="00206326">
      <w:pPr>
        <w:pStyle w:val="FootnoteText"/>
        <w:keepLines/>
      </w:pPr>
      <w:r w:rsidRPr="00097064">
        <w:rPr>
          <w:rStyle w:val="FootnoteReference"/>
        </w:rPr>
        <w:footnoteRef/>
      </w:r>
      <w:r w:rsidRPr="00097064">
        <w:t xml:space="preserve"> Panel Report, </w:t>
      </w:r>
      <w:r>
        <w:t>para. </w:t>
      </w:r>
      <w:r w:rsidRPr="00097064">
        <w:t>6.604.</w:t>
      </w:r>
    </w:p>
  </w:footnote>
  <w:footnote w:id="851">
    <w:p w:rsidR="00FD2727" w:rsidRPr="00097064" w:rsidRDefault="00FD2727" w:rsidP="00206326">
      <w:pPr>
        <w:pStyle w:val="FootnoteText"/>
        <w:keepLines/>
      </w:pPr>
      <w:r w:rsidRPr="00097064">
        <w:rPr>
          <w:rStyle w:val="FootnoteReference"/>
        </w:rPr>
        <w:footnoteRef/>
      </w:r>
      <w:r w:rsidRPr="00097064">
        <w:t xml:space="preserve"> Panel Report, </w:t>
      </w:r>
      <w:r>
        <w:t>para. </w:t>
      </w:r>
      <w:r w:rsidRPr="00097064">
        <w:t>6.604.</w:t>
      </w:r>
    </w:p>
  </w:footnote>
  <w:footnote w:id="852">
    <w:p w:rsidR="00FD2727" w:rsidRPr="00097064" w:rsidRDefault="00FD2727" w:rsidP="00206326">
      <w:pPr>
        <w:pStyle w:val="FootnoteText"/>
        <w:keepLines/>
      </w:pPr>
      <w:r w:rsidRPr="00097064">
        <w:rPr>
          <w:rStyle w:val="FootnoteReference"/>
        </w:rPr>
        <w:footnoteRef/>
      </w:r>
      <w:r w:rsidRPr="00097064">
        <w:t xml:space="preserve"> Panel Report, </w:t>
      </w:r>
      <w:r>
        <w:t>para. </w:t>
      </w:r>
      <w:r w:rsidRPr="00097064">
        <w:t>6.596.</w:t>
      </w:r>
      <w:r>
        <w:t xml:space="preserve"> (fn omitted)</w:t>
      </w:r>
    </w:p>
  </w:footnote>
  <w:footnote w:id="853">
    <w:p w:rsidR="00FD2727" w:rsidRPr="00097064" w:rsidRDefault="00FD2727" w:rsidP="00206326">
      <w:pPr>
        <w:pStyle w:val="FootnoteText"/>
        <w:keepLines/>
      </w:pPr>
      <w:r w:rsidRPr="00097064">
        <w:rPr>
          <w:rStyle w:val="FootnoteReference"/>
        </w:rPr>
        <w:footnoteRef/>
      </w:r>
      <w:r w:rsidRPr="00097064">
        <w:t xml:space="preserve"> Panel Report, </w:t>
      </w:r>
      <w:r>
        <w:t>para. </w:t>
      </w:r>
      <w:r w:rsidRPr="00097064">
        <w:t>6.602.</w:t>
      </w:r>
    </w:p>
  </w:footnote>
  <w:footnote w:id="854">
    <w:p w:rsidR="00FD2727" w:rsidRPr="00097064" w:rsidRDefault="00FD2727" w:rsidP="00206326">
      <w:pPr>
        <w:pStyle w:val="FootnoteText"/>
        <w:keepLines/>
      </w:pPr>
      <w:r w:rsidRPr="00097064">
        <w:rPr>
          <w:rStyle w:val="FootnoteReference"/>
        </w:rPr>
        <w:footnoteRef/>
      </w:r>
      <w:r w:rsidRPr="00097064">
        <w:t xml:space="preserve"> Panel Report, </w:t>
      </w:r>
      <w:r>
        <w:t>para. </w:t>
      </w:r>
      <w:r w:rsidRPr="00097064">
        <w:t>6.603. (fn omitted)</w:t>
      </w:r>
    </w:p>
  </w:footnote>
  <w:footnote w:id="855">
    <w:p w:rsidR="00FD2727" w:rsidRPr="00097064" w:rsidRDefault="00FD2727" w:rsidP="00206326">
      <w:pPr>
        <w:pStyle w:val="FootnoteText"/>
        <w:keepLines/>
      </w:pPr>
      <w:r w:rsidRPr="00097064">
        <w:rPr>
          <w:rStyle w:val="FootnoteReference"/>
        </w:rPr>
        <w:footnoteRef/>
      </w:r>
      <w:r w:rsidRPr="00097064">
        <w:t xml:space="preserve"> Panel Report, </w:t>
      </w:r>
      <w:r>
        <w:t>para. </w:t>
      </w:r>
      <w:r w:rsidRPr="00097064">
        <w:t>6.603.</w:t>
      </w:r>
    </w:p>
  </w:footnote>
  <w:footnote w:id="856">
    <w:p w:rsidR="00FD2727" w:rsidRPr="00097064" w:rsidRDefault="00FD2727" w:rsidP="00206326">
      <w:pPr>
        <w:pStyle w:val="FootnoteText"/>
        <w:keepLines/>
      </w:pPr>
      <w:r w:rsidRPr="00097064">
        <w:rPr>
          <w:rStyle w:val="FootnoteReference"/>
        </w:rPr>
        <w:footnoteRef/>
      </w:r>
      <w:r w:rsidRPr="00097064">
        <w:t xml:space="preserve"> Panel Report, </w:t>
      </w:r>
      <w:r>
        <w:t>para. </w:t>
      </w:r>
      <w:r w:rsidRPr="00097064">
        <w:t>6.607.</w:t>
      </w:r>
      <w:r>
        <w:t xml:space="preserve"> (emphasis added)</w:t>
      </w:r>
    </w:p>
  </w:footnote>
  <w:footnote w:id="857">
    <w:p w:rsidR="00FD2727" w:rsidRDefault="00FD2727" w:rsidP="00206326">
      <w:pPr>
        <w:pStyle w:val="FootnoteText"/>
        <w:keepLines/>
      </w:pPr>
      <w:r>
        <w:rPr>
          <w:rStyle w:val="FootnoteReference"/>
        </w:rPr>
        <w:footnoteRef/>
      </w:r>
      <w:r>
        <w:t xml:space="preserve"> In this regard, we observe that, in </w:t>
      </w:r>
      <w:r>
        <w:rPr>
          <w:i/>
        </w:rPr>
        <w:t>US</w:t>
      </w:r>
      <w:r w:rsidRPr="00097064">
        <w:rPr>
          <w:i/>
        </w:rPr>
        <w:t xml:space="preserve"> – </w:t>
      </w:r>
      <w:r>
        <w:rPr>
          <w:i/>
        </w:rPr>
        <w:t>Anti-Dumping and Countervailing Duties (China)</w:t>
      </w:r>
      <w:r>
        <w:t>, the Appellate Body held:</w:t>
      </w:r>
    </w:p>
    <w:p w:rsidR="00FD2727" w:rsidRDefault="00FD2727" w:rsidP="00206326">
      <w:pPr>
        <w:pStyle w:val="FootnoteQuotation"/>
        <w:keepLines/>
      </w:pPr>
      <w:r>
        <w:t xml:space="preserve">{A} </w:t>
      </w:r>
      <w:r w:rsidRPr="009F0D73">
        <w:t xml:space="preserve">certain degree of flexibility also applies under </w:t>
      </w:r>
      <w:r>
        <w:t>Article </w:t>
      </w:r>
      <w:r w:rsidRPr="009F0D73">
        <w:t>14(b) in the selection of benchmarks, so that such selection can ensure a meaningful comparison for the determination of benefit. At the same time, when an investigating authority resorts to a benchmark loan in another currency or to a proxy, it must ensure that such benchmark is adjusted so that it approximates the "comparable commercial loan".</w:t>
      </w:r>
      <w:r>
        <w:t xml:space="preserve"> </w:t>
      </w:r>
    </w:p>
    <w:p w:rsidR="00FD2727" w:rsidRPr="009F0D73" w:rsidRDefault="00FD2727" w:rsidP="00206326">
      <w:pPr>
        <w:pStyle w:val="FootnoteText"/>
        <w:keepLines/>
        <w:ind w:firstLine="0"/>
      </w:pPr>
      <w:r>
        <w:t>(Appellate Body</w:t>
      </w:r>
      <w:r w:rsidRPr="00097064">
        <w:t xml:space="preserve"> Report, </w:t>
      </w:r>
      <w:r w:rsidRPr="007B547F">
        <w:rPr>
          <w:i/>
        </w:rPr>
        <w:t>US – Anti-Dumping and Countervailing Duties (China)</w:t>
      </w:r>
      <w:r>
        <w:t>, para. 489)</w:t>
      </w:r>
    </w:p>
  </w:footnote>
  <w:footnote w:id="858">
    <w:p w:rsidR="00FD2727" w:rsidRPr="00097064" w:rsidRDefault="00FD2727" w:rsidP="00206326">
      <w:pPr>
        <w:pStyle w:val="FootnoteText"/>
        <w:keepLines/>
      </w:pPr>
      <w:r w:rsidRPr="00097064">
        <w:rPr>
          <w:rStyle w:val="FootnoteReference"/>
        </w:rPr>
        <w:footnoteRef/>
      </w:r>
      <w:r w:rsidRPr="00097064">
        <w:t xml:space="preserve"> </w:t>
      </w:r>
      <w:r>
        <w:t>European Union</w:t>
      </w:r>
      <w:r w:rsidRPr="00097064">
        <w:t xml:space="preserve">'s appellant's submission, </w:t>
      </w:r>
      <w:r>
        <w:t>para. </w:t>
      </w:r>
      <w:r w:rsidRPr="00097064">
        <w:t>522.</w:t>
      </w:r>
    </w:p>
  </w:footnote>
  <w:footnote w:id="859">
    <w:p w:rsidR="00FD2727" w:rsidRPr="00097064" w:rsidRDefault="00FD2727" w:rsidP="00206326">
      <w:pPr>
        <w:pStyle w:val="FootnoteText"/>
        <w:keepLines/>
      </w:pPr>
      <w:r w:rsidRPr="00097064">
        <w:rPr>
          <w:rStyle w:val="FootnoteReference"/>
        </w:rPr>
        <w:footnoteRef/>
      </w:r>
      <w:r w:rsidRPr="00097064">
        <w:t xml:space="preserve"> </w:t>
      </w:r>
      <w:r>
        <w:t>European Union</w:t>
      </w:r>
      <w:r w:rsidRPr="00097064">
        <w:t xml:space="preserve">'s appellant's submission, </w:t>
      </w:r>
      <w:r>
        <w:t>para. </w:t>
      </w:r>
      <w:r w:rsidRPr="00097064">
        <w:t>525.</w:t>
      </w:r>
    </w:p>
  </w:footnote>
  <w:footnote w:id="860">
    <w:p w:rsidR="00FD2727" w:rsidRPr="00097064" w:rsidRDefault="00FD2727" w:rsidP="00206326">
      <w:pPr>
        <w:pStyle w:val="FootnoteText"/>
        <w:keepLines/>
      </w:pPr>
      <w:r w:rsidRPr="00097064">
        <w:rPr>
          <w:rStyle w:val="FootnoteReference"/>
        </w:rPr>
        <w:footnoteRef/>
      </w:r>
      <w:r w:rsidRPr="00097064">
        <w:t xml:space="preserve"> </w:t>
      </w:r>
      <w:r>
        <w:t>European Union</w:t>
      </w:r>
      <w:r w:rsidRPr="00097064">
        <w:t xml:space="preserve">'s appellant's submission, </w:t>
      </w:r>
      <w:r>
        <w:t>para. </w:t>
      </w:r>
      <w:r w:rsidRPr="00097064">
        <w:t>529.</w:t>
      </w:r>
    </w:p>
  </w:footnote>
  <w:footnote w:id="861">
    <w:p w:rsidR="00FD2727" w:rsidRPr="00097064" w:rsidRDefault="00FD2727" w:rsidP="00206326">
      <w:pPr>
        <w:pStyle w:val="FootnoteText"/>
        <w:keepLines/>
      </w:pPr>
      <w:r w:rsidRPr="00097064">
        <w:rPr>
          <w:rStyle w:val="FootnoteReference"/>
        </w:rPr>
        <w:footnoteRef/>
      </w:r>
      <w:r w:rsidRPr="00097064">
        <w:t xml:space="preserve"> </w:t>
      </w:r>
      <w:r>
        <w:t>United States</w:t>
      </w:r>
      <w:r w:rsidRPr="00097064">
        <w:t xml:space="preserve">' appellee's submission, </w:t>
      </w:r>
      <w:r>
        <w:t>para. </w:t>
      </w:r>
      <w:r w:rsidRPr="00097064">
        <w:t xml:space="preserve">263 (referring to Panel Report, </w:t>
      </w:r>
      <w:r>
        <w:t>para. </w:t>
      </w:r>
      <w:r w:rsidRPr="00097064">
        <w:t>6.609).</w:t>
      </w:r>
    </w:p>
  </w:footnote>
  <w:footnote w:id="862">
    <w:p w:rsidR="00FD2727" w:rsidRPr="00097064" w:rsidRDefault="00FD2727" w:rsidP="00206326">
      <w:pPr>
        <w:pStyle w:val="FootnoteText"/>
        <w:keepLines/>
      </w:pPr>
      <w:r w:rsidRPr="00097064">
        <w:rPr>
          <w:rStyle w:val="FootnoteReference"/>
        </w:rPr>
        <w:footnoteRef/>
      </w:r>
      <w:r w:rsidRPr="00097064">
        <w:t xml:space="preserve"> </w:t>
      </w:r>
      <w:r>
        <w:t>United States</w:t>
      </w:r>
      <w:r w:rsidRPr="00097064">
        <w:t xml:space="preserve">' appellee's submission, </w:t>
      </w:r>
      <w:r>
        <w:t>para. </w:t>
      </w:r>
      <w:r w:rsidRPr="00097064">
        <w:t>263.</w:t>
      </w:r>
    </w:p>
  </w:footnote>
  <w:footnote w:id="863">
    <w:p w:rsidR="00FD2727" w:rsidRPr="00097064" w:rsidRDefault="00FD2727" w:rsidP="00206326">
      <w:pPr>
        <w:pStyle w:val="FootnoteText"/>
        <w:keepLines/>
      </w:pPr>
      <w:r w:rsidRPr="00097064">
        <w:rPr>
          <w:rStyle w:val="FootnoteReference"/>
        </w:rPr>
        <w:footnoteRef/>
      </w:r>
      <w:r w:rsidRPr="00097064">
        <w:t xml:space="preserve"> Panel Report, </w:t>
      </w:r>
      <w:r>
        <w:t>para. </w:t>
      </w:r>
      <w:r w:rsidRPr="00097064">
        <w:t>6.607.</w:t>
      </w:r>
      <w:r>
        <w:t xml:space="preserve"> (emphasis added)</w:t>
      </w:r>
    </w:p>
  </w:footnote>
  <w:footnote w:id="864">
    <w:p w:rsidR="00FD2727" w:rsidRPr="00A453EC" w:rsidRDefault="00FD2727" w:rsidP="00206326">
      <w:pPr>
        <w:pStyle w:val="FootnoteText"/>
        <w:keepLines/>
      </w:pPr>
      <w:r>
        <w:rPr>
          <w:rStyle w:val="FootnoteReference"/>
        </w:rPr>
        <w:footnoteRef/>
      </w:r>
      <w:r>
        <w:t xml:space="preserve"> </w:t>
      </w:r>
      <w:r w:rsidRPr="00097064">
        <w:t xml:space="preserve">Professor Whitelaw's average (i.e. his proposed corporate borrowing rate) was obtained by averaging the EADS bond's yield to maturity over </w:t>
      </w:r>
      <w:r w:rsidRPr="00E33018">
        <w:rPr>
          <w:b/>
        </w:rPr>
        <w:t>[</w:t>
      </w:r>
      <w:r w:rsidRPr="00C8434D">
        <w:rPr>
          <w:b/>
          <w:szCs w:val="16"/>
        </w:rPr>
        <w:t>BCI</w:t>
      </w:r>
      <w:r w:rsidRPr="00E33018">
        <w:rPr>
          <w:b/>
        </w:rPr>
        <w:t>]</w:t>
      </w:r>
      <w:r w:rsidRPr="00097064">
        <w:t xml:space="preserve"> </w:t>
      </w:r>
      <w:r w:rsidRPr="003B052A">
        <w:t xml:space="preserve">months. He took as his starting point </w:t>
      </w:r>
      <w:r w:rsidRPr="003B052A">
        <w:rPr>
          <w:b/>
        </w:rPr>
        <w:t>[</w:t>
      </w:r>
      <w:r w:rsidRPr="00C8434D">
        <w:rPr>
          <w:b/>
          <w:szCs w:val="16"/>
        </w:rPr>
        <w:t>BCI</w:t>
      </w:r>
      <w:r w:rsidRPr="003B052A">
        <w:rPr>
          <w:b/>
        </w:rPr>
        <w:t>]</w:t>
      </w:r>
      <w:r w:rsidRPr="003B052A">
        <w:t xml:space="preserve"> (the date of the French A350XWB </w:t>
      </w:r>
      <w:r w:rsidRPr="00373D41">
        <w:rPr>
          <w:i/>
        </w:rPr>
        <w:t>Convention</w:t>
      </w:r>
      <w:r w:rsidRPr="003B052A">
        <w:t xml:space="preserve">), and his end point was </w:t>
      </w:r>
      <w:r w:rsidRPr="003B052A">
        <w:rPr>
          <w:b/>
        </w:rPr>
        <w:t>[</w:t>
      </w:r>
      <w:r w:rsidRPr="00C8434D">
        <w:rPr>
          <w:b/>
          <w:szCs w:val="16"/>
        </w:rPr>
        <w:t>BCI</w:t>
      </w:r>
      <w:r w:rsidRPr="003B052A">
        <w:rPr>
          <w:b/>
        </w:rPr>
        <w:t>]</w:t>
      </w:r>
      <w:r w:rsidRPr="003B052A">
        <w:t xml:space="preserve">, the date of the UK </w:t>
      </w:r>
      <w:r>
        <w:t xml:space="preserve">A350XWB </w:t>
      </w:r>
      <w:r w:rsidRPr="003B052A">
        <w:t xml:space="preserve">LA/MSF contract </w:t>
      </w:r>
      <w:r w:rsidRPr="003B052A">
        <w:rPr>
          <w:b/>
        </w:rPr>
        <w:t>[</w:t>
      </w:r>
      <w:r w:rsidRPr="00C8434D">
        <w:rPr>
          <w:b/>
          <w:szCs w:val="16"/>
        </w:rPr>
        <w:t>BCI</w:t>
      </w:r>
      <w:r w:rsidRPr="003B052A">
        <w:rPr>
          <w:b/>
        </w:rPr>
        <w:t>]</w:t>
      </w:r>
      <w:r w:rsidRPr="003B052A">
        <w:t xml:space="preserve">. (Panel Report, </w:t>
      </w:r>
      <w:r>
        <w:t>para. </w:t>
      </w:r>
      <w:r w:rsidRPr="003B052A">
        <w:t xml:space="preserve">6.378) Professor Whitelaw indicated that the average </w:t>
      </w:r>
      <w:r w:rsidRPr="00A453EC">
        <w:t xml:space="preserve">YTM on the bond was computed for the </w:t>
      </w:r>
      <w:r w:rsidRPr="00A453EC">
        <w:rPr>
          <w:b/>
        </w:rPr>
        <w:t>[</w:t>
      </w:r>
      <w:r w:rsidRPr="00C8434D">
        <w:rPr>
          <w:b/>
          <w:szCs w:val="16"/>
        </w:rPr>
        <w:t>BCI</w:t>
      </w:r>
      <w:r w:rsidRPr="00A453EC">
        <w:rPr>
          <w:b/>
        </w:rPr>
        <w:t>]</w:t>
      </w:r>
      <w:r w:rsidRPr="00A453EC">
        <w:t xml:space="preserve"> for each of the three euro denominated LA/MSF contracts, with an adjustment based on the average EUR to GBP swap rates being made for the UK </w:t>
      </w:r>
      <w:r>
        <w:t xml:space="preserve">A350XWB </w:t>
      </w:r>
      <w:r w:rsidRPr="00A453EC">
        <w:t>LA/MSF contract. (Ibid. (referring to Whitelaw Response to Jordan (Panel Exhibit EU-121 (BCI/HSBI)</w:t>
      </w:r>
      <w:r>
        <w:t>)</w:t>
      </w:r>
      <w:r w:rsidRPr="00A453EC">
        <w:t xml:space="preserve">, fn 12 to </w:t>
      </w:r>
      <w:r>
        <w:t>para. </w:t>
      </w:r>
      <w:r w:rsidRPr="00A453EC">
        <w:t>12))</w:t>
      </w:r>
    </w:p>
  </w:footnote>
  <w:footnote w:id="865">
    <w:p w:rsidR="00FD2727" w:rsidRPr="00A453EC" w:rsidRDefault="00FD2727" w:rsidP="00206326">
      <w:pPr>
        <w:pStyle w:val="FootnoteText"/>
        <w:keepLines/>
      </w:pPr>
      <w:r w:rsidRPr="00A453EC">
        <w:rPr>
          <w:rStyle w:val="FootnoteReference"/>
        </w:rPr>
        <w:footnoteRef/>
      </w:r>
      <w:r w:rsidRPr="00A453EC">
        <w:t xml:space="preserve"> Panel Report, </w:t>
      </w:r>
      <w:r>
        <w:t>para. </w:t>
      </w:r>
      <w:r w:rsidRPr="00A453EC">
        <w:t xml:space="preserve">6.386 (referring to Jordan Reply (Panel Exhibit USA-505 (BCI/HSBI)), </w:t>
      </w:r>
      <w:r>
        <w:t>para. </w:t>
      </w:r>
      <w:r w:rsidRPr="00A453EC">
        <w:t xml:space="preserve">27). (emphasis added) By way of example, the Panel explained that: </w:t>
      </w:r>
    </w:p>
    <w:p w:rsidR="00FD2727" w:rsidRDefault="00FD2727" w:rsidP="00206326">
      <w:pPr>
        <w:pStyle w:val="FootnoteQuotation"/>
        <w:keepLines/>
      </w:pPr>
      <w:r w:rsidRPr="00A453EC">
        <w:t xml:space="preserve">the market rate for the UK loan agreement, coming later, would be distorted upwards by higher yields from the time when the French agreement was concluded – some </w:t>
      </w:r>
      <w:r w:rsidRPr="00A453EC">
        <w:rPr>
          <w:b/>
        </w:rPr>
        <w:t>[</w:t>
      </w:r>
      <w:r w:rsidRPr="00C8434D">
        <w:rPr>
          <w:b/>
          <w:szCs w:val="16"/>
        </w:rPr>
        <w:t>BCI</w:t>
      </w:r>
      <w:r w:rsidRPr="00A453EC">
        <w:rPr>
          <w:b/>
        </w:rPr>
        <w:t>]</w:t>
      </w:r>
      <w:r w:rsidRPr="00A453EC">
        <w:t xml:space="preserve"> earlier (according to Professor Whitelaw). The market rate for the French loan agreement, however, would </w:t>
      </w:r>
      <w:r w:rsidRPr="00A453EC">
        <w:rPr>
          <w:i/>
        </w:rPr>
        <w:t>not</w:t>
      </w:r>
      <w:r w:rsidRPr="00A453EC">
        <w:t xml:space="preserve"> be judged against market</w:t>
      </w:r>
      <w:r w:rsidRPr="00097064">
        <w:t xml:space="preserve"> rates from </w:t>
      </w:r>
      <w:r w:rsidRPr="00097064">
        <w:rPr>
          <w:b/>
        </w:rPr>
        <w:t>[</w:t>
      </w:r>
      <w:r w:rsidRPr="00C8434D">
        <w:rPr>
          <w:b/>
          <w:szCs w:val="16"/>
        </w:rPr>
        <w:t>BCI</w:t>
      </w:r>
      <w:r w:rsidRPr="00097064">
        <w:rPr>
          <w:b/>
        </w:rPr>
        <w:t>]</w:t>
      </w:r>
      <w:r w:rsidRPr="00097064">
        <w:t xml:space="preserve"> prior to its conclusion, when the bond yields were even higher and would have likewise distorted the rates upwards. </w:t>
      </w:r>
    </w:p>
    <w:p w:rsidR="00FD2727" w:rsidRPr="00097064" w:rsidRDefault="00FD2727" w:rsidP="00206326">
      <w:pPr>
        <w:pStyle w:val="FootnoteQuotation"/>
        <w:keepLines/>
        <w:ind w:left="0"/>
      </w:pPr>
      <w:r w:rsidRPr="00097064">
        <w:t>(Ibid.</w:t>
      </w:r>
      <w:r>
        <w:t xml:space="preserve"> (emphasis original)</w:t>
      </w:r>
      <w:r w:rsidRPr="00097064">
        <w:t>)</w:t>
      </w:r>
    </w:p>
  </w:footnote>
  <w:footnote w:id="866">
    <w:p w:rsidR="00FD2727" w:rsidRPr="00097064" w:rsidRDefault="00FD2727" w:rsidP="00206326">
      <w:pPr>
        <w:pStyle w:val="FootnoteText"/>
        <w:keepLines/>
      </w:pPr>
      <w:r w:rsidRPr="00097064">
        <w:rPr>
          <w:rStyle w:val="FootnoteReference"/>
        </w:rPr>
        <w:footnoteRef/>
      </w:r>
      <w:r w:rsidRPr="00097064">
        <w:t xml:space="preserve"> Panel Report, </w:t>
      </w:r>
      <w:r>
        <w:t>para. </w:t>
      </w:r>
      <w:r w:rsidRPr="00097064">
        <w:t>6.387.</w:t>
      </w:r>
    </w:p>
  </w:footnote>
  <w:footnote w:id="867">
    <w:p w:rsidR="00FD2727" w:rsidRPr="00097064" w:rsidRDefault="00FD2727" w:rsidP="00206326">
      <w:pPr>
        <w:pStyle w:val="FootnoteText"/>
        <w:keepLines/>
      </w:pPr>
      <w:r w:rsidRPr="00EE6F87">
        <w:rPr>
          <w:rStyle w:val="FootnoteReference"/>
        </w:rPr>
        <w:footnoteRef/>
      </w:r>
      <w:r w:rsidRPr="00EE6F87">
        <w:t xml:space="preserve"> </w:t>
      </w:r>
      <w:r>
        <w:t>Appellate Body</w:t>
      </w:r>
      <w:r w:rsidRPr="00EE6F87">
        <w:t xml:space="preserve"> Report, </w:t>
      </w:r>
      <w:r w:rsidRPr="00EE6F87">
        <w:rPr>
          <w:i/>
        </w:rPr>
        <w:t>EC and certain member States – Large Civil Aircraft</w:t>
      </w:r>
      <w:r w:rsidRPr="00EE6F87">
        <w:t xml:space="preserve">, </w:t>
      </w:r>
      <w:r>
        <w:t>para. </w:t>
      </w:r>
      <w:r w:rsidRPr="00EE6F87">
        <w:t xml:space="preserve">836. </w:t>
      </w:r>
    </w:p>
  </w:footnote>
  <w:footnote w:id="868">
    <w:p w:rsidR="00FD2727" w:rsidRPr="00097064" w:rsidRDefault="00FD2727" w:rsidP="00206326">
      <w:pPr>
        <w:pStyle w:val="FootnoteText"/>
        <w:keepLines/>
      </w:pPr>
      <w:r w:rsidRPr="00097064">
        <w:rPr>
          <w:rStyle w:val="FootnoteReference"/>
        </w:rPr>
        <w:footnoteRef/>
      </w:r>
      <w:r w:rsidRPr="00097064">
        <w:t xml:space="preserve"> Panel Report, </w:t>
      </w:r>
      <w:r>
        <w:t>para. </w:t>
      </w:r>
      <w:r w:rsidRPr="00097064">
        <w:t>6.388.</w:t>
      </w:r>
    </w:p>
  </w:footnote>
  <w:footnote w:id="869">
    <w:p w:rsidR="00FD2727" w:rsidRPr="005C19B8" w:rsidRDefault="00FD2727">
      <w:pPr>
        <w:pStyle w:val="FootnoteText"/>
      </w:pPr>
      <w:r>
        <w:rPr>
          <w:rStyle w:val="FootnoteReference"/>
        </w:rPr>
        <w:footnoteRef/>
      </w:r>
      <w:r>
        <w:t xml:space="preserve"> </w:t>
      </w:r>
      <w:r>
        <w:rPr>
          <w:b/>
        </w:rPr>
        <w:t>[</w:t>
      </w:r>
      <w:r w:rsidRPr="00C8434D">
        <w:rPr>
          <w:b/>
          <w:szCs w:val="16"/>
        </w:rPr>
        <w:t>BCI</w:t>
      </w:r>
      <w:r>
        <w:rPr>
          <w:b/>
        </w:rPr>
        <w:t>]</w:t>
      </w:r>
    </w:p>
  </w:footnote>
  <w:footnote w:id="870">
    <w:p w:rsidR="00FD2727" w:rsidRPr="007B547F" w:rsidRDefault="00FD2727" w:rsidP="00206326">
      <w:pPr>
        <w:pStyle w:val="FootnoteText"/>
        <w:keepLines/>
        <w:rPr>
          <w:lang w:val="en-US"/>
        </w:rPr>
      </w:pPr>
      <w:r>
        <w:rPr>
          <w:rStyle w:val="FootnoteReference"/>
        </w:rPr>
        <w:footnoteRef/>
      </w:r>
      <w:r>
        <w:t xml:space="preserve"> </w:t>
      </w:r>
      <w:r>
        <w:rPr>
          <w:lang w:val="en-US"/>
        </w:rPr>
        <w:t>Panel Report, Table 6 at para. 6.382.</w:t>
      </w:r>
    </w:p>
  </w:footnote>
  <w:footnote w:id="871">
    <w:p w:rsidR="00FD2727" w:rsidRPr="00097064" w:rsidRDefault="00FD2727" w:rsidP="00206326">
      <w:pPr>
        <w:pStyle w:val="FootnoteText"/>
        <w:keepLines/>
      </w:pPr>
      <w:r w:rsidRPr="00097064">
        <w:rPr>
          <w:rStyle w:val="FootnoteReference"/>
        </w:rPr>
        <w:footnoteRef/>
      </w:r>
      <w:r w:rsidRPr="00097064">
        <w:t xml:space="preserve"> Panel Report, </w:t>
      </w:r>
      <w:r>
        <w:t>para. </w:t>
      </w:r>
      <w:r w:rsidRPr="00097064">
        <w:t>6.388.</w:t>
      </w:r>
    </w:p>
  </w:footnote>
  <w:footnote w:id="872">
    <w:p w:rsidR="00FD2727" w:rsidRPr="00097064" w:rsidRDefault="00FD2727" w:rsidP="00206326">
      <w:pPr>
        <w:pStyle w:val="FootnoteText"/>
        <w:keepLines/>
      </w:pPr>
      <w:r w:rsidRPr="00097064">
        <w:rPr>
          <w:rStyle w:val="FootnoteReference"/>
        </w:rPr>
        <w:footnoteRef/>
      </w:r>
      <w:r w:rsidRPr="00097064">
        <w:t xml:space="preserve"> </w:t>
      </w:r>
      <w:r>
        <w:t>European Union</w:t>
      </w:r>
      <w:r w:rsidRPr="00097064">
        <w:t xml:space="preserve">'s appellant's submission, </w:t>
      </w:r>
      <w:r>
        <w:t>para. </w:t>
      </w:r>
      <w:r w:rsidRPr="00097064">
        <w:t>369. (emphasis original)</w:t>
      </w:r>
    </w:p>
  </w:footnote>
  <w:footnote w:id="873">
    <w:p w:rsidR="00FD2727" w:rsidRPr="00145239" w:rsidRDefault="00FD2727" w:rsidP="00206326">
      <w:pPr>
        <w:pStyle w:val="FootnoteText"/>
        <w:keepLines/>
      </w:pPr>
      <w:r>
        <w:rPr>
          <w:rStyle w:val="FootnoteReference"/>
        </w:rPr>
        <w:footnoteRef/>
      </w:r>
      <w:r>
        <w:t xml:space="preserve"> </w:t>
      </w:r>
      <w:r w:rsidRPr="00145239">
        <w:t>See section 5.3.2.2.1 of this Report.</w:t>
      </w:r>
    </w:p>
  </w:footnote>
  <w:footnote w:id="874">
    <w:p w:rsidR="00FD2727" w:rsidRPr="00097064" w:rsidRDefault="00FD2727" w:rsidP="00206326">
      <w:pPr>
        <w:pStyle w:val="FootnoteText"/>
        <w:keepLines/>
      </w:pPr>
      <w:r w:rsidRPr="00145239">
        <w:rPr>
          <w:rStyle w:val="FootnoteReference"/>
        </w:rPr>
        <w:footnoteRef/>
      </w:r>
      <w:r w:rsidRPr="00145239">
        <w:t xml:space="preserve"> European Union's appellant's</w:t>
      </w:r>
      <w:r w:rsidRPr="00097064">
        <w:t xml:space="preserve"> submission, </w:t>
      </w:r>
      <w:r>
        <w:t>para. </w:t>
      </w:r>
      <w:r w:rsidRPr="00097064">
        <w:t>423.</w:t>
      </w:r>
    </w:p>
  </w:footnote>
  <w:footnote w:id="875">
    <w:p w:rsidR="00FD2727" w:rsidRPr="00097064" w:rsidRDefault="00FD2727" w:rsidP="00AF6DFE">
      <w:pPr>
        <w:pStyle w:val="FootnoteText"/>
        <w:keepLines/>
      </w:pPr>
      <w:r w:rsidRPr="00001C97">
        <w:rPr>
          <w:rStyle w:val="FootnoteReference"/>
        </w:rPr>
        <w:footnoteRef/>
      </w:r>
      <w:r w:rsidRPr="00001C97">
        <w:t xml:space="preserve"> Panel Report, para. 6.459.</w:t>
      </w:r>
    </w:p>
  </w:footnote>
  <w:footnote w:id="876">
    <w:p w:rsidR="00FD2727" w:rsidRPr="00097064" w:rsidRDefault="00FD2727" w:rsidP="00206326">
      <w:pPr>
        <w:pStyle w:val="FootnoteText"/>
        <w:keepLines/>
      </w:pPr>
      <w:r w:rsidRPr="00097064">
        <w:rPr>
          <w:rStyle w:val="FootnoteReference"/>
        </w:rPr>
        <w:footnoteRef/>
      </w:r>
      <w:r w:rsidRPr="00097064">
        <w:t xml:space="preserve"> </w:t>
      </w:r>
      <w:r>
        <w:t>European Union</w:t>
      </w:r>
      <w:r w:rsidRPr="00097064">
        <w:t xml:space="preserve">'s appellant's submission, </w:t>
      </w:r>
      <w:r>
        <w:t>paras. </w:t>
      </w:r>
      <w:r w:rsidRPr="00097064">
        <w:t>517-518.</w:t>
      </w:r>
    </w:p>
  </w:footnote>
  <w:footnote w:id="877">
    <w:p w:rsidR="00FD2727" w:rsidRPr="00097064" w:rsidRDefault="00FD2727" w:rsidP="00CD3B99">
      <w:pPr>
        <w:pStyle w:val="FootnoteText"/>
        <w:keepLines/>
      </w:pPr>
      <w:r w:rsidRPr="00097064">
        <w:rPr>
          <w:rStyle w:val="FootnoteReference"/>
        </w:rPr>
        <w:footnoteRef/>
      </w:r>
      <w:r w:rsidRPr="00097064">
        <w:t xml:space="preserve"> Panel Report, para. 6.604.</w:t>
      </w:r>
    </w:p>
  </w:footnote>
  <w:footnote w:id="878">
    <w:p w:rsidR="00FD2727" w:rsidRPr="00097064" w:rsidRDefault="00FD2727" w:rsidP="00CD3B99">
      <w:pPr>
        <w:pStyle w:val="FootnoteText"/>
        <w:keepLines/>
      </w:pPr>
      <w:r w:rsidRPr="00097064">
        <w:rPr>
          <w:rStyle w:val="FootnoteReference"/>
        </w:rPr>
        <w:footnoteRef/>
      </w:r>
      <w:r w:rsidRPr="00097064">
        <w:t xml:space="preserve"> </w:t>
      </w:r>
      <w:r>
        <w:t>European Union</w:t>
      </w:r>
      <w:r w:rsidRPr="00097064">
        <w:t>'s appellant's submission, para. 522.</w:t>
      </w:r>
    </w:p>
  </w:footnote>
  <w:footnote w:id="879">
    <w:p w:rsidR="00FD2727" w:rsidRDefault="00FD2727" w:rsidP="00206326">
      <w:pPr>
        <w:pStyle w:val="FootnoteText"/>
        <w:keepLines/>
      </w:pPr>
      <w:r>
        <w:rPr>
          <w:rStyle w:val="FootnoteReference"/>
        </w:rPr>
        <w:footnoteRef/>
      </w:r>
      <w:r>
        <w:t xml:space="preserve"> </w:t>
      </w:r>
      <w:r w:rsidRPr="006477CA">
        <w:t xml:space="preserve">Panel Report, </w:t>
      </w:r>
      <w:r>
        <w:t>para. </w:t>
      </w:r>
      <w:r w:rsidRPr="006477CA">
        <w:t>6.3</w:t>
      </w:r>
      <w:r>
        <w:t>50.</w:t>
      </w:r>
    </w:p>
  </w:footnote>
  <w:footnote w:id="880">
    <w:p w:rsidR="00FD2727" w:rsidRPr="00145239" w:rsidRDefault="00FD2727" w:rsidP="00206326">
      <w:pPr>
        <w:pStyle w:val="FootnoteText"/>
        <w:keepLines/>
      </w:pPr>
      <w:r>
        <w:rPr>
          <w:rStyle w:val="FootnoteReference"/>
        </w:rPr>
        <w:footnoteRef/>
      </w:r>
      <w:r>
        <w:t xml:space="preserve"> We recall that, while the Panel determined the corporate borrowing rate in the form of a range of average yields, it</w:t>
      </w:r>
      <w:r w:rsidRPr="004328ED">
        <w:t xml:space="preserve"> </w:t>
      </w:r>
      <w:r>
        <w:t>rightly</w:t>
      </w:r>
      <w:r w:rsidRPr="004328ED">
        <w:t xml:space="preserve"> g</w:t>
      </w:r>
      <w:r>
        <w:t>a</w:t>
      </w:r>
      <w:r w:rsidRPr="004328ED">
        <w:t>ve</w:t>
      </w:r>
      <w:r>
        <w:t xml:space="preserve"> more prominence to the one</w:t>
      </w:r>
      <w:r>
        <w:noBreakHyphen/>
      </w:r>
      <w:r w:rsidRPr="004328ED">
        <w:t xml:space="preserve">month average yield </w:t>
      </w:r>
      <w:r>
        <w:t>of</w:t>
      </w:r>
      <w:r w:rsidRPr="004328ED">
        <w:t xml:space="preserve"> the EADS bond</w:t>
      </w:r>
      <w:r>
        <w:t xml:space="preserve"> in its determination of the corporate borrowing rate. </w:t>
      </w:r>
      <w:r w:rsidRPr="00145239">
        <w:t>See para. 5.140 above.</w:t>
      </w:r>
    </w:p>
  </w:footnote>
  <w:footnote w:id="881">
    <w:p w:rsidR="00FD2727" w:rsidRDefault="00FD2727" w:rsidP="00206326">
      <w:pPr>
        <w:pStyle w:val="FootnoteText"/>
        <w:keepLines/>
      </w:pPr>
      <w:r w:rsidRPr="00145239">
        <w:rPr>
          <w:rStyle w:val="FootnoteReference"/>
        </w:rPr>
        <w:footnoteRef/>
      </w:r>
      <w:r w:rsidRPr="00145239">
        <w:t xml:space="preserve"> As noted, the European Union identifies a clerical error made by the Panel in Tables 7 and 10 of its Report in relation to the one-month average yield prior to the Spanish A350XWB </w:t>
      </w:r>
      <w:r w:rsidRPr="00145239">
        <w:rPr>
          <w:i/>
        </w:rPr>
        <w:t>Convenio</w:t>
      </w:r>
      <w:r w:rsidRPr="00145239">
        <w:t>. In particular, the European Union points that "</w:t>
      </w:r>
      <w:r w:rsidRPr="00145239">
        <w:rPr>
          <w:szCs w:val="20"/>
        </w:rPr>
        <w:t>Table 6 of the Panel Report shows</w:t>
      </w:r>
      <w:r w:rsidRPr="006E63EA">
        <w:rPr>
          <w:szCs w:val="20"/>
        </w:rPr>
        <w:t xml:space="preserve">, for Spain, the one-month average yield prior to the date of the contract was </w:t>
      </w:r>
      <w:r w:rsidRPr="00A22B4D">
        <w:rPr>
          <w:b/>
          <w:szCs w:val="20"/>
        </w:rPr>
        <w:t>[</w:t>
      </w:r>
      <w:r w:rsidRPr="00C8434D">
        <w:rPr>
          <w:b/>
          <w:szCs w:val="16"/>
        </w:rPr>
        <w:t>BCI</w:t>
      </w:r>
      <w:r w:rsidRPr="00D32743">
        <w:rPr>
          <w:b/>
          <w:szCs w:val="20"/>
        </w:rPr>
        <w:t>]</w:t>
      </w:r>
      <w:r w:rsidRPr="00D32743">
        <w:rPr>
          <w:szCs w:val="20"/>
        </w:rPr>
        <w:t xml:space="preserve">, and </w:t>
      </w:r>
      <w:r w:rsidRPr="00DF7CCE">
        <w:rPr>
          <w:szCs w:val="20"/>
          <w:u w:val="single"/>
        </w:rPr>
        <w:t>not</w:t>
      </w:r>
      <w:r w:rsidRPr="00D32743">
        <w:rPr>
          <w:szCs w:val="20"/>
        </w:rPr>
        <w:t xml:space="preserve"> </w:t>
      </w:r>
      <w:r w:rsidRPr="00D32743">
        <w:rPr>
          <w:b/>
          <w:szCs w:val="20"/>
        </w:rPr>
        <w:t>[</w:t>
      </w:r>
      <w:r w:rsidRPr="00C8434D">
        <w:rPr>
          <w:b/>
          <w:szCs w:val="16"/>
        </w:rPr>
        <w:t>BCI</w:t>
      </w:r>
      <w:r w:rsidRPr="00C64BE0">
        <w:rPr>
          <w:b/>
          <w:szCs w:val="20"/>
        </w:rPr>
        <w:t>]</w:t>
      </w:r>
      <w:r w:rsidRPr="00D039E3">
        <w:rPr>
          <w:szCs w:val="20"/>
        </w:rPr>
        <w:t xml:space="preserve"> as i</w:t>
      </w:r>
      <w:r w:rsidRPr="005F3B7A">
        <w:rPr>
          <w:szCs w:val="20"/>
        </w:rPr>
        <w:t>nscribed in Table 10 (and Table </w:t>
      </w:r>
      <w:r w:rsidRPr="00181457">
        <w:rPr>
          <w:szCs w:val="20"/>
        </w:rPr>
        <w:t>7)</w:t>
      </w:r>
      <w:r>
        <w:rPr>
          <w:szCs w:val="20"/>
        </w:rPr>
        <w:t>." (</w:t>
      </w:r>
      <w:r>
        <w:t>European Union</w:t>
      </w:r>
      <w:r w:rsidRPr="006477CA">
        <w:t xml:space="preserve">'s appellant's submission, fn 286 to Table 2 at </w:t>
      </w:r>
      <w:r>
        <w:t>para. </w:t>
      </w:r>
      <w:r w:rsidRPr="006477CA">
        <w:t>322</w:t>
      </w:r>
      <w:r>
        <w:t xml:space="preserve"> (referring to Panel Report, </w:t>
      </w:r>
      <w:r w:rsidRPr="006477CA">
        <w:t xml:space="preserve">Table 7 at </w:t>
      </w:r>
      <w:r>
        <w:t>para. </w:t>
      </w:r>
      <w:r w:rsidRPr="006477CA">
        <w:t>6.430</w:t>
      </w:r>
      <w:r>
        <w:t xml:space="preserve"> </w:t>
      </w:r>
      <w:r w:rsidRPr="00742B09">
        <w:t xml:space="preserve">and Table 10 at </w:t>
      </w:r>
      <w:r>
        <w:t>para. </w:t>
      </w:r>
      <w:r w:rsidRPr="00742B09">
        <w:t xml:space="preserve">6.632) (emphasis original)) The </w:t>
      </w:r>
      <w:r>
        <w:t>European Union</w:t>
      </w:r>
      <w:r w:rsidRPr="00742B09">
        <w:t xml:space="preserve"> is correct in pointing out that the correct figure in relation to the one-month average yield prior to the Spanish A350XWB </w:t>
      </w:r>
      <w:r w:rsidRPr="00742B09">
        <w:rPr>
          <w:i/>
        </w:rPr>
        <w:t>Convenio</w:t>
      </w:r>
      <w:r w:rsidRPr="00742B09">
        <w:t xml:space="preserve"> is </w:t>
      </w:r>
      <w:r w:rsidRPr="00742B09">
        <w:rPr>
          <w:b/>
        </w:rPr>
        <w:t>[</w:t>
      </w:r>
      <w:r w:rsidRPr="00C8434D">
        <w:rPr>
          <w:b/>
          <w:szCs w:val="16"/>
        </w:rPr>
        <w:t>BCI</w:t>
      </w:r>
      <w:r w:rsidRPr="00742B09">
        <w:rPr>
          <w:b/>
        </w:rPr>
        <w:t>]</w:t>
      </w:r>
      <w:r w:rsidRPr="00742B09">
        <w:t xml:space="preserve"> found in T</w:t>
      </w:r>
      <w:r w:rsidRPr="00742B09">
        <w:rPr>
          <w:szCs w:val="20"/>
        </w:rPr>
        <w:t xml:space="preserve">able 6 of the Panel Report, rather than </w:t>
      </w:r>
      <w:r w:rsidRPr="00742B09">
        <w:rPr>
          <w:b/>
        </w:rPr>
        <w:t>[</w:t>
      </w:r>
      <w:r w:rsidRPr="00C8434D">
        <w:rPr>
          <w:b/>
          <w:szCs w:val="16"/>
        </w:rPr>
        <w:t>BCI</w:t>
      </w:r>
      <w:r w:rsidRPr="00742B09">
        <w:rPr>
          <w:b/>
        </w:rPr>
        <w:t>]</w:t>
      </w:r>
      <w:r w:rsidRPr="00742B09">
        <w:t>, which is the clerical error</w:t>
      </w:r>
      <w:r>
        <w:t xml:space="preserve"> found</w:t>
      </w:r>
      <w:r w:rsidRPr="00742B09">
        <w:t xml:space="preserve"> </w:t>
      </w:r>
      <w:r>
        <w:t>in Tables </w:t>
      </w:r>
      <w:r w:rsidRPr="00742B09">
        <w:t>7 and 10 of the Panel Report.</w:t>
      </w:r>
      <w:r>
        <w:t xml:space="preserve"> In response to questioning at the oral hearing, the United States agreed that </w:t>
      </w:r>
      <w:r w:rsidRPr="00742B09">
        <w:rPr>
          <w:b/>
        </w:rPr>
        <w:t>[</w:t>
      </w:r>
      <w:r w:rsidRPr="00C8434D">
        <w:rPr>
          <w:b/>
          <w:szCs w:val="16"/>
        </w:rPr>
        <w:t>BCI</w:t>
      </w:r>
      <w:r w:rsidRPr="00742B09">
        <w:rPr>
          <w:b/>
        </w:rPr>
        <w:t>]</w:t>
      </w:r>
      <w:r w:rsidRPr="00742B09">
        <w:t xml:space="preserve"> is </w:t>
      </w:r>
      <w:r>
        <w:t xml:space="preserve">a </w:t>
      </w:r>
      <w:r w:rsidRPr="00742B09">
        <w:t>clerical error</w:t>
      </w:r>
      <w:r>
        <w:t>.</w:t>
      </w:r>
      <w:r w:rsidRPr="00742B09">
        <w:t xml:space="preserve"> </w:t>
      </w:r>
      <w:r>
        <w:t>Consequently, f</w:t>
      </w:r>
      <w:r w:rsidRPr="00742B09">
        <w:t xml:space="preserve">or purposes of the present Report, we proceed on the basis of the correct figure mentioned by the Panel in Table 6: </w:t>
      </w:r>
      <w:r w:rsidRPr="00742B09">
        <w:rPr>
          <w:b/>
        </w:rPr>
        <w:t>[</w:t>
      </w:r>
      <w:r w:rsidRPr="00C8434D">
        <w:rPr>
          <w:b/>
          <w:szCs w:val="16"/>
        </w:rPr>
        <w:t>BCI</w:t>
      </w:r>
      <w:r w:rsidRPr="00742B09">
        <w:rPr>
          <w:b/>
        </w:rPr>
        <w:t>]</w:t>
      </w:r>
      <w:r w:rsidRPr="00742B09">
        <w:t>.</w:t>
      </w:r>
    </w:p>
  </w:footnote>
  <w:footnote w:id="882">
    <w:p w:rsidR="00FD2727" w:rsidRDefault="00FD2727">
      <w:pPr>
        <w:pStyle w:val="FootnoteText"/>
      </w:pPr>
      <w:r>
        <w:rPr>
          <w:rStyle w:val="FootnoteReference"/>
        </w:rPr>
        <w:footnoteRef/>
      </w:r>
      <w:r>
        <w:t xml:space="preserve"> Panel Report, para. 6.794.</w:t>
      </w:r>
    </w:p>
  </w:footnote>
  <w:footnote w:id="883">
    <w:p w:rsidR="00FD2727" w:rsidRPr="001075BE" w:rsidRDefault="00FD2727" w:rsidP="00267BCB">
      <w:pPr>
        <w:pStyle w:val="FootnoteText"/>
      </w:pPr>
      <w:r w:rsidRPr="001075BE">
        <w:rPr>
          <w:rStyle w:val="FootnoteReference"/>
        </w:rPr>
        <w:footnoteRef/>
      </w:r>
      <w:r w:rsidRPr="001075BE">
        <w:t xml:space="preserve"> Panel Report, </w:t>
      </w:r>
      <w:r>
        <w:t>para. </w:t>
      </w:r>
      <w:r w:rsidRPr="001075BE">
        <w:t>6.822. (emphasis original)</w:t>
      </w:r>
    </w:p>
  </w:footnote>
  <w:footnote w:id="884">
    <w:p w:rsidR="00FD2727" w:rsidRPr="001075BE" w:rsidRDefault="00FD2727" w:rsidP="00267BCB">
      <w:pPr>
        <w:pStyle w:val="FootnoteText"/>
      </w:pPr>
      <w:r w:rsidRPr="001075BE">
        <w:rPr>
          <w:rStyle w:val="FootnoteReference"/>
        </w:rPr>
        <w:footnoteRef/>
      </w:r>
      <w:r w:rsidRPr="001075BE">
        <w:t xml:space="preserve"> Panel Report, </w:t>
      </w:r>
      <w:r>
        <w:t>para. </w:t>
      </w:r>
      <w:r w:rsidRPr="001075BE">
        <w:t>6.10</w:t>
      </w:r>
      <w:r>
        <w:t>85</w:t>
      </w:r>
      <w:r w:rsidRPr="001075BE">
        <w:t>.</w:t>
      </w:r>
    </w:p>
  </w:footnote>
  <w:footnote w:id="885">
    <w:p w:rsidR="00FD2727" w:rsidRDefault="00FD2727" w:rsidP="00267BCB">
      <w:pPr>
        <w:pStyle w:val="FootnoteText"/>
      </w:pPr>
      <w:r>
        <w:rPr>
          <w:rStyle w:val="FootnoteReference"/>
        </w:rPr>
        <w:footnoteRef/>
      </w:r>
      <w:r>
        <w:t xml:space="preserve"> Panel Report, para. 6.1102. (emphasis original)</w:t>
      </w:r>
    </w:p>
  </w:footnote>
  <w:footnote w:id="886">
    <w:p w:rsidR="00FD2727" w:rsidRPr="00145239" w:rsidRDefault="00FD2727" w:rsidP="00267BCB">
      <w:pPr>
        <w:pStyle w:val="FootnoteText"/>
      </w:pPr>
      <w:r>
        <w:rPr>
          <w:rStyle w:val="FootnoteReference"/>
        </w:rPr>
        <w:footnoteRef/>
      </w:r>
      <w:r>
        <w:t xml:space="preserve"> The Panel found that all pre-A380 LA/MSF subsidies had expired prior to the implementation period, save the LA/MSF subsidies for the A330-200 and A340</w:t>
      </w:r>
      <w:r>
        <w:noBreakHyphen/>
        <w:t xml:space="preserve">500/600. (Panel Report, para. 6.879 and fn 1547 thereto) As </w:t>
      </w:r>
      <w:r w:rsidRPr="00145239">
        <w:t>discussed in below, we note that the Panel did not make findings specifically relating to the effects of these two subsidies. (See fn 2030 and para. 5.719 of this Report)</w:t>
      </w:r>
    </w:p>
  </w:footnote>
  <w:footnote w:id="887">
    <w:p w:rsidR="00FD2727" w:rsidRPr="00145239" w:rsidRDefault="00FD2727" w:rsidP="00267BCB">
      <w:pPr>
        <w:pStyle w:val="FootnoteText"/>
      </w:pPr>
      <w:r w:rsidRPr="00145239">
        <w:rPr>
          <w:rStyle w:val="FootnoteReference"/>
        </w:rPr>
        <w:footnoteRef/>
      </w:r>
      <w:r w:rsidRPr="00145239">
        <w:t xml:space="preserve"> Panel Report, paras. 6.1078-6.1103. The Panel found that the lives of most pre-380 LA/MSF subsidies expired prior to 1 June 2011, but considered that this "cannot </w:t>
      </w:r>
      <w:r w:rsidRPr="00145239">
        <w:rPr>
          <w:i/>
        </w:rPr>
        <w:t>alone</w:t>
      </w:r>
      <w:r w:rsidRPr="00145239">
        <w:t xml:space="preserve"> support a finding that the European Union and certain member States have 'withdrawn' the relevant subsidies for the purpose of restoring conformity with their obligations under Article 5 of the SCM Agreement." (Ibid., para. 6.1102 (emphasis original)) On this basis, the Panel found that "the European Union ha{d} failed to demonstrate that </w:t>
      </w:r>
      <w:r w:rsidRPr="00145239">
        <w:rPr>
          <w:i/>
        </w:rPr>
        <w:t>any</w:t>
      </w:r>
      <w:r w:rsidRPr="00145239">
        <w:t xml:space="preserve"> of the subsidies challenged by the United States in this compliance dispute have been 'withdrawn' for the purpose of Article 7.8 of the SCM Agreement." (Ibid., fn 1848 to para. 6.1104 (emphasis original)) </w:t>
      </w:r>
    </w:p>
  </w:footnote>
  <w:footnote w:id="888">
    <w:p w:rsidR="00FD2727" w:rsidRPr="00145239" w:rsidRDefault="00FD2727" w:rsidP="00267BCB">
      <w:pPr>
        <w:pStyle w:val="FootnoteText"/>
      </w:pPr>
      <w:r w:rsidRPr="00145239">
        <w:rPr>
          <w:rStyle w:val="FootnoteReference"/>
        </w:rPr>
        <w:footnoteRef/>
      </w:r>
      <w:r w:rsidRPr="00145239">
        <w:t xml:space="preserve"> See European Union's appellant's submission, para. 11 (quoting Panel Report, para. 6.822).</w:t>
      </w:r>
    </w:p>
  </w:footnote>
  <w:footnote w:id="889">
    <w:p w:rsidR="00FD2727" w:rsidRPr="00145239" w:rsidRDefault="00FD2727" w:rsidP="00267BCB">
      <w:pPr>
        <w:pStyle w:val="FootnoteText"/>
      </w:pPr>
      <w:r w:rsidRPr="00145239">
        <w:rPr>
          <w:rStyle w:val="FootnoteReference"/>
        </w:rPr>
        <w:footnoteRef/>
      </w:r>
      <w:r w:rsidRPr="00145239">
        <w:t xml:space="preserve"> Panel Report, paras. 6.872-6.879. </w:t>
      </w:r>
    </w:p>
  </w:footnote>
  <w:footnote w:id="890">
    <w:p w:rsidR="00FD2727" w:rsidRPr="00145239" w:rsidRDefault="00FD2727">
      <w:pPr>
        <w:pStyle w:val="FootnoteText"/>
      </w:pPr>
      <w:r w:rsidRPr="00145239">
        <w:rPr>
          <w:rStyle w:val="FootnoteReference"/>
        </w:rPr>
        <w:footnoteRef/>
      </w:r>
      <w:r w:rsidRPr="00145239">
        <w:t xml:space="preserve"> United States' appellee's submission, para. 8. For the condition underlying the appeal, see section 5.4.3 below.</w:t>
      </w:r>
    </w:p>
  </w:footnote>
  <w:footnote w:id="891">
    <w:p w:rsidR="00FD2727" w:rsidRPr="006758E7" w:rsidRDefault="00FD2727">
      <w:pPr>
        <w:pStyle w:val="FootnoteText"/>
      </w:pPr>
      <w:r w:rsidRPr="00145239">
        <w:rPr>
          <w:rStyle w:val="FootnoteReference"/>
        </w:rPr>
        <w:footnoteRef/>
      </w:r>
      <w:r w:rsidRPr="00145239">
        <w:t xml:space="preserve"> European Union's appellant's submission, para. 191. For the condition underlying the appeal, see section 5.4.4 below.</w:t>
      </w:r>
    </w:p>
  </w:footnote>
  <w:footnote w:id="892">
    <w:p w:rsidR="00FD2727" w:rsidRPr="006758E7" w:rsidRDefault="00FD2727" w:rsidP="00267BCB">
      <w:pPr>
        <w:pStyle w:val="FootnoteText"/>
      </w:pPr>
      <w:r w:rsidRPr="006758E7">
        <w:rPr>
          <w:rStyle w:val="FootnoteReference"/>
        </w:rPr>
        <w:footnoteRef/>
      </w:r>
      <w:r w:rsidRPr="006758E7">
        <w:t xml:space="preserve"> See European Union's appellant's submission, para. 11 (quoting Panel Report, para. 6.822).</w:t>
      </w:r>
    </w:p>
  </w:footnote>
  <w:footnote w:id="893">
    <w:p w:rsidR="00FD2727" w:rsidRDefault="00FD2727">
      <w:pPr>
        <w:pStyle w:val="FootnoteText"/>
      </w:pPr>
      <w:r w:rsidRPr="006758E7">
        <w:rPr>
          <w:rStyle w:val="FootnoteReference"/>
        </w:rPr>
        <w:footnoteRef/>
      </w:r>
      <w:r w:rsidRPr="006758E7">
        <w:t xml:space="preserve"> European</w:t>
      </w:r>
      <w:r>
        <w:t> Union</w:t>
      </w:r>
      <w:r w:rsidRPr="001075BE">
        <w:t xml:space="preserve">'s appellant's submission, </w:t>
      </w:r>
      <w:r>
        <w:t>para. 30.</w:t>
      </w:r>
    </w:p>
  </w:footnote>
  <w:footnote w:id="894">
    <w:p w:rsidR="00FD2727" w:rsidRPr="004637A0" w:rsidRDefault="00FD2727" w:rsidP="00267BCB">
      <w:pPr>
        <w:pStyle w:val="FootnoteText"/>
        <w:rPr>
          <w:szCs w:val="16"/>
        </w:rPr>
      </w:pPr>
      <w:r>
        <w:rPr>
          <w:rStyle w:val="FootnoteReference"/>
        </w:rPr>
        <w:footnoteRef/>
      </w:r>
      <w:r>
        <w:t xml:space="preserve"> </w:t>
      </w:r>
      <w:r>
        <w:rPr>
          <w:szCs w:val="16"/>
        </w:rPr>
        <w:t>D</w:t>
      </w:r>
      <w:r w:rsidRPr="00472637">
        <w:rPr>
          <w:szCs w:val="16"/>
        </w:rPr>
        <w:t>one at Vienna, 23 May 1969, UN Treaty Series, Vol. 1155, p. 331</w:t>
      </w:r>
      <w:r w:rsidRPr="00DC500C">
        <w:rPr>
          <w:snapToGrid w:val="0"/>
          <w:szCs w:val="16"/>
          <w:lang w:eastAsia="en-US"/>
        </w:rPr>
        <w:t>.</w:t>
      </w:r>
    </w:p>
  </w:footnote>
  <w:footnote w:id="895">
    <w:p w:rsidR="00FD2727" w:rsidRPr="001075BE" w:rsidRDefault="00FD2727" w:rsidP="00267BCB">
      <w:pPr>
        <w:pStyle w:val="FootnoteText"/>
      </w:pPr>
      <w:r w:rsidRPr="001075BE">
        <w:rPr>
          <w:rStyle w:val="FootnoteReference"/>
        </w:rPr>
        <w:footnoteRef/>
      </w:r>
      <w:r w:rsidRPr="001075BE">
        <w:t xml:space="preserve"> </w:t>
      </w:r>
      <w:r>
        <w:t>European Union</w:t>
      </w:r>
      <w:r w:rsidRPr="001075BE">
        <w:t xml:space="preserve">'s appellant's submission, </w:t>
      </w:r>
      <w:r>
        <w:t>para. </w:t>
      </w:r>
      <w:r w:rsidRPr="001075BE">
        <w:t xml:space="preserve">109 (quoting Panel Report, </w:t>
      </w:r>
      <w:r>
        <w:t>paras. </w:t>
      </w:r>
      <w:r w:rsidRPr="001075BE">
        <w:t>6.840 and</w:t>
      </w:r>
      <w:r>
        <w:t> </w:t>
      </w:r>
      <w:r w:rsidRPr="001075BE">
        <w:t>6.1094).</w:t>
      </w:r>
      <w:r>
        <w:t xml:space="preserve"> </w:t>
      </w:r>
    </w:p>
  </w:footnote>
  <w:footnote w:id="896">
    <w:p w:rsidR="00FD2727" w:rsidRDefault="00FD2727">
      <w:pPr>
        <w:pStyle w:val="FootnoteText"/>
      </w:pPr>
      <w:r>
        <w:rPr>
          <w:rStyle w:val="FootnoteReference"/>
        </w:rPr>
        <w:footnoteRef/>
      </w:r>
      <w:r>
        <w:t xml:space="preserve"> European Union's appellant's submission, para. 113. </w:t>
      </w:r>
    </w:p>
  </w:footnote>
  <w:footnote w:id="897">
    <w:p w:rsidR="00FD2727" w:rsidRDefault="00FD2727">
      <w:pPr>
        <w:pStyle w:val="FootnoteText"/>
      </w:pPr>
      <w:r>
        <w:rPr>
          <w:rStyle w:val="FootnoteReference"/>
        </w:rPr>
        <w:footnoteRef/>
      </w:r>
      <w:r>
        <w:t xml:space="preserve"> European Union's appellant's submission, para. 123. </w:t>
      </w:r>
    </w:p>
  </w:footnote>
  <w:footnote w:id="898">
    <w:p w:rsidR="00FD2727" w:rsidRPr="001075BE" w:rsidRDefault="00FD2727" w:rsidP="00267BCB">
      <w:pPr>
        <w:pStyle w:val="FootnoteText"/>
      </w:pPr>
      <w:r w:rsidRPr="001075BE">
        <w:rPr>
          <w:rStyle w:val="FootnoteReference"/>
        </w:rPr>
        <w:footnoteRef/>
      </w:r>
      <w:r w:rsidRPr="001075BE">
        <w:t xml:space="preserve"> </w:t>
      </w:r>
      <w:r>
        <w:t>European Union</w:t>
      </w:r>
      <w:r w:rsidRPr="001075BE">
        <w:t xml:space="preserve">'s appellant's submission, </w:t>
      </w:r>
      <w:r>
        <w:t>para. </w:t>
      </w:r>
      <w:r w:rsidRPr="001075BE">
        <w:t>12</w:t>
      </w:r>
      <w:r>
        <w:t>2</w:t>
      </w:r>
      <w:r w:rsidRPr="001075BE">
        <w:t>.</w:t>
      </w:r>
    </w:p>
  </w:footnote>
  <w:footnote w:id="899">
    <w:p w:rsidR="00FD2727" w:rsidRDefault="00FD2727" w:rsidP="00267BCB">
      <w:pPr>
        <w:pStyle w:val="FootnoteText"/>
      </w:pPr>
      <w:r>
        <w:rPr>
          <w:rStyle w:val="FootnoteReference"/>
        </w:rPr>
        <w:footnoteRef/>
      </w:r>
      <w:r>
        <w:t xml:space="preserve"> European Union's appellant's submission, paras. 126-181.</w:t>
      </w:r>
    </w:p>
  </w:footnote>
  <w:footnote w:id="900">
    <w:p w:rsidR="00FD2727" w:rsidRDefault="00FD2727">
      <w:pPr>
        <w:pStyle w:val="FootnoteText"/>
      </w:pPr>
      <w:r>
        <w:rPr>
          <w:rStyle w:val="FootnoteReference"/>
        </w:rPr>
        <w:footnoteRef/>
      </w:r>
      <w:r>
        <w:t xml:space="preserve"> European Union's appellant's submission, paras. 175-186.</w:t>
      </w:r>
    </w:p>
  </w:footnote>
  <w:footnote w:id="901">
    <w:p w:rsidR="00FD2727" w:rsidRDefault="00FD2727">
      <w:pPr>
        <w:pStyle w:val="FootnoteText"/>
      </w:pPr>
      <w:r>
        <w:rPr>
          <w:rStyle w:val="FootnoteReference"/>
        </w:rPr>
        <w:footnoteRef/>
      </w:r>
      <w:r>
        <w:t xml:space="preserve"> United States' appellee's submission, para. 37. </w:t>
      </w:r>
    </w:p>
  </w:footnote>
  <w:footnote w:id="902">
    <w:p w:rsidR="00FD2727" w:rsidRDefault="00FD2727">
      <w:pPr>
        <w:pStyle w:val="FootnoteText"/>
      </w:pPr>
      <w:r>
        <w:rPr>
          <w:rStyle w:val="FootnoteReference"/>
        </w:rPr>
        <w:footnoteRef/>
      </w:r>
      <w:r>
        <w:t xml:space="preserve"> United States' appellee's submission, para. 106.</w:t>
      </w:r>
    </w:p>
  </w:footnote>
  <w:footnote w:id="903">
    <w:p w:rsidR="00FD2727" w:rsidRDefault="00FD2727" w:rsidP="00267BCB">
      <w:pPr>
        <w:pStyle w:val="FootnoteText"/>
      </w:pPr>
      <w:r>
        <w:rPr>
          <w:rStyle w:val="FootnoteReference"/>
        </w:rPr>
        <w:footnoteRef/>
      </w:r>
      <w:r>
        <w:t xml:space="preserve"> United States' appellee's submission, para. 139. </w:t>
      </w:r>
    </w:p>
  </w:footnote>
  <w:footnote w:id="904">
    <w:p w:rsidR="00FD2727" w:rsidRPr="001075BE" w:rsidRDefault="00FD2727" w:rsidP="00267BCB">
      <w:pPr>
        <w:pStyle w:val="FootnoteText"/>
      </w:pPr>
      <w:r w:rsidRPr="001075BE">
        <w:rPr>
          <w:rStyle w:val="FootnoteReference"/>
        </w:rPr>
        <w:footnoteRef/>
      </w:r>
      <w:r w:rsidRPr="001075BE">
        <w:t xml:space="preserve"> Brazil's third participant's submission, </w:t>
      </w:r>
      <w:r>
        <w:t>para. 7</w:t>
      </w:r>
      <w:r w:rsidRPr="001075BE">
        <w:t>.</w:t>
      </w:r>
    </w:p>
  </w:footnote>
  <w:footnote w:id="905">
    <w:p w:rsidR="00FD2727" w:rsidRPr="00402B5D" w:rsidRDefault="00FD2727" w:rsidP="00267BCB">
      <w:pPr>
        <w:pStyle w:val="FootnoteText"/>
      </w:pPr>
      <w:r>
        <w:rPr>
          <w:rStyle w:val="FootnoteReference"/>
        </w:rPr>
        <w:footnoteRef/>
      </w:r>
      <w:r>
        <w:t xml:space="preserve"> </w:t>
      </w:r>
      <w:r w:rsidRPr="00402B5D">
        <w:t xml:space="preserve">Brazil's third participant's submission, </w:t>
      </w:r>
      <w:r>
        <w:t>para. </w:t>
      </w:r>
      <w:r w:rsidRPr="00402B5D">
        <w:t>10.</w:t>
      </w:r>
    </w:p>
  </w:footnote>
  <w:footnote w:id="906">
    <w:p w:rsidR="00FD2727" w:rsidRPr="001075BE" w:rsidRDefault="00FD2727" w:rsidP="00267BCB">
      <w:pPr>
        <w:pStyle w:val="FootnoteText"/>
      </w:pPr>
      <w:r w:rsidRPr="001075BE">
        <w:rPr>
          <w:rStyle w:val="FootnoteReference"/>
        </w:rPr>
        <w:footnoteRef/>
      </w:r>
      <w:r w:rsidRPr="001075BE">
        <w:t xml:space="preserve"> Brazil's third participant's submission, </w:t>
      </w:r>
      <w:r>
        <w:t>para. </w:t>
      </w:r>
      <w:r w:rsidRPr="001075BE">
        <w:t>14.</w:t>
      </w:r>
      <w:r>
        <w:t xml:space="preserve"> (fn omitted)</w:t>
      </w:r>
    </w:p>
  </w:footnote>
  <w:footnote w:id="907">
    <w:p w:rsidR="00FD2727" w:rsidRPr="001075BE" w:rsidRDefault="00FD2727" w:rsidP="00267BCB">
      <w:pPr>
        <w:pStyle w:val="FootnoteText"/>
      </w:pPr>
      <w:r w:rsidRPr="001075BE">
        <w:rPr>
          <w:rStyle w:val="FootnoteReference"/>
        </w:rPr>
        <w:footnoteRef/>
      </w:r>
      <w:r w:rsidRPr="001075BE">
        <w:t xml:space="preserve"> Canada's third participant's submission, </w:t>
      </w:r>
      <w:r>
        <w:t>para. </w:t>
      </w:r>
      <w:r w:rsidRPr="001075BE">
        <w:t>22.</w:t>
      </w:r>
    </w:p>
  </w:footnote>
  <w:footnote w:id="908">
    <w:p w:rsidR="00FD2727" w:rsidRDefault="00FD2727" w:rsidP="00267BCB">
      <w:pPr>
        <w:pStyle w:val="FootnoteText"/>
      </w:pPr>
      <w:r>
        <w:rPr>
          <w:rStyle w:val="FootnoteReference"/>
        </w:rPr>
        <w:footnoteRef/>
      </w:r>
      <w:r>
        <w:t xml:space="preserve"> Canada's third participant's submission, para. 74.</w:t>
      </w:r>
    </w:p>
  </w:footnote>
  <w:footnote w:id="909">
    <w:p w:rsidR="00FD2727" w:rsidRDefault="00FD2727">
      <w:pPr>
        <w:pStyle w:val="FootnoteText"/>
      </w:pPr>
      <w:r>
        <w:rPr>
          <w:rStyle w:val="FootnoteReference"/>
        </w:rPr>
        <w:footnoteRef/>
      </w:r>
      <w:r>
        <w:t xml:space="preserve"> China's third participant's submission, para. 20. </w:t>
      </w:r>
    </w:p>
  </w:footnote>
  <w:footnote w:id="910">
    <w:p w:rsidR="00FD2727" w:rsidRPr="001A443A" w:rsidRDefault="00FD2727" w:rsidP="00267BCB">
      <w:pPr>
        <w:pStyle w:val="FootnoteText"/>
      </w:pPr>
      <w:r>
        <w:rPr>
          <w:rStyle w:val="FootnoteReference"/>
        </w:rPr>
        <w:footnoteRef/>
      </w:r>
      <w:r>
        <w:t xml:space="preserve"> China's third participant's submission, paras. </w:t>
      </w:r>
      <w:r w:rsidRPr="001A443A">
        <w:t>11-55.</w:t>
      </w:r>
    </w:p>
  </w:footnote>
  <w:footnote w:id="911">
    <w:p w:rsidR="00FD2727" w:rsidRDefault="00FD2727" w:rsidP="00267BCB">
      <w:pPr>
        <w:pStyle w:val="FootnoteText"/>
      </w:pPr>
      <w:r w:rsidRPr="001A443A">
        <w:rPr>
          <w:rStyle w:val="FootnoteReference"/>
        </w:rPr>
        <w:footnoteRef/>
      </w:r>
      <w:r w:rsidRPr="001A443A">
        <w:t xml:space="preserve"> Japan's third participant's submission, </w:t>
      </w:r>
      <w:r>
        <w:t>paras. </w:t>
      </w:r>
      <w:r w:rsidRPr="001A443A">
        <w:t>11 and 14.</w:t>
      </w:r>
    </w:p>
  </w:footnote>
  <w:footnote w:id="912">
    <w:p w:rsidR="00FD2727" w:rsidRDefault="00FD2727" w:rsidP="00267BCB">
      <w:pPr>
        <w:pStyle w:val="FootnoteText"/>
      </w:pPr>
      <w:r>
        <w:rPr>
          <w:rStyle w:val="FootnoteReference"/>
        </w:rPr>
        <w:footnoteRef/>
      </w:r>
      <w:r>
        <w:t xml:space="preserve"> Emphasis added.</w:t>
      </w:r>
    </w:p>
  </w:footnote>
  <w:footnote w:id="913">
    <w:p w:rsidR="00FD2727" w:rsidRPr="00CC79EA" w:rsidRDefault="00FD2727" w:rsidP="00267BCB">
      <w:pPr>
        <w:pStyle w:val="FootnoteText"/>
      </w:pPr>
      <w:r w:rsidRPr="00CC79EA">
        <w:rPr>
          <w:rStyle w:val="FootnoteReference"/>
        </w:rPr>
        <w:footnoteRef/>
      </w:r>
      <w:r w:rsidRPr="00CC79EA">
        <w:t xml:space="preserve"> </w:t>
      </w:r>
      <w:r>
        <w:t>See Appellate Body</w:t>
      </w:r>
      <w:r w:rsidRPr="00CC79EA">
        <w:t xml:space="preserve"> Report, </w:t>
      </w:r>
      <w:r w:rsidRPr="00CC79EA">
        <w:rPr>
          <w:i/>
        </w:rPr>
        <w:t xml:space="preserve">US – Upland </w:t>
      </w:r>
      <w:r w:rsidRPr="00D92851">
        <w:rPr>
          <w:i/>
        </w:rPr>
        <w:t>Cotton</w:t>
      </w:r>
      <w:r w:rsidRPr="00CC79EA">
        <w:t xml:space="preserve"> </w:t>
      </w:r>
      <w:r w:rsidRPr="00CC79EA">
        <w:rPr>
          <w:i/>
        </w:rPr>
        <w:t>(</w:t>
      </w:r>
      <w:r>
        <w:rPr>
          <w:i/>
        </w:rPr>
        <w:t>Article </w:t>
      </w:r>
      <w:r w:rsidRPr="00CC79EA">
        <w:rPr>
          <w:i/>
        </w:rPr>
        <w:t>21.5 – Brazil)</w:t>
      </w:r>
      <w:r w:rsidRPr="00CC79EA">
        <w:t xml:space="preserve">, </w:t>
      </w:r>
      <w:r>
        <w:t>para. </w:t>
      </w:r>
      <w:r w:rsidRPr="00CC79EA">
        <w:t>236.</w:t>
      </w:r>
    </w:p>
  </w:footnote>
  <w:footnote w:id="914">
    <w:p w:rsidR="00FD2727" w:rsidRDefault="00FD2727" w:rsidP="00267BCB">
      <w:pPr>
        <w:pStyle w:val="FootnoteText"/>
      </w:pPr>
      <w:r>
        <w:rPr>
          <w:rStyle w:val="FootnoteReference"/>
        </w:rPr>
        <w:footnoteRef/>
      </w:r>
      <w:r>
        <w:t xml:space="preserve"> European Union's appellant's submission, para. 38.</w:t>
      </w:r>
    </w:p>
  </w:footnote>
  <w:footnote w:id="915">
    <w:p w:rsidR="00FD2727" w:rsidRDefault="00FD2727" w:rsidP="00267BCB">
      <w:pPr>
        <w:pStyle w:val="FootnoteText"/>
      </w:pPr>
      <w:r>
        <w:rPr>
          <w:rStyle w:val="FootnoteReference"/>
        </w:rPr>
        <w:footnoteRef/>
      </w:r>
      <w:r>
        <w:t xml:space="preserve"> United States' appellee's submission, para. 55.</w:t>
      </w:r>
    </w:p>
  </w:footnote>
  <w:footnote w:id="916">
    <w:p w:rsidR="00FD2727" w:rsidRDefault="00FD2727">
      <w:pPr>
        <w:pStyle w:val="FootnoteText"/>
      </w:pPr>
      <w:r>
        <w:rPr>
          <w:rStyle w:val="FootnoteReference"/>
        </w:rPr>
        <w:footnoteRef/>
      </w:r>
      <w:r>
        <w:t xml:space="preserve"> We note in this regard the Appellate Body's statement that "</w:t>
      </w:r>
      <w:r w:rsidRPr="003A5062">
        <w:rPr>
          <w:bCs/>
        </w:rPr>
        <w:t>Article 5 reflects the notion that it is the causing, through the use of any subsidy, of adverse effects, rather than the granting of the subsidy that is the situation that is addressed by that provision."</w:t>
      </w:r>
      <w:r>
        <w:rPr>
          <w:bCs/>
        </w:rPr>
        <w:t xml:space="preserve"> The Appellate Body added that</w:t>
      </w:r>
      <w:r w:rsidRPr="00E630FE">
        <w:rPr>
          <w:bCs/>
        </w:rPr>
        <w:t xml:space="preserve"> </w:t>
      </w:r>
      <w:r>
        <w:rPr>
          <w:bCs/>
        </w:rPr>
        <w:t>"P</w:t>
      </w:r>
      <w:r w:rsidRPr="00E630FE">
        <w:rPr>
          <w:bCs/>
        </w:rPr>
        <w:t xml:space="preserve">art III </w:t>
      </w:r>
      <w:r>
        <w:rPr>
          <w:bCs/>
        </w:rPr>
        <w:t xml:space="preserve">{of the SCM Agreement} </w:t>
      </w:r>
      <w:r w:rsidRPr="00E630FE">
        <w:rPr>
          <w:bCs/>
        </w:rPr>
        <w:t>generally is concerned with a situation that continues over time, rather than with specific acts.</w:t>
      </w:r>
      <w:r>
        <w:rPr>
          <w:bCs/>
        </w:rPr>
        <w:t>" (</w:t>
      </w:r>
      <w:r w:rsidRPr="00E630FE">
        <w:rPr>
          <w:bCs/>
        </w:rPr>
        <w:t xml:space="preserve">Appellate Body Report, </w:t>
      </w:r>
      <w:r w:rsidRPr="00E630FE">
        <w:rPr>
          <w:bCs/>
          <w:i/>
        </w:rPr>
        <w:t xml:space="preserve">EC and certain member States </w:t>
      </w:r>
      <w:r>
        <w:rPr>
          <w:bCs/>
          <w:i/>
        </w:rPr>
        <w:t>–</w:t>
      </w:r>
      <w:r w:rsidRPr="00E630FE">
        <w:rPr>
          <w:bCs/>
          <w:i/>
        </w:rPr>
        <w:t xml:space="preserve"> Large Civil Aircraft</w:t>
      </w:r>
      <w:r w:rsidRPr="00E630FE">
        <w:rPr>
          <w:bCs/>
        </w:rPr>
        <w:t>, p</w:t>
      </w:r>
      <w:r>
        <w:rPr>
          <w:bCs/>
        </w:rPr>
        <w:t>ara. 681 (fn </w:t>
      </w:r>
      <w:r w:rsidRPr="00E630FE">
        <w:rPr>
          <w:bCs/>
        </w:rPr>
        <w:t>omitted)</w:t>
      </w:r>
      <w:r>
        <w:rPr>
          <w:bCs/>
        </w:rPr>
        <w:t>)</w:t>
      </w:r>
    </w:p>
  </w:footnote>
  <w:footnote w:id="917">
    <w:p w:rsidR="00FD2727" w:rsidRPr="0036659F" w:rsidRDefault="00FD2727" w:rsidP="00267BCB">
      <w:pPr>
        <w:pStyle w:val="FootnoteText"/>
        <w:rPr>
          <w:szCs w:val="16"/>
        </w:rPr>
      </w:pPr>
      <w:r w:rsidRPr="0036659F">
        <w:rPr>
          <w:rStyle w:val="FootnoteReference"/>
        </w:rPr>
        <w:footnoteRef/>
      </w:r>
      <w:r w:rsidRPr="0036659F">
        <w:rPr>
          <w:szCs w:val="16"/>
        </w:rPr>
        <w:t xml:space="preserve"> Appellate Body Report, </w:t>
      </w:r>
      <w:r w:rsidRPr="0036659F">
        <w:rPr>
          <w:i/>
          <w:szCs w:val="16"/>
        </w:rPr>
        <w:t xml:space="preserve">US </w:t>
      </w:r>
      <w:r>
        <w:rPr>
          <w:i/>
          <w:szCs w:val="16"/>
        </w:rPr>
        <w:t>–</w:t>
      </w:r>
      <w:r w:rsidRPr="0036659F">
        <w:rPr>
          <w:i/>
          <w:szCs w:val="16"/>
        </w:rPr>
        <w:t xml:space="preserve"> Upland Cotton (Article 21.5 – Brazil)</w:t>
      </w:r>
      <w:r w:rsidRPr="0036659F">
        <w:rPr>
          <w:szCs w:val="16"/>
        </w:rPr>
        <w:t>, para. 237.</w:t>
      </w:r>
    </w:p>
  </w:footnote>
  <w:footnote w:id="918">
    <w:p w:rsidR="00FD2727" w:rsidRPr="001075BE" w:rsidRDefault="00FD2727" w:rsidP="00267BCB">
      <w:pPr>
        <w:pStyle w:val="FootnoteText"/>
      </w:pPr>
      <w:r w:rsidRPr="001075BE">
        <w:rPr>
          <w:rStyle w:val="FootnoteReference"/>
        </w:rPr>
        <w:footnoteRef/>
      </w:r>
      <w:r w:rsidRPr="001075BE">
        <w:t xml:space="preserve"> Panel Report, </w:t>
      </w:r>
      <w:r>
        <w:t>para. </w:t>
      </w:r>
      <w:r w:rsidRPr="001075BE">
        <w:t xml:space="preserve">6.802. </w:t>
      </w:r>
    </w:p>
  </w:footnote>
  <w:footnote w:id="919">
    <w:p w:rsidR="00FD2727" w:rsidRPr="001075BE" w:rsidRDefault="00FD2727" w:rsidP="00267BCB">
      <w:pPr>
        <w:pStyle w:val="FootnoteText"/>
      </w:pPr>
      <w:r w:rsidRPr="001075BE">
        <w:rPr>
          <w:rStyle w:val="FootnoteReference"/>
        </w:rPr>
        <w:footnoteRef/>
      </w:r>
      <w:r w:rsidRPr="001075BE">
        <w:t xml:space="preserve"> Panel Report, </w:t>
      </w:r>
      <w:r>
        <w:t>para. </w:t>
      </w:r>
      <w:r w:rsidRPr="001075BE">
        <w:t>6.802. (emphasis original)</w:t>
      </w:r>
    </w:p>
  </w:footnote>
  <w:footnote w:id="920">
    <w:p w:rsidR="00FD2727" w:rsidRPr="001075BE" w:rsidRDefault="00FD2727" w:rsidP="00267BCB">
      <w:pPr>
        <w:pStyle w:val="FootnoteText"/>
      </w:pPr>
      <w:r w:rsidRPr="001075BE">
        <w:rPr>
          <w:rStyle w:val="FootnoteReference"/>
        </w:rPr>
        <w:footnoteRef/>
      </w:r>
      <w:r w:rsidRPr="001075BE">
        <w:t xml:space="preserve"> Panel Report, </w:t>
      </w:r>
      <w:r>
        <w:t>para. </w:t>
      </w:r>
      <w:r w:rsidRPr="001075BE">
        <w:t>6.10</w:t>
      </w:r>
      <w:r>
        <w:t>85</w:t>
      </w:r>
      <w:r w:rsidRPr="001075BE">
        <w:t>.</w:t>
      </w:r>
    </w:p>
  </w:footnote>
  <w:footnote w:id="921">
    <w:p w:rsidR="00FD2727" w:rsidRPr="001075BE" w:rsidRDefault="00FD2727" w:rsidP="00267BCB">
      <w:pPr>
        <w:pStyle w:val="FootnoteText"/>
      </w:pPr>
      <w:r w:rsidRPr="001075BE">
        <w:rPr>
          <w:rStyle w:val="FootnoteReference"/>
        </w:rPr>
        <w:footnoteRef/>
      </w:r>
      <w:r w:rsidRPr="001075BE">
        <w:t xml:space="preserve"> Panel Report, </w:t>
      </w:r>
      <w:r>
        <w:t>para. </w:t>
      </w:r>
      <w:r w:rsidRPr="001075BE">
        <w:t>6.1088.</w:t>
      </w:r>
    </w:p>
  </w:footnote>
  <w:footnote w:id="922">
    <w:p w:rsidR="00FD2727" w:rsidRPr="0036659F" w:rsidRDefault="00FD2727" w:rsidP="00267BCB">
      <w:pPr>
        <w:pStyle w:val="FootnoteText"/>
        <w:rPr>
          <w:szCs w:val="16"/>
        </w:rPr>
      </w:pPr>
      <w:r w:rsidRPr="0036659F">
        <w:rPr>
          <w:rStyle w:val="FootnoteReference"/>
        </w:rPr>
        <w:footnoteRef/>
      </w:r>
      <w:r w:rsidRPr="0036659F">
        <w:rPr>
          <w:szCs w:val="16"/>
        </w:rPr>
        <w:t xml:space="preserve"> </w:t>
      </w:r>
      <w:r w:rsidRPr="0036659F">
        <w:rPr>
          <w:szCs w:val="16"/>
          <w:lang w:val="en-US"/>
        </w:rPr>
        <w:t xml:space="preserve">Panel Report, </w:t>
      </w:r>
      <w:r w:rsidRPr="0036659F">
        <w:rPr>
          <w:szCs w:val="16"/>
        </w:rPr>
        <w:t>para. 6.1098.</w:t>
      </w:r>
      <w:r>
        <w:rPr>
          <w:szCs w:val="16"/>
        </w:rPr>
        <w:t xml:space="preserve"> (emphasis original)</w:t>
      </w:r>
    </w:p>
  </w:footnote>
  <w:footnote w:id="923">
    <w:p w:rsidR="00FD2727" w:rsidRPr="001075BE" w:rsidRDefault="00FD2727" w:rsidP="00267BCB">
      <w:pPr>
        <w:pStyle w:val="FootnoteText"/>
      </w:pPr>
      <w:r w:rsidRPr="00CC79EA">
        <w:rPr>
          <w:rStyle w:val="FootnoteReference"/>
        </w:rPr>
        <w:footnoteRef/>
      </w:r>
      <w:r w:rsidRPr="00CC79EA">
        <w:t xml:space="preserve"> </w:t>
      </w:r>
      <w:r w:rsidRPr="00CC79EA">
        <w:rPr>
          <w:i/>
        </w:rPr>
        <w:t>Shorter Oxford English Dictionary</w:t>
      </w:r>
      <w:r w:rsidRPr="00CC79EA">
        <w:t>, 6th edn, A. Stevenson (ed.) (Oxford University Press, 2007), Vol. 2, p. 3652.</w:t>
      </w:r>
    </w:p>
  </w:footnote>
  <w:footnote w:id="924">
    <w:p w:rsidR="00FD2727" w:rsidRDefault="00FD2727">
      <w:pPr>
        <w:pStyle w:val="FootnoteText"/>
      </w:pPr>
      <w:r>
        <w:rPr>
          <w:rStyle w:val="FootnoteReference"/>
        </w:rPr>
        <w:footnoteRef/>
      </w:r>
      <w:r>
        <w:t xml:space="preserve"> Panel Report, para. 6.1098. (italics original; underlining added)</w:t>
      </w:r>
    </w:p>
  </w:footnote>
  <w:footnote w:id="925">
    <w:p w:rsidR="00FD2727" w:rsidRPr="001075BE" w:rsidRDefault="00FD2727" w:rsidP="00267BCB">
      <w:pPr>
        <w:pStyle w:val="FootnoteText"/>
      </w:pPr>
      <w:r w:rsidRPr="001075BE">
        <w:rPr>
          <w:rStyle w:val="FootnoteReference"/>
        </w:rPr>
        <w:footnoteRef/>
      </w:r>
      <w:r w:rsidRPr="001075BE">
        <w:t xml:space="preserve"> Panel Report, </w:t>
      </w:r>
      <w:r>
        <w:t>para. </w:t>
      </w:r>
      <w:r w:rsidRPr="001075BE">
        <w:t>6.1099.</w:t>
      </w:r>
      <w:r>
        <w:t xml:space="preserve"> (emphasis original)</w:t>
      </w:r>
    </w:p>
  </w:footnote>
  <w:footnote w:id="926">
    <w:p w:rsidR="00FD2727" w:rsidRPr="001075BE" w:rsidRDefault="00FD2727" w:rsidP="00267BCB">
      <w:pPr>
        <w:pStyle w:val="FootnoteText"/>
      </w:pPr>
      <w:r w:rsidRPr="001075BE">
        <w:rPr>
          <w:rStyle w:val="FootnoteReference"/>
        </w:rPr>
        <w:footnoteRef/>
      </w:r>
      <w:r w:rsidRPr="001075BE">
        <w:t xml:space="preserve"> Panel Report, </w:t>
      </w:r>
      <w:r>
        <w:t>para. </w:t>
      </w:r>
      <w:r w:rsidRPr="001075BE">
        <w:t>6.1099.</w:t>
      </w:r>
    </w:p>
  </w:footnote>
  <w:footnote w:id="927">
    <w:p w:rsidR="00FD2727" w:rsidRPr="00CC79EA" w:rsidRDefault="00FD2727" w:rsidP="00267BCB">
      <w:pPr>
        <w:pStyle w:val="FootnoteText"/>
      </w:pPr>
      <w:r w:rsidRPr="00CC79EA">
        <w:rPr>
          <w:rStyle w:val="FootnoteReference"/>
        </w:rPr>
        <w:footnoteRef/>
      </w:r>
      <w:r w:rsidRPr="00CC79EA">
        <w:t xml:space="preserve"> </w:t>
      </w:r>
      <w:r>
        <w:t>Appellate Body</w:t>
      </w:r>
      <w:r w:rsidRPr="00CC79EA">
        <w:t xml:space="preserve"> Report, </w:t>
      </w:r>
      <w:r w:rsidRPr="00CC79EA">
        <w:rPr>
          <w:i/>
        </w:rPr>
        <w:t xml:space="preserve">US – Upland </w:t>
      </w:r>
      <w:r w:rsidRPr="00D92851">
        <w:rPr>
          <w:i/>
        </w:rPr>
        <w:t>Cotton</w:t>
      </w:r>
      <w:r w:rsidRPr="00CC79EA">
        <w:t xml:space="preserve"> </w:t>
      </w:r>
      <w:r w:rsidRPr="00CC79EA">
        <w:rPr>
          <w:i/>
        </w:rPr>
        <w:t>(</w:t>
      </w:r>
      <w:r>
        <w:rPr>
          <w:i/>
        </w:rPr>
        <w:t>Article </w:t>
      </w:r>
      <w:r w:rsidRPr="00CC79EA">
        <w:rPr>
          <w:i/>
        </w:rPr>
        <w:t>21.5 – Brazil)</w:t>
      </w:r>
      <w:r w:rsidRPr="00CC79EA">
        <w:t xml:space="preserve">, </w:t>
      </w:r>
      <w:r>
        <w:t>para. </w:t>
      </w:r>
      <w:r w:rsidRPr="00CC79EA">
        <w:t>23</w:t>
      </w:r>
      <w:r>
        <w:t>5</w:t>
      </w:r>
      <w:r w:rsidRPr="00CC79EA">
        <w:t>.</w:t>
      </w:r>
      <w:r>
        <w:t xml:space="preserve"> (emphasis added)</w:t>
      </w:r>
    </w:p>
  </w:footnote>
  <w:footnote w:id="928">
    <w:p w:rsidR="00FD2727" w:rsidRDefault="00FD2727" w:rsidP="00267BCB">
      <w:pPr>
        <w:pStyle w:val="FootnoteText"/>
      </w:pPr>
      <w:r>
        <w:rPr>
          <w:rStyle w:val="FootnoteReference"/>
        </w:rPr>
        <w:footnoteRef/>
      </w:r>
      <w:r>
        <w:t xml:space="preserve"> Panel Report, para. 6.803. </w:t>
      </w:r>
    </w:p>
  </w:footnote>
  <w:footnote w:id="929">
    <w:p w:rsidR="00FD2727" w:rsidRDefault="00FD2727">
      <w:pPr>
        <w:pStyle w:val="FootnoteText"/>
      </w:pPr>
      <w:r>
        <w:rPr>
          <w:rStyle w:val="FootnoteReference"/>
        </w:rPr>
        <w:footnoteRef/>
      </w:r>
      <w:r>
        <w:t xml:space="preserve"> Emphasis added.</w:t>
      </w:r>
    </w:p>
  </w:footnote>
  <w:footnote w:id="930">
    <w:p w:rsidR="00FD2727" w:rsidRPr="001075BE" w:rsidRDefault="00FD2727" w:rsidP="00267BCB">
      <w:pPr>
        <w:pStyle w:val="FootnoteText"/>
      </w:pPr>
      <w:r w:rsidRPr="001075BE">
        <w:rPr>
          <w:rStyle w:val="FootnoteReference"/>
        </w:rPr>
        <w:footnoteRef/>
      </w:r>
      <w:r w:rsidRPr="001075BE">
        <w:t xml:space="preserve"> </w:t>
      </w:r>
      <w:r>
        <w:t>European Union</w:t>
      </w:r>
      <w:r w:rsidRPr="001075BE">
        <w:t xml:space="preserve">'s appellant's submission, </w:t>
      </w:r>
      <w:r>
        <w:t>para. </w:t>
      </w:r>
      <w:r w:rsidRPr="001075BE">
        <w:t>164.</w:t>
      </w:r>
    </w:p>
  </w:footnote>
  <w:footnote w:id="931">
    <w:p w:rsidR="00FD2727" w:rsidRPr="001075BE" w:rsidRDefault="00FD2727" w:rsidP="00267BCB">
      <w:pPr>
        <w:pStyle w:val="FootnoteText"/>
      </w:pPr>
      <w:r w:rsidRPr="001075BE">
        <w:rPr>
          <w:rStyle w:val="FootnoteReference"/>
        </w:rPr>
        <w:footnoteRef/>
      </w:r>
      <w:r w:rsidRPr="001075BE">
        <w:t xml:space="preserve"> Panel Report, </w:t>
      </w:r>
      <w:r>
        <w:t>para. </w:t>
      </w:r>
      <w:r w:rsidRPr="001075BE">
        <w:t>6.820.</w:t>
      </w:r>
    </w:p>
  </w:footnote>
  <w:footnote w:id="932">
    <w:p w:rsidR="00FD2727" w:rsidRPr="00CC79EA" w:rsidRDefault="00FD2727" w:rsidP="00267BCB">
      <w:pPr>
        <w:pStyle w:val="FootnoteText"/>
      </w:pPr>
      <w:r w:rsidRPr="00CC79EA">
        <w:rPr>
          <w:rStyle w:val="FootnoteReference"/>
        </w:rPr>
        <w:footnoteRef/>
      </w:r>
      <w:r w:rsidRPr="00CC79EA">
        <w:t xml:space="preserve"> Panel Report, </w:t>
      </w:r>
      <w:r>
        <w:t>para. </w:t>
      </w:r>
      <w:r w:rsidRPr="00CC79EA">
        <w:t xml:space="preserve">6.820 (quoting </w:t>
      </w:r>
      <w:r>
        <w:t>Appellate Body</w:t>
      </w:r>
      <w:r w:rsidRPr="00CC79EA">
        <w:t xml:space="preserve"> Report, </w:t>
      </w:r>
      <w:r>
        <w:rPr>
          <w:i/>
        </w:rPr>
        <w:t>EC and certain member States </w:t>
      </w:r>
      <w:r w:rsidRPr="00CC79EA">
        <w:rPr>
          <w:i/>
        </w:rPr>
        <w:t>– Large Civil Aircraft</w:t>
      </w:r>
      <w:r w:rsidRPr="00CC79EA">
        <w:t xml:space="preserve">, </w:t>
      </w:r>
      <w:r>
        <w:t>para. </w:t>
      </w:r>
      <w:r w:rsidRPr="00CC79EA">
        <w:t>712 (</w:t>
      </w:r>
      <w:r>
        <w:t xml:space="preserve">original italics omitted; </w:t>
      </w:r>
      <w:r w:rsidRPr="00CC79EA">
        <w:t>emphasis added by the Panel)).</w:t>
      </w:r>
    </w:p>
  </w:footnote>
  <w:footnote w:id="933">
    <w:p w:rsidR="00FD2727" w:rsidRDefault="00FD2727">
      <w:pPr>
        <w:pStyle w:val="FootnoteText"/>
      </w:pPr>
      <w:r>
        <w:rPr>
          <w:rStyle w:val="FootnoteReference"/>
        </w:rPr>
        <w:footnoteRef/>
      </w:r>
      <w:r>
        <w:t xml:space="preserve"> </w:t>
      </w:r>
      <w:r w:rsidRPr="00982697">
        <w:t>Although there may be a time lag between the provision of a subsidy and its effects, the Appellate</w:t>
      </w:r>
      <w:r>
        <w:t> </w:t>
      </w:r>
      <w:r w:rsidRPr="00982697">
        <w:t xml:space="preserve">Body emphasized that the "effects of a subsidy will ordinarily dissipate over time and will end at some point after the subsidy has expired. Indeed, as with a subsidy that has a finite life and materializes over time, so too do the effects of a subsidy accrue and diminish over time." (Appellate Body Report, </w:t>
      </w:r>
      <w:r w:rsidRPr="00982697">
        <w:rPr>
          <w:i/>
        </w:rPr>
        <w:t>EC and certain member States – Large Civil Aircraft</w:t>
      </w:r>
      <w:r w:rsidRPr="00982697">
        <w:t>, para. 713)</w:t>
      </w:r>
    </w:p>
  </w:footnote>
  <w:footnote w:id="934">
    <w:p w:rsidR="00FD2727" w:rsidRPr="001075BE" w:rsidRDefault="00FD2727" w:rsidP="00267BCB">
      <w:pPr>
        <w:pStyle w:val="FootnoteText"/>
      </w:pPr>
      <w:r w:rsidRPr="00CC79EA">
        <w:rPr>
          <w:rStyle w:val="FootnoteReference"/>
        </w:rPr>
        <w:footnoteRef/>
      </w:r>
      <w:r w:rsidRPr="00CC79EA">
        <w:t xml:space="preserve"> </w:t>
      </w:r>
      <w:r>
        <w:t>Appellate Body</w:t>
      </w:r>
      <w:r w:rsidRPr="00CC79EA">
        <w:t xml:space="preserve"> Report, </w:t>
      </w:r>
      <w:r w:rsidRPr="00CC79EA">
        <w:rPr>
          <w:i/>
        </w:rPr>
        <w:t>EC and certain member States – Large Civil Aircraft</w:t>
      </w:r>
      <w:r w:rsidRPr="00CC79EA">
        <w:t xml:space="preserve">, </w:t>
      </w:r>
      <w:r>
        <w:t>para. </w:t>
      </w:r>
      <w:r w:rsidRPr="00CC79EA">
        <w:t>712.</w:t>
      </w:r>
    </w:p>
  </w:footnote>
  <w:footnote w:id="935">
    <w:p w:rsidR="00FD2727" w:rsidRPr="001075BE" w:rsidRDefault="00FD2727" w:rsidP="00267BCB">
      <w:pPr>
        <w:pStyle w:val="FootnoteText"/>
      </w:pPr>
      <w:r w:rsidRPr="00CC79EA">
        <w:rPr>
          <w:rStyle w:val="FootnoteReference"/>
        </w:rPr>
        <w:footnoteRef/>
      </w:r>
      <w:r w:rsidRPr="00CC79EA">
        <w:t xml:space="preserve"> Panel Report, </w:t>
      </w:r>
      <w:r>
        <w:t>para. </w:t>
      </w:r>
      <w:r w:rsidRPr="00CC79EA">
        <w:t>6.822.</w:t>
      </w:r>
      <w:r>
        <w:t xml:space="preserve"> (emphasis omitted)</w:t>
      </w:r>
    </w:p>
  </w:footnote>
  <w:footnote w:id="936">
    <w:p w:rsidR="00FD2727" w:rsidRPr="001075BE" w:rsidRDefault="00FD2727" w:rsidP="00267BCB">
      <w:pPr>
        <w:pStyle w:val="FootnoteText"/>
      </w:pPr>
      <w:r w:rsidRPr="001075BE">
        <w:rPr>
          <w:rStyle w:val="FootnoteReference"/>
        </w:rPr>
        <w:footnoteRef/>
      </w:r>
      <w:r w:rsidRPr="001075BE">
        <w:t xml:space="preserve"> </w:t>
      </w:r>
      <w:r>
        <w:t>United States</w:t>
      </w:r>
      <w:r w:rsidRPr="001075BE">
        <w:t xml:space="preserve">' appellee's submission, </w:t>
      </w:r>
      <w:r>
        <w:t>para. </w:t>
      </w:r>
      <w:r w:rsidRPr="001075BE">
        <w:t>114. (emphasis original)</w:t>
      </w:r>
    </w:p>
  </w:footnote>
  <w:footnote w:id="937">
    <w:p w:rsidR="00FD2727" w:rsidRPr="001075BE" w:rsidRDefault="00FD2727" w:rsidP="00267BCB">
      <w:pPr>
        <w:pStyle w:val="FootnoteText"/>
      </w:pPr>
      <w:r w:rsidRPr="001075BE">
        <w:rPr>
          <w:rStyle w:val="FootnoteReference"/>
        </w:rPr>
        <w:footnoteRef/>
      </w:r>
      <w:r w:rsidRPr="001075BE">
        <w:t xml:space="preserve"> </w:t>
      </w:r>
      <w:r>
        <w:t>United States</w:t>
      </w:r>
      <w:r w:rsidRPr="001075BE">
        <w:t xml:space="preserve">' appellee's submission, </w:t>
      </w:r>
      <w:r>
        <w:t>para. </w:t>
      </w:r>
      <w:r w:rsidRPr="001075BE">
        <w:t>112.</w:t>
      </w:r>
    </w:p>
  </w:footnote>
  <w:footnote w:id="938">
    <w:p w:rsidR="00FD2727" w:rsidRPr="001075BE" w:rsidRDefault="00FD2727" w:rsidP="00267BCB">
      <w:pPr>
        <w:pStyle w:val="FootnoteText"/>
      </w:pPr>
      <w:r w:rsidRPr="001075BE">
        <w:rPr>
          <w:rStyle w:val="FootnoteReference"/>
        </w:rPr>
        <w:footnoteRef/>
      </w:r>
      <w:r w:rsidRPr="001075BE">
        <w:t xml:space="preserve"> </w:t>
      </w:r>
      <w:r>
        <w:t>United States</w:t>
      </w:r>
      <w:r w:rsidRPr="001075BE">
        <w:t xml:space="preserve">' appellee's submission, </w:t>
      </w:r>
      <w:r>
        <w:t>para. </w:t>
      </w:r>
      <w:r w:rsidRPr="001075BE">
        <w:t>115.</w:t>
      </w:r>
    </w:p>
  </w:footnote>
  <w:footnote w:id="939">
    <w:p w:rsidR="00FD2727" w:rsidRPr="001075BE" w:rsidRDefault="00FD2727" w:rsidP="006758E7">
      <w:pPr>
        <w:pStyle w:val="FootnoteText"/>
        <w:keepNext/>
        <w:keepLines/>
      </w:pPr>
      <w:r w:rsidRPr="00CC79EA">
        <w:rPr>
          <w:rStyle w:val="FootnoteReference"/>
        </w:rPr>
        <w:footnoteRef/>
      </w:r>
      <w:r w:rsidRPr="00CC79EA">
        <w:t xml:space="preserve"> </w:t>
      </w:r>
      <w:r>
        <w:t>Appellate Body</w:t>
      </w:r>
      <w:r w:rsidRPr="00CC79EA">
        <w:t xml:space="preserve"> Report, </w:t>
      </w:r>
      <w:r w:rsidRPr="00CC79EA">
        <w:rPr>
          <w:i/>
        </w:rPr>
        <w:t>EC and certain member States – Large Civil Aircraft</w:t>
      </w:r>
      <w:r w:rsidRPr="00CC79EA">
        <w:t xml:space="preserve">, </w:t>
      </w:r>
      <w:r>
        <w:t>para. </w:t>
      </w:r>
      <w:r w:rsidRPr="00CC79EA">
        <w:t>712</w:t>
      </w:r>
      <w:r>
        <w:t>. The Appellate Body</w:t>
      </w:r>
      <w:r w:rsidRPr="001075BE">
        <w:t xml:space="preserve"> </w:t>
      </w:r>
      <w:r>
        <w:t>found</w:t>
      </w:r>
      <w:r w:rsidRPr="001075BE">
        <w:t xml:space="preserve"> that "the requirement {under Articles 5 and 6 of the </w:t>
      </w:r>
      <w:r>
        <w:t>SCM Agreement</w:t>
      </w:r>
      <w:r w:rsidRPr="001075BE">
        <w:t>} that the effects of subsidies be felt in the reference period, does not mean that the subsidies, and in particular the benefit conferred, must also be present during that period"</w:t>
      </w:r>
      <w:r>
        <w:t>. (Ibid.)</w:t>
      </w:r>
    </w:p>
  </w:footnote>
  <w:footnote w:id="940">
    <w:p w:rsidR="00FD2727" w:rsidRPr="001075BE" w:rsidRDefault="00FD2727" w:rsidP="00267BCB">
      <w:pPr>
        <w:pStyle w:val="FootnoteText"/>
      </w:pPr>
      <w:r w:rsidRPr="001075BE">
        <w:rPr>
          <w:rStyle w:val="FootnoteReference"/>
        </w:rPr>
        <w:footnoteRef/>
      </w:r>
      <w:r w:rsidRPr="001075BE">
        <w:t xml:space="preserve"> </w:t>
      </w:r>
      <w:r>
        <w:t>United States</w:t>
      </w:r>
      <w:r w:rsidRPr="001075BE">
        <w:t xml:space="preserve">' appellee's submission, </w:t>
      </w:r>
      <w:r>
        <w:t>para. </w:t>
      </w:r>
      <w:r w:rsidRPr="001075BE">
        <w:t>115.</w:t>
      </w:r>
    </w:p>
  </w:footnote>
  <w:footnote w:id="941">
    <w:p w:rsidR="00FD2727" w:rsidRPr="001075BE" w:rsidRDefault="00FD2727" w:rsidP="00267BCB">
      <w:pPr>
        <w:pStyle w:val="FootnoteText"/>
      </w:pPr>
      <w:r w:rsidRPr="00CC79EA">
        <w:rPr>
          <w:rStyle w:val="FootnoteReference"/>
        </w:rPr>
        <w:footnoteRef/>
      </w:r>
      <w:r w:rsidRPr="00CC79EA">
        <w:t xml:space="preserve"> Panel Report, </w:t>
      </w:r>
      <w:r>
        <w:t>para. </w:t>
      </w:r>
      <w:r w:rsidRPr="00CC79EA">
        <w:t>6.819.</w:t>
      </w:r>
    </w:p>
  </w:footnote>
  <w:footnote w:id="942">
    <w:p w:rsidR="00FD2727" w:rsidRDefault="00FD2727" w:rsidP="00267BCB">
      <w:pPr>
        <w:pStyle w:val="FootnoteText"/>
      </w:pPr>
      <w:r>
        <w:rPr>
          <w:rStyle w:val="FootnoteReference"/>
        </w:rPr>
        <w:footnoteRef/>
      </w:r>
      <w:r>
        <w:t xml:space="preserve"> Appellate Body</w:t>
      </w:r>
      <w:r w:rsidRPr="00CC79EA">
        <w:t xml:space="preserve"> Report, </w:t>
      </w:r>
      <w:r w:rsidRPr="00CC79EA">
        <w:rPr>
          <w:i/>
        </w:rPr>
        <w:t>US – Upland Cotton (</w:t>
      </w:r>
      <w:r>
        <w:rPr>
          <w:i/>
        </w:rPr>
        <w:t>Article </w:t>
      </w:r>
      <w:r w:rsidRPr="00CC79EA">
        <w:rPr>
          <w:i/>
        </w:rPr>
        <w:t>21.5 – Brazil)</w:t>
      </w:r>
      <w:r w:rsidRPr="00CC79EA">
        <w:t xml:space="preserve">, </w:t>
      </w:r>
      <w:r>
        <w:t>para. </w:t>
      </w:r>
      <w:r w:rsidRPr="00CC79EA">
        <w:t>23</w:t>
      </w:r>
      <w:r>
        <w:t>7.</w:t>
      </w:r>
      <w:r w:rsidRPr="00356CDF">
        <w:t xml:space="preserve"> </w:t>
      </w:r>
      <w:r>
        <w:t>The Appellate Body highlighted that effective compliance under Article 7.8 would not permit a situation in which "the adverse effects of subsequent payments would simply replace the adverse effects that the implementing Member was under an obligation to remove." (Ibid. See also paras. 238, 241, and 245)</w:t>
      </w:r>
    </w:p>
  </w:footnote>
  <w:footnote w:id="943">
    <w:p w:rsidR="00FD2727" w:rsidRPr="001075BE" w:rsidRDefault="00FD2727" w:rsidP="00267BCB">
      <w:pPr>
        <w:pStyle w:val="FootnoteText"/>
      </w:pPr>
      <w:r w:rsidRPr="001075BE">
        <w:rPr>
          <w:rStyle w:val="FootnoteReference"/>
        </w:rPr>
        <w:footnoteRef/>
      </w:r>
      <w:r w:rsidRPr="001075BE">
        <w:t xml:space="preserve"> Panel Report, </w:t>
      </w:r>
      <w:r>
        <w:t>para. </w:t>
      </w:r>
      <w:r w:rsidRPr="001075BE">
        <w:t>6.833. (emphasis original)</w:t>
      </w:r>
      <w:r>
        <w:t xml:space="preserve"> See also para. 6.831 (referring to Appellate Body Reports, </w:t>
      </w:r>
      <w:r>
        <w:rPr>
          <w:i/>
        </w:rPr>
        <w:t>China – Raw Materials</w:t>
      </w:r>
      <w:r>
        <w:t>, paras. 263-265).</w:t>
      </w:r>
    </w:p>
  </w:footnote>
  <w:footnote w:id="944">
    <w:p w:rsidR="00FD2727" w:rsidRPr="001075BE" w:rsidRDefault="00FD2727" w:rsidP="00267BCB">
      <w:pPr>
        <w:pStyle w:val="FootnoteText"/>
      </w:pPr>
      <w:r w:rsidRPr="001075BE">
        <w:rPr>
          <w:rStyle w:val="FootnoteReference"/>
        </w:rPr>
        <w:footnoteRef/>
      </w:r>
      <w:r w:rsidRPr="001075BE">
        <w:t xml:space="preserve"> Panel Report, </w:t>
      </w:r>
      <w:r>
        <w:t>para. </w:t>
      </w:r>
      <w:r w:rsidRPr="001075BE">
        <w:t>6.835.</w:t>
      </w:r>
    </w:p>
  </w:footnote>
  <w:footnote w:id="945">
    <w:p w:rsidR="00FD2727" w:rsidRPr="00C30553" w:rsidRDefault="00FD2727" w:rsidP="00267BCB">
      <w:pPr>
        <w:pStyle w:val="FootnoteText"/>
      </w:pPr>
      <w:r w:rsidRPr="00C30553">
        <w:rPr>
          <w:rStyle w:val="FootnoteReference"/>
        </w:rPr>
        <w:footnoteRef/>
      </w:r>
      <w:r>
        <w:t xml:space="preserve"> Appellate Body</w:t>
      </w:r>
      <w:r w:rsidRPr="00CC79EA">
        <w:t xml:space="preserve"> Reports, </w:t>
      </w:r>
      <w:r w:rsidRPr="00CC79EA">
        <w:rPr>
          <w:i/>
        </w:rPr>
        <w:t>China – Raw Materials</w:t>
      </w:r>
      <w:r w:rsidRPr="00CC79EA">
        <w:t xml:space="preserve">, </w:t>
      </w:r>
      <w:r>
        <w:t>para. </w:t>
      </w:r>
      <w:r w:rsidRPr="00CC79EA">
        <w:t>26</w:t>
      </w:r>
      <w:r>
        <w:t>0</w:t>
      </w:r>
      <w:r w:rsidRPr="00C30553">
        <w:t>.</w:t>
      </w:r>
    </w:p>
  </w:footnote>
  <w:footnote w:id="946">
    <w:p w:rsidR="00FD2727" w:rsidRPr="001075BE" w:rsidRDefault="00FD2727" w:rsidP="00267BCB">
      <w:pPr>
        <w:pStyle w:val="FootnoteText"/>
      </w:pPr>
      <w:r w:rsidRPr="001075BE">
        <w:rPr>
          <w:rStyle w:val="FootnoteReference"/>
        </w:rPr>
        <w:footnoteRef/>
      </w:r>
      <w:r w:rsidRPr="001075BE">
        <w:t xml:space="preserve"> Panel Report, </w:t>
      </w:r>
      <w:r>
        <w:t>para. </w:t>
      </w:r>
      <w:r w:rsidRPr="001075BE">
        <w:t>6.833. (emphasis original)</w:t>
      </w:r>
    </w:p>
  </w:footnote>
  <w:footnote w:id="947">
    <w:p w:rsidR="00FD2727" w:rsidRPr="001075BE" w:rsidRDefault="00FD2727" w:rsidP="00267BCB">
      <w:pPr>
        <w:pStyle w:val="FootnoteText"/>
      </w:pPr>
      <w:r w:rsidRPr="001075BE">
        <w:rPr>
          <w:rStyle w:val="FootnoteReference"/>
        </w:rPr>
        <w:footnoteRef/>
      </w:r>
      <w:r w:rsidRPr="001075BE">
        <w:t xml:space="preserve"> </w:t>
      </w:r>
      <w:r>
        <w:t xml:space="preserve">See </w:t>
      </w:r>
      <w:r w:rsidRPr="001075BE">
        <w:t xml:space="preserve">Canada's third participant's submission, </w:t>
      </w:r>
      <w:r>
        <w:t>para. </w:t>
      </w:r>
      <w:r w:rsidRPr="001075BE">
        <w:t>60</w:t>
      </w:r>
      <w:r>
        <w:t>;</w:t>
      </w:r>
      <w:r w:rsidRPr="001075BE">
        <w:t xml:space="preserve"> China's third participant's submission, </w:t>
      </w:r>
      <w:r>
        <w:t>paras. </w:t>
      </w:r>
      <w:r w:rsidRPr="001075BE">
        <w:t>32-36.</w:t>
      </w:r>
    </w:p>
  </w:footnote>
  <w:footnote w:id="948">
    <w:p w:rsidR="00FD2727" w:rsidRPr="001075BE" w:rsidRDefault="00FD2727" w:rsidP="00267BCB">
      <w:pPr>
        <w:pStyle w:val="FootnoteText"/>
      </w:pPr>
      <w:r w:rsidRPr="00CC79EA">
        <w:rPr>
          <w:rStyle w:val="FootnoteReference"/>
        </w:rPr>
        <w:footnoteRef/>
      </w:r>
      <w:r w:rsidRPr="00CC79EA">
        <w:t xml:space="preserve"> </w:t>
      </w:r>
      <w:r>
        <w:t>Appellate Body</w:t>
      </w:r>
      <w:r w:rsidRPr="00CC79EA">
        <w:t xml:space="preserve"> Report, </w:t>
      </w:r>
      <w:r w:rsidRPr="00CC79EA">
        <w:rPr>
          <w:i/>
        </w:rPr>
        <w:t>Guatemala – Cement I</w:t>
      </w:r>
      <w:r w:rsidRPr="00CC79EA">
        <w:t xml:space="preserve">, </w:t>
      </w:r>
      <w:r>
        <w:t>para. </w:t>
      </w:r>
      <w:r w:rsidRPr="00CC79EA">
        <w:t>65. (emphasis original)</w:t>
      </w:r>
    </w:p>
  </w:footnote>
  <w:footnote w:id="949">
    <w:p w:rsidR="00FD2727" w:rsidRDefault="00FD2727">
      <w:pPr>
        <w:pStyle w:val="FootnoteText"/>
      </w:pPr>
      <w:r>
        <w:rPr>
          <w:rStyle w:val="FootnoteReference"/>
        </w:rPr>
        <w:footnoteRef/>
      </w:r>
      <w:r>
        <w:t xml:space="preserve"> Article 3.7 of the DSU.</w:t>
      </w:r>
    </w:p>
  </w:footnote>
  <w:footnote w:id="950">
    <w:p w:rsidR="00FD2727" w:rsidRPr="00AD2E12" w:rsidRDefault="00FD2727">
      <w:pPr>
        <w:pStyle w:val="FootnoteText"/>
        <w:rPr>
          <w:lang w:val="en-US"/>
        </w:rPr>
      </w:pPr>
      <w:r>
        <w:rPr>
          <w:rStyle w:val="FootnoteReference"/>
        </w:rPr>
        <w:footnoteRef/>
      </w:r>
      <w:r>
        <w:t xml:space="preserve"> </w:t>
      </w:r>
      <w:r>
        <w:rPr>
          <w:lang w:val="en-US"/>
        </w:rPr>
        <w:t>Footnote omitted.</w:t>
      </w:r>
    </w:p>
  </w:footnote>
  <w:footnote w:id="951">
    <w:p w:rsidR="00FD2727" w:rsidRPr="001075BE" w:rsidRDefault="00FD2727" w:rsidP="00267BCB">
      <w:pPr>
        <w:pStyle w:val="FootnoteText"/>
      </w:pPr>
      <w:r w:rsidRPr="001075BE">
        <w:rPr>
          <w:rStyle w:val="FootnoteReference"/>
        </w:rPr>
        <w:footnoteRef/>
      </w:r>
      <w:r w:rsidRPr="001075BE">
        <w:t xml:space="preserve"> Panel Report, </w:t>
      </w:r>
      <w:r>
        <w:t>para. </w:t>
      </w:r>
      <w:r w:rsidRPr="001075BE">
        <w:t xml:space="preserve">6.807. </w:t>
      </w:r>
    </w:p>
  </w:footnote>
  <w:footnote w:id="952">
    <w:p w:rsidR="00FD2727" w:rsidRPr="001075BE" w:rsidRDefault="00FD2727" w:rsidP="00267BCB">
      <w:pPr>
        <w:pStyle w:val="FootnoteText"/>
      </w:pPr>
      <w:r w:rsidRPr="001075BE">
        <w:rPr>
          <w:rStyle w:val="FootnoteReference"/>
        </w:rPr>
        <w:footnoteRef/>
      </w:r>
      <w:r w:rsidRPr="001075BE">
        <w:t xml:space="preserve"> Canada's third participant's submission, </w:t>
      </w:r>
      <w:r>
        <w:t>para. </w:t>
      </w:r>
      <w:r w:rsidRPr="001075BE">
        <w:t>70.</w:t>
      </w:r>
    </w:p>
  </w:footnote>
  <w:footnote w:id="953">
    <w:p w:rsidR="00FD2727" w:rsidRPr="00CC79EA" w:rsidRDefault="00FD2727" w:rsidP="00267BCB">
      <w:pPr>
        <w:pStyle w:val="FootnoteText"/>
      </w:pPr>
      <w:r w:rsidRPr="00CC79EA">
        <w:rPr>
          <w:rStyle w:val="FootnoteReference"/>
        </w:rPr>
        <w:footnoteRef/>
      </w:r>
      <w:r w:rsidRPr="00CC79EA">
        <w:t xml:space="preserve"> </w:t>
      </w:r>
      <w:r>
        <w:t>Appellate Body</w:t>
      </w:r>
      <w:r w:rsidRPr="00CC79EA">
        <w:t xml:space="preserve"> Report, </w:t>
      </w:r>
      <w:r w:rsidRPr="00CC79EA">
        <w:rPr>
          <w:i/>
        </w:rPr>
        <w:t>US – Softwood Lumber IV</w:t>
      </w:r>
      <w:r w:rsidRPr="00CC79EA">
        <w:t xml:space="preserve">, </w:t>
      </w:r>
      <w:r>
        <w:t>para. </w:t>
      </w:r>
      <w:r w:rsidRPr="00CC79EA">
        <w:t xml:space="preserve">64. </w:t>
      </w:r>
    </w:p>
  </w:footnote>
  <w:footnote w:id="954">
    <w:p w:rsidR="00FD2727" w:rsidRPr="001075BE" w:rsidRDefault="00FD2727" w:rsidP="00267BCB">
      <w:pPr>
        <w:pStyle w:val="FootnoteText"/>
      </w:pPr>
      <w:r w:rsidRPr="00CC79EA">
        <w:rPr>
          <w:rStyle w:val="FootnoteReference"/>
        </w:rPr>
        <w:footnoteRef/>
      </w:r>
      <w:r w:rsidRPr="00CC79EA">
        <w:t xml:space="preserve"> </w:t>
      </w:r>
      <w:r>
        <w:t>Appellate Body</w:t>
      </w:r>
      <w:r w:rsidRPr="00CC79EA">
        <w:t xml:space="preserve"> Report, </w:t>
      </w:r>
      <w:r w:rsidRPr="00CC79EA">
        <w:rPr>
          <w:i/>
        </w:rPr>
        <w:t>US – Countervailing Duty Investigation on DRAMS</w:t>
      </w:r>
      <w:r w:rsidRPr="00CC79EA">
        <w:t xml:space="preserve">, </w:t>
      </w:r>
      <w:r>
        <w:t>para. </w:t>
      </w:r>
      <w:r w:rsidRPr="00CC79EA">
        <w:t>115. (emphasis added)</w:t>
      </w:r>
    </w:p>
  </w:footnote>
  <w:footnote w:id="955">
    <w:p w:rsidR="00FD2727" w:rsidRDefault="00FD2727">
      <w:pPr>
        <w:pStyle w:val="FootnoteText"/>
      </w:pPr>
      <w:r>
        <w:rPr>
          <w:rStyle w:val="FootnoteReference"/>
        </w:rPr>
        <w:footnoteRef/>
      </w:r>
      <w:r>
        <w:t xml:space="preserve"> Article 19.1 of the SCM Agreement specifies that countervailing duties may be imposed, under certain conditions, "unless the subsidy or subsidies are withdrawn".</w:t>
      </w:r>
    </w:p>
  </w:footnote>
  <w:footnote w:id="956">
    <w:p w:rsidR="00FD2727" w:rsidRDefault="00FD2727" w:rsidP="00267BCB">
      <w:pPr>
        <w:pStyle w:val="FootnoteText"/>
      </w:pPr>
      <w:r>
        <w:rPr>
          <w:rStyle w:val="FootnoteReference"/>
        </w:rPr>
        <w:footnoteRef/>
      </w:r>
      <w:r>
        <w:t xml:space="preserve"> European Union's response to Panel question No. 46(a), para. 122. </w:t>
      </w:r>
    </w:p>
  </w:footnote>
  <w:footnote w:id="957">
    <w:p w:rsidR="00FD2727" w:rsidRPr="00594AAB" w:rsidRDefault="00FD2727" w:rsidP="00267BCB">
      <w:pPr>
        <w:pStyle w:val="FootnoteText"/>
        <w:rPr>
          <w:szCs w:val="16"/>
        </w:rPr>
      </w:pPr>
      <w:r w:rsidRPr="00594AAB">
        <w:rPr>
          <w:rStyle w:val="FootnoteReference"/>
        </w:rPr>
        <w:footnoteRef/>
      </w:r>
      <w:r w:rsidRPr="00594AAB">
        <w:rPr>
          <w:szCs w:val="16"/>
        </w:rPr>
        <w:t xml:space="preserve"> </w:t>
      </w:r>
      <w:r w:rsidRPr="00F604FA">
        <w:rPr>
          <w:szCs w:val="16"/>
        </w:rPr>
        <w:t xml:space="preserve">See Appellate Body Reports, </w:t>
      </w:r>
      <w:r w:rsidRPr="00F604FA">
        <w:rPr>
          <w:i/>
          <w:color w:val="000000"/>
          <w:szCs w:val="16"/>
        </w:rPr>
        <w:t>US – Upland Cotton (Article 21.5 – Brazil)</w:t>
      </w:r>
      <w:r w:rsidRPr="00F604FA">
        <w:rPr>
          <w:szCs w:val="16"/>
        </w:rPr>
        <w:t xml:space="preserve">, fn 494 </w:t>
      </w:r>
      <w:r>
        <w:rPr>
          <w:szCs w:val="16"/>
        </w:rPr>
        <w:t xml:space="preserve">to para. 243; </w:t>
      </w:r>
      <w:r>
        <w:rPr>
          <w:i/>
          <w:color w:val="000000"/>
          <w:szCs w:val="16"/>
        </w:rPr>
        <w:t>US ‒</w:t>
      </w:r>
      <w:r>
        <w:t> </w:t>
      </w:r>
      <w:r w:rsidRPr="00F604FA">
        <w:rPr>
          <w:i/>
          <w:color w:val="000000"/>
          <w:szCs w:val="16"/>
        </w:rPr>
        <w:t>Zeroing (EC) (Article 21.5 – EC)</w:t>
      </w:r>
      <w:r w:rsidRPr="00F604FA">
        <w:rPr>
          <w:szCs w:val="16"/>
        </w:rPr>
        <w:t>, para. 299.</w:t>
      </w:r>
    </w:p>
  </w:footnote>
  <w:footnote w:id="958">
    <w:p w:rsidR="00FD2727" w:rsidRPr="001075BE" w:rsidRDefault="00FD2727" w:rsidP="00267BCB">
      <w:pPr>
        <w:pStyle w:val="FootnoteText"/>
      </w:pPr>
      <w:r w:rsidRPr="001075BE">
        <w:rPr>
          <w:rStyle w:val="FootnoteReference"/>
        </w:rPr>
        <w:footnoteRef/>
      </w:r>
      <w:r w:rsidRPr="001075BE">
        <w:t xml:space="preserve"> </w:t>
      </w:r>
      <w:r w:rsidRPr="003A5062">
        <w:t>Panel Report, para. 6.822.</w:t>
      </w:r>
      <w:r w:rsidRPr="001075BE">
        <w:t xml:space="preserve"> </w:t>
      </w:r>
    </w:p>
  </w:footnote>
  <w:footnote w:id="959">
    <w:p w:rsidR="00FD2727" w:rsidRPr="001075BE" w:rsidRDefault="00FD2727" w:rsidP="00267BCB">
      <w:pPr>
        <w:pStyle w:val="FootnoteText"/>
      </w:pPr>
      <w:r w:rsidRPr="001075BE">
        <w:rPr>
          <w:rStyle w:val="FootnoteReference"/>
        </w:rPr>
        <w:footnoteRef/>
      </w:r>
      <w:r w:rsidRPr="001075BE">
        <w:t xml:space="preserve"> </w:t>
      </w:r>
      <w:r>
        <w:t>United States</w:t>
      </w:r>
      <w:r w:rsidRPr="001075BE">
        <w:t xml:space="preserve">' other appellant's submission, </w:t>
      </w:r>
      <w:r>
        <w:t>para. </w:t>
      </w:r>
      <w:r w:rsidRPr="001075BE">
        <w:t>8.</w:t>
      </w:r>
    </w:p>
  </w:footnote>
  <w:footnote w:id="960">
    <w:p w:rsidR="00FD2727" w:rsidRPr="001075BE" w:rsidRDefault="00FD2727" w:rsidP="00267BCB">
      <w:pPr>
        <w:pStyle w:val="FootnoteText"/>
      </w:pPr>
      <w:r w:rsidRPr="001075BE">
        <w:rPr>
          <w:rStyle w:val="FootnoteReference"/>
        </w:rPr>
        <w:footnoteRef/>
      </w:r>
      <w:r w:rsidRPr="001075BE">
        <w:t xml:space="preserve"> </w:t>
      </w:r>
      <w:r>
        <w:t xml:space="preserve">United States' other appellant's submission, para. 8 (referring to </w:t>
      </w:r>
      <w:r w:rsidRPr="001075BE">
        <w:t xml:space="preserve">Panel Report, </w:t>
      </w:r>
      <w:r>
        <w:t>paras. 6.794 and </w:t>
      </w:r>
      <w:r w:rsidRPr="00A83B75">
        <w:t>7.1</w:t>
      </w:r>
      <w:r>
        <w:t>.</w:t>
      </w:r>
      <w:r w:rsidRPr="00A83B75">
        <w:t>d</w:t>
      </w:r>
      <w:r>
        <w:t>.</w:t>
      </w:r>
      <w:r w:rsidRPr="00A83B75">
        <w:t>ii</w:t>
      </w:r>
      <w:r>
        <w:t>-</w:t>
      </w:r>
      <w:r w:rsidRPr="00A83B75">
        <w:t>iii</w:t>
      </w:r>
      <w:r>
        <w:t xml:space="preserve">). </w:t>
      </w:r>
    </w:p>
  </w:footnote>
  <w:footnote w:id="961">
    <w:p w:rsidR="00FD2727" w:rsidRDefault="00FD2727" w:rsidP="00267BCB">
      <w:pPr>
        <w:pStyle w:val="FootnoteText"/>
      </w:pPr>
      <w:r>
        <w:rPr>
          <w:rStyle w:val="FootnoteReference"/>
        </w:rPr>
        <w:footnoteRef/>
      </w:r>
      <w:r>
        <w:t xml:space="preserve"> United States</w:t>
      </w:r>
      <w:r w:rsidRPr="0090005D">
        <w:t xml:space="preserve">' other appellant's submission, </w:t>
      </w:r>
      <w:r>
        <w:t>paras. </w:t>
      </w:r>
      <w:r w:rsidRPr="0090005D">
        <w:t>8, 17, and 18.</w:t>
      </w:r>
    </w:p>
  </w:footnote>
  <w:footnote w:id="962">
    <w:p w:rsidR="00FD2727" w:rsidRPr="0090005D" w:rsidRDefault="00FD2727" w:rsidP="00267BCB">
      <w:pPr>
        <w:pStyle w:val="FootnoteText"/>
        <w:keepLines/>
      </w:pPr>
      <w:r w:rsidRPr="0090005D">
        <w:rPr>
          <w:rStyle w:val="FootnoteReference"/>
        </w:rPr>
        <w:footnoteRef/>
      </w:r>
      <w:r w:rsidRPr="0090005D">
        <w:t xml:space="preserve"> </w:t>
      </w:r>
      <w:r>
        <w:t>United States' other appellant's submission, fn 15 to para. 8, and fn 35 to para. 17. The United States submits that, "if the Appellate Body were to find that the passive 'expiry' of LA/MSF for the A340</w:t>
      </w:r>
      <w:r>
        <w:noBreakHyphen/>
        <w:t xml:space="preserve">500/600 {after 1 December 2011} constitutes 'withdrawal' for purposes of Article 7.8 of the SCM Agreement, the United States conditionally appeals the Panel's finding that that tranche of LA/MSF expired in </w:t>
      </w:r>
      <w:r>
        <w:rPr>
          <w:b/>
        </w:rPr>
        <w:t>[</w:t>
      </w:r>
      <w:r w:rsidRPr="00C8434D">
        <w:rPr>
          <w:b/>
          <w:szCs w:val="16"/>
        </w:rPr>
        <w:t>BCI</w:t>
      </w:r>
      <w:r>
        <w:rPr>
          <w:b/>
        </w:rPr>
        <w:t>]</w:t>
      </w:r>
      <w:r>
        <w:t xml:space="preserve">". (Ibid., fn 15 to para. 8 (referring to Panel Report, </w:t>
      </w:r>
      <w:r w:rsidRPr="00CC0200">
        <w:t>Table 11</w:t>
      </w:r>
      <w:r>
        <w:t xml:space="preserve"> and para. 7.1.d.iii)) In footnote 1547 to paragraph 6.879, and in paragraph 7.1.d.iii of its Report, however, the Panel found that the </w:t>
      </w:r>
      <w:r w:rsidRPr="00CC0200">
        <w:rPr>
          <w:i/>
        </w:rPr>
        <w:t>ex ante</w:t>
      </w:r>
      <w:r>
        <w:t xml:space="preserve"> "lives" of the LA/MSF subsidies for </w:t>
      </w:r>
      <w:r w:rsidRPr="00F46B40">
        <w:rPr>
          <w:i/>
        </w:rPr>
        <w:t>both</w:t>
      </w:r>
      <w:r>
        <w:t xml:space="preserve"> the A330-200 </w:t>
      </w:r>
      <w:r w:rsidRPr="00F46B40">
        <w:rPr>
          <w:i/>
        </w:rPr>
        <w:t>and</w:t>
      </w:r>
      <w:r>
        <w:t xml:space="preserve"> the A340</w:t>
      </w:r>
      <w:r>
        <w:noBreakHyphen/>
        <w:t xml:space="preserve">500/600 had expired </w:t>
      </w:r>
      <w:r>
        <w:rPr>
          <w:i/>
        </w:rPr>
        <w:t>after</w:t>
      </w:r>
      <w:r>
        <w:t xml:space="preserve"> the end of the implementation period. In light of this Panel finding, and the United States' clarification at the oral hearing, we understand that the United States' appeal of the Panel's finding on the </w:t>
      </w:r>
      <w:r w:rsidRPr="00CC0200">
        <w:rPr>
          <w:i/>
        </w:rPr>
        <w:t xml:space="preserve">ex ante </w:t>
      </w:r>
      <w:r>
        <w:t>"life" of the A330</w:t>
      </w:r>
      <w:r>
        <w:noBreakHyphen/>
        <w:t xml:space="preserve">200 LA/MSF, like its appeal relating to the A340-500/600 LA/MSF, is also subject to the additional condition that we find that expiry </w:t>
      </w:r>
      <w:r w:rsidRPr="00C45C58">
        <w:rPr>
          <w:i/>
        </w:rPr>
        <w:t>after</w:t>
      </w:r>
      <w:r>
        <w:t xml:space="preserve"> the end of the implementation period constitutes withdrawal for purposes of Article 7.8 of the SCM Agreement. </w:t>
      </w:r>
    </w:p>
  </w:footnote>
  <w:footnote w:id="963">
    <w:p w:rsidR="00FD2727" w:rsidRPr="0090005D" w:rsidRDefault="00FD2727" w:rsidP="00267BCB">
      <w:pPr>
        <w:pStyle w:val="FootnoteText"/>
        <w:keepLines/>
      </w:pPr>
      <w:r w:rsidRPr="0090005D">
        <w:rPr>
          <w:rStyle w:val="FootnoteReference"/>
        </w:rPr>
        <w:footnoteRef/>
      </w:r>
      <w:r w:rsidRPr="0090005D">
        <w:t xml:space="preserve"> </w:t>
      </w:r>
      <w:r>
        <w:t>Appellate Body</w:t>
      </w:r>
      <w:r w:rsidRPr="0090005D">
        <w:t xml:space="preserve"> Report, </w:t>
      </w:r>
      <w:r w:rsidRPr="0090005D">
        <w:rPr>
          <w:i/>
        </w:rPr>
        <w:t>EC and certain member States – Large Civil Aircraft</w:t>
      </w:r>
      <w:r w:rsidRPr="0090005D">
        <w:t xml:space="preserve">, </w:t>
      </w:r>
      <w:r>
        <w:t>para. </w:t>
      </w:r>
      <w:r w:rsidRPr="0090005D">
        <w:t>701.</w:t>
      </w:r>
      <w:r>
        <w:t xml:space="preserve"> (emphasis omitted)</w:t>
      </w:r>
    </w:p>
  </w:footnote>
  <w:footnote w:id="964">
    <w:p w:rsidR="00FD2727" w:rsidRPr="0090005D" w:rsidRDefault="00FD2727" w:rsidP="00267BCB">
      <w:pPr>
        <w:pStyle w:val="FootnoteText"/>
        <w:keepLines/>
      </w:pPr>
      <w:r w:rsidRPr="0090005D">
        <w:rPr>
          <w:rStyle w:val="FootnoteReference"/>
        </w:rPr>
        <w:footnoteRef/>
      </w:r>
      <w:r w:rsidRPr="0090005D">
        <w:t xml:space="preserve"> </w:t>
      </w:r>
      <w:r>
        <w:t>Appellate Body</w:t>
      </w:r>
      <w:r w:rsidRPr="0090005D">
        <w:t xml:space="preserve"> Report, </w:t>
      </w:r>
      <w:r w:rsidRPr="0090005D">
        <w:rPr>
          <w:i/>
        </w:rPr>
        <w:t>EC and certain member States – Large Civil Aircraft</w:t>
      </w:r>
      <w:r w:rsidRPr="0090005D">
        <w:t xml:space="preserve">, </w:t>
      </w:r>
      <w:r>
        <w:t>para. </w:t>
      </w:r>
      <w:r w:rsidRPr="0090005D">
        <w:t>707. (</w:t>
      </w:r>
      <w:r>
        <w:t>italics original and omitted; underlining added; fn omitted</w:t>
      </w:r>
      <w:r w:rsidRPr="0090005D">
        <w:t>)</w:t>
      </w:r>
    </w:p>
  </w:footnote>
  <w:footnote w:id="965">
    <w:p w:rsidR="00FD2727" w:rsidRPr="0090005D" w:rsidRDefault="00FD2727" w:rsidP="00267BCB">
      <w:pPr>
        <w:pStyle w:val="FootnoteText"/>
        <w:keepLines/>
      </w:pPr>
      <w:r w:rsidRPr="0090005D">
        <w:rPr>
          <w:rStyle w:val="FootnoteReference"/>
        </w:rPr>
        <w:footnoteRef/>
      </w:r>
      <w:r w:rsidRPr="0090005D">
        <w:t xml:space="preserve"> </w:t>
      </w:r>
      <w:r>
        <w:t>Appellate Body</w:t>
      </w:r>
      <w:r w:rsidRPr="0090005D">
        <w:t xml:space="preserve"> Report, </w:t>
      </w:r>
      <w:r w:rsidRPr="0090005D">
        <w:rPr>
          <w:i/>
        </w:rPr>
        <w:t>EC and certain member States – Large Civil Aircraft</w:t>
      </w:r>
      <w:r w:rsidRPr="0090005D">
        <w:t xml:space="preserve">, </w:t>
      </w:r>
      <w:r>
        <w:t>para. </w:t>
      </w:r>
      <w:r w:rsidRPr="0090005D">
        <w:t>708.</w:t>
      </w:r>
    </w:p>
  </w:footnote>
  <w:footnote w:id="966">
    <w:p w:rsidR="00FD2727" w:rsidRPr="0090005D" w:rsidRDefault="00FD2727" w:rsidP="00267BCB">
      <w:pPr>
        <w:pStyle w:val="FootnoteText"/>
        <w:keepLines/>
      </w:pPr>
      <w:r w:rsidRPr="0090005D">
        <w:rPr>
          <w:rStyle w:val="FootnoteReference"/>
        </w:rPr>
        <w:footnoteRef/>
      </w:r>
      <w:r w:rsidRPr="0090005D">
        <w:t xml:space="preserve"> </w:t>
      </w:r>
      <w:r>
        <w:t>Appellate Body</w:t>
      </w:r>
      <w:r w:rsidRPr="0090005D">
        <w:t xml:space="preserve"> Report, </w:t>
      </w:r>
      <w:r w:rsidRPr="0090005D">
        <w:rPr>
          <w:i/>
        </w:rPr>
        <w:t>EC and certain member States – Large Civil Aircraft</w:t>
      </w:r>
      <w:r w:rsidRPr="0090005D">
        <w:t xml:space="preserve">, </w:t>
      </w:r>
      <w:r>
        <w:t>para. </w:t>
      </w:r>
      <w:r w:rsidRPr="0090005D">
        <w:t>709. (</w:t>
      </w:r>
      <w:r>
        <w:t xml:space="preserve">original </w:t>
      </w:r>
      <w:r w:rsidRPr="0090005D">
        <w:t xml:space="preserve">emphasis </w:t>
      </w:r>
      <w:r>
        <w:t xml:space="preserve">omitted; emphasis </w:t>
      </w:r>
      <w:r w:rsidRPr="0090005D">
        <w:t>added)</w:t>
      </w:r>
    </w:p>
  </w:footnote>
  <w:footnote w:id="967">
    <w:p w:rsidR="00FD2727" w:rsidRPr="0090005D" w:rsidRDefault="00FD2727" w:rsidP="00267BCB">
      <w:pPr>
        <w:pStyle w:val="FootnoteText"/>
        <w:keepLines/>
      </w:pPr>
      <w:r w:rsidRPr="0090005D">
        <w:rPr>
          <w:rStyle w:val="FootnoteReference"/>
        </w:rPr>
        <w:footnoteRef/>
      </w:r>
      <w:r w:rsidRPr="0090005D">
        <w:t xml:space="preserve"> </w:t>
      </w:r>
      <w:r>
        <w:t>Appellate Body</w:t>
      </w:r>
      <w:r w:rsidRPr="0090005D">
        <w:t xml:space="preserve"> Report, </w:t>
      </w:r>
      <w:r w:rsidRPr="0090005D">
        <w:rPr>
          <w:i/>
        </w:rPr>
        <w:t>EC and certain member States – Large Civil Aircraft</w:t>
      </w:r>
      <w:r w:rsidRPr="0090005D">
        <w:t xml:space="preserve">, </w:t>
      </w:r>
      <w:r>
        <w:t>para. </w:t>
      </w:r>
      <w:r w:rsidRPr="0090005D">
        <w:t>710.</w:t>
      </w:r>
      <w:r>
        <w:t xml:space="preserve"> (emphasis added)</w:t>
      </w:r>
    </w:p>
  </w:footnote>
  <w:footnote w:id="968">
    <w:p w:rsidR="00FD2727" w:rsidRPr="0090005D" w:rsidRDefault="00FD2727" w:rsidP="00267BCB">
      <w:pPr>
        <w:pStyle w:val="FootnoteText"/>
        <w:keepLines/>
      </w:pPr>
      <w:r w:rsidRPr="0090005D">
        <w:rPr>
          <w:rStyle w:val="FootnoteReference"/>
        </w:rPr>
        <w:footnoteRef/>
      </w:r>
      <w:r w:rsidRPr="0090005D">
        <w:t xml:space="preserve"> </w:t>
      </w:r>
      <w:r>
        <w:t>Appellate Body</w:t>
      </w:r>
      <w:r w:rsidRPr="0090005D">
        <w:t xml:space="preserve"> Report, </w:t>
      </w:r>
      <w:r w:rsidRPr="0090005D">
        <w:rPr>
          <w:i/>
        </w:rPr>
        <w:t>EC and certain member States – Large Civil Aircraft</w:t>
      </w:r>
      <w:r w:rsidRPr="0090005D">
        <w:t xml:space="preserve">, </w:t>
      </w:r>
      <w:r>
        <w:t>para. </w:t>
      </w:r>
      <w:r w:rsidRPr="0090005D">
        <w:t>714. (emphasis added)</w:t>
      </w:r>
    </w:p>
  </w:footnote>
  <w:footnote w:id="969">
    <w:p w:rsidR="00FD2727" w:rsidRPr="0090005D" w:rsidRDefault="00FD2727" w:rsidP="00267BCB">
      <w:pPr>
        <w:pStyle w:val="FootnoteText"/>
        <w:keepLines/>
      </w:pPr>
      <w:r w:rsidRPr="0090005D">
        <w:rPr>
          <w:rStyle w:val="FootnoteReference"/>
        </w:rPr>
        <w:footnoteRef/>
      </w:r>
      <w:r w:rsidRPr="0090005D">
        <w:t xml:space="preserve"> </w:t>
      </w:r>
      <w:r>
        <w:t>Appellate Body</w:t>
      </w:r>
      <w:r w:rsidRPr="0090005D">
        <w:t xml:space="preserve"> Report, </w:t>
      </w:r>
      <w:r w:rsidRPr="0090005D">
        <w:rPr>
          <w:i/>
        </w:rPr>
        <w:t>EC and certain member States – Large Civil Aircraft</w:t>
      </w:r>
      <w:r w:rsidRPr="0090005D">
        <w:t xml:space="preserve">, </w:t>
      </w:r>
      <w:r>
        <w:t>para. </w:t>
      </w:r>
      <w:r w:rsidRPr="0090005D">
        <w:t>710.</w:t>
      </w:r>
    </w:p>
  </w:footnote>
  <w:footnote w:id="970">
    <w:p w:rsidR="00FD2727" w:rsidRPr="0090005D" w:rsidRDefault="00FD2727" w:rsidP="00267BCB">
      <w:pPr>
        <w:pStyle w:val="FootnoteText"/>
        <w:keepLines/>
      </w:pPr>
      <w:r w:rsidRPr="0090005D">
        <w:rPr>
          <w:rStyle w:val="FootnoteReference"/>
        </w:rPr>
        <w:footnoteRef/>
      </w:r>
      <w:r w:rsidRPr="0090005D">
        <w:t xml:space="preserve"> </w:t>
      </w:r>
      <w:r>
        <w:t>Appellate Body</w:t>
      </w:r>
      <w:r w:rsidRPr="0090005D">
        <w:t xml:space="preserve"> Report, </w:t>
      </w:r>
      <w:r w:rsidRPr="0090005D">
        <w:rPr>
          <w:i/>
        </w:rPr>
        <w:t>EC and certain member States – Large Civil Aircraft</w:t>
      </w:r>
      <w:r w:rsidRPr="0090005D">
        <w:t xml:space="preserve">, </w:t>
      </w:r>
      <w:r>
        <w:t>paras. </w:t>
      </w:r>
      <w:r w:rsidRPr="0090005D">
        <w:t>1236 and 1241, respectively.</w:t>
      </w:r>
      <w:r>
        <w:t xml:space="preserve"> (italics and fn omitted)</w:t>
      </w:r>
    </w:p>
  </w:footnote>
  <w:footnote w:id="971">
    <w:p w:rsidR="00FD2727" w:rsidRPr="009A69AC" w:rsidRDefault="00FD2727" w:rsidP="00267BCB">
      <w:pPr>
        <w:pStyle w:val="FootnoteText"/>
      </w:pPr>
      <w:r>
        <w:rPr>
          <w:rStyle w:val="FootnoteReference"/>
        </w:rPr>
        <w:footnoteRef/>
      </w:r>
      <w:r>
        <w:t xml:space="preserve"> </w:t>
      </w:r>
      <w:r>
        <w:rPr>
          <w:szCs w:val="16"/>
        </w:rPr>
        <w:t xml:space="preserve">PricewaterhouseCoopers, "Analysis of the expected life of subsidies to Airbus conferred by Member State Financing Loans, Capital contributions and regional development grants as found in the WTO dispute DS316", 29 November 2011 and 2 July 2012 </w:t>
      </w:r>
      <w:r w:rsidRPr="009A69AC">
        <w:rPr>
          <w:szCs w:val="16"/>
        </w:rPr>
        <w:t>(</w:t>
      </w:r>
      <w:r>
        <w:rPr>
          <w:szCs w:val="16"/>
        </w:rPr>
        <w:t xml:space="preserve">Panel </w:t>
      </w:r>
      <w:r w:rsidRPr="009A69AC">
        <w:rPr>
          <w:szCs w:val="16"/>
        </w:rPr>
        <w:t>Exhibit</w:t>
      </w:r>
      <w:r w:rsidRPr="009A69AC">
        <w:t xml:space="preserve"> EU-5 (BCI/HSBI)</w:t>
      </w:r>
      <w:r>
        <w:t>)</w:t>
      </w:r>
      <w:r w:rsidRPr="009A69AC">
        <w:t>.</w:t>
      </w:r>
    </w:p>
  </w:footnote>
  <w:footnote w:id="972">
    <w:p w:rsidR="00FD2727" w:rsidRDefault="00FD2727" w:rsidP="00267BCB">
      <w:pPr>
        <w:pStyle w:val="FootnoteText"/>
      </w:pPr>
      <w:r>
        <w:rPr>
          <w:rStyle w:val="FootnoteReference"/>
        </w:rPr>
        <w:footnoteRef/>
      </w:r>
      <w:r>
        <w:t xml:space="preserve"> Panel Report, para. 6.874.</w:t>
      </w:r>
    </w:p>
  </w:footnote>
  <w:footnote w:id="973">
    <w:p w:rsidR="00FD2727" w:rsidRDefault="00FD2727" w:rsidP="00267BCB">
      <w:pPr>
        <w:pStyle w:val="FootnoteText"/>
      </w:pPr>
      <w:r>
        <w:rPr>
          <w:rStyle w:val="FootnoteReference"/>
        </w:rPr>
        <w:footnoteRef/>
      </w:r>
      <w:r>
        <w:t xml:space="preserve"> Panel Report, para. 6.874.</w:t>
      </w:r>
    </w:p>
  </w:footnote>
  <w:footnote w:id="974">
    <w:p w:rsidR="00FD2727" w:rsidRPr="0090005D" w:rsidRDefault="00FD2727" w:rsidP="00267BCB">
      <w:pPr>
        <w:pStyle w:val="FootnoteText"/>
        <w:keepLines/>
      </w:pPr>
      <w:r w:rsidRPr="0090005D">
        <w:rPr>
          <w:rStyle w:val="FootnoteReference"/>
        </w:rPr>
        <w:footnoteRef/>
      </w:r>
      <w:r w:rsidRPr="0090005D">
        <w:t xml:space="preserve"> Panel Report, </w:t>
      </w:r>
      <w:r>
        <w:t>para. </w:t>
      </w:r>
      <w:r w:rsidRPr="0090005D">
        <w:t>6.878.</w:t>
      </w:r>
    </w:p>
  </w:footnote>
  <w:footnote w:id="975">
    <w:p w:rsidR="00FD2727" w:rsidRPr="0090005D" w:rsidRDefault="00FD2727" w:rsidP="00267BCB">
      <w:pPr>
        <w:pStyle w:val="FootnoteText"/>
        <w:keepLines/>
      </w:pPr>
      <w:r w:rsidRPr="0090005D">
        <w:rPr>
          <w:rStyle w:val="FootnoteReference"/>
        </w:rPr>
        <w:footnoteRef/>
      </w:r>
      <w:r w:rsidRPr="0090005D">
        <w:t xml:space="preserve"> Panel Report, </w:t>
      </w:r>
      <w:r>
        <w:t>para. </w:t>
      </w:r>
      <w:r w:rsidRPr="0090005D">
        <w:t>6.878.</w:t>
      </w:r>
    </w:p>
  </w:footnote>
  <w:footnote w:id="976">
    <w:p w:rsidR="00FD2727" w:rsidRPr="0090005D" w:rsidRDefault="00FD2727" w:rsidP="00267BCB">
      <w:pPr>
        <w:pStyle w:val="FootnoteText"/>
        <w:keepLines/>
      </w:pPr>
      <w:r w:rsidRPr="0090005D">
        <w:rPr>
          <w:rStyle w:val="FootnoteReference"/>
        </w:rPr>
        <w:footnoteRef/>
      </w:r>
      <w:r w:rsidRPr="0090005D">
        <w:t xml:space="preserve"> Panel Report, </w:t>
      </w:r>
      <w:r>
        <w:t>para. </w:t>
      </w:r>
      <w:r w:rsidRPr="0090005D">
        <w:t>6.879.</w:t>
      </w:r>
    </w:p>
  </w:footnote>
  <w:footnote w:id="977">
    <w:p w:rsidR="00FD2727" w:rsidRPr="0090005D" w:rsidRDefault="00FD2727" w:rsidP="00267BCB">
      <w:pPr>
        <w:pStyle w:val="FootnoteText"/>
        <w:keepLines/>
      </w:pPr>
      <w:r w:rsidRPr="0090005D">
        <w:rPr>
          <w:rStyle w:val="FootnoteReference"/>
        </w:rPr>
        <w:footnoteRef/>
      </w:r>
      <w:r w:rsidRPr="0090005D">
        <w:t xml:space="preserve"> Panel Report, </w:t>
      </w:r>
      <w:r>
        <w:t>para. </w:t>
      </w:r>
      <w:r w:rsidRPr="0090005D">
        <w:t xml:space="preserve">6.879. </w:t>
      </w:r>
    </w:p>
  </w:footnote>
  <w:footnote w:id="978">
    <w:p w:rsidR="00FD2727" w:rsidRPr="0090005D" w:rsidRDefault="00FD2727" w:rsidP="00267BCB">
      <w:pPr>
        <w:pStyle w:val="FootnoteText"/>
        <w:keepLines/>
      </w:pPr>
      <w:r w:rsidRPr="0090005D">
        <w:rPr>
          <w:rStyle w:val="FootnoteReference"/>
        </w:rPr>
        <w:footnoteRef/>
      </w:r>
      <w:r w:rsidRPr="0090005D">
        <w:t xml:space="preserve"> Italics original; underlining added</w:t>
      </w:r>
      <w:r>
        <w:t>; fn omitted</w:t>
      </w:r>
      <w:r w:rsidRPr="0090005D">
        <w:t xml:space="preserve">. </w:t>
      </w:r>
    </w:p>
  </w:footnote>
  <w:footnote w:id="979">
    <w:p w:rsidR="00FD2727" w:rsidRPr="00783DB8" w:rsidRDefault="00FD2727">
      <w:pPr>
        <w:pStyle w:val="FootnoteText"/>
      </w:pPr>
      <w:r>
        <w:rPr>
          <w:rStyle w:val="FootnoteReference"/>
        </w:rPr>
        <w:footnoteRef/>
      </w:r>
      <w:r>
        <w:t xml:space="preserve"> </w:t>
      </w:r>
      <w:r w:rsidRPr="0090005D">
        <w:t xml:space="preserve">Panel Report, fn 1547 to </w:t>
      </w:r>
      <w:r>
        <w:t>para. </w:t>
      </w:r>
      <w:r w:rsidRPr="0090005D">
        <w:t>6.879</w:t>
      </w:r>
      <w:r>
        <w:t xml:space="preserve">. The Panel reached this finding on the basis of the Loan Life approach. (See Panel Report, Table 11: PwC </w:t>
      </w:r>
      <w:r>
        <w:rPr>
          <w:i/>
        </w:rPr>
        <w:t>ex ante</w:t>
      </w:r>
      <w:r>
        <w:t xml:space="preserve"> "Lives" analysis to LA/MSF) We note that, under the Marketing Life approach, the LA/MSF subsidy for the A330-200 would have expired by </w:t>
      </w:r>
      <w:r>
        <w:rPr>
          <w:b/>
        </w:rPr>
        <w:t>[</w:t>
      </w:r>
      <w:r w:rsidRPr="00C8434D">
        <w:rPr>
          <w:b/>
          <w:szCs w:val="16"/>
        </w:rPr>
        <w:t>BCI</w:t>
      </w:r>
      <w:r>
        <w:rPr>
          <w:b/>
        </w:rPr>
        <w:t>]</w:t>
      </w:r>
      <w:r>
        <w:t xml:space="preserve"> – that is, before the end of the implementation period – and the LA/MSF subsidy for the A340-500/600 would have expired by </w:t>
      </w:r>
      <w:r>
        <w:rPr>
          <w:b/>
        </w:rPr>
        <w:t>[</w:t>
      </w:r>
      <w:r w:rsidRPr="00C8434D">
        <w:rPr>
          <w:b/>
          <w:szCs w:val="16"/>
        </w:rPr>
        <w:t>BCI</w:t>
      </w:r>
      <w:r>
        <w:rPr>
          <w:b/>
        </w:rPr>
        <w:t>]</w:t>
      </w:r>
      <w:r>
        <w:t>. (Ibid.)</w:t>
      </w:r>
    </w:p>
  </w:footnote>
  <w:footnote w:id="980">
    <w:p w:rsidR="00FD2727" w:rsidRPr="0090005D" w:rsidRDefault="00FD2727" w:rsidP="00267BCB">
      <w:pPr>
        <w:pStyle w:val="FootnoteText"/>
        <w:keepLines/>
      </w:pPr>
      <w:r w:rsidRPr="0090005D">
        <w:rPr>
          <w:rStyle w:val="FootnoteReference"/>
        </w:rPr>
        <w:footnoteRef/>
      </w:r>
      <w:r w:rsidRPr="0090005D">
        <w:t xml:space="preserve"> Panel Report, </w:t>
      </w:r>
      <w:r>
        <w:t>para. </w:t>
      </w:r>
      <w:r w:rsidRPr="0090005D">
        <w:t>6.911.</w:t>
      </w:r>
      <w:r>
        <w:t xml:space="preserve"> (emphasis added)</w:t>
      </w:r>
    </w:p>
  </w:footnote>
  <w:footnote w:id="981">
    <w:p w:rsidR="00FD2727" w:rsidRDefault="00FD2727" w:rsidP="00267BCB">
      <w:pPr>
        <w:pStyle w:val="FootnoteText"/>
      </w:pPr>
      <w:r>
        <w:rPr>
          <w:rStyle w:val="FootnoteReference"/>
        </w:rPr>
        <w:footnoteRef/>
      </w:r>
      <w:r>
        <w:t xml:space="preserve"> Panel Report, paras. 6.918-6.1055.</w:t>
      </w:r>
    </w:p>
  </w:footnote>
  <w:footnote w:id="982">
    <w:p w:rsidR="00FD2727" w:rsidRPr="00145239" w:rsidRDefault="00FD2727" w:rsidP="00CC075D">
      <w:pPr>
        <w:pStyle w:val="FootnoteText"/>
        <w:keepNext/>
        <w:keepLines/>
      </w:pPr>
      <w:r>
        <w:rPr>
          <w:rStyle w:val="FootnoteReference"/>
        </w:rPr>
        <w:footnoteRef/>
      </w:r>
      <w:r>
        <w:t xml:space="preserve"> Panel Report, paras. 6.1056-6.1059. The United States argued before the Panel that, because Airbus envisioned the A330 and A340 as derivatives of the A300, the "lives" of the A300 and A310 LA/MSF subsidies continue with the A330 and A340. The Panel disagreed, finding that there was "simply no evidence before {it} to suggest that the 'projected value' of the A300 and A310 LA/MSF subsidies was affected by the launch of the A330/A340", and that "the United States </w:t>
      </w:r>
      <w:r w:rsidRPr="00267BCB">
        <w:t xml:space="preserve">conflate{d} </w:t>
      </w:r>
      <w:r w:rsidRPr="00145239">
        <w:t>the 'lives' of those subsidies with their 'indirect effects'". (Ibid., para. 6.1059) The United States has not appealed these findings of the Panel. With respect to the Panel's analysis of the "indirect effects" of LA/MSF subsidies, see section 5.6.3 of this Report.</w:t>
      </w:r>
    </w:p>
  </w:footnote>
  <w:footnote w:id="983">
    <w:p w:rsidR="00FD2727" w:rsidRPr="00145239" w:rsidRDefault="00FD2727" w:rsidP="00267BCB">
      <w:pPr>
        <w:pStyle w:val="FootnoteText"/>
      </w:pPr>
      <w:r w:rsidRPr="00145239">
        <w:rPr>
          <w:rStyle w:val="FootnoteReference"/>
        </w:rPr>
        <w:footnoteRef/>
      </w:r>
      <w:r w:rsidRPr="00145239">
        <w:t xml:space="preserve"> Panel Report, paras. 6.1060-6.1064. The Panel's findings regarding the termination of the A340</w:t>
      </w:r>
      <w:r w:rsidRPr="00145239">
        <w:noBreakHyphen/>
        <w:t xml:space="preserve">500/600 are further discussed in paragraphs 5.398-5.399 below. </w:t>
      </w:r>
    </w:p>
  </w:footnote>
  <w:footnote w:id="984">
    <w:p w:rsidR="00FD2727" w:rsidRPr="00145239" w:rsidRDefault="00FD2727" w:rsidP="00267BCB">
      <w:pPr>
        <w:pStyle w:val="FootnoteText"/>
      </w:pPr>
      <w:r w:rsidRPr="00145239">
        <w:rPr>
          <w:rStyle w:val="FootnoteReference"/>
        </w:rPr>
        <w:footnoteRef/>
      </w:r>
      <w:r w:rsidRPr="00145239">
        <w:t xml:space="preserve"> Panel Report, paras. 6.1069</w:t>
      </w:r>
      <w:r w:rsidRPr="00145239">
        <w:noBreakHyphen/>
        <w:t>6.1074.</w:t>
      </w:r>
    </w:p>
  </w:footnote>
  <w:footnote w:id="985">
    <w:p w:rsidR="00FD2727" w:rsidRPr="00267BCB" w:rsidRDefault="00FD2727" w:rsidP="00267BCB">
      <w:pPr>
        <w:pStyle w:val="FootnoteText"/>
        <w:keepLines/>
      </w:pPr>
      <w:r w:rsidRPr="00145239">
        <w:rPr>
          <w:rStyle w:val="FootnoteReference"/>
        </w:rPr>
        <w:footnoteRef/>
      </w:r>
      <w:r w:rsidRPr="00145239">
        <w:t xml:space="preserve"> Panel Report, para. 6.1076. (italics original; underlining</w:t>
      </w:r>
      <w:r w:rsidRPr="00267BCB">
        <w:t xml:space="preserve"> added)</w:t>
      </w:r>
    </w:p>
  </w:footnote>
  <w:footnote w:id="986">
    <w:p w:rsidR="00FD2727" w:rsidRDefault="00FD2727" w:rsidP="00267BCB">
      <w:pPr>
        <w:pStyle w:val="FootnoteText"/>
      </w:pPr>
      <w:r w:rsidRPr="00267BCB">
        <w:rPr>
          <w:rStyle w:val="FootnoteReference"/>
        </w:rPr>
        <w:footnoteRef/>
      </w:r>
      <w:r w:rsidRPr="00267BCB">
        <w:t xml:space="preserve"> United States' other appellant's submission</w:t>
      </w:r>
      <w:r w:rsidRPr="0090005D">
        <w:t xml:space="preserve">, </w:t>
      </w:r>
      <w:r>
        <w:t>para. </w:t>
      </w:r>
      <w:r w:rsidRPr="0090005D">
        <w:t>17</w:t>
      </w:r>
      <w:r>
        <w:t xml:space="preserve"> (referring to Panel Report, paras. 6.879 and </w:t>
      </w:r>
      <w:r w:rsidRPr="00E14E7F">
        <w:t>7.1</w:t>
      </w:r>
      <w:r>
        <w:t>.</w:t>
      </w:r>
      <w:r w:rsidRPr="00E14E7F">
        <w:t>d</w:t>
      </w:r>
      <w:r>
        <w:t>.</w:t>
      </w:r>
      <w:r w:rsidRPr="00E14E7F">
        <w:t>ii</w:t>
      </w:r>
      <w:r>
        <w:t>-iii)</w:t>
      </w:r>
      <w:r w:rsidRPr="0090005D">
        <w:t>.</w:t>
      </w:r>
    </w:p>
  </w:footnote>
  <w:footnote w:id="987">
    <w:p w:rsidR="00FD2727" w:rsidRDefault="00FD2727" w:rsidP="00267BCB">
      <w:pPr>
        <w:pStyle w:val="FootnoteText"/>
      </w:pPr>
      <w:r>
        <w:rPr>
          <w:rStyle w:val="FootnoteReference"/>
        </w:rPr>
        <w:footnoteRef/>
      </w:r>
      <w:r>
        <w:t xml:space="preserve"> United States' other appellant's submission, para. 10.</w:t>
      </w:r>
    </w:p>
  </w:footnote>
  <w:footnote w:id="988">
    <w:p w:rsidR="00FD2727" w:rsidRPr="0090005D" w:rsidRDefault="00FD2727" w:rsidP="00267BCB">
      <w:pPr>
        <w:pStyle w:val="FootnoteText"/>
        <w:keepLines/>
      </w:pPr>
      <w:r w:rsidRPr="0090005D">
        <w:rPr>
          <w:rStyle w:val="FootnoteReference"/>
        </w:rPr>
        <w:footnoteRef/>
      </w:r>
      <w:r w:rsidRPr="0090005D">
        <w:t xml:space="preserve"> </w:t>
      </w:r>
      <w:r>
        <w:t>Appellate Body</w:t>
      </w:r>
      <w:r w:rsidRPr="0090005D">
        <w:t xml:space="preserve"> Report, </w:t>
      </w:r>
      <w:r w:rsidRPr="0090005D">
        <w:rPr>
          <w:i/>
        </w:rPr>
        <w:t>EC and certain member States – Large Civil Aircraft</w:t>
      </w:r>
      <w:r w:rsidRPr="0090005D">
        <w:t xml:space="preserve">, </w:t>
      </w:r>
      <w:r>
        <w:t>para. </w:t>
      </w:r>
      <w:r w:rsidRPr="0090005D">
        <w:t>709.</w:t>
      </w:r>
      <w:r>
        <w:t xml:space="preserve"> (emphasis added)</w:t>
      </w:r>
    </w:p>
  </w:footnote>
  <w:footnote w:id="989">
    <w:p w:rsidR="00FD2727" w:rsidRDefault="00FD2727" w:rsidP="00267BCB">
      <w:pPr>
        <w:pStyle w:val="FootnoteText"/>
      </w:pPr>
      <w:r>
        <w:rPr>
          <w:rStyle w:val="FootnoteReference"/>
        </w:rPr>
        <w:footnoteRef/>
      </w:r>
      <w:r>
        <w:t xml:space="preserve"> Appellate Body Report, </w:t>
      </w:r>
      <w:r>
        <w:rPr>
          <w:i/>
        </w:rPr>
        <w:t>EC and certain member States – Large Civil Aircraft</w:t>
      </w:r>
      <w:r>
        <w:t>, para. 1241. (fn omitted)</w:t>
      </w:r>
    </w:p>
  </w:footnote>
  <w:footnote w:id="990">
    <w:p w:rsidR="00FD2727" w:rsidRDefault="00FD2727" w:rsidP="00267BCB">
      <w:pPr>
        <w:pStyle w:val="FootnoteText"/>
      </w:pPr>
      <w:r>
        <w:rPr>
          <w:rStyle w:val="FootnoteReference"/>
        </w:rPr>
        <w:footnoteRef/>
      </w:r>
      <w:r>
        <w:t xml:space="preserve"> United States' other appellant's submission, para. 10.</w:t>
      </w:r>
      <w:r w:rsidRPr="00AE1F09">
        <w:t xml:space="preserve"> </w:t>
      </w:r>
    </w:p>
  </w:footnote>
  <w:footnote w:id="991">
    <w:p w:rsidR="00FD2727" w:rsidRPr="0090005D" w:rsidRDefault="00FD2727" w:rsidP="00267BCB">
      <w:pPr>
        <w:pStyle w:val="FootnoteText"/>
        <w:keepLines/>
      </w:pPr>
      <w:r w:rsidRPr="0090005D">
        <w:rPr>
          <w:rStyle w:val="FootnoteReference"/>
        </w:rPr>
        <w:footnoteRef/>
      </w:r>
      <w:r w:rsidRPr="0090005D">
        <w:t xml:space="preserve"> </w:t>
      </w:r>
      <w:r>
        <w:t>United States</w:t>
      </w:r>
      <w:r w:rsidRPr="0090005D">
        <w:t xml:space="preserve">' other appellant's submission, </w:t>
      </w:r>
      <w:r>
        <w:t>para. </w:t>
      </w:r>
      <w:r w:rsidRPr="0090005D">
        <w:t>13.</w:t>
      </w:r>
    </w:p>
  </w:footnote>
  <w:footnote w:id="992">
    <w:p w:rsidR="00FD2727" w:rsidRPr="0090005D" w:rsidRDefault="00FD2727" w:rsidP="00267BCB">
      <w:pPr>
        <w:pStyle w:val="FootnoteText"/>
        <w:keepLines/>
      </w:pPr>
      <w:r w:rsidRPr="0090005D">
        <w:rPr>
          <w:rStyle w:val="FootnoteReference"/>
        </w:rPr>
        <w:footnoteRef/>
      </w:r>
      <w:r w:rsidRPr="0090005D">
        <w:t xml:space="preserve"> </w:t>
      </w:r>
      <w:r>
        <w:t>United States</w:t>
      </w:r>
      <w:r w:rsidRPr="0090005D">
        <w:t xml:space="preserve">' other appellant's submission, </w:t>
      </w:r>
      <w:r>
        <w:t>para. </w:t>
      </w:r>
      <w:r w:rsidRPr="0090005D">
        <w:t>10.</w:t>
      </w:r>
    </w:p>
  </w:footnote>
  <w:footnote w:id="993">
    <w:p w:rsidR="00FD2727" w:rsidRPr="0090005D" w:rsidRDefault="00FD2727" w:rsidP="00267BCB">
      <w:pPr>
        <w:pStyle w:val="FootnoteText"/>
        <w:keepLines/>
      </w:pPr>
      <w:r w:rsidRPr="0090005D">
        <w:rPr>
          <w:rStyle w:val="FootnoteReference"/>
        </w:rPr>
        <w:footnoteRef/>
      </w:r>
      <w:r w:rsidRPr="0090005D">
        <w:t xml:space="preserve"> </w:t>
      </w:r>
      <w:r>
        <w:t>United States</w:t>
      </w:r>
      <w:r w:rsidRPr="0090005D">
        <w:t xml:space="preserve">' other appellant's submission, </w:t>
      </w:r>
      <w:r>
        <w:t>para. 15</w:t>
      </w:r>
      <w:r w:rsidRPr="0090005D">
        <w:t>. (emphasis added)</w:t>
      </w:r>
    </w:p>
  </w:footnote>
  <w:footnote w:id="994">
    <w:p w:rsidR="00FD2727" w:rsidRPr="00145239" w:rsidRDefault="00FD2727" w:rsidP="00267BCB">
      <w:pPr>
        <w:pStyle w:val="FootnoteText"/>
        <w:keepLines/>
      </w:pPr>
      <w:r w:rsidRPr="0090005D">
        <w:rPr>
          <w:rStyle w:val="FootnoteReference"/>
        </w:rPr>
        <w:footnoteRef/>
      </w:r>
      <w:r w:rsidRPr="0090005D">
        <w:t xml:space="preserve"> </w:t>
      </w:r>
      <w:r w:rsidRPr="00A83B75">
        <w:t xml:space="preserve">This argument of the </w:t>
      </w:r>
      <w:r>
        <w:t>United States</w:t>
      </w:r>
      <w:r w:rsidRPr="00A83B75">
        <w:t xml:space="preserve"> </w:t>
      </w:r>
      <w:r>
        <w:t>on appeal echoes</w:t>
      </w:r>
      <w:r w:rsidRPr="00A83B75">
        <w:t xml:space="preserve"> its view before the Panel that "the life of a subsidy creating a new product must be </w:t>
      </w:r>
      <w:r w:rsidRPr="00A83B75">
        <w:rPr>
          <w:i/>
        </w:rPr>
        <w:t>measured by the life of the product it creates</w:t>
      </w:r>
      <w:r w:rsidRPr="00A83B75">
        <w:t>".</w:t>
      </w:r>
      <w:r>
        <w:t xml:space="preserve"> (United States</w:t>
      </w:r>
      <w:r w:rsidRPr="0090005D">
        <w:t xml:space="preserve">' second written submission </w:t>
      </w:r>
      <w:r>
        <w:t>to</w:t>
      </w:r>
      <w:r w:rsidRPr="0090005D">
        <w:t xml:space="preserve"> the </w:t>
      </w:r>
      <w:r w:rsidRPr="00145239">
        <w:t>Panel, para. 161 (emphasis added))</w:t>
      </w:r>
    </w:p>
  </w:footnote>
  <w:footnote w:id="995">
    <w:p w:rsidR="00FD2727" w:rsidRPr="00267BCB" w:rsidRDefault="00FD2727" w:rsidP="00267BCB">
      <w:pPr>
        <w:pStyle w:val="FootnoteText"/>
        <w:keepLines/>
      </w:pPr>
      <w:r w:rsidRPr="00145239">
        <w:rPr>
          <w:rStyle w:val="FootnoteReference"/>
        </w:rPr>
        <w:footnoteRef/>
      </w:r>
      <w:r w:rsidRPr="00145239">
        <w:t xml:space="preserve"> As further discussed in section 5.6.3 of this Report, the Panel referred to the "product effects" of the LA/MSF subsidies as the effects of the LA/MSF subsidies in bringing about either: (i) the existence and market presence of Airbus; or (ii) the ability of Airbus to offer a full range of comp</w:t>
      </w:r>
      <w:r>
        <w:t>etitive LCA products. (See e.g. </w:t>
      </w:r>
      <w:r w:rsidRPr="00145239">
        <w:t>Panel Report, para. 6.1480) The Panel explained that such "product" effects may be further categorized as "direct effects" and "indirect effects", depending on whether the effects relate to the LCA specifically funded by an LA/MSF subsidy (direct) or subsequent LCA (indirect). (Ibid., para. 6.1492) The United States argued that the "direct effects" of an LA/MSF subsidy will decline sign</w:t>
      </w:r>
      <w:r w:rsidRPr="00267BCB">
        <w:t>ificantly with the termination of the specifically-funded LCA project, and the "indirect effects" of an LA/MSF subsidy will persist as long as the subsequent, benefitting LCA remain in p</w:t>
      </w:r>
      <w:r>
        <w:t>roduction. (Ibid., para. 6.1493</w:t>
      </w:r>
      <w:r w:rsidRPr="00267BCB">
        <w:t>)</w:t>
      </w:r>
    </w:p>
  </w:footnote>
  <w:footnote w:id="996">
    <w:p w:rsidR="00FD2727" w:rsidRPr="00267BCB" w:rsidRDefault="00FD2727" w:rsidP="00267BCB">
      <w:pPr>
        <w:pStyle w:val="FootnoteText"/>
        <w:keepLines/>
      </w:pPr>
      <w:r w:rsidRPr="00267BCB">
        <w:rPr>
          <w:rStyle w:val="FootnoteReference"/>
        </w:rPr>
        <w:footnoteRef/>
      </w:r>
      <w:r w:rsidRPr="00267BCB">
        <w:t xml:space="preserve"> See Panel Report, para. 6.875. </w:t>
      </w:r>
    </w:p>
  </w:footnote>
  <w:footnote w:id="997">
    <w:p w:rsidR="00FD2727" w:rsidRPr="00267BCB" w:rsidRDefault="00FD2727" w:rsidP="00267BCB">
      <w:pPr>
        <w:pStyle w:val="FootnoteText"/>
        <w:keepLines/>
      </w:pPr>
      <w:r w:rsidRPr="00267BCB">
        <w:rPr>
          <w:rStyle w:val="FootnoteReference"/>
        </w:rPr>
        <w:footnoteRef/>
      </w:r>
      <w:r w:rsidRPr="00267BCB">
        <w:t xml:space="preserve"> United States' other appellant's submission, para. 12. </w:t>
      </w:r>
    </w:p>
  </w:footnote>
  <w:footnote w:id="998">
    <w:p w:rsidR="00FD2727" w:rsidRPr="0090005D" w:rsidRDefault="00FD2727" w:rsidP="00267BCB">
      <w:pPr>
        <w:pStyle w:val="FootnoteText"/>
        <w:keepLines/>
      </w:pPr>
      <w:r w:rsidRPr="00267BCB">
        <w:rPr>
          <w:rStyle w:val="FootnoteReference"/>
        </w:rPr>
        <w:footnoteRef/>
      </w:r>
      <w:r w:rsidRPr="00267BCB">
        <w:t xml:space="preserve"> United States' other appellant's submission, para</w:t>
      </w:r>
      <w:r>
        <w:t>. </w:t>
      </w:r>
      <w:r w:rsidRPr="0090005D">
        <w:t>10. (emphasis added)</w:t>
      </w:r>
    </w:p>
  </w:footnote>
  <w:footnote w:id="999">
    <w:p w:rsidR="00FD2727" w:rsidRDefault="00FD2727" w:rsidP="00267BCB">
      <w:pPr>
        <w:pStyle w:val="FootnoteText"/>
      </w:pPr>
      <w:r>
        <w:rPr>
          <w:rStyle w:val="FootnoteReference"/>
        </w:rPr>
        <w:footnoteRef/>
      </w:r>
      <w:r>
        <w:t xml:space="preserve"> United States' other appellant's submission, fn 17 to para. 10.</w:t>
      </w:r>
    </w:p>
  </w:footnote>
  <w:footnote w:id="1000">
    <w:p w:rsidR="00FD2727" w:rsidRPr="0090005D" w:rsidRDefault="00FD2727" w:rsidP="00267BCB">
      <w:pPr>
        <w:pStyle w:val="FootnoteText"/>
        <w:keepLines/>
      </w:pPr>
      <w:r w:rsidRPr="0090005D">
        <w:rPr>
          <w:rStyle w:val="FootnoteReference"/>
        </w:rPr>
        <w:footnoteRef/>
      </w:r>
      <w:r w:rsidRPr="0090005D">
        <w:t xml:space="preserve"> </w:t>
      </w:r>
      <w:r>
        <w:t>Appellate Body</w:t>
      </w:r>
      <w:r w:rsidRPr="0090005D">
        <w:t xml:space="preserve"> Report, </w:t>
      </w:r>
      <w:r w:rsidRPr="0090005D">
        <w:rPr>
          <w:i/>
        </w:rPr>
        <w:t>EC and certain member States – Large Civil Aircraft</w:t>
      </w:r>
      <w:r w:rsidRPr="0090005D">
        <w:t xml:space="preserve">, </w:t>
      </w:r>
      <w:r>
        <w:t>para. </w:t>
      </w:r>
      <w:r w:rsidRPr="0090005D">
        <w:t>707.</w:t>
      </w:r>
      <w:r>
        <w:t xml:space="preserve"> (fn omitted)</w:t>
      </w:r>
    </w:p>
  </w:footnote>
  <w:footnote w:id="1001">
    <w:p w:rsidR="00FD2727" w:rsidRPr="0090005D" w:rsidRDefault="00FD2727" w:rsidP="00267BCB">
      <w:pPr>
        <w:pStyle w:val="FootnoteText"/>
        <w:keepLines/>
      </w:pPr>
      <w:r w:rsidRPr="0090005D">
        <w:rPr>
          <w:rStyle w:val="FootnoteReference"/>
        </w:rPr>
        <w:footnoteRef/>
      </w:r>
      <w:r w:rsidRPr="0090005D">
        <w:t xml:space="preserve"> </w:t>
      </w:r>
      <w:r>
        <w:t>Appellate Body</w:t>
      </w:r>
      <w:r w:rsidRPr="0090005D">
        <w:t xml:space="preserve"> Report, </w:t>
      </w:r>
      <w:r w:rsidRPr="0090005D">
        <w:rPr>
          <w:i/>
        </w:rPr>
        <w:t>EC and certain member States – Large Civil Aircraft</w:t>
      </w:r>
      <w:r w:rsidRPr="0090005D">
        <w:t xml:space="preserve">, </w:t>
      </w:r>
      <w:r>
        <w:t>para. </w:t>
      </w:r>
      <w:r w:rsidRPr="0090005D">
        <w:t>707.</w:t>
      </w:r>
      <w:r>
        <w:t xml:space="preserve"> (emphasis original)</w:t>
      </w:r>
    </w:p>
  </w:footnote>
  <w:footnote w:id="1002">
    <w:p w:rsidR="00FD2727" w:rsidRDefault="00FD2727" w:rsidP="00267BCB">
      <w:pPr>
        <w:pStyle w:val="FootnoteText"/>
      </w:pPr>
      <w:r>
        <w:rPr>
          <w:rStyle w:val="FootnoteReference"/>
        </w:rPr>
        <w:footnoteRef/>
      </w:r>
      <w:r>
        <w:t xml:space="preserve"> See European Union's appellee's submission, para. 50. </w:t>
      </w:r>
    </w:p>
  </w:footnote>
  <w:footnote w:id="1003">
    <w:p w:rsidR="00FD2727" w:rsidRDefault="00FD2727" w:rsidP="00267BCB">
      <w:pPr>
        <w:pStyle w:val="FootnoteText"/>
      </w:pPr>
      <w:r>
        <w:rPr>
          <w:rStyle w:val="FootnoteReference"/>
        </w:rPr>
        <w:footnoteRef/>
      </w:r>
      <w:r>
        <w:t xml:space="preserve"> Panel Report, para. 6.1060.</w:t>
      </w:r>
    </w:p>
  </w:footnote>
  <w:footnote w:id="1004">
    <w:p w:rsidR="00FD2727" w:rsidRPr="0090005D" w:rsidRDefault="00FD2727" w:rsidP="00267BCB">
      <w:pPr>
        <w:pStyle w:val="FootnoteText"/>
        <w:keepLines/>
      </w:pPr>
      <w:r w:rsidRPr="0090005D">
        <w:rPr>
          <w:rStyle w:val="FootnoteReference"/>
        </w:rPr>
        <w:footnoteRef/>
      </w:r>
      <w:r w:rsidRPr="0090005D">
        <w:t xml:space="preserve"> Panel Report, </w:t>
      </w:r>
      <w:r>
        <w:t>para. </w:t>
      </w:r>
      <w:r w:rsidRPr="0090005D">
        <w:t>6.1060.</w:t>
      </w:r>
    </w:p>
  </w:footnote>
  <w:footnote w:id="1005">
    <w:p w:rsidR="00FD2727" w:rsidRPr="00A83B75" w:rsidRDefault="00FD2727" w:rsidP="00AA339D">
      <w:pPr>
        <w:pStyle w:val="FootnoteText"/>
        <w:keepNext/>
        <w:keepLines/>
      </w:pPr>
      <w:r w:rsidRPr="0090005D">
        <w:rPr>
          <w:rStyle w:val="FootnoteReference"/>
        </w:rPr>
        <w:footnoteRef/>
      </w:r>
      <w:r w:rsidRPr="0090005D">
        <w:t xml:space="preserve"> </w:t>
      </w:r>
      <w:r w:rsidRPr="00A83B75">
        <w:t xml:space="preserve">In the Panel's view, the possible termination of the A340 </w:t>
      </w:r>
      <w:r>
        <w:t>project</w:t>
      </w:r>
      <w:r w:rsidRPr="00A83B75">
        <w:t xml:space="preserve"> before full repayment was an inherent feature of the LA/MSF </w:t>
      </w:r>
      <w:r>
        <w:t>contracts</w:t>
      </w:r>
      <w:r w:rsidRPr="00A83B75">
        <w:t xml:space="preserve"> themselves</w:t>
      </w:r>
      <w:r>
        <w:t xml:space="preserve">. </w:t>
      </w:r>
      <w:r w:rsidRPr="00A83B75">
        <w:t>The Panel stated:</w:t>
      </w:r>
    </w:p>
    <w:p w:rsidR="00FD2727" w:rsidRPr="00992DBB" w:rsidRDefault="00FD2727" w:rsidP="00AA339D">
      <w:pPr>
        <w:pStyle w:val="FootnoteQuotation"/>
        <w:keepNext/>
        <w:keepLines/>
      </w:pPr>
      <w:r w:rsidRPr="00992DBB">
        <w:t xml:space="preserve">{I}t </w:t>
      </w:r>
      <w:r w:rsidRPr="009447F5">
        <w:t>is precisely because the full repayment of the LA/MSF agreements could not be guaranteed and was dependent upon the fortunes of the A340</w:t>
      </w:r>
      <w:r w:rsidRPr="009447F5">
        <w:noBreakHyphen/>
        <w:t>500/600 … that it was appropriate (and required) for the relevant European Union member States to charge a product-specific risk premium on their loans. It follows, therefore, that the possibility of the termination of the A340 programme before full repayment of the LA/MSF loans was not an unexpected event</w:t>
      </w:r>
      <w:r w:rsidRPr="00992DBB">
        <w:t>, and must have been contemplated and used to inform the expectations about how the "projected value" of the relevant LA/MSF subsidies would "materialize over time" when they were granted.</w:t>
      </w:r>
    </w:p>
    <w:p w:rsidR="00FD2727" w:rsidRPr="0090005D" w:rsidRDefault="00FD2727" w:rsidP="00AA339D">
      <w:pPr>
        <w:pStyle w:val="FootnoteText"/>
        <w:keepNext/>
        <w:keepLines/>
        <w:ind w:firstLine="0"/>
      </w:pPr>
      <w:r>
        <w:t>(</w:t>
      </w:r>
      <w:r w:rsidRPr="0090005D">
        <w:t xml:space="preserve">Panel Report, </w:t>
      </w:r>
      <w:r>
        <w:t>para. 6.1063)</w:t>
      </w:r>
    </w:p>
  </w:footnote>
  <w:footnote w:id="1006">
    <w:p w:rsidR="00FD2727" w:rsidRDefault="00FD2727" w:rsidP="00267BCB">
      <w:pPr>
        <w:pStyle w:val="FootnoteText"/>
      </w:pPr>
      <w:r>
        <w:rPr>
          <w:rStyle w:val="FootnoteReference"/>
        </w:rPr>
        <w:footnoteRef/>
      </w:r>
      <w:r>
        <w:t xml:space="preserve"> Panel Report, para. 6.1062.</w:t>
      </w:r>
    </w:p>
  </w:footnote>
  <w:footnote w:id="1007">
    <w:p w:rsidR="00FD2727" w:rsidRDefault="00FD2727" w:rsidP="00267BCB">
      <w:pPr>
        <w:pStyle w:val="FootnoteText"/>
      </w:pPr>
      <w:r>
        <w:rPr>
          <w:rStyle w:val="FootnoteReference"/>
        </w:rPr>
        <w:footnoteRef/>
      </w:r>
      <w:r>
        <w:t xml:space="preserve"> Panel Report, para. 6.1063. (emphasis original)</w:t>
      </w:r>
    </w:p>
  </w:footnote>
  <w:footnote w:id="1008">
    <w:p w:rsidR="00FD2727" w:rsidRDefault="00FD2727" w:rsidP="00267BCB">
      <w:pPr>
        <w:pStyle w:val="FootnoteText"/>
      </w:pPr>
      <w:r>
        <w:rPr>
          <w:rStyle w:val="FootnoteReference"/>
        </w:rPr>
        <w:footnoteRef/>
      </w:r>
      <w:r>
        <w:t xml:space="preserve"> Panel Report, para. 6.1063.</w:t>
      </w:r>
    </w:p>
  </w:footnote>
  <w:footnote w:id="1009">
    <w:p w:rsidR="00FD2727" w:rsidRDefault="00FD2727" w:rsidP="00267BCB">
      <w:pPr>
        <w:pStyle w:val="FootnoteText"/>
      </w:pPr>
      <w:r>
        <w:rPr>
          <w:rStyle w:val="FootnoteReference"/>
        </w:rPr>
        <w:footnoteRef/>
      </w:r>
      <w:r>
        <w:t xml:space="preserve"> Panel Report, para. 6.1063.</w:t>
      </w:r>
    </w:p>
  </w:footnote>
  <w:footnote w:id="1010">
    <w:p w:rsidR="00FD2727" w:rsidRDefault="00FD2727" w:rsidP="00267BCB">
      <w:pPr>
        <w:pStyle w:val="FootnoteText"/>
      </w:pPr>
      <w:r>
        <w:rPr>
          <w:rStyle w:val="FootnoteReference"/>
        </w:rPr>
        <w:footnoteRef/>
      </w:r>
      <w:r>
        <w:t xml:space="preserve"> Panel Report, para. 6.1063.</w:t>
      </w:r>
    </w:p>
  </w:footnote>
  <w:footnote w:id="1011">
    <w:p w:rsidR="00FD2727" w:rsidRDefault="00FD2727" w:rsidP="00267BCB">
      <w:pPr>
        <w:pStyle w:val="FootnoteText"/>
      </w:pPr>
      <w:r>
        <w:rPr>
          <w:rStyle w:val="FootnoteReference"/>
        </w:rPr>
        <w:footnoteRef/>
      </w:r>
      <w:r>
        <w:t xml:space="preserve"> Panel Report, para. 6.1063.</w:t>
      </w:r>
    </w:p>
  </w:footnote>
  <w:footnote w:id="1012">
    <w:p w:rsidR="00FD2727" w:rsidRPr="0090005D" w:rsidRDefault="00FD2727" w:rsidP="00267BCB">
      <w:pPr>
        <w:pStyle w:val="FootnoteText"/>
        <w:keepLines/>
      </w:pPr>
      <w:r w:rsidRPr="0090005D">
        <w:rPr>
          <w:rStyle w:val="FootnoteReference"/>
        </w:rPr>
        <w:footnoteRef/>
      </w:r>
      <w:r w:rsidRPr="0090005D">
        <w:t xml:space="preserve"> </w:t>
      </w:r>
      <w:r>
        <w:t>United States</w:t>
      </w:r>
      <w:r w:rsidRPr="0090005D">
        <w:t xml:space="preserve">' other appellant's submission, </w:t>
      </w:r>
      <w:r>
        <w:t>para. </w:t>
      </w:r>
      <w:r w:rsidRPr="0090005D">
        <w:t>10. (emphasis added)</w:t>
      </w:r>
    </w:p>
  </w:footnote>
  <w:footnote w:id="1013">
    <w:p w:rsidR="00FD2727" w:rsidRPr="0090005D" w:rsidRDefault="00FD2727" w:rsidP="00267BCB">
      <w:pPr>
        <w:pStyle w:val="FootnoteText"/>
        <w:keepLines/>
      </w:pPr>
      <w:r w:rsidRPr="0090005D">
        <w:rPr>
          <w:rStyle w:val="FootnoteReference"/>
        </w:rPr>
        <w:footnoteRef/>
      </w:r>
      <w:r w:rsidRPr="0090005D">
        <w:t xml:space="preserve"> </w:t>
      </w:r>
      <w:r>
        <w:t>Appellate Body</w:t>
      </w:r>
      <w:r w:rsidRPr="0090005D">
        <w:t xml:space="preserve"> Report, </w:t>
      </w:r>
      <w:r w:rsidRPr="0090005D">
        <w:rPr>
          <w:i/>
        </w:rPr>
        <w:t>EC and certain member States – Large Civil Aircraft</w:t>
      </w:r>
      <w:r w:rsidRPr="0090005D">
        <w:t xml:space="preserve">, </w:t>
      </w:r>
      <w:r>
        <w:t>para. </w:t>
      </w:r>
      <w:r w:rsidRPr="0090005D">
        <w:t>709.</w:t>
      </w:r>
    </w:p>
  </w:footnote>
  <w:footnote w:id="1014">
    <w:p w:rsidR="00FD2727" w:rsidRPr="0090005D" w:rsidRDefault="00FD2727" w:rsidP="00267BCB">
      <w:pPr>
        <w:pStyle w:val="FootnoteText"/>
        <w:keepLines/>
      </w:pPr>
      <w:r w:rsidRPr="0090005D">
        <w:rPr>
          <w:rStyle w:val="FootnoteReference"/>
        </w:rPr>
        <w:footnoteRef/>
      </w:r>
      <w:r w:rsidRPr="0090005D">
        <w:t xml:space="preserve"> Panel Report, </w:t>
      </w:r>
      <w:r>
        <w:t>para. </w:t>
      </w:r>
      <w:r w:rsidRPr="0090005D">
        <w:t>6.1076. (</w:t>
      </w:r>
      <w:r>
        <w:t>italics original; underlining</w:t>
      </w:r>
      <w:r w:rsidRPr="0090005D">
        <w:t xml:space="preserve"> added)</w:t>
      </w:r>
    </w:p>
  </w:footnote>
  <w:footnote w:id="1015">
    <w:p w:rsidR="00FD2727" w:rsidRDefault="00FD2727" w:rsidP="00267BCB">
      <w:pPr>
        <w:pStyle w:val="FootnoteText"/>
      </w:pPr>
      <w:r>
        <w:rPr>
          <w:rStyle w:val="FootnoteReference"/>
        </w:rPr>
        <w:footnoteRef/>
      </w:r>
      <w:r>
        <w:t xml:space="preserve"> Panel Report, fn 1547 to para. 6.879, and para. 7.1.d.iii.</w:t>
      </w:r>
    </w:p>
  </w:footnote>
  <w:footnote w:id="1016">
    <w:p w:rsidR="00FD2727" w:rsidRDefault="00FD2727" w:rsidP="00267BCB">
      <w:pPr>
        <w:pStyle w:val="FootnoteText"/>
      </w:pPr>
      <w:r>
        <w:rPr>
          <w:rStyle w:val="FootnoteReference"/>
        </w:rPr>
        <w:footnoteRef/>
      </w:r>
      <w:r>
        <w:t xml:space="preserve"> United States' other appellant's submission, fn 15 to para. 8, and fn 35 to para. 17. </w:t>
      </w:r>
    </w:p>
  </w:footnote>
  <w:footnote w:id="1017">
    <w:p w:rsidR="00FD2727" w:rsidRDefault="00FD2727" w:rsidP="00267BCB">
      <w:pPr>
        <w:pStyle w:val="FootnoteText"/>
      </w:pPr>
      <w:r>
        <w:rPr>
          <w:rStyle w:val="FootnoteReference"/>
        </w:rPr>
        <w:footnoteRef/>
      </w:r>
      <w:r>
        <w:t xml:space="preserve"> Panel Report, para. 6.6 (quoting Compliance Communication).</w:t>
      </w:r>
    </w:p>
  </w:footnote>
  <w:footnote w:id="1018">
    <w:p w:rsidR="00FD2727" w:rsidRDefault="00FD2727" w:rsidP="00267BCB">
      <w:pPr>
        <w:pStyle w:val="FootnoteText"/>
      </w:pPr>
      <w:r>
        <w:rPr>
          <w:rStyle w:val="FootnoteReference"/>
        </w:rPr>
        <w:footnoteRef/>
      </w:r>
      <w:r>
        <w:t xml:space="preserve"> WT/DS316/19, p. 3.</w:t>
      </w:r>
    </w:p>
  </w:footnote>
  <w:footnote w:id="1019">
    <w:p w:rsidR="00FD2727" w:rsidRPr="0090005D" w:rsidRDefault="00FD2727" w:rsidP="00267BCB">
      <w:pPr>
        <w:pStyle w:val="FootnoteText"/>
        <w:keepLines/>
      </w:pPr>
      <w:r w:rsidRPr="0090005D">
        <w:rPr>
          <w:rStyle w:val="FootnoteReference"/>
        </w:rPr>
        <w:footnoteRef/>
      </w:r>
      <w:r w:rsidRPr="0090005D">
        <w:t xml:space="preserve"> </w:t>
      </w:r>
      <w:r>
        <w:t>European Union</w:t>
      </w:r>
      <w:r w:rsidRPr="0090005D">
        <w:t xml:space="preserve">'s appellant's submission, </w:t>
      </w:r>
      <w:r>
        <w:t>para. </w:t>
      </w:r>
      <w:r w:rsidRPr="0090005D">
        <w:t>19</w:t>
      </w:r>
      <w:r>
        <w:t>7</w:t>
      </w:r>
      <w:r w:rsidRPr="0090005D">
        <w:t xml:space="preserve"> (referring to Panel Report, </w:t>
      </w:r>
      <w:r>
        <w:t>paras. </w:t>
      </w:r>
      <w:r w:rsidRPr="0090005D">
        <w:t>6.1072</w:t>
      </w:r>
      <w:r>
        <w:noBreakHyphen/>
      </w:r>
      <w:r w:rsidRPr="0090005D">
        <w:t>6.1074).</w:t>
      </w:r>
      <w:r>
        <w:t xml:space="preserve"> See also para. 190. </w:t>
      </w:r>
    </w:p>
  </w:footnote>
  <w:footnote w:id="1020">
    <w:p w:rsidR="00FD2727" w:rsidRDefault="00FD2727" w:rsidP="00267BCB">
      <w:pPr>
        <w:pStyle w:val="FootnoteText"/>
      </w:pPr>
      <w:r>
        <w:rPr>
          <w:rStyle w:val="FootnoteReference"/>
        </w:rPr>
        <w:footnoteRef/>
      </w:r>
      <w:r>
        <w:t xml:space="preserve"> European Union's appellant's submission</w:t>
      </w:r>
      <w:r w:rsidRPr="008F0E92">
        <w:t>, paras. 214-215.</w:t>
      </w:r>
    </w:p>
  </w:footnote>
  <w:footnote w:id="1021">
    <w:p w:rsidR="00FD2727" w:rsidRPr="00267BCB" w:rsidRDefault="00FD2727">
      <w:pPr>
        <w:pStyle w:val="FootnoteText"/>
      </w:pPr>
      <w:r>
        <w:rPr>
          <w:rStyle w:val="FootnoteReference"/>
        </w:rPr>
        <w:footnoteRef/>
      </w:r>
      <w:r>
        <w:t xml:space="preserve"> The Panel found that </w:t>
      </w:r>
      <w:r w:rsidRPr="003F788B">
        <w:t>the LA/MSF subsidies for the A330-200 and the A340-500/600 expired</w:t>
      </w:r>
      <w:r>
        <w:t xml:space="preserve"> in</w:t>
      </w:r>
      <w:r w:rsidRPr="003F788B">
        <w:t>, respectively,</w:t>
      </w:r>
      <w:r w:rsidRPr="00274A80">
        <w:rPr>
          <w:b/>
        </w:rPr>
        <w:t xml:space="preserve"> </w:t>
      </w:r>
      <w:r w:rsidRPr="009C0F61">
        <w:rPr>
          <w:b/>
        </w:rPr>
        <w:t>[</w:t>
      </w:r>
      <w:r w:rsidRPr="00C8434D">
        <w:rPr>
          <w:b/>
          <w:szCs w:val="16"/>
        </w:rPr>
        <w:t>BCI</w:t>
      </w:r>
      <w:r w:rsidRPr="003F788B">
        <w:rPr>
          <w:b/>
        </w:rPr>
        <w:t>]</w:t>
      </w:r>
      <w:r w:rsidRPr="0043135F">
        <w:t xml:space="preserve"> and</w:t>
      </w:r>
      <w:r w:rsidRPr="003F788B">
        <w:t xml:space="preserve"> </w:t>
      </w:r>
      <w:r w:rsidRPr="003F788B">
        <w:rPr>
          <w:b/>
        </w:rPr>
        <w:t>[</w:t>
      </w:r>
      <w:r w:rsidRPr="00C8434D">
        <w:rPr>
          <w:b/>
          <w:szCs w:val="16"/>
        </w:rPr>
        <w:t>BCI</w:t>
      </w:r>
      <w:r w:rsidRPr="003F788B">
        <w:rPr>
          <w:b/>
        </w:rPr>
        <w:t>]</w:t>
      </w:r>
      <w:r w:rsidRPr="003A5062">
        <w:t>,</w:t>
      </w:r>
      <w:r w:rsidRPr="003F788B">
        <w:t xml:space="preserve"> </w:t>
      </w:r>
      <w:r>
        <w:t xml:space="preserve">that is, after the </w:t>
      </w:r>
      <w:r w:rsidRPr="00267BCB">
        <w:t xml:space="preserve">end of the implementation period. </w:t>
      </w:r>
      <w:r>
        <w:t xml:space="preserve">(Panel Report, fn 1547 to para. 6.879) </w:t>
      </w:r>
      <w:r w:rsidRPr="00267BCB">
        <w:t>The Panel found that the market presence of the A340 came to an end before the beginning of the post-implementation period when Airbus terminated the A340 programme in November 2011. (</w:t>
      </w:r>
      <w:r>
        <w:t>Ibid.</w:t>
      </w:r>
      <w:r w:rsidRPr="00267BCB">
        <w:t xml:space="preserve">, fn 2188 to para. 6.1293) As </w:t>
      </w:r>
      <w:r w:rsidRPr="00145239">
        <w:t>discussed in sections 5.6.3 and 5.6.4 of this Report, we</w:t>
      </w:r>
      <w:r w:rsidRPr="00267BCB">
        <w:t xml:space="preserve"> note that the Panel did not make findings specifically relating to the effects of these two subsidies.</w:t>
      </w:r>
    </w:p>
  </w:footnote>
  <w:footnote w:id="1022">
    <w:p w:rsidR="00FD2727" w:rsidRDefault="00FD2727" w:rsidP="00267BCB">
      <w:pPr>
        <w:pStyle w:val="FootnoteText"/>
      </w:pPr>
      <w:r w:rsidRPr="00267BCB">
        <w:rPr>
          <w:rStyle w:val="FootnoteReference"/>
        </w:rPr>
        <w:footnoteRef/>
      </w:r>
      <w:r w:rsidRPr="00267BCB">
        <w:t xml:space="preserve"> In this regard, we recall the Panel's finding that the French LA/MSF for the A330-200 expired in </w:t>
      </w:r>
      <w:r w:rsidRPr="00267BCB">
        <w:rPr>
          <w:b/>
        </w:rPr>
        <w:t>[</w:t>
      </w:r>
      <w:r w:rsidRPr="00C8434D">
        <w:rPr>
          <w:b/>
          <w:szCs w:val="16"/>
        </w:rPr>
        <w:t>BCI</w:t>
      </w:r>
      <w:r w:rsidRPr="00267BCB">
        <w:rPr>
          <w:b/>
        </w:rPr>
        <w:t>]</w:t>
      </w:r>
      <w:r w:rsidRPr="00267BCB">
        <w:t xml:space="preserve">. </w:t>
      </w:r>
      <w:r>
        <w:t xml:space="preserve">(Panel Report, fn 1547 to para. 6.879) </w:t>
      </w:r>
      <w:r w:rsidRPr="00267BCB">
        <w:t xml:space="preserve">However, the Panel made </w:t>
      </w:r>
      <w:r w:rsidRPr="00267BCB">
        <w:rPr>
          <w:i/>
        </w:rPr>
        <w:t>no</w:t>
      </w:r>
      <w:r w:rsidRPr="00267BCB">
        <w:t xml:space="preserve"> finding regarding whether</w:t>
      </w:r>
      <w:r>
        <w:t xml:space="preserve"> Airbus had "repaid" that subsidy prior to the end of the implementation period. (Ibid., para. 6.1074) In the absence of any factual findings by the Panel, we are unable to rule on whether the French LA/MSF for the A330-200 came to an end through "repayment", as the European Union argues on appeal.</w:t>
      </w:r>
    </w:p>
  </w:footnote>
  <w:footnote w:id="1023">
    <w:p w:rsidR="00FD2727" w:rsidRDefault="00FD2727" w:rsidP="00234B56">
      <w:pPr>
        <w:pStyle w:val="FootnoteText"/>
        <w:rPr>
          <w:lang w:val="en-US"/>
        </w:rPr>
      </w:pPr>
      <w:r>
        <w:rPr>
          <w:rStyle w:val="FootnoteReference"/>
        </w:rPr>
        <w:footnoteRef/>
      </w:r>
      <w:r>
        <w:t xml:space="preserve"> European Union's appellant's submission, para. 187. See also paras. 188-189.</w:t>
      </w:r>
    </w:p>
  </w:footnote>
  <w:footnote w:id="1024">
    <w:p w:rsidR="00FD2727" w:rsidRDefault="00FD2727" w:rsidP="0082278D">
      <w:pPr>
        <w:pStyle w:val="FootnoteText"/>
        <w:keepNext/>
        <w:keepLines/>
        <w:rPr>
          <w:lang w:val="en-US"/>
        </w:rPr>
      </w:pPr>
      <w:r>
        <w:rPr>
          <w:rStyle w:val="FootnoteReference"/>
        </w:rPr>
        <w:footnoteRef/>
      </w:r>
      <w:r>
        <w:t xml:space="preserve"> European Union's appellant's submission, paras. 1076 and 1088. The European Union further argues that the effects of those expired subsidies should be taken into account as non</w:t>
      </w:r>
      <w:r>
        <w:noBreakHyphen/>
        <w:t>attribution factors for purposes of analysing the effects of the re-constituted basket of subsidies (i.e. the "basket" that contains only the existing subsidies). (Ibid., para. 1097)</w:t>
      </w:r>
    </w:p>
  </w:footnote>
  <w:footnote w:id="1025">
    <w:p w:rsidR="00FD2727" w:rsidRDefault="00FD2727" w:rsidP="00234B56">
      <w:pPr>
        <w:pStyle w:val="FootnoteText"/>
        <w:rPr>
          <w:lang w:val="en-US"/>
        </w:rPr>
      </w:pPr>
      <w:r>
        <w:rPr>
          <w:rStyle w:val="FootnoteReference"/>
        </w:rPr>
        <w:footnoteRef/>
      </w:r>
      <w:r>
        <w:t xml:space="preserve"> European Union's appellant's submission, para. 187.</w:t>
      </w:r>
    </w:p>
  </w:footnote>
  <w:footnote w:id="1026">
    <w:p w:rsidR="00FD2727" w:rsidRDefault="00FD2727" w:rsidP="00234B56">
      <w:pPr>
        <w:pStyle w:val="FootnoteText"/>
        <w:rPr>
          <w:lang w:val="en-US"/>
        </w:rPr>
      </w:pPr>
      <w:r>
        <w:rPr>
          <w:rStyle w:val="FootnoteReference"/>
        </w:rPr>
        <w:footnoteRef/>
      </w:r>
      <w:r>
        <w:t xml:space="preserve"> European Union's appellant's submission, para. 189 (referring to Panel Report, paras. 6.1451</w:t>
      </w:r>
      <w:r>
        <w:noBreakHyphen/>
        <w:t>6.1452, 6.1463, 6.1534, 6.1774, and 7.1.d.xii-xiii).</w:t>
      </w:r>
    </w:p>
  </w:footnote>
  <w:footnote w:id="1027">
    <w:p w:rsidR="00FD2727" w:rsidRDefault="00FD2727" w:rsidP="00234B56">
      <w:pPr>
        <w:pStyle w:val="FootnoteText"/>
        <w:rPr>
          <w:lang w:val="en-US"/>
        </w:rPr>
      </w:pPr>
      <w:r>
        <w:rPr>
          <w:rStyle w:val="FootnoteReference"/>
        </w:rPr>
        <w:footnoteRef/>
      </w:r>
      <w:r>
        <w:t xml:space="preserve"> European Union's appellant's submission, para. 189 (referring to Panel Report, paras. 6.1798, 6.1817, and 7.1.d.xiv-xvi).</w:t>
      </w:r>
    </w:p>
  </w:footnote>
  <w:footnote w:id="1028">
    <w:p w:rsidR="00FD2727" w:rsidRDefault="00FD2727" w:rsidP="00234B56">
      <w:pPr>
        <w:pStyle w:val="FootnoteText"/>
        <w:rPr>
          <w:lang w:val="en-US"/>
        </w:rPr>
      </w:pPr>
      <w:r>
        <w:rPr>
          <w:rStyle w:val="FootnoteReference"/>
        </w:rPr>
        <w:footnoteRef/>
      </w:r>
      <w:r>
        <w:t xml:space="preserve"> The Panel found that the European Union had demonstrated that the </w:t>
      </w:r>
      <w:r w:rsidRPr="0082278D">
        <w:rPr>
          <w:i/>
        </w:rPr>
        <w:t>ex ante</w:t>
      </w:r>
      <w:r>
        <w:t xml:space="preserve"> "lives" of the capital contribution subsidies had "expired" before 1 December 2011, and therefore, before the end of the implementation period. (Panel Report, para. 6.907) This finding of the Panel has not been appealed. </w:t>
      </w:r>
    </w:p>
  </w:footnote>
  <w:footnote w:id="1029">
    <w:p w:rsidR="00FD2727" w:rsidRDefault="00FD2727" w:rsidP="00234B56">
      <w:pPr>
        <w:pStyle w:val="FootnoteText"/>
        <w:rPr>
          <w:lang w:val="en-US"/>
        </w:rPr>
      </w:pPr>
      <w:r>
        <w:rPr>
          <w:rStyle w:val="FootnoteReference"/>
        </w:rPr>
        <w:footnoteRef/>
      </w:r>
      <w:r>
        <w:t xml:space="preserve"> European Union's appellant's submission, para. 189 (referring to Panel Report, paras. 6.1838, 6.1846, 6.1847, and 7.1.d.xvii). Furthermore, recalling</w:t>
      </w:r>
      <w:r>
        <w:rPr>
          <w:bCs/>
        </w:rPr>
        <w:t xml:space="preserve"> the Panel's finding that </w:t>
      </w:r>
      <w:r>
        <w:t>the non</w:t>
      </w:r>
      <w:r>
        <w:noBreakHyphen/>
        <w:t>LA/MSF subsidies "complemented and supplemented" the effects of the LA/MSF subsidies, the European Union contends that the basis for this finding "would fall away" following a reversal of the Panel's findings regarding the adverse effects of the LA/MSF subsidies. (European Union's appellant's submission, paras. 1060 (quoting Panel Report, para. 6.1847) and 1061).</w:t>
      </w:r>
    </w:p>
  </w:footnote>
  <w:footnote w:id="1030">
    <w:p w:rsidR="00FD2727" w:rsidRDefault="00FD2727" w:rsidP="00234B56">
      <w:pPr>
        <w:pStyle w:val="FootnoteText"/>
        <w:rPr>
          <w:lang w:val="en-US"/>
        </w:rPr>
      </w:pPr>
      <w:r>
        <w:rPr>
          <w:rStyle w:val="FootnoteReference"/>
        </w:rPr>
        <w:footnoteRef/>
      </w:r>
      <w:r>
        <w:t xml:space="preserve"> United States' appellee's submission, para. 158.</w:t>
      </w:r>
    </w:p>
  </w:footnote>
  <w:footnote w:id="1031">
    <w:p w:rsidR="00FD2727" w:rsidRDefault="00FD2727" w:rsidP="00234B56">
      <w:pPr>
        <w:pStyle w:val="FootnoteText"/>
        <w:rPr>
          <w:lang w:val="en-US"/>
        </w:rPr>
      </w:pPr>
      <w:r>
        <w:rPr>
          <w:rStyle w:val="FootnoteReference"/>
        </w:rPr>
        <w:footnoteRef/>
      </w:r>
      <w:r>
        <w:t xml:space="preserve"> United States' appellee's submission, para. 158. The United States notes that, during proceedings before the Panel, the European Union argued that the WTO-inconsistent effects of expired subsidies became WTO-consistent for purposes of a compliance proceeding. According to the United States, the European Union asserted that in its adverse effects analysis, the Panel would have to separate and distinguish the effects of expired subsidies from the effects of existing subsidies, and base its analysis of adverse effects on only the existing subsidies. (Ibid., fn 217 to para. 158 (referring to European Union's first written submission to the Panel, para. 1099)) The United States further contends that, although the European Union "has not explicitly made such an argument {on appeal}, it is a logical consequence of the {European Union's} position, and demonstrates the absurdity of that position". (Ibid., fn 217 to para. 158)</w:t>
      </w:r>
    </w:p>
  </w:footnote>
  <w:footnote w:id="1032">
    <w:p w:rsidR="00FD2727" w:rsidRDefault="00FD2727" w:rsidP="00234B56">
      <w:pPr>
        <w:pStyle w:val="FootnoteText"/>
        <w:rPr>
          <w:lang w:val="en-US"/>
        </w:rPr>
      </w:pPr>
      <w:r>
        <w:rPr>
          <w:rStyle w:val="FootnoteReference"/>
        </w:rPr>
        <w:footnoteRef/>
      </w:r>
      <w:r>
        <w:t xml:space="preserve"> United States' appellee's submission, para. 160.</w:t>
      </w:r>
    </w:p>
  </w:footnote>
  <w:footnote w:id="1033">
    <w:p w:rsidR="00FD2727" w:rsidRDefault="00FD2727" w:rsidP="00234B56">
      <w:pPr>
        <w:pStyle w:val="FootnoteText"/>
        <w:rPr>
          <w:lang w:val="en-US"/>
        </w:rPr>
      </w:pPr>
      <w:r>
        <w:rPr>
          <w:rStyle w:val="FootnoteReference"/>
        </w:rPr>
        <w:footnoteRef/>
      </w:r>
      <w:r>
        <w:t xml:space="preserve"> United States' appellee's submission, para. 160. We also note the United States' argument before the Panel that the expired LA/MSF subsidies "still ha{ve} </w:t>
      </w:r>
      <w:r>
        <w:rPr>
          <w:i/>
        </w:rPr>
        <w:t>current effects</w:t>
      </w:r>
      <w:r>
        <w:t xml:space="preserve"> on competition because of the enduring effects of LA/MSF and a continuing pattern of subsidizing one Airbus LCA program after another, and providing Airbus with new LA/MSF". (United States' first written submission to the Panel, para. 325 (emphasis original))</w:t>
      </w:r>
    </w:p>
  </w:footnote>
  <w:footnote w:id="1034">
    <w:p w:rsidR="00FD2727" w:rsidRDefault="00FD2727" w:rsidP="00234B56">
      <w:pPr>
        <w:pStyle w:val="FootnoteText"/>
        <w:rPr>
          <w:lang w:val="en-US"/>
        </w:rPr>
      </w:pPr>
      <w:r>
        <w:rPr>
          <w:rStyle w:val="FootnoteReference"/>
        </w:rPr>
        <w:footnoteRef/>
      </w:r>
      <w:r>
        <w:t xml:space="preserve"> Appellate Body Report, </w:t>
      </w:r>
      <w:r>
        <w:rPr>
          <w:i/>
          <w:iCs/>
        </w:rPr>
        <w:t>US – Softwood Lumber VI (Article 21.5 – Canada)</w:t>
      </w:r>
      <w:r>
        <w:t xml:space="preserve">, paras. 102-103; Appellate Body Report, </w:t>
      </w:r>
      <w:r>
        <w:rPr>
          <w:i/>
        </w:rPr>
        <w:t>Mexico – Corn Syrup (Article 21.5 – US)</w:t>
      </w:r>
      <w:r>
        <w:t>, para. 121.</w:t>
      </w:r>
    </w:p>
  </w:footnote>
  <w:footnote w:id="1035">
    <w:p w:rsidR="00FD2727" w:rsidRDefault="00FD2727" w:rsidP="00234B56">
      <w:pPr>
        <w:pStyle w:val="FootnoteText"/>
        <w:rPr>
          <w:lang w:val="en-US"/>
        </w:rPr>
      </w:pPr>
      <w:r>
        <w:rPr>
          <w:rStyle w:val="FootnoteReference"/>
        </w:rPr>
        <w:footnoteRef/>
      </w:r>
      <w:r>
        <w:t xml:space="preserve"> See Appellate Body Report, </w:t>
      </w:r>
      <w:r>
        <w:rPr>
          <w:i/>
          <w:iCs/>
        </w:rPr>
        <w:t>Chile – Price Band System (Article 21.5 – Argentina)</w:t>
      </w:r>
      <w:r>
        <w:t>, para. 136. We note, however, that in Article 21.5 proceedings the burden is on the complainant to show a WTO-inconsistency at the end of the implementation period in respect of the "measure taken to comply". In this regard, the Panel also recognized the importance of not "simply transpos{ing}" findings in the original proceedings to the present proceedings. (Panel Report, para. 6.1462)</w:t>
      </w:r>
    </w:p>
  </w:footnote>
  <w:footnote w:id="1036">
    <w:p w:rsidR="00FD2727" w:rsidRPr="00D26FEE" w:rsidRDefault="00FD2727">
      <w:pPr>
        <w:pStyle w:val="FootnoteText"/>
      </w:pPr>
      <w:r>
        <w:rPr>
          <w:rStyle w:val="FootnoteReference"/>
        </w:rPr>
        <w:footnoteRef/>
      </w:r>
      <w:r>
        <w:t xml:space="preserve"> </w:t>
      </w:r>
      <w:r w:rsidRPr="00145239">
        <w:t>See section 5.4.2 of this Report</w:t>
      </w:r>
      <w:r>
        <w:t>.</w:t>
      </w:r>
    </w:p>
  </w:footnote>
  <w:footnote w:id="1037">
    <w:p w:rsidR="00FD2727" w:rsidRPr="00145239" w:rsidRDefault="00FD2727" w:rsidP="00234B56">
      <w:pPr>
        <w:pStyle w:val="FootnoteText"/>
        <w:rPr>
          <w:lang w:val="en-US"/>
        </w:rPr>
      </w:pPr>
      <w:r>
        <w:rPr>
          <w:rStyle w:val="FootnoteReference"/>
        </w:rPr>
        <w:footnoteRef/>
      </w:r>
      <w:r>
        <w:t xml:space="preserve"> As further </w:t>
      </w:r>
      <w:r w:rsidRPr="00145239">
        <w:t>explained in section 5.6 of this Report, the Panel referred to such effects as the "product effects" of LA/MSF subsidies. (See Panel Report, paras. 6.1492, 6.1536, and 6.1777)</w:t>
      </w:r>
    </w:p>
  </w:footnote>
  <w:footnote w:id="1038">
    <w:p w:rsidR="00FD2727" w:rsidRPr="00145239" w:rsidRDefault="00FD2727" w:rsidP="00234B56">
      <w:pPr>
        <w:pStyle w:val="FootnoteText"/>
        <w:keepNext/>
        <w:keepLines/>
        <w:rPr>
          <w:lang w:val="en-US"/>
        </w:rPr>
      </w:pPr>
      <w:r w:rsidRPr="00145239">
        <w:rPr>
          <w:rStyle w:val="FootnoteReference"/>
        </w:rPr>
        <w:footnoteRef/>
      </w:r>
      <w:r w:rsidRPr="00145239">
        <w:t xml:space="preserve"> Panel Report, para. 6.1461.</w:t>
      </w:r>
    </w:p>
  </w:footnote>
  <w:footnote w:id="1039">
    <w:p w:rsidR="00FD2727" w:rsidRPr="00145239" w:rsidRDefault="00FD2727" w:rsidP="00234B56">
      <w:pPr>
        <w:pStyle w:val="FootnoteText"/>
        <w:rPr>
          <w:lang w:val="en-US"/>
        </w:rPr>
      </w:pPr>
      <w:r w:rsidRPr="00145239">
        <w:rPr>
          <w:rStyle w:val="FootnoteReference"/>
        </w:rPr>
        <w:footnoteRef/>
      </w:r>
      <w:r w:rsidRPr="00145239">
        <w:t xml:space="preserve"> European Union's appellant's submission, paras. 187-189.</w:t>
      </w:r>
    </w:p>
  </w:footnote>
  <w:footnote w:id="1040">
    <w:p w:rsidR="00FD2727" w:rsidRPr="00145239" w:rsidRDefault="00FD2727" w:rsidP="00234B56">
      <w:pPr>
        <w:pStyle w:val="FootnoteText"/>
        <w:rPr>
          <w:lang w:val="en-US"/>
        </w:rPr>
      </w:pPr>
      <w:r w:rsidRPr="00145239">
        <w:rPr>
          <w:rStyle w:val="FootnoteReference"/>
        </w:rPr>
        <w:footnoteRef/>
      </w:r>
      <w:r w:rsidRPr="00145239">
        <w:t xml:space="preserve"> Panel Report, para. 7.2.</w:t>
      </w:r>
    </w:p>
  </w:footnote>
  <w:footnote w:id="1041">
    <w:p w:rsidR="00FD2727" w:rsidRDefault="00FD2727" w:rsidP="00C826B3">
      <w:pPr>
        <w:pStyle w:val="FootnoteText"/>
        <w:keepNext/>
        <w:keepLines/>
        <w:rPr>
          <w:lang w:val="en-US"/>
        </w:rPr>
      </w:pPr>
      <w:r w:rsidRPr="00145239">
        <w:rPr>
          <w:rStyle w:val="FootnoteReference"/>
        </w:rPr>
        <w:footnoteRef/>
      </w:r>
      <w:r w:rsidRPr="00145239">
        <w:t xml:space="preserve"> See paras. 5.554-5.557 below. We also recall the Panel's finding that the LA/MSF subsidies for the A330-200 and A340-500/600 had expired, respectively, </w:t>
      </w:r>
      <w:r w:rsidRPr="00145239">
        <w:rPr>
          <w:b/>
        </w:rPr>
        <w:t>[</w:t>
      </w:r>
      <w:r w:rsidRPr="00C8434D">
        <w:rPr>
          <w:b/>
          <w:szCs w:val="16"/>
        </w:rPr>
        <w:t>BCI</w:t>
      </w:r>
      <w:r w:rsidRPr="00145239">
        <w:rPr>
          <w:b/>
        </w:rPr>
        <w:t>]</w:t>
      </w:r>
      <w:r w:rsidRPr="00145239">
        <w:t>, that is, after the end of the implementation period. (Panel Report, fn 1547 to para. 6.879, and fn 1600 to para. 6.907) We note that these aircraft were derivatives of, respectively, the A330 and A340. (Original Panel Report, para. 7.1622) As further discussed in sections 5.6.3 and 5.6.4 of this Report, we note that the Panel did not make findings specifically related to the effects of these two subsidies, and we focus our analysis</w:t>
      </w:r>
      <w:r>
        <w:t xml:space="preserve"> on the subsidies with respect to which the Panel made findings, namely, the A380 and A350XWB LA/MSF subsidies.</w:t>
      </w:r>
    </w:p>
  </w:footnote>
  <w:footnote w:id="1042">
    <w:p w:rsidR="00FD2727" w:rsidRDefault="00FD2727" w:rsidP="00234B56">
      <w:pPr>
        <w:pStyle w:val="FootnoteText"/>
        <w:rPr>
          <w:lang w:val="en-US"/>
        </w:rPr>
      </w:pPr>
      <w:r>
        <w:rPr>
          <w:rStyle w:val="FootnoteReference"/>
        </w:rPr>
        <w:footnoteRef/>
      </w:r>
      <w:r>
        <w:t xml:space="preserve"> Panel Report, para. 6.1102.</w:t>
      </w:r>
    </w:p>
  </w:footnote>
  <w:footnote w:id="1043">
    <w:p w:rsidR="00FD2727" w:rsidRDefault="00FD2727" w:rsidP="00234B56">
      <w:pPr>
        <w:pStyle w:val="FootnoteText"/>
        <w:rPr>
          <w:lang w:val="en-US"/>
        </w:rPr>
      </w:pPr>
      <w:r>
        <w:rPr>
          <w:rStyle w:val="FootnoteReference"/>
        </w:rPr>
        <w:footnoteRef/>
      </w:r>
      <w:r>
        <w:t xml:space="preserve"> Panel Report, para. 6.1104. (emphasis original)</w:t>
      </w:r>
    </w:p>
  </w:footnote>
  <w:footnote w:id="1044">
    <w:p w:rsidR="00FD2727" w:rsidRPr="00145239" w:rsidRDefault="00FD2727" w:rsidP="00234B56">
      <w:pPr>
        <w:pStyle w:val="FootnoteText"/>
        <w:rPr>
          <w:lang w:val="en-US"/>
        </w:rPr>
      </w:pPr>
      <w:r>
        <w:rPr>
          <w:rStyle w:val="FootnoteReference"/>
        </w:rPr>
        <w:footnoteRef/>
      </w:r>
      <w:r>
        <w:t xml:space="preserve"> Panel Report, para. 6.</w:t>
      </w:r>
      <w:r w:rsidRPr="00145239">
        <w:t>1107 (referring to section 6.6.2 of the Panel Report). See also section 5.6.3.1 of this Report.</w:t>
      </w:r>
    </w:p>
  </w:footnote>
  <w:footnote w:id="1045">
    <w:p w:rsidR="00FD2727" w:rsidRPr="00145239" w:rsidRDefault="00FD2727" w:rsidP="00234B56">
      <w:pPr>
        <w:pStyle w:val="FootnoteText"/>
        <w:rPr>
          <w:lang w:val="en-US"/>
        </w:rPr>
      </w:pPr>
      <w:r w:rsidRPr="00145239">
        <w:rPr>
          <w:rStyle w:val="FootnoteReference"/>
        </w:rPr>
        <w:footnoteRef/>
      </w:r>
      <w:r w:rsidRPr="00145239">
        <w:t xml:space="preserve"> Panel Report, paras. 6.1106-6.1107. See also paras. 6.1449-6.1450.</w:t>
      </w:r>
    </w:p>
  </w:footnote>
  <w:footnote w:id="1046">
    <w:p w:rsidR="00FD2727" w:rsidRPr="00145239" w:rsidRDefault="00FD2727" w:rsidP="00234B56">
      <w:pPr>
        <w:pStyle w:val="FootnoteText"/>
        <w:rPr>
          <w:lang w:val="en-US"/>
        </w:rPr>
      </w:pPr>
      <w:r w:rsidRPr="00145239">
        <w:rPr>
          <w:rStyle w:val="FootnoteReference"/>
        </w:rPr>
        <w:footnoteRef/>
      </w:r>
      <w:r w:rsidRPr="00145239">
        <w:t xml:space="preserve"> See e.g. Panel Report, paras. 6.1104 and 6.1440. As further discussed below, our review of the Panel's adverse effects analysis is focused on the Panel's findings regarding a subset of these challenged subsidies, namely, those existing in the post-implementation period.</w:t>
      </w:r>
    </w:p>
  </w:footnote>
  <w:footnote w:id="1047">
    <w:p w:rsidR="00FD2727" w:rsidRDefault="00FD2727" w:rsidP="00234B56">
      <w:pPr>
        <w:pStyle w:val="FootnoteText"/>
        <w:rPr>
          <w:lang w:val="en-US"/>
        </w:rPr>
      </w:pPr>
      <w:r w:rsidRPr="00145239">
        <w:rPr>
          <w:rStyle w:val="FootnoteReference"/>
        </w:rPr>
        <w:footnoteRef/>
      </w:r>
      <w:r w:rsidRPr="00145239">
        <w:t xml:space="preserve"> Panel Report, para. 6.1107.</w:t>
      </w:r>
    </w:p>
  </w:footnote>
  <w:footnote w:id="1048">
    <w:p w:rsidR="00FD2727" w:rsidRDefault="00FD2727" w:rsidP="00234B56">
      <w:pPr>
        <w:pStyle w:val="FootnoteText"/>
        <w:rPr>
          <w:lang w:val="en-US"/>
        </w:rPr>
      </w:pPr>
      <w:r>
        <w:rPr>
          <w:rStyle w:val="FootnoteReference"/>
        </w:rPr>
        <w:footnoteRef/>
      </w:r>
      <w:r>
        <w:t xml:space="preserve"> Panel Report, paras. 6.1114 and 6.1154.</w:t>
      </w:r>
    </w:p>
  </w:footnote>
  <w:footnote w:id="1049">
    <w:p w:rsidR="00FD2727" w:rsidRDefault="00FD2727" w:rsidP="00234B56">
      <w:pPr>
        <w:pStyle w:val="FootnoteText"/>
        <w:rPr>
          <w:lang w:val="en-US"/>
        </w:rPr>
      </w:pPr>
      <w:r>
        <w:rPr>
          <w:rStyle w:val="FootnoteReference"/>
        </w:rPr>
        <w:footnoteRef/>
      </w:r>
      <w:r>
        <w:t xml:space="preserve"> The three product markets are: the single-aisle LCA market for the Airbus A320neo and A320ceo, and the Boeing 737MAX and 737NG LCA families; the twin-aisle LCA market for the Airbus A330 and A350XWB and the Boeing 767, 777, and 787 LCA families; and the VLA market for the Airbus A380 and the Boeing 747 families. (Panel Report, para. 6.1411)</w:t>
      </w:r>
    </w:p>
  </w:footnote>
  <w:footnote w:id="1050">
    <w:p w:rsidR="00FD2727" w:rsidRDefault="00FD2727" w:rsidP="00234B56">
      <w:pPr>
        <w:pStyle w:val="FootnoteText"/>
        <w:rPr>
          <w:lang w:val="en-US"/>
        </w:rPr>
      </w:pPr>
      <w:r>
        <w:rPr>
          <w:rStyle w:val="FootnoteReference"/>
        </w:rPr>
        <w:footnoteRef/>
      </w:r>
      <w:r>
        <w:t xml:space="preserve"> Panel Report, para. 6.1416.</w:t>
      </w:r>
    </w:p>
  </w:footnote>
  <w:footnote w:id="1051">
    <w:p w:rsidR="00FD2727" w:rsidRDefault="00FD2727" w:rsidP="00234B56">
      <w:pPr>
        <w:pStyle w:val="FootnoteText"/>
        <w:rPr>
          <w:lang w:val="en-US"/>
        </w:rPr>
      </w:pPr>
      <w:r>
        <w:rPr>
          <w:rStyle w:val="FootnoteReference"/>
        </w:rPr>
        <w:footnoteRef/>
      </w:r>
      <w:r>
        <w:t xml:space="preserve"> Panel Report, para. 6.1417. Before examining this issue, the Panel reviewed the preliminary question regarding the reference period, and considered that the United States would succeed in its non</w:t>
      </w:r>
      <w:r>
        <w:noBreakHyphen/>
        <w:t xml:space="preserve">compliance claims only if it could establish the existence of </w:t>
      </w:r>
      <w:r>
        <w:rPr>
          <w:i/>
        </w:rPr>
        <w:t>present</w:t>
      </w:r>
      <w:r>
        <w:t xml:space="preserve"> serious prejudice under Article 6.3(a), (b), and (c) of the SCM Agreement in the post</w:t>
      </w:r>
      <w:r>
        <w:noBreakHyphen/>
        <w:t>implementation period (i.e. after 1 December 2011). (Ibid., paras. 6.1441</w:t>
      </w:r>
      <w:r>
        <w:noBreakHyphen/>
        <w:t>6.1444)</w:t>
      </w:r>
    </w:p>
  </w:footnote>
  <w:footnote w:id="1052">
    <w:p w:rsidR="00FD2727" w:rsidRPr="00145239" w:rsidRDefault="00FD2727" w:rsidP="00234B56">
      <w:pPr>
        <w:pStyle w:val="FootnoteText"/>
        <w:rPr>
          <w:lang w:val="en-US"/>
        </w:rPr>
      </w:pPr>
      <w:r>
        <w:rPr>
          <w:rStyle w:val="FootnoteReference"/>
        </w:rPr>
        <w:footnoteRef/>
      </w:r>
      <w:r>
        <w:t xml:space="preserve"> As further </w:t>
      </w:r>
      <w:r w:rsidRPr="00145239">
        <w:t>discussed in paragraphs 5.563 and 5.593 below, like the original panel, the Panel undertook an aggregated assessment of the effects of all LA/MSF subsidies due to their similar "design, structure and operation". (Panel Report, para. 6.1448) The Panel further noted that, in aggregating the effects of the subsidies, the original panel examined "the extent to which alone, and in combination, the direct and indirect effects of LA/MSF operated to enable Airbus to launch, develop and bring to market each model of LCA that existed in the 2001</w:t>
      </w:r>
      <w:r w:rsidRPr="00145239">
        <w:noBreakHyphen/>
        <w:t>2006 reference period". (Ibid. (fn omitted))</w:t>
      </w:r>
    </w:p>
  </w:footnote>
  <w:footnote w:id="1053">
    <w:p w:rsidR="00FD2727" w:rsidRPr="00145239" w:rsidRDefault="00FD2727" w:rsidP="00193515">
      <w:pPr>
        <w:pStyle w:val="FootnoteText"/>
        <w:keepNext/>
        <w:keepLines/>
        <w:rPr>
          <w:lang w:val="en-US"/>
        </w:rPr>
      </w:pPr>
      <w:r w:rsidRPr="00145239">
        <w:rPr>
          <w:rStyle w:val="FootnoteReference"/>
        </w:rPr>
        <w:footnoteRef/>
      </w:r>
      <w:r w:rsidRPr="00145239">
        <w:t xml:space="preserve"> Panel Report, paras. 6.1492, 6.1536, and 6.1777. See also paras. 6.1448, 6.1464, and 6.1480. As further discussed below, the Panel found that "product effects" of LA/MSF consisted of "direct effects" and "indirect effects", depending on whether the effects concern Airbus' ability to launch the particular model of LCA specifically funded by a LA/MSF subsidy (direct), or other models of LCA (indirect). (See Panel Report, para. 6.1492. See also paras. 5.563 and 5.593-5.594 below)</w:t>
      </w:r>
    </w:p>
  </w:footnote>
  <w:footnote w:id="1054">
    <w:p w:rsidR="00FD2727" w:rsidRPr="00145239" w:rsidRDefault="00FD2727" w:rsidP="00234B56">
      <w:pPr>
        <w:pStyle w:val="FootnoteText"/>
        <w:rPr>
          <w:lang w:val="en-US"/>
        </w:rPr>
      </w:pPr>
      <w:r w:rsidRPr="00145239">
        <w:rPr>
          <w:rStyle w:val="FootnoteReference"/>
        </w:rPr>
        <w:footnoteRef/>
      </w:r>
      <w:r w:rsidRPr="00145239">
        <w:t xml:space="preserve"> Panel Report, para. 6.1534. See also para. 7.1.d.xii.</w:t>
      </w:r>
    </w:p>
  </w:footnote>
  <w:footnote w:id="1055">
    <w:p w:rsidR="00FD2727" w:rsidRPr="00145239" w:rsidRDefault="00FD2727" w:rsidP="00234B56">
      <w:pPr>
        <w:pStyle w:val="FootnoteText"/>
        <w:rPr>
          <w:lang w:val="en-US"/>
        </w:rPr>
      </w:pPr>
      <w:r w:rsidRPr="00145239">
        <w:rPr>
          <w:rStyle w:val="FootnoteReference"/>
        </w:rPr>
        <w:footnoteRef/>
      </w:r>
      <w:r w:rsidRPr="00145239">
        <w:t xml:space="preserve"> Panel Report, para. 6.1778. See also para. 7.1.d.xiii.</w:t>
      </w:r>
    </w:p>
  </w:footnote>
  <w:footnote w:id="1056">
    <w:p w:rsidR="00FD2727" w:rsidRDefault="00FD2727" w:rsidP="00234B56">
      <w:pPr>
        <w:pStyle w:val="FootnoteText"/>
        <w:rPr>
          <w:lang w:val="en-US"/>
        </w:rPr>
      </w:pPr>
      <w:r w:rsidRPr="00145239">
        <w:rPr>
          <w:rStyle w:val="FootnoteReference"/>
        </w:rPr>
        <w:footnoteRef/>
      </w:r>
      <w:r w:rsidRPr="00145239">
        <w:t xml:space="preserve"> Panel Report, para. 6.1798.</w:t>
      </w:r>
    </w:p>
  </w:footnote>
  <w:footnote w:id="1057">
    <w:p w:rsidR="00FD2727" w:rsidRDefault="00FD2727" w:rsidP="00234B56">
      <w:pPr>
        <w:pStyle w:val="FootnoteText"/>
        <w:rPr>
          <w:lang w:val="en-US"/>
        </w:rPr>
      </w:pPr>
      <w:r>
        <w:rPr>
          <w:rStyle w:val="FootnoteReference"/>
        </w:rPr>
        <w:footnoteRef/>
      </w:r>
      <w:r>
        <w:t xml:space="preserve"> Panel Report, para. 7.1.d.xvi. </w:t>
      </w:r>
    </w:p>
  </w:footnote>
  <w:footnote w:id="1058">
    <w:p w:rsidR="00FD2727" w:rsidRDefault="00FD2727" w:rsidP="00234B56">
      <w:pPr>
        <w:pStyle w:val="FootnoteText"/>
        <w:rPr>
          <w:lang w:val="en-US"/>
        </w:rPr>
      </w:pPr>
      <w:r>
        <w:rPr>
          <w:rStyle w:val="FootnoteReference"/>
        </w:rPr>
        <w:footnoteRef/>
      </w:r>
      <w:r>
        <w:t xml:space="preserve"> Panel Report, para. 6.1817. </w:t>
      </w:r>
    </w:p>
  </w:footnote>
  <w:footnote w:id="1059">
    <w:p w:rsidR="00FD2727" w:rsidRPr="00193515" w:rsidRDefault="00FD2727">
      <w:pPr>
        <w:pStyle w:val="FootnoteText"/>
        <w:rPr>
          <w:lang w:val="en-US"/>
        </w:rPr>
      </w:pPr>
      <w:r>
        <w:rPr>
          <w:rStyle w:val="FootnoteReference"/>
        </w:rPr>
        <w:footnoteRef/>
      </w:r>
      <w:r>
        <w:t xml:space="preserve"> </w:t>
      </w:r>
      <w:r>
        <w:rPr>
          <w:lang w:val="en-US"/>
        </w:rPr>
        <w:t>Panel Report, para. 7.1.d.xiv.</w:t>
      </w:r>
    </w:p>
  </w:footnote>
  <w:footnote w:id="1060">
    <w:p w:rsidR="00FD2727" w:rsidRDefault="00FD2727" w:rsidP="00234B56">
      <w:pPr>
        <w:pStyle w:val="FootnoteText"/>
      </w:pPr>
      <w:r>
        <w:rPr>
          <w:rStyle w:val="FootnoteReference"/>
        </w:rPr>
        <w:footnoteRef/>
      </w:r>
      <w:r>
        <w:t xml:space="preserve"> Panel Report, para. 7.1.d.xv. In light of these findings, the Panel made "no determination of the United States' claim of </w:t>
      </w:r>
      <w:r>
        <w:rPr>
          <w:i/>
        </w:rPr>
        <w:t>threat</w:t>
      </w:r>
      <w:r>
        <w:t xml:space="preserve"> of displacement and impedance in the market for single</w:t>
      </w:r>
      <w:r>
        <w:noBreakHyphen/>
        <w:t xml:space="preserve">aisle LCA in the European Union, given that the United States requested the Panel to consider this claim only if {it} rejected its claims of </w:t>
      </w:r>
      <w:r>
        <w:rPr>
          <w:i/>
        </w:rPr>
        <w:t>present</w:t>
      </w:r>
      <w:r>
        <w:t xml:space="preserve"> serious prejudice". (Ibid., para. 6.1818 (emphasis original; fn omitted). See also para. 7.1.d.xix)</w:t>
      </w:r>
    </w:p>
  </w:footnote>
  <w:footnote w:id="1061">
    <w:p w:rsidR="00FD2727" w:rsidRDefault="00FD2727" w:rsidP="00234B56">
      <w:pPr>
        <w:pStyle w:val="FootnoteText"/>
        <w:rPr>
          <w:lang w:val="en-US"/>
        </w:rPr>
      </w:pPr>
      <w:r>
        <w:rPr>
          <w:rStyle w:val="FootnoteReference"/>
        </w:rPr>
        <w:footnoteRef/>
      </w:r>
      <w:r>
        <w:t xml:space="preserve"> European Union's appellant's submission, paras. 641-750. </w:t>
      </w:r>
    </w:p>
  </w:footnote>
  <w:footnote w:id="1062">
    <w:p w:rsidR="00FD2727" w:rsidRDefault="00FD2727" w:rsidP="00234B56">
      <w:pPr>
        <w:pStyle w:val="FootnoteText"/>
        <w:rPr>
          <w:lang w:val="en-US"/>
        </w:rPr>
      </w:pPr>
      <w:r>
        <w:rPr>
          <w:rStyle w:val="FootnoteReference"/>
        </w:rPr>
        <w:footnoteRef/>
      </w:r>
      <w:r>
        <w:t xml:space="preserve"> European Union's appellant's submission, paras. 533-640.</w:t>
      </w:r>
    </w:p>
  </w:footnote>
  <w:footnote w:id="1063">
    <w:p w:rsidR="00FD2727" w:rsidRDefault="00FD2727" w:rsidP="00234B56">
      <w:pPr>
        <w:pStyle w:val="FootnoteText"/>
        <w:rPr>
          <w:lang w:val="en-US"/>
        </w:rPr>
      </w:pPr>
      <w:r>
        <w:rPr>
          <w:rStyle w:val="FootnoteReference"/>
        </w:rPr>
        <w:footnoteRef/>
      </w:r>
      <w:r>
        <w:t xml:space="preserve"> European Union's appellant's submission, paras. 832-884. </w:t>
      </w:r>
    </w:p>
  </w:footnote>
  <w:footnote w:id="1064">
    <w:p w:rsidR="00FD2727" w:rsidRDefault="00FD2727" w:rsidP="00234B56">
      <w:pPr>
        <w:pStyle w:val="FootnoteText"/>
        <w:rPr>
          <w:lang w:val="en-US"/>
        </w:rPr>
      </w:pPr>
      <w:r>
        <w:rPr>
          <w:rStyle w:val="FootnoteReference"/>
        </w:rPr>
        <w:footnoteRef/>
      </w:r>
      <w:r>
        <w:t xml:space="preserve"> European Union's appellant's submission, paras. 885-913.</w:t>
      </w:r>
    </w:p>
  </w:footnote>
  <w:footnote w:id="1065">
    <w:p w:rsidR="00FD2727" w:rsidRDefault="00FD2727" w:rsidP="00234B56">
      <w:pPr>
        <w:pStyle w:val="FootnoteText"/>
        <w:rPr>
          <w:lang w:val="en-US"/>
        </w:rPr>
      </w:pPr>
      <w:r>
        <w:rPr>
          <w:rStyle w:val="FootnoteReference"/>
        </w:rPr>
        <w:footnoteRef/>
      </w:r>
      <w:r>
        <w:t xml:space="preserve"> European Union's appellant's submission, paras. 914-958 and 966-1056.</w:t>
      </w:r>
    </w:p>
  </w:footnote>
  <w:footnote w:id="1066">
    <w:p w:rsidR="00FD2727" w:rsidRDefault="00FD2727">
      <w:pPr>
        <w:pStyle w:val="FootnoteText"/>
      </w:pPr>
      <w:r>
        <w:rPr>
          <w:rStyle w:val="FootnoteReference"/>
        </w:rPr>
        <w:footnoteRef/>
      </w:r>
      <w:r>
        <w:t xml:space="preserve"> European Union's appellant's submission, paras. 700 and 717.</w:t>
      </w:r>
    </w:p>
  </w:footnote>
  <w:footnote w:id="1067">
    <w:p w:rsidR="00FD2727" w:rsidRDefault="00FD2727">
      <w:pPr>
        <w:pStyle w:val="FootnoteText"/>
      </w:pPr>
      <w:r>
        <w:rPr>
          <w:rStyle w:val="FootnoteReference"/>
        </w:rPr>
        <w:footnoteRef/>
      </w:r>
      <w:r>
        <w:t xml:space="preserve"> European Union's appellant's submission, para. 724.</w:t>
      </w:r>
    </w:p>
  </w:footnote>
  <w:footnote w:id="1068">
    <w:p w:rsidR="00FD2727" w:rsidRPr="00E657A5" w:rsidRDefault="00FD2727">
      <w:pPr>
        <w:pStyle w:val="FootnoteText"/>
      </w:pPr>
      <w:r>
        <w:rPr>
          <w:rStyle w:val="FootnoteReference"/>
        </w:rPr>
        <w:footnoteRef/>
      </w:r>
      <w:r>
        <w:t xml:space="preserve"> European Union's appellant's submission, para. 724.</w:t>
      </w:r>
    </w:p>
  </w:footnote>
  <w:footnote w:id="1069">
    <w:p w:rsidR="00FD2727" w:rsidRPr="00E657A5" w:rsidRDefault="00FD2727">
      <w:pPr>
        <w:pStyle w:val="FootnoteText"/>
      </w:pPr>
      <w:r>
        <w:rPr>
          <w:rStyle w:val="FootnoteReference"/>
        </w:rPr>
        <w:footnoteRef/>
      </w:r>
      <w:r>
        <w:t xml:space="preserve"> Panel Report, para. 6.114.</w:t>
      </w:r>
    </w:p>
  </w:footnote>
  <w:footnote w:id="1070">
    <w:p w:rsidR="00FD2727" w:rsidRDefault="00FD2727">
      <w:pPr>
        <w:pStyle w:val="FootnoteText"/>
      </w:pPr>
      <w:r>
        <w:rPr>
          <w:rStyle w:val="FootnoteReference"/>
        </w:rPr>
        <w:footnoteRef/>
      </w:r>
      <w:r>
        <w:t xml:space="preserve"> European Union</w:t>
      </w:r>
      <w:r w:rsidRPr="00D45BD8">
        <w:t xml:space="preserve">'s appellant's submission, </w:t>
      </w:r>
      <w:r>
        <w:t>para. </w:t>
      </w:r>
      <w:r w:rsidRPr="00D45BD8">
        <w:t>645</w:t>
      </w:r>
      <w:r>
        <w:t>.</w:t>
      </w:r>
    </w:p>
  </w:footnote>
  <w:footnote w:id="1071">
    <w:p w:rsidR="00FD2727" w:rsidRPr="002F2175" w:rsidRDefault="00FD2727" w:rsidP="00267BCB">
      <w:pPr>
        <w:pStyle w:val="FootnoteText"/>
        <w:rPr>
          <w:lang w:val="en-US"/>
        </w:rPr>
      </w:pPr>
      <w:r>
        <w:rPr>
          <w:rStyle w:val="FootnoteReference"/>
        </w:rPr>
        <w:footnoteRef/>
      </w:r>
      <w:r>
        <w:t xml:space="preserve"> European Union's </w:t>
      </w:r>
      <w:r w:rsidRPr="00D45BD8">
        <w:t xml:space="preserve">appellant's submission, </w:t>
      </w:r>
      <w:r>
        <w:t>para. </w:t>
      </w:r>
      <w:r w:rsidRPr="00D45BD8">
        <w:t>714. (</w:t>
      </w:r>
      <w:r>
        <w:t>emphasis</w:t>
      </w:r>
      <w:r w:rsidRPr="00D45BD8">
        <w:t xml:space="preserve"> </w:t>
      </w:r>
      <w:r>
        <w:t>and fn omitted</w:t>
      </w:r>
      <w:r w:rsidRPr="00D45BD8">
        <w:t>)</w:t>
      </w:r>
      <w:r w:rsidRPr="00753E56">
        <w:rPr>
          <w:bCs/>
          <w:sz w:val="18"/>
          <w:szCs w:val="22"/>
          <w:lang w:eastAsia="en-US"/>
        </w:rPr>
        <w:t xml:space="preserve"> </w:t>
      </w:r>
      <w:r>
        <w:t xml:space="preserve">See also European Union's second written submission to the Panel, paras. 706-727. </w:t>
      </w:r>
    </w:p>
  </w:footnote>
  <w:footnote w:id="1072">
    <w:p w:rsidR="00FD2727" w:rsidRDefault="00FD2727">
      <w:pPr>
        <w:pStyle w:val="FootnoteText"/>
      </w:pPr>
      <w:r>
        <w:rPr>
          <w:rStyle w:val="FootnoteReference"/>
        </w:rPr>
        <w:footnoteRef/>
      </w:r>
      <w:r>
        <w:t xml:space="preserve"> European Union's appellant's submission, para. 645.</w:t>
      </w:r>
    </w:p>
  </w:footnote>
  <w:footnote w:id="1073">
    <w:p w:rsidR="00FD2727" w:rsidRDefault="00FD2727" w:rsidP="00267BCB">
      <w:pPr>
        <w:pStyle w:val="FootnoteText"/>
      </w:pPr>
      <w:r>
        <w:rPr>
          <w:rStyle w:val="FootnoteReference"/>
        </w:rPr>
        <w:footnoteRef/>
      </w:r>
      <w:r>
        <w:t xml:space="preserve"> European Union</w:t>
      </w:r>
      <w:r w:rsidRPr="00D45BD8">
        <w:t xml:space="preserve">'s </w:t>
      </w:r>
      <w:r>
        <w:t>response to questioning at the oral hearing.</w:t>
      </w:r>
    </w:p>
  </w:footnote>
  <w:footnote w:id="1074">
    <w:p w:rsidR="00FD2727" w:rsidRDefault="00FD2727">
      <w:pPr>
        <w:pStyle w:val="FootnoteText"/>
      </w:pPr>
      <w:r>
        <w:rPr>
          <w:rStyle w:val="FootnoteReference"/>
        </w:rPr>
        <w:footnoteRef/>
      </w:r>
      <w:r>
        <w:t xml:space="preserve"> European Union's appellant's submission, paras. 686-698.</w:t>
      </w:r>
    </w:p>
  </w:footnote>
  <w:footnote w:id="1075">
    <w:p w:rsidR="00FD2727" w:rsidRPr="002F2175" w:rsidRDefault="00FD2727">
      <w:pPr>
        <w:pStyle w:val="FootnoteText"/>
        <w:rPr>
          <w:lang w:val="en-US"/>
        </w:rPr>
      </w:pPr>
      <w:r>
        <w:rPr>
          <w:rStyle w:val="FootnoteReference"/>
        </w:rPr>
        <w:footnoteRef/>
      </w:r>
      <w:r>
        <w:t xml:space="preserve"> </w:t>
      </w:r>
      <w:r w:rsidRPr="00D45BD8">
        <w:t xml:space="preserve">Original Panel Report, </w:t>
      </w:r>
      <w:r>
        <w:t>para. </w:t>
      </w:r>
      <w:r w:rsidRPr="00D45BD8">
        <w:t>7.1762. (</w:t>
      </w:r>
      <w:r>
        <w:t>emphasis</w:t>
      </w:r>
      <w:r w:rsidRPr="00D45BD8">
        <w:t xml:space="preserve"> omitted)</w:t>
      </w:r>
    </w:p>
  </w:footnote>
  <w:footnote w:id="1076">
    <w:p w:rsidR="00FD2727" w:rsidRPr="002F2175" w:rsidRDefault="00FD2727">
      <w:pPr>
        <w:pStyle w:val="FootnoteText"/>
        <w:rPr>
          <w:lang w:val="en-US"/>
        </w:rPr>
      </w:pPr>
      <w:r>
        <w:rPr>
          <w:rStyle w:val="FootnoteReference"/>
        </w:rPr>
        <w:footnoteRef/>
      </w:r>
      <w:r>
        <w:t xml:space="preserve"> </w:t>
      </w:r>
      <w:r w:rsidRPr="00D45BD8">
        <w:t xml:space="preserve">Original Panel Report, </w:t>
      </w:r>
      <w:r>
        <w:t>para. </w:t>
      </w:r>
      <w:r w:rsidRPr="00D45BD8">
        <w:t>7.1766.</w:t>
      </w:r>
    </w:p>
  </w:footnote>
  <w:footnote w:id="1077">
    <w:p w:rsidR="00FD2727" w:rsidRPr="00D45BD8" w:rsidRDefault="00FD2727" w:rsidP="00AA339D">
      <w:pPr>
        <w:pStyle w:val="FootnoteText"/>
        <w:keepNext/>
        <w:keepLines/>
      </w:pPr>
      <w:r>
        <w:rPr>
          <w:rStyle w:val="FootnoteReference"/>
        </w:rPr>
        <w:footnoteRef/>
      </w:r>
      <w:r>
        <w:t xml:space="preserve"> </w:t>
      </w:r>
      <w:r w:rsidRPr="00B515FE">
        <w:t xml:space="preserve">The panel in </w:t>
      </w:r>
      <w:r w:rsidRPr="00B515FE">
        <w:rPr>
          <w:i/>
        </w:rPr>
        <w:t>Indonesia – Autos</w:t>
      </w:r>
      <w:r w:rsidRPr="00B515FE">
        <w:t xml:space="preserve"> found:</w:t>
      </w:r>
    </w:p>
    <w:p w:rsidR="00FD2727" w:rsidRPr="00D45BD8" w:rsidRDefault="00FD2727" w:rsidP="00AA339D">
      <w:pPr>
        <w:pStyle w:val="FootnoteQuotation"/>
        <w:keepNext/>
        <w:keepLines/>
      </w:pPr>
      <w:r w:rsidRPr="00D45BD8">
        <w:t xml:space="preserve">If the type of analysis set forth in </w:t>
      </w:r>
      <w:r>
        <w:t>Article </w:t>
      </w:r>
      <w:r w:rsidRPr="00D45BD8">
        <w:t xml:space="preserve">6.4 is appropriate in this case, then the complainants arguably could make a </w:t>
      </w:r>
      <w:r w:rsidRPr="00D45BD8">
        <w:rPr>
          <w:i/>
          <w:iCs/>
        </w:rPr>
        <w:t xml:space="preserve">prima facie </w:t>
      </w:r>
      <w:r w:rsidRPr="00D45BD8">
        <w:t xml:space="preserve">case of displacement or impedance simply by demonstrating that the market share of a subsidized product has increased over an appropriately representative period. If, on the other hand, the type of analysis set forth in </w:t>
      </w:r>
      <w:r>
        <w:t>Article </w:t>
      </w:r>
      <w:r w:rsidRPr="00D45BD8">
        <w:t xml:space="preserve">6.4 is not appropriate in this case, then the complainants must </w:t>
      </w:r>
      <w:r w:rsidRPr="00911902">
        <w:t>demonstrate that "</w:t>
      </w:r>
      <w:r w:rsidRPr="00911902">
        <w:rPr>
          <w:i/>
          <w:iCs/>
        </w:rPr>
        <w:t>the effect of the subsidy</w:t>
      </w:r>
      <w:r w:rsidRPr="00911902">
        <w:t>" is to displace or impede imports into</w:t>
      </w:r>
      <w:r w:rsidRPr="00D45BD8">
        <w:t xml:space="preserve"> Indonesia, that is, that they have lost export sales to Indonesia that they would otherwise have made and that those export sales were lost as a result of the subsidies provided pursuant to the National Car programme.</w:t>
      </w:r>
    </w:p>
    <w:p w:rsidR="00FD2727" w:rsidRPr="002F2175" w:rsidRDefault="00FD2727" w:rsidP="00AA339D">
      <w:pPr>
        <w:pStyle w:val="FootnoteText"/>
        <w:keepNext/>
        <w:keepLines/>
        <w:ind w:firstLine="0"/>
        <w:rPr>
          <w:lang w:val="en-US"/>
        </w:rPr>
      </w:pPr>
      <w:r>
        <w:rPr>
          <w:lang w:val="es-ES"/>
        </w:rPr>
        <w:t>(</w:t>
      </w:r>
      <w:r w:rsidRPr="00AE2E7A">
        <w:rPr>
          <w:lang w:val="es-ES"/>
        </w:rPr>
        <w:t xml:space="preserve">Panel Report, </w:t>
      </w:r>
      <w:r w:rsidRPr="00AE2E7A">
        <w:rPr>
          <w:i/>
          <w:lang w:val="es-ES"/>
        </w:rPr>
        <w:t>Indonesia – Autos</w:t>
      </w:r>
      <w:r w:rsidRPr="00AE2E7A">
        <w:rPr>
          <w:lang w:val="es-ES"/>
        </w:rPr>
        <w:t>, para. </w:t>
      </w:r>
      <w:r w:rsidRPr="00D45BD8">
        <w:t>14.209</w:t>
      </w:r>
      <w:r>
        <w:t xml:space="preserve"> (emphasis original)). (See also Original Panel Report, para. 7.1767.)</w:t>
      </w:r>
    </w:p>
  </w:footnote>
  <w:footnote w:id="1078">
    <w:p w:rsidR="00FD2727" w:rsidRPr="002F2175" w:rsidRDefault="00FD2727">
      <w:pPr>
        <w:pStyle w:val="FootnoteText"/>
        <w:rPr>
          <w:lang w:val="en-US"/>
        </w:rPr>
      </w:pPr>
      <w:r>
        <w:rPr>
          <w:rStyle w:val="FootnoteReference"/>
        </w:rPr>
        <w:footnoteRef/>
      </w:r>
      <w:r>
        <w:t xml:space="preserve"> </w:t>
      </w:r>
      <w:r w:rsidRPr="00D45BD8">
        <w:t xml:space="preserve">Original Panel Report, </w:t>
      </w:r>
      <w:r>
        <w:t>para. </w:t>
      </w:r>
      <w:r w:rsidRPr="00D45BD8">
        <w:t>7.1767.</w:t>
      </w:r>
    </w:p>
  </w:footnote>
  <w:footnote w:id="1079">
    <w:p w:rsidR="00FD2727" w:rsidRPr="002F2175" w:rsidRDefault="00FD2727">
      <w:pPr>
        <w:pStyle w:val="FootnoteText"/>
        <w:rPr>
          <w:lang w:val="en-US"/>
        </w:rPr>
      </w:pPr>
      <w:r>
        <w:rPr>
          <w:rStyle w:val="FootnoteReference"/>
        </w:rPr>
        <w:footnoteRef/>
      </w:r>
      <w:r>
        <w:t xml:space="preserve"> </w:t>
      </w:r>
      <w:r w:rsidRPr="00D45BD8">
        <w:t xml:space="preserve">Original Panel Report, </w:t>
      </w:r>
      <w:r>
        <w:t>para. </w:t>
      </w:r>
      <w:r w:rsidRPr="00D45BD8">
        <w:t>7.1768.</w:t>
      </w:r>
      <w:r>
        <w:t xml:space="preserve"> (emphasis added)</w:t>
      </w:r>
    </w:p>
  </w:footnote>
  <w:footnote w:id="1080">
    <w:p w:rsidR="00FD2727" w:rsidRPr="002F2175" w:rsidRDefault="00FD2727">
      <w:pPr>
        <w:pStyle w:val="FootnoteText"/>
        <w:rPr>
          <w:lang w:val="en-US"/>
        </w:rPr>
      </w:pPr>
      <w:r>
        <w:rPr>
          <w:rStyle w:val="FootnoteReference"/>
        </w:rPr>
        <w:footnoteRef/>
      </w:r>
      <w:r>
        <w:t xml:space="preserve"> </w:t>
      </w:r>
      <w:r w:rsidRPr="00D45BD8">
        <w:t xml:space="preserve">Original Panel Report, </w:t>
      </w:r>
      <w:r>
        <w:t>para. </w:t>
      </w:r>
      <w:r w:rsidRPr="00D45BD8">
        <w:t>7.1769.</w:t>
      </w:r>
    </w:p>
  </w:footnote>
  <w:footnote w:id="1081">
    <w:p w:rsidR="00FD2727" w:rsidRPr="002F2175" w:rsidRDefault="00FD2727">
      <w:pPr>
        <w:pStyle w:val="FootnoteText"/>
        <w:rPr>
          <w:lang w:val="en-US"/>
        </w:rPr>
      </w:pPr>
      <w:r>
        <w:rPr>
          <w:rStyle w:val="FootnoteReference"/>
        </w:rPr>
        <w:footnoteRef/>
      </w:r>
      <w:r>
        <w:t xml:space="preserve"> </w:t>
      </w:r>
      <w:r w:rsidRPr="00D45BD8">
        <w:t xml:space="preserve">Original Panel Report, </w:t>
      </w:r>
      <w:r>
        <w:t>para. </w:t>
      </w:r>
      <w:r w:rsidRPr="00D45BD8">
        <w:t>7.1769.</w:t>
      </w:r>
    </w:p>
  </w:footnote>
  <w:footnote w:id="1082">
    <w:p w:rsidR="00FD2727" w:rsidRPr="002F2175" w:rsidRDefault="00FD2727">
      <w:pPr>
        <w:pStyle w:val="FootnoteText"/>
        <w:rPr>
          <w:lang w:val="en-US"/>
        </w:rPr>
      </w:pPr>
      <w:r>
        <w:rPr>
          <w:rStyle w:val="FootnoteReference"/>
        </w:rPr>
        <w:footnoteRef/>
      </w:r>
      <w:r>
        <w:t xml:space="preserve"> </w:t>
      </w:r>
      <w:r w:rsidRPr="00D45BD8">
        <w:t xml:space="preserve">Original Panel Report, </w:t>
      </w:r>
      <w:r>
        <w:t>para. </w:t>
      </w:r>
      <w:r w:rsidRPr="00D45BD8">
        <w:t>7.1769.</w:t>
      </w:r>
    </w:p>
  </w:footnote>
  <w:footnote w:id="1083">
    <w:p w:rsidR="00FD2727" w:rsidRPr="002F2175" w:rsidRDefault="00FD2727">
      <w:pPr>
        <w:pStyle w:val="FootnoteText"/>
        <w:rPr>
          <w:lang w:val="en-US"/>
        </w:rPr>
      </w:pPr>
      <w:r>
        <w:rPr>
          <w:rStyle w:val="FootnoteReference"/>
        </w:rPr>
        <w:footnoteRef/>
      </w:r>
      <w:r>
        <w:t xml:space="preserve"> </w:t>
      </w:r>
      <w:r w:rsidRPr="00D45BD8">
        <w:t xml:space="preserve">Original Panel Report, </w:t>
      </w:r>
      <w:r>
        <w:t>para. </w:t>
      </w:r>
      <w:r w:rsidRPr="00D45BD8">
        <w:t>7.1770.</w:t>
      </w:r>
    </w:p>
  </w:footnote>
  <w:footnote w:id="1084">
    <w:p w:rsidR="00FD2727" w:rsidRPr="002F2175" w:rsidRDefault="00FD2727">
      <w:pPr>
        <w:pStyle w:val="FootnoteText"/>
        <w:rPr>
          <w:lang w:val="en-US"/>
        </w:rPr>
      </w:pPr>
      <w:r>
        <w:rPr>
          <w:rStyle w:val="FootnoteReference"/>
        </w:rPr>
        <w:footnoteRef/>
      </w:r>
      <w:r>
        <w:t xml:space="preserve"> </w:t>
      </w:r>
      <w:r w:rsidRPr="00B73375">
        <w:t xml:space="preserve">Original Panel Report, </w:t>
      </w:r>
      <w:r>
        <w:t>para. </w:t>
      </w:r>
      <w:r w:rsidRPr="00B73375">
        <w:t>7.1770. (</w:t>
      </w:r>
      <w:r>
        <w:t xml:space="preserve">emphasis </w:t>
      </w:r>
      <w:r w:rsidRPr="00B73375">
        <w:t>omitted)</w:t>
      </w:r>
    </w:p>
  </w:footnote>
  <w:footnote w:id="1085">
    <w:p w:rsidR="00FD2727" w:rsidRPr="002F2175" w:rsidRDefault="00FD2727">
      <w:pPr>
        <w:pStyle w:val="FootnoteText"/>
        <w:rPr>
          <w:lang w:val="en-US"/>
        </w:rPr>
      </w:pPr>
      <w:r>
        <w:rPr>
          <w:rStyle w:val="FootnoteReference"/>
        </w:rPr>
        <w:footnoteRef/>
      </w:r>
      <w:r>
        <w:t xml:space="preserve"> </w:t>
      </w:r>
      <w:r w:rsidRPr="00B73375">
        <w:t xml:space="preserve">Original Panel Report, </w:t>
      </w:r>
      <w:r>
        <w:t>para. </w:t>
      </w:r>
      <w:r w:rsidRPr="00B73375">
        <w:t>7.1770. (</w:t>
      </w:r>
      <w:r>
        <w:t>emphasis added</w:t>
      </w:r>
      <w:r w:rsidRPr="00B73375">
        <w:t>)</w:t>
      </w:r>
    </w:p>
  </w:footnote>
  <w:footnote w:id="1086">
    <w:p w:rsidR="00FD2727" w:rsidRPr="002F2175" w:rsidRDefault="00FD2727">
      <w:pPr>
        <w:pStyle w:val="FootnoteText"/>
        <w:rPr>
          <w:lang w:val="en-US"/>
        </w:rPr>
      </w:pPr>
      <w:r>
        <w:rPr>
          <w:rStyle w:val="FootnoteReference"/>
        </w:rPr>
        <w:footnoteRef/>
      </w:r>
      <w:r>
        <w:t xml:space="preserve"> </w:t>
      </w:r>
      <w:r w:rsidRPr="00D45BD8">
        <w:t xml:space="preserve">Original Panel Report, </w:t>
      </w:r>
      <w:r>
        <w:t>para. </w:t>
      </w:r>
      <w:r w:rsidRPr="00D45BD8">
        <w:t>7.1771.</w:t>
      </w:r>
    </w:p>
  </w:footnote>
  <w:footnote w:id="1087">
    <w:p w:rsidR="00FD2727" w:rsidRPr="002F2175" w:rsidRDefault="00FD2727">
      <w:pPr>
        <w:pStyle w:val="FootnoteText"/>
        <w:rPr>
          <w:lang w:val="en-US"/>
        </w:rPr>
      </w:pPr>
      <w:r>
        <w:rPr>
          <w:rStyle w:val="FootnoteReference"/>
        </w:rPr>
        <w:footnoteRef/>
      </w:r>
      <w:r>
        <w:t xml:space="preserve"> Appellate Body Report, </w:t>
      </w:r>
      <w:r w:rsidRPr="005F0DE5">
        <w:rPr>
          <w:i/>
        </w:rPr>
        <w:t>EC and certain member States – Large Civil Aircraft</w:t>
      </w:r>
      <w:r w:rsidRPr="005F0DE5">
        <w:t xml:space="preserve">, </w:t>
      </w:r>
      <w:r>
        <w:t>para. </w:t>
      </w:r>
      <w:r w:rsidRPr="005F0DE5">
        <w:t>1170</w:t>
      </w:r>
      <w:r>
        <w:t>. (emphasis added)</w:t>
      </w:r>
    </w:p>
  </w:footnote>
  <w:footnote w:id="1088">
    <w:p w:rsidR="00FD2727" w:rsidRPr="002F2175" w:rsidRDefault="00FD2727">
      <w:pPr>
        <w:pStyle w:val="FootnoteText"/>
        <w:rPr>
          <w:lang w:val="en-US"/>
        </w:rPr>
      </w:pPr>
      <w:r>
        <w:rPr>
          <w:rStyle w:val="FootnoteReference"/>
        </w:rPr>
        <w:footnoteRef/>
      </w:r>
      <w:r>
        <w:t xml:space="preserve"> Appellate Body Report, </w:t>
      </w:r>
      <w:r w:rsidRPr="00D45BD8">
        <w:rPr>
          <w:i/>
        </w:rPr>
        <w:t>EC and certain member States – Large Civil Aircraft</w:t>
      </w:r>
      <w:r w:rsidRPr="00D45BD8">
        <w:t xml:space="preserve">, </w:t>
      </w:r>
      <w:r>
        <w:t>para. </w:t>
      </w:r>
      <w:r w:rsidRPr="00D45BD8">
        <w:t>11</w:t>
      </w:r>
      <w:r>
        <w:t>66. (fn omitted)</w:t>
      </w:r>
    </w:p>
  </w:footnote>
  <w:footnote w:id="1089">
    <w:p w:rsidR="00FD2727" w:rsidRPr="002F2175" w:rsidRDefault="00FD2727">
      <w:pPr>
        <w:pStyle w:val="FootnoteText"/>
        <w:rPr>
          <w:lang w:val="en-US"/>
        </w:rPr>
      </w:pPr>
      <w:r>
        <w:rPr>
          <w:rStyle w:val="FootnoteReference"/>
        </w:rPr>
        <w:footnoteRef/>
      </w:r>
      <w:r>
        <w:t xml:space="preserve"> </w:t>
      </w:r>
      <w:r w:rsidRPr="00D45BD8">
        <w:t xml:space="preserve">Panel Report, </w:t>
      </w:r>
      <w:r>
        <w:t>para. </w:t>
      </w:r>
      <w:r w:rsidRPr="00D45BD8">
        <w:t>6.1114.</w:t>
      </w:r>
    </w:p>
  </w:footnote>
  <w:footnote w:id="1090">
    <w:p w:rsidR="00FD2727" w:rsidRPr="002F2175" w:rsidRDefault="00FD2727">
      <w:pPr>
        <w:pStyle w:val="FootnoteText"/>
        <w:rPr>
          <w:lang w:val="en-US"/>
        </w:rPr>
      </w:pPr>
      <w:r>
        <w:rPr>
          <w:rStyle w:val="FootnoteReference"/>
        </w:rPr>
        <w:footnoteRef/>
      </w:r>
      <w:r>
        <w:t xml:space="preserve"> </w:t>
      </w:r>
      <w:r w:rsidRPr="00D45BD8">
        <w:t xml:space="preserve">Panel Report, </w:t>
      </w:r>
      <w:r>
        <w:t>para. </w:t>
      </w:r>
      <w:r w:rsidRPr="00D45BD8">
        <w:t xml:space="preserve">6.1115 (referring to </w:t>
      </w:r>
      <w:r>
        <w:t>European Union</w:t>
      </w:r>
      <w:r w:rsidRPr="00D45BD8">
        <w:t xml:space="preserve">'s second written submission to the Panel, </w:t>
      </w:r>
      <w:r>
        <w:t>paras. </w:t>
      </w:r>
      <w:r w:rsidRPr="00D45BD8">
        <w:t>708-712).</w:t>
      </w:r>
    </w:p>
  </w:footnote>
  <w:footnote w:id="1091">
    <w:p w:rsidR="00FD2727" w:rsidRDefault="00FD2727">
      <w:pPr>
        <w:pStyle w:val="FootnoteText"/>
      </w:pPr>
      <w:r>
        <w:rPr>
          <w:rStyle w:val="FootnoteReference"/>
        </w:rPr>
        <w:footnoteRef/>
      </w:r>
      <w:r>
        <w:t xml:space="preserve"> European Union's appellant's submission, para. 645. See also Panel Report, para. 6.1116.</w:t>
      </w:r>
    </w:p>
  </w:footnote>
  <w:footnote w:id="1092">
    <w:p w:rsidR="00FD2727" w:rsidRPr="002F2175" w:rsidRDefault="00FD2727">
      <w:pPr>
        <w:pStyle w:val="FootnoteText"/>
        <w:rPr>
          <w:lang w:val="en-US"/>
        </w:rPr>
      </w:pPr>
      <w:r>
        <w:rPr>
          <w:rStyle w:val="FootnoteReference"/>
        </w:rPr>
        <w:footnoteRef/>
      </w:r>
      <w:r>
        <w:t xml:space="preserve"> </w:t>
      </w:r>
      <w:r w:rsidRPr="00D45BD8">
        <w:t xml:space="preserve">Panel Report, </w:t>
      </w:r>
      <w:r>
        <w:t>para. </w:t>
      </w:r>
      <w:r w:rsidRPr="00D45BD8">
        <w:t>6.1115.</w:t>
      </w:r>
    </w:p>
  </w:footnote>
  <w:footnote w:id="1093">
    <w:p w:rsidR="00FD2727" w:rsidRPr="002F2175" w:rsidRDefault="00FD2727">
      <w:pPr>
        <w:pStyle w:val="FootnoteText"/>
        <w:rPr>
          <w:lang w:val="en-US"/>
        </w:rPr>
      </w:pPr>
      <w:r>
        <w:rPr>
          <w:rStyle w:val="FootnoteReference"/>
        </w:rPr>
        <w:footnoteRef/>
      </w:r>
      <w:r>
        <w:t xml:space="preserve"> </w:t>
      </w:r>
      <w:r w:rsidRPr="00D45BD8">
        <w:t xml:space="preserve">Panel Report, </w:t>
      </w:r>
      <w:r>
        <w:t>para. </w:t>
      </w:r>
      <w:r w:rsidRPr="00D45BD8">
        <w:t xml:space="preserve">6.1121 (referring to </w:t>
      </w:r>
      <w:r>
        <w:t>United States</w:t>
      </w:r>
      <w:r w:rsidRPr="00D45BD8">
        <w:t xml:space="preserve">' second written submission to the Panel, </w:t>
      </w:r>
      <w:r>
        <w:t>paras. </w:t>
      </w:r>
      <w:r w:rsidRPr="00D45BD8">
        <w:t>404-406, 409</w:t>
      </w:r>
      <w:r>
        <w:t>-</w:t>
      </w:r>
      <w:r w:rsidRPr="00D45BD8">
        <w:t>410, and 412).</w:t>
      </w:r>
    </w:p>
  </w:footnote>
  <w:footnote w:id="1094">
    <w:p w:rsidR="00FD2727" w:rsidRPr="002F2175" w:rsidRDefault="00FD2727">
      <w:pPr>
        <w:pStyle w:val="FootnoteText"/>
        <w:rPr>
          <w:lang w:val="en-US"/>
        </w:rPr>
      </w:pPr>
      <w:r>
        <w:rPr>
          <w:rStyle w:val="FootnoteReference"/>
        </w:rPr>
        <w:footnoteRef/>
      </w:r>
      <w:r>
        <w:t xml:space="preserve"> </w:t>
      </w:r>
      <w:r w:rsidRPr="00D45BD8">
        <w:t xml:space="preserve">Panel Report, </w:t>
      </w:r>
      <w:r>
        <w:t>para. </w:t>
      </w:r>
      <w:r w:rsidRPr="00D45BD8">
        <w:t>6.112</w:t>
      </w:r>
      <w:r>
        <w:t>2</w:t>
      </w:r>
      <w:r w:rsidRPr="00D45BD8">
        <w:t>.</w:t>
      </w:r>
    </w:p>
  </w:footnote>
  <w:footnote w:id="1095">
    <w:p w:rsidR="00FD2727" w:rsidRPr="002F2175" w:rsidRDefault="00FD2727">
      <w:pPr>
        <w:pStyle w:val="FootnoteText"/>
        <w:rPr>
          <w:lang w:val="en-US"/>
        </w:rPr>
      </w:pPr>
      <w:r>
        <w:rPr>
          <w:rStyle w:val="FootnoteReference"/>
        </w:rPr>
        <w:footnoteRef/>
      </w:r>
      <w:r>
        <w:t xml:space="preserve"> </w:t>
      </w:r>
      <w:r w:rsidRPr="00D45BD8">
        <w:t xml:space="preserve">Panel Report, </w:t>
      </w:r>
      <w:r>
        <w:t>para. 6</w:t>
      </w:r>
      <w:r w:rsidRPr="00D45BD8">
        <w:t>.1122 (</w:t>
      </w:r>
      <w:r>
        <w:t>quoting</w:t>
      </w:r>
      <w:r w:rsidRPr="00D45BD8">
        <w:t xml:space="preserve"> </w:t>
      </w:r>
      <w:r>
        <w:t>United States</w:t>
      </w:r>
      <w:r w:rsidRPr="00D45BD8">
        <w:t xml:space="preserve">' second written submission to the Panel, </w:t>
      </w:r>
      <w:r>
        <w:t>paras. </w:t>
      </w:r>
      <w:r w:rsidRPr="00D45BD8">
        <w:t>413-415</w:t>
      </w:r>
      <w:r>
        <w:t xml:space="preserve"> (emphasis and fn omitted by the Panel)</w:t>
      </w:r>
      <w:r w:rsidRPr="00D45BD8">
        <w:t>).</w:t>
      </w:r>
    </w:p>
  </w:footnote>
  <w:footnote w:id="1096">
    <w:p w:rsidR="00FD2727" w:rsidRPr="002F2175" w:rsidRDefault="00FD2727">
      <w:pPr>
        <w:pStyle w:val="FootnoteText"/>
        <w:rPr>
          <w:lang w:val="en-US"/>
        </w:rPr>
      </w:pPr>
      <w:r>
        <w:rPr>
          <w:rStyle w:val="FootnoteReference"/>
        </w:rPr>
        <w:footnoteRef/>
      </w:r>
      <w:r>
        <w:t xml:space="preserve"> </w:t>
      </w:r>
      <w:r w:rsidRPr="00D45BD8">
        <w:t xml:space="preserve">Panel Report, </w:t>
      </w:r>
      <w:r>
        <w:t>para. 6.</w:t>
      </w:r>
      <w:r w:rsidRPr="00D45BD8">
        <w:t>1122.</w:t>
      </w:r>
    </w:p>
  </w:footnote>
  <w:footnote w:id="1097">
    <w:p w:rsidR="00FD2727" w:rsidRPr="002F2175" w:rsidRDefault="00FD2727">
      <w:pPr>
        <w:pStyle w:val="FootnoteText"/>
        <w:rPr>
          <w:lang w:val="en-US"/>
        </w:rPr>
      </w:pPr>
      <w:r>
        <w:rPr>
          <w:rStyle w:val="FootnoteReference"/>
        </w:rPr>
        <w:footnoteRef/>
      </w:r>
      <w:r>
        <w:t xml:space="preserve"> </w:t>
      </w:r>
      <w:r w:rsidRPr="00D45BD8">
        <w:t xml:space="preserve">Panel Report, </w:t>
      </w:r>
      <w:r>
        <w:t>para. </w:t>
      </w:r>
      <w:r w:rsidRPr="00D45BD8">
        <w:t>6.1126.</w:t>
      </w:r>
    </w:p>
  </w:footnote>
  <w:footnote w:id="1098">
    <w:p w:rsidR="00FD2727" w:rsidRPr="002F2175" w:rsidRDefault="00FD2727">
      <w:pPr>
        <w:pStyle w:val="FootnoteText"/>
        <w:rPr>
          <w:lang w:val="en-US"/>
        </w:rPr>
      </w:pPr>
      <w:r>
        <w:rPr>
          <w:rStyle w:val="FootnoteReference"/>
        </w:rPr>
        <w:footnoteRef/>
      </w:r>
      <w:r>
        <w:t xml:space="preserve"> </w:t>
      </w:r>
      <w:r w:rsidRPr="00D45BD8">
        <w:t xml:space="preserve">Panel Report, </w:t>
      </w:r>
      <w:r>
        <w:t>para. </w:t>
      </w:r>
      <w:r w:rsidRPr="00D45BD8">
        <w:t xml:space="preserve">6.1127 (quoting Original Panel Report, </w:t>
      </w:r>
      <w:r>
        <w:t>para. </w:t>
      </w:r>
      <w:r w:rsidRPr="00D45BD8">
        <w:t>7.1765).</w:t>
      </w:r>
    </w:p>
  </w:footnote>
  <w:footnote w:id="1099">
    <w:p w:rsidR="00FD2727" w:rsidRPr="002F2175" w:rsidRDefault="00FD2727">
      <w:pPr>
        <w:pStyle w:val="FootnoteText"/>
        <w:rPr>
          <w:lang w:val="en-US"/>
        </w:rPr>
      </w:pPr>
      <w:r>
        <w:rPr>
          <w:rStyle w:val="FootnoteReference"/>
        </w:rPr>
        <w:footnoteRef/>
      </w:r>
      <w:r>
        <w:t xml:space="preserve"> </w:t>
      </w:r>
      <w:r w:rsidRPr="00D45BD8">
        <w:t xml:space="preserve">Panel Report, </w:t>
      </w:r>
      <w:r>
        <w:t>para. </w:t>
      </w:r>
      <w:r w:rsidRPr="00D45BD8">
        <w:t xml:space="preserve">6.1127 (quoting Original Panel Report, </w:t>
      </w:r>
      <w:r>
        <w:t>para. </w:t>
      </w:r>
      <w:r w:rsidRPr="00D45BD8">
        <w:t>7.1766).</w:t>
      </w:r>
    </w:p>
  </w:footnote>
  <w:footnote w:id="1100">
    <w:p w:rsidR="00FD2727" w:rsidRPr="002F2175" w:rsidRDefault="00FD2727">
      <w:pPr>
        <w:pStyle w:val="FootnoteText"/>
        <w:rPr>
          <w:lang w:val="en-US"/>
        </w:rPr>
      </w:pPr>
      <w:r>
        <w:rPr>
          <w:rStyle w:val="FootnoteReference"/>
        </w:rPr>
        <w:footnoteRef/>
      </w:r>
      <w:r>
        <w:t xml:space="preserve"> </w:t>
      </w:r>
      <w:r w:rsidRPr="00D45BD8">
        <w:t xml:space="preserve">Panel Report, </w:t>
      </w:r>
      <w:r>
        <w:t>para. 6</w:t>
      </w:r>
      <w:r w:rsidRPr="00D45BD8">
        <w:t>.1130.</w:t>
      </w:r>
    </w:p>
  </w:footnote>
  <w:footnote w:id="1101">
    <w:p w:rsidR="00FD2727" w:rsidRPr="002F2175" w:rsidRDefault="00FD2727">
      <w:pPr>
        <w:pStyle w:val="FootnoteText"/>
        <w:rPr>
          <w:lang w:val="en-US"/>
        </w:rPr>
      </w:pPr>
      <w:r>
        <w:rPr>
          <w:rStyle w:val="FootnoteReference"/>
        </w:rPr>
        <w:footnoteRef/>
      </w:r>
      <w:r>
        <w:t xml:space="preserve"> </w:t>
      </w:r>
      <w:r w:rsidRPr="00D45BD8">
        <w:t xml:space="preserve">Panel Report, </w:t>
      </w:r>
      <w:r>
        <w:t>para. </w:t>
      </w:r>
      <w:r w:rsidRPr="00D45BD8">
        <w:t>6.1131.</w:t>
      </w:r>
    </w:p>
  </w:footnote>
  <w:footnote w:id="1102">
    <w:p w:rsidR="00FD2727" w:rsidRPr="002F2175" w:rsidRDefault="00FD2727">
      <w:pPr>
        <w:pStyle w:val="FootnoteText"/>
        <w:rPr>
          <w:lang w:val="en-US"/>
        </w:rPr>
      </w:pPr>
      <w:r>
        <w:rPr>
          <w:rStyle w:val="FootnoteReference"/>
        </w:rPr>
        <w:footnoteRef/>
      </w:r>
      <w:r>
        <w:t xml:space="preserve"> </w:t>
      </w:r>
      <w:r w:rsidRPr="00D45BD8">
        <w:t xml:space="preserve">Panel Report, </w:t>
      </w:r>
      <w:r>
        <w:t>para. </w:t>
      </w:r>
      <w:r w:rsidRPr="00D45BD8">
        <w:t>6.1131.</w:t>
      </w:r>
    </w:p>
  </w:footnote>
  <w:footnote w:id="1103">
    <w:p w:rsidR="00FD2727" w:rsidRPr="002F2175" w:rsidRDefault="00FD2727">
      <w:pPr>
        <w:pStyle w:val="FootnoteText"/>
        <w:rPr>
          <w:lang w:val="en-US"/>
        </w:rPr>
      </w:pPr>
      <w:r>
        <w:rPr>
          <w:rStyle w:val="FootnoteReference"/>
        </w:rPr>
        <w:footnoteRef/>
      </w:r>
      <w:r>
        <w:t xml:space="preserve"> </w:t>
      </w:r>
      <w:r w:rsidRPr="00D45BD8">
        <w:t xml:space="preserve">Panel Report, </w:t>
      </w:r>
      <w:r>
        <w:t>para. </w:t>
      </w:r>
      <w:r w:rsidRPr="00D45BD8">
        <w:t xml:space="preserve">6.1132 (referring to </w:t>
      </w:r>
      <w:r>
        <w:t>European Union</w:t>
      </w:r>
      <w:r w:rsidRPr="00D45BD8">
        <w:t xml:space="preserve">'s second written submission to the Panel, </w:t>
      </w:r>
      <w:r>
        <w:t>paras. </w:t>
      </w:r>
      <w:r w:rsidRPr="00D45BD8">
        <w:t>709-710).</w:t>
      </w:r>
    </w:p>
  </w:footnote>
  <w:footnote w:id="1104">
    <w:p w:rsidR="00FD2727" w:rsidRPr="002F2175" w:rsidRDefault="00FD2727">
      <w:pPr>
        <w:pStyle w:val="FootnoteText"/>
        <w:rPr>
          <w:lang w:val="en-US"/>
        </w:rPr>
      </w:pPr>
      <w:r>
        <w:rPr>
          <w:rStyle w:val="FootnoteReference"/>
        </w:rPr>
        <w:footnoteRef/>
      </w:r>
      <w:r>
        <w:t xml:space="preserve"> </w:t>
      </w:r>
      <w:r w:rsidRPr="00D45BD8">
        <w:t xml:space="preserve">Panel Report, </w:t>
      </w:r>
      <w:r>
        <w:t>para. </w:t>
      </w:r>
      <w:r w:rsidRPr="00D45BD8">
        <w:t>6.1135.</w:t>
      </w:r>
    </w:p>
  </w:footnote>
  <w:footnote w:id="1105">
    <w:p w:rsidR="00FD2727" w:rsidRPr="002F2175" w:rsidRDefault="00FD2727">
      <w:pPr>
        <w:pStyle w:val="FootnoteText"/>
        <w:rPr>
          <w:lang w:val="en-US"/>
        </w:rPr>
      </w:pPr>
      <w:r>
        <w:rPr>
          <w:rStyle w:val="FootnoteReference"/>
        </w:rPr>
        <w:footnoteRef/>
      </w:r>
      <w:r>
        <w:t xml:space="preserve"> </w:t>
      </w:r>
      <w:r w:rsidRPr="00D45BD8">
        <w:t xml:space="preserve">Panel Report, </w:t>
      </w:r>
      <w:r>
        <w:t>para. </w:t>
      </w:r>
      <w:r w:rsidRPr="00D45BD8">
        <w:t>6.1136.</w:t>
      </w:r>
    </w:p>
  </w:footnote>
  <w:footnote w:id="1106">
    <w:p w:rsidR="00FD2727" w:rsidRPr="002F2175" w:rsidRDefault="00FD2727">
      <w:pPr>
        <w:pStyle w:val="FootnoteText"/>
        <w:rPr>
          <w:lang w:val="en-US"/>
        </w:rPr>
      </w:pPr>
      <w:r>
        <w:rPr>
          <w:rStyle w:val="FootnoteReference"/>
        </w:rPr>
        <w:footnoteRef/>
      </w:r>
      <w:r>
        <w:t xml:space="preserve"> </w:t>
      </w:r>
      <w:r w:rsidRPr="00D45BD8">
        <w:t xml:space="preserve">Panel Report, </w:t>
      </w:r>
      <w:r>
        <w:t>para. </w:t>
      </w:r>
      <w:r w:rsidRPr="00D45BD8">
        <w:t>6.1138.</w:t>
      </w:r>
    </w:p>
  </w:footnote>
  <w:footnote w:id="1107">
    <w:p w:rsidR="00FD2727" w:rsidRPr="002F2175" w:rsidRDefault="00FD2727">
      <w:pPr>
        <w:pStyle w:val="FootnoteText"/>
        <w:rPr>
          <w:lang w:val="en-US"/>
        </w:rPr>
      </w:pPr>
      <w:r>
        <w:rPr>
          <w:rStyle w:val="FootnoteReference"/>
        </w:rPr>
        <w:footnoteRef/>
      </w:r>
      <w:r>
        <w:t xml:space="preserve"> </w:t>
      </w:r>
      <w:r w:rsidRPr="00D45BD8">
        <w:t xml:space="preserve">Panel Report, </w:t>
      </w:r>
      <w:r>
        <w:t>para. </w:t>
      </w:r>
      <w:r w:rsidRPr="00D45BD8">
        <w:t xml:space="preserve">6.1139 (referring to </w:t>
      </w:r>
      <w:r>
        <w:t>European Union</w:t>
      </w:r>
      <w:r w:rsidRPr="00D45BD8">
        <w:t xml:space="preserve">'s first written submission to the Panel, </w:t>
      </w:r>
      <w:r>
        <w:t>para. </w:t>
      </w:r>
      <w:r w:rsidRPr="00D45BD8">
        <w:t>657</w:t>
      </w:r>
      <w:r>
        <w:t>;</w:t>
      </w:r>
      <w:r w:rsidRPr="00D45BD8">
        <w:t xml:space="preserve"> second written submission to the Panel, </w:t>
      </w:r>
      <w:r>
        <w:t>paras. </w:t>
      </w:r>
      <w:r w:rsidRPr="00D45BD8">
        <w:t>713 and 727).</w:t>
      </w:r>
    </w:p>
  </w:footnote>
  <w:footnote w:id="1108">
    <w:p w:rsidR="00FD2727" w:rsidRPr="002F2175" w:rsidRDefault="00FD2727">
      <w:pPr>
        <w:pStyle w:val="FootnoteText"/>
        <w:rPr>
          <w:lang w:val="en-US"/>
        </w:rPr>
      </w:pPr>
      <w:r>
        <w:rPr>
          <w:rStyle w:val="FootnoteReference"/>
        </w:rPr>
        <w:footnoteRef/>
      </w:r>
      <w:r>
        <w:t xml:space="preserve"> </w:t>
      </w:r>
      <w:r w:rsidRPr="00D45BD8">
        <w:t xml:space="preserve">Panel Report, </w:t>
      </w:r>
      <w:r>
        <w:t>para. </w:t>
      </w:r>
      <w:r w:rsidRPr="00D45BD8">
        <w:t xml:space="preserve">6.1140 (referring to </w:t>
      </w:r>
      <w:r>
        <w:t>Appellate Body</w:t>
      </w:r>
      <w:r w:rsidRPr="00D45BD8">
        <w:t xml:space="preserve"> Reports,</w:t>
      </w:r>
      <w:r w:rsidRPr="00D45BD8">
        <w:rPr>
          <w:i/>
        </w:rPr>
        <w:t xml:space="preserve"> US – Stainless Steel (Mexico)</w:t>
      </w:r>
      <w:r w:rsidRPr="00D45BD8">
        <w:t xml:space="preserve">, </w:t>
      </w:r>
      <w:r>
        <w:t>paras. </w:t>
      </w:r>
      <w:r w:rsidRPr="00D45BD8">
        <w:t xml:space="preserve">160-162; </w:t>
      </w:r>
      <w:r w:rsidRPr="00D45BD8">
        <w:rPr>
          <w:i/>
        </w:rPr>
        <w:t>US – Continued Zeroing</w:t>
      </w:r>
      <w:r w:rsidRPr="00D45BD8">
        <w:t xml:space="preserve">, </w:t>
      </w:r>
      <w:r>
        <w:t>para. </w:t>
      </w:r>
      <w:r w:rsidRPr="00D45BD8">
        <w:t xml:space="preserve">362; Panel Reports, </w:t>
      </w:r>
      <w:r w:rsidRPr="00D45BD8">
        <w:rPr>
          <w:i/>
        </w:rPr>
        <w:t>China – Rare Earths</w:t>
      </w:r>
      <w:r w:rsidRPr="00D45BD8">
        <w:t xml:space="preserve">, </w:t>
      </w:r>
      <w:r>
        <w:t>paras. 7.55</w:t>
      </w:r>
      <w:r>
        <w:noBreakHyphen/>
      </w:r>
      <w:r w:rsidRPr="00D45BD8">
        <w:t xml:space="preserve">7.61; </w:t>
      </w:r>
      <w:r>
        <w:rPr>
          <w:i/>
        </w:rPr>
        <w:t>US </w:t>
      </w:r>
      <w:r w:rsidRPr="00D45BD8">
        <w:rPr>
          <w:i/>
        </w:rPr>
        <w:t>– Countervailing and Anti</w:t>
      </w:r>
      <w:r w:rsidRPr="00D45BD8">
        <w:rPr>
          <w:i/>
        </w:rPr>
        <w:noBreakHyphen/>
        <w:t>Dumping Measures (China)</w:t>
      </w:r>
      <w:r>
        <w:t>, paras. 7.315</w:t>
      </w:r>
      <w:r>
        <w:noBreakHyphen/>
      </w:r>
      <w:r w:rsidRPr="00D45BD8">
        <w:t>7.317). (emphasis original)</w:t>
      </w:r>
    </w:p>
  </w:footnote>
  <w:footnote w:id="1109">
    <w:p w:rsidR="00FD2727" w:rsidRPr="00D45BD8" w:rsidRDefault="00FD2727" w:rsidP="00267BCB">
      <w:pPr>
        <w:pStyle w:val="FootnoteText"/>
        <w:keepNext/>
        <w:keepLines/>
      </w:pPr>
      <w:r>
        <w:rPr>
          <w:rStyle w:val="FootnoteReference"/>
        </w:rPr>
        <w:footnoteRef/>
      </w:r>
      <w:r>
        <w:t xml:space="preserve"> </w:t>
      </w:r>
      <w:r w:rsidRPr="00D45BD8">
        <w:t xml:space="preserve">Panel Report, </w:t>
      </w:r>
      <w:r>
        <w:t>para. </w:t>
      </w:r>
      <w:r w:rsidRPr="00D45BD8">
        <w:t xml:space="preserve">6.1143 (quoting Panel Report, </w:t>
      </w:r>
      <w:r w:rsidRPr="00D45BD8">
        <w:rPr>
          <w:i/>
        </w:rPr>
        <w:t>US – Countervailing and Anti</w:t>
      </w:r>
      <w:r w:rsidRPr="00D45BD8">
        <w:rPr>
          <w:i/>
        </w:rPr>
        <w:noBreakHyphen/>
        <w:t>Dumping Measures (China)</w:t>
      </w:r>
      <w:r w:rsidRPr="00D45BD8">
        <w:t xml:space="preserve">, </w:t>
      </w:r>
      <w:r>
        <w:t>paras. </w:t>
      </w:r>
      <w:r w:rsidRPr="00D45BD8">
        <w:t xml:space="preserve">7.315-7.317). In </w:t>
      </w:r>
      <w:r w:rsidRPr="00D45BD8">
        <w:rPr>
          <w:i/>
        </w:rPr>
        <w:t>US – Countervailing and Anti</w:t>
      </w:r>
      <w:r w:rsidRPr="00D45BD8">
        <w:rPr>
          <w:i/>
        </w:rPr>
        <w:noBreakHyphen/>
        <w:t>Dumping Measures (China)</w:t>
      </w:r>
      <w:r w:rsidRPr="00D45BD8">
        <w:t>, the panel noted that</w:t>
      </w:r>
      <w:r>
        <w:t>,</w:t>
      </w:r>
      <w:r w:rsidRPr="00D45BD8">
        <w:t xml:space="preserve"> although </w:t>
      </w:r>
      <w:r w:rsidRPr="00D45BD8">
        <w:rPr>
          <w:lang w:val="en-US"/>
        </w:rPr>
        <w:t xml:space="preserve">the </w:t>
      </w:r>
      <w:r>
        <w:rPr>
          <w:lang w:val="en-US"/>
        </w:rPr>
        <w:t>Appellate Body</w:t>
      </w:r>
      <w:r w:rsidRPr="00D45BD8">
        <w:rPr>
          <w:lang w:val="en-US"/>
        </w:rPr>
        <w:t xml:space="preserve"> has not</w:t>
      </w:r>
      <w:r>
        <w:rPr>
          <w:lang w:val="en-US"/>
        </w:rPr>
        <w:t xml:space="preserve"> defined the concept of "cogent </w:t>
      </w:r>
      <w:r w:rsidRPr="00D45BD8">
        <w:rPr>
          <w:lang w:val="en-US"/>
        </w:rPr>
        <w:t xml:space="preserve">reasons", its reference to "cogent reasons" must be considered in the context of its other statements regarding the hierarchy provided for in the DSU between itself and panels, the objectives that are served through the development of a consistent, coherent and predictable body of jurisprudence, and the concerns that it has expressed when panels have departed from its prior jurisprudence. </w:t>
      </w:r>
      <w:r>
        <w:rPr>
          <w:lang w:val="en-US"/>
        </w:rPr>
        <w:t xml:space="preserve">(Panel Report, </w:t>
      </w:r>
      <w:r>
        <w:rPr>
          <w:i/>
          <w:lang w:val="en-US"/>
        </w:rPr>
        <w:t>US – Countervailing and Anti-Dumping Measures (China)</w:t>
      </w:r>
      <w:r>
        <w:rPr>
          <w:lang w:val="en-US"/>
        </w:rPr>
        <w:t xml:space="preserve">, para. 7.316) </w:t>
      </w:r>
      <w:r w:rsidRPr="00D45BD8">
        <w:rPr>
          <w:lang w:val="en-US"/>
        </w:rPr>
        <w:t>Accordingly, the panel stated:</w:t>
      </w:r>
    </w:p>
    <w:p w:rsidR="00FD2727" w:rsidRPr="00D45BD8" w:rsidRDefault="00FD2727" w:rsidP="00267BCB">
      <w:pPr>
        <w:pStyle w:val="FootnoteQuotation"/>
        <w:keepNext/>
        <w:keepLines/>
      </w:pPr>
      <w:r w:rsidRPr="00D45BD8">
        <w:t xml:space="preserve">To our minds, "cogent" reasons, i.e. reasons that could in appropriate cases justify a panel in adopting a different interpretation, would encompass, </w:t>
      </w:r>
      <w:r w:rsidRPr="00D45BD8">
        <w:rPr>
          <w:i/>
        </w:rPr>
        <w:t>inter alia</w:t>
      </w:r>
      <w:r w:rsidRPr="00D45BD8">
        <w:t xml:space="preserve">: (i) a multilateral interpretation of a provision of the covered agreements under </w:t>
      </w:r>
      <w:r>
        <w:t>Article </w:t>
      </w:r>
      <w:r w:rsidRPr="00D45BD8">
        <w:t>IX:2 of the WTO</w:t>
      </w:r>
      <w:r>
        <w:t> Agreement</w:t>
      </w:r>
      <w:r w:rsidRPr="00D45BD8">
        <w:t xml:space="preserve"> that departs from a prior </w:t>
      </w:r>
      <w:r>
        <w:t>Appellate Body</w:t>
      </w:r>
      <w:r w:rsidRPr="00D45BD8">
        <w:t xml:space="preserve"> interpretation; (ii) a demonstration that a prior </w:t>
      </w:r>
      <w:r>
        <w:t>Appellate Body</w:t>
      </w:r>
      <w:r w:rsidRPr="00D45BD8">
        <w:t xml:space="preserve"> interpretation proved to be unworkable in a particular set of circumstances falling within the scope of the relevant obligation at issue; (iii) a demonstration that the </w:t>
      </w:r>
      <w:r>
        <w:t>Appellate Body</w:t>
      </w:r>
      <w:r w:rsidRPr="00D45BD8">
        <w:t xml:space="preserve">'s prior interpretation leads to a conflict with another provision of a covered agreement that was not raised before the </w:t>
      </w:r>
      <w:r>
        <w:t>Appellate Body</w:t>
      </w:r>
      <w:r w:rsidRPr="00D45BD8">
        <w:t xml:space="preserve">; or (iv) a demonstration that the </w:t>
      </w:r>
      <w:r>
        <w:t>Appellate Body</w:t>
      </w:r>
      <w:r w:rsidRPr="00D45BD8">
        <w:t>'s interpretation was based on a factually incorrect premise.</w:t>
      </w:r>
    </w:p>
    <w:p w:rsidR="00FD2727" w:rsidRPr="002F2175" w:rsidRDefault="00FD2727" w:rsidP="00267BCB">
      <w:pPr>
        <w:pStyle w:val="FootnoteText"/>
        <w:keepNext/>
        <w:keepLines/>
        <w:ind w:firstLine="0"/>
        <w:rPr>
          <w:lang w:val="en-US"/>
        </w:rPr>
      </w:pPr>
      <w:r w:rsidRPr="00D45BD8">
        <w:t xml:space="preserve">(Panel Report, </w:t>
      </w:r>
      <w:r w:rsidRPr="00D45BD8">
        <w:rPr>
          <w:i/>
        </w:rPr>
        <w:t>US – Countervailing and Anti</w:t>
      </w:r>
      <w:r w:rsidRPr="00D45BD8">
        <w:rPr>
          <w:i/>
        </w:rPr>
        <w:noBreakHyphen/>
        <w:t>Dumping Measures (China)</w:t>
      </w:r>
      <w:r w:rsidRPr="00D45BD8">
        <w:t xml:space="preserve">, </w:t>
      </w:r>
      <w:r>
        <w:t>para. </w:t>
      </w:r>
      <w:r w:rsidRPr="00D45BD8">
        <w:t>7.317)</w:t>
      </w:r>
    </w:p>
  </w:footnote>
  <w:footnote w:id="1110">
    <w:p w:rsidR="00FD2727" w:rsidRPr="002F2175" w:rsidRDefault="00FD2727">
      <w:pPr>
        <w:pStyle w:val="FootnoteText"/>
        <w:rPr>
          <w:lang w:val="en-US"/>
        </w:rPr>
      </w:pPr>
      <w:r>
        <w:rPr>
          <w:rStyle w:val="FootnoteReference"/>
        </w:rPr>
        <w:footnoteRef/>
      </w:r>
      <w:r>
        <w:t xml:space="preserve"> </w:t>
      </w:r>
      <w:r w:rsidRPr="00D45BD8">
        <w:t xml:space="preserve">Panel Report, </w:t>
      </w:r>
      <w:r>
        <w:t>para. </w:t>
      </w:r>
      <w:r w:rsidRPr="00D45BD8">
        <w:t>6.1142</w:t>
      </w:r>
      <w:r>
        <w:t xml:space="preserve"> (referring to Appellate Body Report, </w:t>
      </w:r>
      <w:r w:rsidRPr="00FC6DF0">
        <w:rPr>
          <w:i/>
        </w:rPr>
        <w:t>US – Stainless Steel (Mexico)</w:t>
      </w:r>
      <w:r>
        <w:t>, fn 309 to para. 158)</w:t>
      </w:r>
      <w:r w:rsidRPr="00D45BD8">
        <w:t>.</w:t>
      </w:r>
      <w:r>
        <w:t xml:space="preserve"> </w:t>
      </w:r>
      <w:r w:rsidRPr="00D45BD8">
        <w:t>(emphasis original)</w:t>
      </w:r>
    </w:p>
  </w:footnote>
  <w:footnote w:id="1111">
    <w:p w:rsidR="00FD2727" w:rsidRPr="002F2175" w:rsidRDefault="00FD2727">
      <w:pPr>
        <w:pStyle w:val="FootnoteText"/>
        <w:rPr>
          <w:lang w:val="en-US"/>
        </w:rPr>
      </w:pPr>
      <w:r>
        <w:rPr>
          <w:rStyle w:val="FootnoteReference"/>
        </w:rPr>
        <w:footnoteRef/>
      </w:r>
      <w:r>
        <w:t xml:space="preserve"> </w:t>
      </w:r>
      <w:r w:rsidRPr="00D45BD8">
        <w:t xml:space="preserve">Panel Report, </w:t>
      </w:r>
      <w:r>
        <w:t>para. </w:t>
      </w:r>
      <w:r w:rsidRPr="00D45BD8">
        <w:t>6.1143.</w:t>
      </w:r>
    </w:p>
  </w:footnote>
  <w:footnote w:id="1112">
    <w:p w:rsidR="00FD2727" w:rsidRPr="002F2175" w:rsidRDefault="00FD2727">
      <w:pPr>
        <w:pStyle w:val="FootnoteText"/>
        <w:rPr>
          <w:lang w:val="en-US"/>
        </w:rPr>
      </w:pPr>
      <w:r>
        <w:rPr>
          <w:rStyle w:val="FootnoteReference"/>
        </w:rPr>
        <w:footnoteRef/>
      </w:r>
      <w:r>
        <w:t xml:space="preserve"> </w:t>
      </w:r>
      <w:r w:rsidRPr="00D45BD8">
        <w:t xml:space="preserve">Panel Report, </w:t>
      </w:r>
      <w:r>
        <w:t>para. </w:t>
      </w:r>
      <w:r w:rsidRPr="00D45BD8">
        <w:t>6.1143.</w:t>
      </w:r>
    </w:p>
  </w:footnote>
  <w:footnote w:id="1113">
    <w:p w:rsidR="00FD2727" w:rsidRPr="002F2175" w:rsidRDefault="00FD2727">
      <w:pPr>
        <w:pStyle w:val="FootnoteText"/>
        <w:rPr>
          <w:lang w:val="en-US"/>
        </w:rPr>
      </w:pPr>
      <w:r>
        <w:rPr>
          <w:rStyle w:val="FootnoteReference"/>
        </w:rPr>
        <w:footnoteRef/>
      </w:r>
      <w:r>
        <w:t xml:space="preserve"> </w:t>
      </w:r>
      <w:r w:rsidRPr="00D45BD8">
        <w:t xml:space="preserve">Panel Report, </w:t>
      </w:r>
      <w:r>
        <w:t>para. </w:t>
      </w:r>
      <w:r w:rsidRPr="00D45BD8">
        <w:t>6.1143.</w:t>
      </w:r>
    </w:p>
  </w:footnote>
  <w:footnote w:id="1114">
    <w:p w:rsidR="00FD2727" w:rsidRPr="002F2175" w:rsidRDefault="00FD2727">
      <w:pPr>
        <w:pStyle w:val="FootnoteText"/>
        <w:rPr>
          <w:lang w:val="en-US"/>
        </w:rPr>
      </w:pPr>
      <w:r>
        <w:rPr>
          <w:rStyle w:val="FootnoteReference"/>
        </w:rPr>
        <w:footnoteRef/>
      </w:r>
      <w:r>
        <w:t xml:space="preserve"> </w:t>
      </w:r>
      <w:r w:rsidRPr="00D45BD8">
        <w:t xml:space="preserve">Panel Report, </w:t>
      </w:r>
      <w:r>
        <w:t>para. </w:t>
      </w:r>
      <w:r w:rsidRPr="00D45BD8">
        <w:t xml:space="preserve">6.1154. </w:t>
      </w:r>
    </w:p>
  </w:footnote>
  <w:footnote w:id="1115">
    <w:p w:rsidR="00FD2727" w:rsidRPr="002F2175" w:rsidRDefault="00FD2727">
      <w:pPr>
        <w:pStyle w:val="FootnoteText"/>
        <w:rPr>
          <w:lang w:val="en-US"/>
        </w:rPr>
      </w:pPr>
      <w:r>
        <w:rPr>
          <w:rStyle w:val="FootnoteReference"/>
        </w:rPr>
        <w:footnoteRef/>
      </w:r>
      <w:r>
        <w:t xml:space="preserve"> See European Union</w:t>
      </w:r>
      <w:r w:rsidRPr="00D45BD8">
        <w:t xml:space="preserve">'s appellant's submission, </w:t>
      </w:r>
      <w:r>
        <w:t>para. 701.</w:t>
      </w:r>
    </w:p>
  </w:footnote>
  <w:footnote w:id="1116">
    <w:p w:rsidR="00FD2727" w:rsidRPr="002F2175" w:rsidRDefault="00FD2727">
      <w:pPr>
        <w:pStyle w:val="FootnoteText"/>
        <w:rPr>
          <w:lang w:val="en-US"/>
        </w:rPr>
      </w:pPr>
      <w:r>
        <w:rPr>
          <w:rStyle w:val="FootnoteReference"/>
        </w:rPr>
        <w:footnoteRef/>
      </w:r>
      <w:r>
        <w:t xml:space="preserve"> European Union</w:t>
      </w:r>
      <w:r w:rsidRPr="00D45BD8">
        <w:t xml:space="preserve">'s appellant's submission, </w:t>
      </w:r>
      <w:r>
        <w:t>para. </w:t>
      </w:r>
      <w:r w:rsidRPr="00D45BD8">
        <w:t>645. (</w:t>
      </w:r>
      <w:r>
        <w:t>emphasis</w:t>
      </w:r>
      <w:r w:rsidRPr="00D45BD8">
        <w:t xml:space="preserve"> omitted)</w:t>
      </w:r>
    </w:p>
  </w:footnote>
  <w:footnote w:id="1117">
    <w:p w:rsidR="00FD2727" w:rsidRPr="002F2175" w:rsidRDefault="00FD2727">
      <w:pPr>
        <w:pStyle w:val="FootnoteText"/>
        <w:rPr>
          <w:lang w:val="en-US"/>
        </w:rPr>
      </w:pPr>
      <w:r>
        <w:rPr>
          <w:rStyle w:val="FootnoteReference"/>
        </w:rPr>
        <w:footnoteRef/>
      </w:r>
      <w:r>
        <w:t xml:space="preserve"> European Union</w:t>
      </w:r>
      <w:r w:rsidRPr="00D45BD8">
        <w:t xml:space="preserve">'s appellant's submission, </w:t>
      </w:r>
      <w:r>
        <w:t>para. </w:t>
      </w:r>
      <w:r w:rsidRPr="00D45BD8">
        <w:t>703.</w:t>
      </w:r>
    </w:p>
  </w:footnote>
  <w:footnote w:id="1118">
    <w:p w:rsidR="00FD2727" w:rsidRPr="002F2175" w:rsidRDefault="00FD2727">
      <w:pPr>
        <w:pStyle w:val="FootnoteText"/>
        <w:rPr>
          <w:lang w:val="en-US"/>
        </w:rPr>
      </w:pPr>
      <w:r>
        <w:rPr>
          <w:rStyle w:val="FootnoteReference"/>
        </w:rPr>
        <w:footnoteRef/>
      </w:r>
      <w:r>
        <w:t xml:space="preserve"> European Union</w:t>
      </w:r>
      <w:r w:rsidRPr="00D45BD8">
        <w:t xml:space="preserve">'s appellant's submission, </w:t>
      </w:r>
      <w:r>
        <w:t>para. </w:t>
      </w:r>
      <w:r w:rsidRPr="00D45BD8">
        <w:t xml:space="preserve">705 (referring to Panel Report, </w:t>
      </w:r>
      <w:r>
        <w:t>para. </w:t>
      </w:r>
      <w:r w:rsidRPr="00D45BD8">
        <w:t>6.1138).</w:t>
      </w:r>
    </w:p>
  </w:footnote>
  <w:footnote w:id="1119">
    <w:p w:rsidR="00FD2727" w:rsidRPr="002F2175" w:rsidRDefault="00FD2727">
      <w:pPr>
        <w:pStyle w:val="FootnoteText"/>
        <w:rPr>
          <w:lang w:val="en-US"/>
        </w:rPr>
      </w:pPr>
      <w:r>
        <w:rPr>
          <w:rStyle w:val="FootnoteReference"/>
        </w:rPr>
        <w:footnoteRef/>
      </w:r>
      <w:r>
        <w:t xml:space="preserve"> European Union</w:t>
      </w:r>
      <w:r w:rsidRPr="00D45BD8">
        <w:t xml:space="preserve">'s appellant's submission, </w:t>
      </w:r>
      <w:r>
        <w:t>para. </w:t>
      </w:r>
      <w:r w:rsidRPr="00D45BD8">
        <w:t>710. (</w:t>
      </w:r>
      <w:r>
        <w:t>emphasis</w:t>
      </w:r>
      <w:r w:rsidRPr="00D45BD8">
        <w:t xml:space="preserve"> omitted)</w:t>
      </w:r>
    </w:p>
  </w:footnote>
  <w:footnote w:id="1120">
    <w:p w:rsidR="00FD2727" w:rsidRPr="002F2175" w:rsidRDefault="00FD2727">
      <w:pPr>
        <w:pStyle w:val="FootnoteText"/>
        <w:rPr>
          <w:lang w:val="en-US"/>
        </w:rPr>
      </w:pPr>
      <w:r>
        <w:rPr>
          <w:rStyle w:val="FootnoteReference"/>
        </w:rPr>
        <w:footnoteRef/>
      </w:r>
      <w:r>
        <w:t xml:space="preserve"> European Union</w:t>
      </w:r>
      <w:r w:rsidRPr="00D45BD8">
        <w:t xml:space="preserve">'s appellant's submission, </w:t>
      </w:r>
      <w:r>
        <w:t>para. </w:t>
      </w:r>
      <w:r w:rsidRPr="00D45BD8">
        <w:t>712.</w:t>
      </w:r>
    </w:p>
  </w:footnote>
  <w:footnote w:id="1121">
    <w:p w:rsidR="00FD2727" w:rsidRPr="002F2175" w:rsidRDefault="00FD2727" w:rsidP="00267BCB">
      <w:pPr>
        <w:pStyle w:val="FootnoteText"/>
        <w:rPr>
          <w:lang w:val="en-US"/>
        </w:rPr>
      </w:pPr>
      <w:r>
        <w:rPr>
          <w:rStyle w:val="FootnoteReference"/>
        </w:rPr>
        <w:footnoteRef/>
      </w:r>
      <w:r>
        <w:t xml:space="preserve"> European Union</w:t>
      </w:r>
      <w:r w:rsidRPr="00D45BD8">
        <w:t xml:space="preserve">'s appellant's submission, </w:t>
      </w:r>
      <w:r>
        <w:t>para. </w:t>
      </w:r>
      <w:r w:rsidRPr="00D45BD8">
        <w:t>726.</w:t>
      </w:r>
    </w:p>
  </w:footnote>
  <w:footnote w:id="1122">
    <w:p w:rsidR="00FD2727" w:rsidRPr="002F2175" w:rsidRDefault="00FD2727" w:rsidP="00267BCB">
      <w:pPr>
        <w:pStyle w:val="FootnoteText"/>
        <w:rPr>
          <w:lang w:val="en-US"/>
        </w:rPr>
      </w:pPr>
      <w:r>
        <w:rPr>
          <w:rStyle w:val="FootnoteReference"/>
        </w:rPr>
        <w:footnoteRef/>
      </w:r>
      <w:r>
        <w:t xml:space="preserve"> European Union</w:t>
      </w:r>
      <w:r w:rsidRPr="00D45BD8">
        <w:t xml:space="preserve">'s appellant's submission, </w:t>
      </w:r>
      <w:r>
        <w:t>para. </w:t>
      </w:r>
      <w:r w:rsidRPr="00D45BD8">
        <w:t>726.</w:t>
      </w:r>
    </w:p>
  </w:footnote>
  <w:footnote w:id="1123">
    <w:p w:rsidR="00FD2727" w:rsidRPr="002F2175" w:rsidRDefault="00FD2727" w:rsidP="00267BCB">
      <w:pPr>
        <w:pStyle w:val="FootnoteText"/>
        <w:rPr>
          <w:lang w:val="en-US"/>
        </w:rPr>
      </w:pPr>
      <w:r>
        <w:rPr>
          <w:rStyle w:val="FootnoteReference"/>
        </w:rPr>
        <w:footnoteRef/>
      </w:r>
      <w:r>
        <w:t xml:space="preserve"> European Union</w:t>
      </w:r>
      <w:r w:rsidRPr="00D45BD8">
        <w:t xml:space="preserve">'s appellant's submission, </w:t>
      </w:r>
      <w:r>
        <w:t>para. </w:t>
      </w:r>
      <w:r w:rsidRPr="00D45BD8">
        <w:t>746</w:t>
      </w:r>
      <w:r>
        <w:t>.</w:t>
      </w:r>
    </w:p>
  </w:footnote>
  <w:footnote w:id="1124">
    <w:p w:rsidR="00FD2727" w:rsidRPr="002F2175" w:rsidRDefault="00FD2727">
      <w:pPr>
        <w:pStyle w:val="FootnoteText"/>
        <w:rPr>
          <w:lang w:val="en-US"/>
        </w:rPr>
      </w:pPr>
      <w:r>
        <w:rPr>
          <w:rStyle w:val="FootnoteReference"/>
        </w:rPr>
        <w:footnoteRef/>
      </w:r>
      <w:r>
        <w:t xml:space="preserve"> European Union</w:t>
      </w:r>
      <w:r w:rsidRPr="00D45BD8">
        <w:t xml:space="preserve">'s appellant's submission, </w:t>
      </w:r>
      <w:r>
        <w:t>para. </w:t>
      </w:r>
      <w:r w:rsidRPr="00D45BD8">
        <w:t>718.</w:t>
      </w:r>
    </w:p>
  </w:footnote>
  <w:footnote w:id="1125">
    <w:p w:rsidR="00FD2727" w:rsidRPr="002F2175" w:rsidRDefault="00FD2727">
      <w:pPr>
        <w:pStyle w:val="FootnoteText"/>
        <w:rPr>
          <w:lang w:val="en-US"/>
        </w:rPr>
      </w:pPr>
      <w:r>
        <w:rPr>
          <w:rStyle w:val="FootnoteReference"/>
        </w:rPr>
        <w:footnoteRef/>
      </w:r>
      <w:r>
        <w:t xml:space="preserve"> European Union</w:t>
      </w:r>
      <w:r w:rsidRPr="00D45BD8">
        <w:t xml:space="preserve">'s appellant's submission, </w:t>
      </w:r>
      <w:r>
        <w:t>para. </w:t>
      </w:r>
      <w:r w:rsidRPr="00D45BD8">
        <w:t>718.</w:t>
      </w:r>
    </w:p>
  </w:footnote>
  <w:footnote w:id="1126">
    <w:p w:rsidR="00FD2727" w:rsidRPr="002F2175" w:rsidRDefault="00FD2727">
      <w:pPr>
        <w:pStyle w:val="FootnoteText"/>
        <w:rPr>
          <w:lang w:val="en-US"/>
        </w:rPr>
      </w:pPr>
      <w:r>
        <w:rPr>
          <w:rStyle w:val="FootnoteReference"/>
        </w:rPr>
        <w:footnoteRef/>
      </w:r>
      <w:r>
        <w:t xml:space="preserve"> European Union</w:t>
      </w:r>
      <w:r w:rsidRPr="00D45BD8">
        <w:t xml:space="preserve">'s appellant's submission, </w:t>
      </w:r>
      <w:r>
        <w:t>para. </w:t>
      </w:r>
      <w:r w:rsidRPr="00D45BD8">
        <w:t>718.</w:t>
      </w:r>
    </w:p>
  </w:footnote>
  <w:footnote w:id="1127">
    <w:p w:rsidR="00FD2727" w:rsidRPr="002F2175" w:rsidRDefault="00FD2727">
      <w:pPr>
        <w:pStyle w:val="FootnoteText"/>
        <w:rPr>
          <w:lang w:val="en-US"/>
        </w:rPr>
      </w:pPr>
      <w:r>
        <w:rPr>
          <w:rStyle w:val="FootnoteReference"/>
        </w:rPr>
        <w:footnoteRef/>
      </w:r>
      <w:r>
        <w:t xml:space="preserve"> European Union</w:t>
      </w:r>
      <w:r w:rsidRPr="00D45BD8">
        <w:t xml:space="preserve">'s appellant's submission, </w:t>
      </w:r>
      <w:r>
        <w:t>paras. </w:t>
      </w:r>
      <w:r w:rsidRPr="00D45BD8">
        <w:t>718</w:t>
      </w:r>
      <w:r>
        <w:t xml:space="preserve"> and 749</w:t>
      </w:r>
      <w:r w:rsidRPr="00D45BD8">
        <w:t>.</w:t>
      </w:r>
    </w:p>
  </w:footnote>
  <w:footnote w:id="1128">
    <w:p w:rsidR="00FD2727" w:rsidRPr="002F2175" w:rsidRDefault="00FD2727">
      <w:pPr>
        <w:pStyle w:val="FootnoteText"/>
        <w:rPr>
          <w:lang w:val="en-US"/>
        </w:rPr>
      </w:pPr>
      <w:r>
        <w:rPr>
          <w:rStyle w:val="FootnoteReference"/>
        </w:rPr>
        <w:footnoteRef/>
      </w:r>
      <w:r>
        <w:t xml:space="preserve"> United States</w:t>
      </w:r>
      <w:r w:rsidRPr="00D45BD8">
        <w:t xml:space="preserve">' appellee's submission, </w:t>
      </w:r>
      <w:r>
        <w:t>para. </w:t>
      </w:r>
      <w:r w:rsidRPr="00D45BD8">
        <w:t xml:space="preserve">371 (quoting Original Panel Report, </w:t>
      </w:r>
      <w:r>
        <w:t>para. </w:t>
      </w:r>
      <w:r w:rsidRPr="00D45BD8">
        <w:t>7.1766).</w:t>
      </w:r>
    </w:p>
  </w:footnote>
  <w:footnote w:id="1129">
    <w:p w:rsidR="00FD2727" w:rsidRPr="002F2175" w:rsidRDefault="00FD2727">
      <w:pPr>
        <w:pStyle w:val="FootnoteText"/>
        <w:rPr>
          <w:lang w:val="en-US"/>
        </w:rPr>
      </w:pPr>
      <w:r>
        <w:rPr>
          <w:rStyle w:val="FootnoteReference"/>
        </w:rPr>
        <w:footnoteRef/>
      </w:r>
      <w:r>
        <w:t xml:space="preserve"> United States</w:t>
      </w:r>
      <w:r w:rsidRPr="00D45BD8">
        <w:t xml:space="preserve">' appellee's submission, </w:t>
      </w:r>
      <w:r>
        <w:t>para. </w:t>
      </w:r>
      <w:r w:rsidRPr="00D45BD8">
        <w:t>371. (emphasis original)</w:t>
      </w:r>
    </w:p>
  </w:footnote>
  <w:footnote w:id="1130">
    <w:p w:rsidR="00FD2727" w:rsidRPr="002F2175" w:rsidRDefault="00FD2727">
      <w:pPr>
        <w:pStyle w:val="FootnoteText"/>
        <w:rPr>
          <w:lang w:val="en-US"/>
        </w:rPr>
      </w:pPr>
      <w:r>
        <w:rPr>
          <w:rStyle w:val="FootnoteReference"/>
        </w:rPr>
        <w:footnoteRef/>
      </w:r>
      <w:r>
        <w:t xml:space="preserve"> United States</w:t>
      </w:r>
      <w:r w:rsidRPr="00D45BD8">
        <w:t xml:space="preserve">' appellee's submission, </w:t>
      </w:r>
      <w:r>
        <w:t>para. </w:t>
      </w:r>
      <w:r w:rsidRPr="00D45BD8">
        <w:t>372.</w:t>
      </w:r>
    </w:p>
  </w:footnote>
  <w:footnote w:id="1131">
    <w:p w:rsidR="00FD2727" w:rsidRDefault="00FD2727">
      <w:pPr>
        <w:pStyle w:val="FootnoteText"/>
      </w:pPr>
      <w:r>
        <w:rPr>
          <w:rStyle w:val="FootnoteReference"/>
        </w:rPr>
        <w:footnoteRef/>
      </w:r>
      <w:r>
        <w:t xml:space="preserve"> United States</w:t>
      </w:r>
      <w:r w:rsidRPr="00B73375">
        <w:t xml:space="preserve">' appellee's submission, </w:t>
      </w:r>
      <w:r>
        <w:t>para. 395.</w:t>
      </w:r>
    </w:p>
  </w:footnote>
  <w:footnote w:id="1132">
    <w:p w:rsidR="00FD2727" w:rsidRPr="002F2175" w:rsidRDefault="00FD2727">
      <w:pPr>
        <w:pStyle w:val="FootnoteText"/>
        <w:rPr>
          <w:lang w:val="en-US"/>
        </w:rPr>
      </w:pPr>
      <w:r>
        <w:rPr>
          <w:rStyle w:val="FootnoteReference"/>
        </w:rPr>
        <w:footnoteRef/>
      </w:r>
      <w:r>
        <w:t xml:space="preserve"> United States</w:t>
      </w:r>
      <w:r w:rsidRPr="00D45BD8">
        <w:t xml:space="preserve">' appellee's submission, </w:t>
      </w:r>
      <w:r>
        <w:t>para. </w:t>
      </w:r>
      <w:r w:rsidRPr="00D45BD8">
        <w:t>379. (emphasis original)</w:t>
      </w:r>
    </w:p>
  </w:footnote>
  <w:footnote w:id="1133">
    <w:p w:rsidR="00FD2727" w:rsidRPr="002F2175" w:rsidRDefault="00FD2727" w:rsidP="00267BCB">
      <w:pPr>
        <w:pStyle w:val="FootnoteText"/>
        <w:rPr>
          <w:lang w:val="en-US"/>
        </w:rPr>
      </w:pPr>
      <w:r>
        <w:rPr>
          <w:rStyle w:val="FootnoteReference"/>
        </w:rPr>
        <w:footnoteRef/>
      </w:r>
      <w:r>
        <w:t xml:space="preserve"> United States</w:t>
      </w:r>
      <w:r w:rsidRPr="00D45BD8">
        <w:t xml:space="preserve">' appellee's submission, </w:t>
      </w:r>
      <w:r>
        <w:t>para. </w:t>
      </w:r>
      <w:r w:rsidRPr="00D45BD8">
        <w:t>3</w:t>
      </w:r>
      <w:r>
        <w:t>81</w:t>
      </w:r>
      <w:r w:rsidRPr="00D45BD8">
        <w:t xml:space="preserve">. </w:t>
      </w:r>
    </w:p>
  </w:footnote>
  <w:footnote w:id="1134">
    <w:p w:rsidR="00FD2727" w:rsidRPr="002F2175" w:rsidRDefault="00FD2727" w:rsidP="00267BCB">
      <w:pPr>
        <w:pStyle w:val="FootnoteText"/>
        <w:rPr>
          <w:lang w:val="en-US"/>
        </w:rPr>
      </w:pPr>
      <w:r>
        <w:rPr>
          <w:rStyle w:val="FootnoteReference"/>
        </w:rPr>
        <w:footnoteRef/>
      </w:r>
      <w:r>
        <w:t xml:space="preserve"> United States</w:t>
      </w:r>
      <w:r w:rsidRPr="00D45BD8">
        <w:t xml:space="preserve">' appellee's submission, </w:t>
      </w:r>
      <w:r>
        <w:t>para. </w:t>
      </w:r>
      <w:r w:rsidRPr="00D45BD8">
        <w:t>3</w:t>
      </w:r>
      <w:r>
        <w:t>82</w:t>
      </w:r>
      <w:r w:rsidRPr="00D45BD8">
        <w:t xml:space="preserve">. </w:t>
      </w:r>
      <w:r>
        <w:t>(emphasis original)</w:t>
      </w:r>
    </w:p>
  </w:footnote>
  <w:footnote w:id="1135">
    <w:p w:rsidR="00FD2727" w:rsidRPr="002F2175" w:rsidRDefault="00FD2727" w:rsidP="00267BCB">
      <w:pPr>
        <w:pStyle w:val="FootnoteText"/>
        <w:rPr>
          <w:lang w:val="en-US"/>
        </w:rPr>
      </w:pPr>
      <w:r>
        <w:rPr>
          <w:rStyle w:val="FootnoteReference"/>
        </w:rPr>
        <w:footnoteRef/>
      </w:r>
      <w:r>
        <w:t xml:space="preserve"> United States</w:t>
      </w:r>
      <w:r w:rsidRPr="00D45BD8">
        <w:t xml:space="preserve">' appellee's submission, </w:t>
      </w:r>
      <w:r>
        <w:t>para. </w:t>
      </w:r>
      <w:r w:rsidRPr="00D45BD8">
        <w:t>39</w:t>
      </w:r>
      <w:r>
        <w:t>9</w:t>
      </w:r>
      <w:r w:rsidRPr="00D45BD8">
        <w:t>.</w:t>
      </w:r>
    </w:p>
  </w:footnote>
  <w:footnote w:id="1136">
    <w:p w:rsidR="00FD2727" w:rsidRPr="002F2175" w:rsidRDefault="00FD2727" w:rsidP="00267BCB">
      <w:pPr>
        <w:pStyle w:val="FootnoteText"/>
        <w:rPr>
          <w:lang w:val="en-US"/>
        </w:rPr>
      </w:pPr>
      <w:r>
        <w:rPr>
          <w:rStyle w:val="FootnoteReference"/>
        </w:rPr>
        <w:footnoteRef/>
      </w:r>
      <w:r>
        <w:t xml:space="preserve"> United States</w:t>
      </w:r>
      <w:r w:rsidRPr="00D45BD8">
        <w:t xml:space="preserve">' appellee's submission, </w:t>
      </w:r>
      <w:r>
        <w:t>para. </w:t>
      </w:r>
      <w:r w:rsidRPr="00D45BD8">
        <w:t>39</w:t>
      </w:r>
      <w:r>
        <w:t>9</w:t>
      </w:r>
      <w:r w:rsidRPr="00D45BD8">
        <w:t>.</w:t>
      </w:r>
    </w:p>
  </w:footnote>
  <w:footnote w:id="1137">
    <w:p w:rsidR="00FD2727" w:rsidRPr="002F2175" w:rsidRDefault="00FD2727" w:rsidP="00267BCB">
      <w:pPr>
        <w:pStyle w:val="FootnoteText"/>
        <w:rPr>
          <w:lang w:val="en-US"/>
        </w:rPr>
      </w:pPr>
      <w:r>
        <w:rPr>
          <w:rStyle w:val="FootnoteReference"/>
        </w:rPr>
        <w:footnoteRef/>
      </w:r>
      <w:r>
        <w:t xml:space="preserve"> United States</w:t>
      </w:r>
      <w:r w:rsidRPr="00D45BD8">
        <w:t xml:space="preserve">' appellee's submission, </w:t>
      </w:r>
      <w:r>
        <w:t>para. </w:t>
      </w:r>
      <w:r w:rsidRPr="00D45BD8">
        <w:t>40</w:t>
      </w:r>
      <w:r>
        <w:t>0</w:t>
      </w:r>
      <w:r w:rsidRPr="00D45BD8">
        <w:t xml:space="preserve"> (quoting </w:t>
      </w:r>
      <w:r>
        <w:t>Appellate Body</w:t>
      </w:r>
      <w:r w:rsidRPr="00D45BD8">
        <w:t xml:space="preserve"> Report, </w:t>
      </w:r>
      <w:r w:rsidRPr="00DE7CDD">
        <w:rPr>
          <w:i/>
        </w:rPr>
        <w:t>Peru ‒ Agricultural Products</w:t>
      </w:r>
      <w:r w:rsidRPr="00D45BD8">
        <w:t xml:space="preserve">, </w:t>
      </w:r>
      <w:r>
        <w:t>para. </w:t>
      </w:r>
      <w:r w:rsidRPr="00D45BD8">
        <w:t xml:space="preserve">5.66, in turn quoting </w:t>
      </w:r>
      <w:r>
        <w:t>Appellate Body</w:t>
      </w:r>
      <w:r w:rsidRPr="00D45BD8">
        <w:t xml:space="preserve"> Report</w:t>
      </w:r>
      <w:r>
        <w:t>s</w:t>
      </w:r>
      <w:r w:rsidRPr="00D45BD8">
        <w:t xml:space="preserve">, </w:t>
      </w:r>
      <w:r w:rsidRPr="00D45BD8">
        <w:rPr>
          <w:i/>
        </w:rPr>
        <w:t>EC and certain member States – Large Civil Aircraft</w:t>
      </w:r>
      <w:r w:rsidRPr="00D45BD8">
        <w:t xml:space="preserve">, </w:t>
      </w:r>
      <w:r>
        <w:t>para. </w:t>
      </w:r>
      <w:r w:rsidRPr="00D45BD8">
        <w:t>1318</w:t>
      </w:r>
      <w:r>
        <w:t xml:space="preserve">; </w:t>
      </w:r>
      <w:r>
        <w:rPr>
          <w:i/>
        </w:rPr>
        <w:t>US – Anti-Dumping and Countervailing Duties (China)</w:t>
      </w:r>
      <w:r>
        <w:t>, para. 337 (fns omitted by the United States)</w:t>
      </w:r>
      <w:r w:rsidRPr="00D45BD8">
        <w:t>).</w:t>
      </w:r>
    </w:p>
  </w:footnote>
  <w:footnote w:id="1138">
    <w:p w:rsidR="00FD2727" w:rsidRPr="002F2175" w:rsidRDefault="00FD2727" w:rsidP="00267BCB">
      <w:pPr>
        <w:pStyle w:val="FootnoteText"/>
        <w:rPr>
          <w:lang w:val="en-US"/>
        </w:rPr>
      </w:pPr>
      <w:r>
        <w:rPr>
          <w:rStyle w:val="FootnoteReference"/>
        </w:rPr>
        <w:footnoteRef/>
      </w:r>
      <w:r>
        <w:t xml:space="preserve"> </w:t>
      </w:r>
      <w:r w:rsidRPr="0079069F">
        <w:t xml:space="preserve">Panel Report, </w:t>
      </w:r>
      <w:r>
        <w:t>para. </w:t>
      </w:r>
      <w:r w:rsidRPr="0079069F">
        <w:t>6.1152.</w:t>
      </w:r>
    </w:p>
  </w:footnote>
  <w:footnote w:id="1139">
    <w:p w:rsidR="00FD2727" w:rsidRPr="002F2175" w:rsidRDefault="00FD2727" w:rsidP="00267BCB">
      <w:pPr>
        <w:pStyle w:val="FootnoteText"/>
        <w:rPr>
          <w:lang w:val="en-US"/>
        </w:rPr>
      </w:pPr>
      <w:r>
        <w:rPr>
          <w:rStyle w:val="FootnoteReference"/>
        </w:rPr>
        <w:footnoteRef/>
      </w:r>
      <w:r>
        <w:t xml:space="preserve"> </w:t>
      </w:r>
      <w:r w:rsidRPr="0079069F">
        <w:t xml:space="preserve">Panel Report, </w:t>
      </w:r>
      <w:r>
        <w:t>para. </w:t>
      </w:r>
      <w:r w:rsidRPr="0079069F">
        <w:t>6.1153. (emphasis original)</w:t>
      </w:r>
    </w:p>
  </w:footnote>
  <w:footnote w:id="1140">
    <w:p w:rsidR="00FD2727" w:rsidRPr="002F2175" w:rsidRDefault="00FD2727" w:rsidP="00267BCB">
      <w:pPr>
        <w:pStyle w:val="FootnoteText"/>
        <w:rPr>
          <w:lang w:val="en-US"/>
        </w:rPr>
      </w:pPr>
      <w:r>
        <w:rPr>
          <w:rStyle w:val="FootnoteReference"/>
        </w:rPr>
        <w:footnoteRef/>
      </w:r>
      <w:r>
        <w:t xml:space="preserve"> </w:t>
      </w:r>
      <w:r w:rsidRPr="00D45BD8">
        <w:t xml:space="preserve">Panel Report, </w:t>
      </w:r>
      <w:r>
        <w:t>para. </w:t>
      </w:r>
      <w:r w:rsidRPr="00D45BD8">
        <w:t>6.1153.</w:t>
      </w:r>
    </w:p>
  </w:footnote>
  <w:footnote w:id="1141">
    <w:p w:rsidR="00FD2727" w:rsidRPr="002F2175" w:rsidRDefault="00FD2727" w:rsidP="00267BCB">
      <w:pPr>
        <w:pStyle w:val="FootnoteText"/>
        <w:rPr>
          <w:lang w:val="en-US"/>
        </w:rPr>
      </w:pPr>
      <w:r>
        <w:rPr>
          <w:rStyle w:val="FootnoteReference"/>
        </w:rPr>
        <w:footnoteRef/>
      </w:r>
      <w:r>
        <w:t xml:space="preserve"> </w:t>
      </w:r>
      <w:r w:rsidRPr="00D45BD8">
        <w:t xml:space="preserve">Panel Report, </w:t>
      </w:r>
      <w:r>
        <w:t>para. </w:t>
      </w:r>
      <w:r w:rsidRPr="00D45BD8">
        <w:t>6.1135.</w:t>
      </w:r>
    </w:p>
  </w:footnote>
  <w:footnote w:id="1142">
    <w:p w:rsidR="00FD2727" w:rsidRPr="002F2175" w:rsidRDefault="00FD2727" w:rsidP="00267BCB">
      <w:pPr>
        <w:pStyle w:val="FootnoteText"/>
        <w:rPr>
          <w:lang w:val="en-US"/>
        </w:rPr>
      </w:pPr>
      <w:r>
        <w:rPr>
          <w:rStyle w:val="FootnoteReference"/>
        </w:rPr>
        <w:footnoteRef/>
      </w:r>
      <w:r>
        <w:t xml:space="preserve"> </w:t>
      </w:r>
      <w:r w:rsidRPr="00D45BD8">
        <w:t xml:space="preserve">Panel Report, </w:t>
      </w:r>
      <w:r>
        <w:t>para. </w:t>
      </w:r>
      <w:r w:rsidRPr="00D45BD8">
        <w:t>6.1143.</w:t>
      </w:r>
    </w:p>
  </w:footnote>
  <w:footnote w:id="1143">
    <w:p w:rsidR="00FD2727" w:rsidRPr="002F2175" w:rsidRDefault="00FD2727" w:rsidP="00267BCB">
      <w:pPr>
        <w:pStyle w:val="FootnoteText"/>
        <w:rPr>
          <w:lang w:val="en-US"/>
        </w:rPr>
      </w:pPr>
      <w:r>
        <w:rPr>
          <w:rStyle w:val="FootnoteReference"/>
        </w:rPr>
        <w:footnoteRef/>
      </w:r>
      <w:r>
        <w:t xml:space="preserve"> </w:t>
      </w:r>
      <w:r w:rsidRPr="00D45BD8">
        <w:t xml:space="preserve">Panel Report, </w:t>
      </w:r>
      <w:r>
        <w:t>para. </w:t>
      </w:r>
      <w:r w:rsidRPr="00D45BD8">
        <w:t>6.1143.</w:t>
      </w:r>
    </w:p>
  </w:footnote>
  <w:footnote w:id="1144">
    <w:p w:rsidR="00FD2727" w:rsidRPr="002F2175" w:rsidRDefault="00FD2727" w:rsidP="00267BCB">
      <w:pPr>
        <w:pStyle w:val="FootnoteText"/>
        <w:rPr>
          <w:lang w:val="en-US"/>
        </w:rPr>
      </w:pPr>
      <w:r>
        <w:rPr>
          <w:rStyle w:val="FootnoteReference"/>
        </w:rPr>
        <w:footnoteRef/>
      </w:r>
      <w:r>
        <w:t xml:space="preserve"> European Union</w:t>
      </w:r>
      <w:r w:rsidRPr="00D45BD8">
        <w:t xml:space="preserve">'s appellant's submission, </w:t>
      </w:r>
      <w:r>
        <w:t>paras. </w:t>
      </w:r>
      <w:r w:rsidRPr="00D45BD8">
        <w:t>72</w:t>
      </w:r>
      <w:r>
        <w:t>7-728</w:t>
      </w:r>
      <w:r w:rsidRPr="00D45BD8">
        <w:t>.</w:t>
      </w:r>
    </w:p>
  </w:footnote>
  <w:footnote w:id="1145">
    <w:p w:rsidR="00FD2727" w:rsidRPr="002F2175" w:rsidRDefault="00FD2727" w:rsidP="00267BCB">
      <w:pPr>
        <w:pStyle w:val="FootnoteText"/>
        <w:rPr>
          <w:lang w:val="en-US"/>
        </w:rPr>
      </w:pPr>
      <w:r>
        <w:rPr>
          <w:rStyle w:val="FootnoteReference"/>
        </w:rPr>
        <w:footnoteRef/>
      </w:r>
      <w:r>
        <w:t xml:space="preserve"> European Union</w:t>
      </w:r>
      <w:r w:rsidRPr="00D45BD8">
        <w:t xml:space="preserve">'s appellant's submission, </w:t>
      </w:r>
      <w:r>
        <w:t xml:space="preserve">paras. 645 and </w:t>
      </w:r>
      <w:r w:rsidRPr="00D45BD8">
        <w:t>703.</w:t>
      </w:r>
    </w:p>
  </w:footnote>
  <w:footnote w:id="1146">
    <w:p w:rsidR="00FD2727" w:rsidRDefault="00FD2727" w:rsidP="00267BCB">
      <w:pPr>
        <w:pStyle w:val="FootnoteText"/>
      </w:pPr>
      <w:r>
        <w:rPr>
          <w:rStyle w:val="FootnoteReference"/>
        </w:rPr>
        <w:footnoteRef/>
      </w:r>
      <w:r>
        <w:t xml:space="preserve"> Panel Report, para. 6.1140 (quoting Appellate Body Report, </w:t>
      </w:r>
      <w:r>
        <w:rPr>
          <w:i/>
        </w:rPr>
        <w:t>EC – Bed Linen (Article 21.5 – India)</w:t>
      </w:r>
      <w:r>
        <w:t xml:space="preserve">, para. 93 (emphasis original)). </w:t>
      </w:r>
    </w:p>
  </w:footnote>
  <w:footnote w:id="1147">
    <w:p w:rsidR="00FD2727" w:rsidRDefault="00FD2727" w:rsidP="00267BCB">
      <w:pPr>
        <w:pStyle w:val="FootnoteText"/>
      </w:pPr>
      <w:r>
        <w:rPr>
          <w:rStyle w:val="FootnoteReference"/>
        </w:rPr>
        <w:footnoteRef/>
      </w:r>
      <w:r>
        <w:t xml:space="preserve"> We note in this respect that findings contained in the original panel report on the issue of "non</w:t>
      </w:r>
      <w:r>
        <w:noBreakHyphen/>
        <w:t>subsidized like product" were adopted by the DSB together with the guidance contained in the Appellate Body report in the same original proceedings regarding the relationship between Article 6.3(b) and Article 6.4 of the SCM Agreement.</w:t>
      </w:r>
    </w:p>
  </w:footnote>
  <w:footnote w:id="1148">
    <w:p w:rsidR="00FD2727" w:rsidRDefault="00FD2727">
      <w:pPr>
        <w:pStyle w:val="FootnoteText"/>
      </w:pPr>
      <w:r>
        <w:rPr>
          <w:rStyle w:val="FootnoteReference"/>
        </w:rPr>
        <w:footnoteRef/>
      </w:r>
      <w:r>
        <w:t xml:space="preserve"> </w:t>
      </w:r>
      <w:r w:rsidRPr="006E521F">
        <w:t xml:space="preserve">We recall that, having noted that </w:t>
      </w:r>
      <w:r>
        <w:t>Article </w:t>
      </w:r>
      <w:r w:rsidRPr="006E521F">
        <w:t>11 of the DSU provides that a panel "should make an objective assessment of the matter before it, including an objective assessment of the facts of the case and the applicability of and conformity with the relevant covered agreements", the Appellate Body explained that "{t}he 'matter' is constituted by both the facts of the case (and, in particular, the specific measures at issue) as well as the legal claims raised".</w:t>
      </w:r>
      <w:r>
        <w:t xml:space="preserve"> (Appellate Body</w:t>
      </w:r>
      <w:r w:rsidRPr="00D45BD8">
        <w:t xml:space="preserve"> Report, </w:t>
      </w:r>
      <w:r w:rsidRPr="00D45BD8">
        <w:rPr>
          <w:i/>
        </w:rPr>
        <w:t>Dominican Republic – Import and Sale of Cigarettes</w:t>
      </w:r>
      <w:r w:rsidRPr="00D45BD8">
        <w:t xml:space="preserve">, </w:t>
      </w:r>
      <w:r>
        <w:t>para. </w:t>
      </w:r>
      <w:r w:rsidRPr="00D45BD8">
        <w:t xml:space="preserve">105 (referring to </w:t>
      </w:r>
      <w:r>
        <w:t>Appellate Body</w:t>
      </w:r>
      <w:r w:rsidRPr="00D45BD8">
        <w:t xml:space="preserve"> Report, </w:t>
      </w:r>
      <w:r w:rsidRPr="00D45BD8">
        <w:rPr>
          <w:i/>
        </w:rPr>
        <w:t>Guatemala – Cement I</w:t>
      </w:r>
      <w:r w:rsidRPr="00D45BD8">
        <w:t xml:space="preserve">, </w:t>
      </w:r>
      <w:r>
        <w:t>para. 73))</w:t>
      </w:r>
    </w:p>
  </w:footnote>
  <w:footnote w:id="1149">
    <w:p w:rsidR="00FD2727" w:rsidRPr="002F2175" w:rsidRDefault="00FD2727" w:rsidP="00267BCB">
      <w:pPr>
        <w:pStyle w:val="FootnoteText"/>
        <w:rPr>
          <w:lang w:val="en-US"/>
        </w:rPr>
      </w:pPr>
      <w:r>
        <w:rPr>
          <w:rStyle w:val="FootnoteReference"/>
        </w:rPr>
        <w:footnoteRef/>
      </w:r>
      <w:r>
        <w:t xml:space="preserve"> </w:t>
      </w:r>
      <w:r w:rsidRPr="00D45BD8">
        <w:t xml:space="preserve">See </w:t>
      </w:r>
      <w:r>
        <w:t>European Union</w:t>
      </w:r>
      <w:r w:rsidRPr="00D45BD8">
        <w:t xml:space="preserve">'s appellant's submission, </w:t>
      </w:r>
      <w:r>
        <w:t>paras. </w:t>
      </w:r>
      <w:r w:rsidRPr="00D45BD8">
        <w:t>72</w:t>
      </w:r>
      <w:r>
        <w:t>0-723</w:t>
      </w:r>
      <w:r w:rsidRPr="00D45BD8">
        <w:t>.</w:t>
      </w:r>
    </w:p>
  </w:footnote>
  <w:footnote w:id="1150">
    <w:p w:rsidR="00FD2727" w:rsidRDefault="00FD2727">
      <w:pPr>
        <w:pStyle w:val="FootnoteText"/>
      </w:pPr>
      <w:r>
        <w:rPr>
          <w:rStyle w:val="FootnoteReference"/>
        </w:rPr>
        <w:footnoteRef/>
      </w:r>
      <w:r>
        <w:t xml:space="preserve"> Emphasis added.</w:t>
      </w:r>
    </w:p>
  </w:footnote>
  <w:footnote w:id="1151">
    <w:p w:rsidR="00FD2727" w:rsidRDefault="00FD2727">
      <w:pPr>
        <w:pStyle w:val="FootnoteText"/>
      </w:pPr>
      <w:r>
        <w:rPr>
          <w:rStyle w:val="FootnoteReference"/>
        </w:rPr>
        <w:footnoteRef/>
      </w:r>
      <w:r>
        <w:t xml:space="preserve"> In contrast, Article 6.7 of the SCM Agreement describes circumstances in which displacement or impedance under Article 6.3 of that Agreement shall not be found to exist. </w:t>
      </w:r>
    </w:p>
  </w:footnote>
  <w:footnote w:id="1152">
    <w:p w:rsidR="00FD2727" w:rsidRPr="002F2175" w:rsidRDefault="00FD2727" w:rsidP="00267BCB">
      <w:pPr>
        <w:pStyle w:val="FootnoteText"/>
        <w:rPr>
          <w:lang w:val="en-US"/>
        </w:rPr>
      </w:pPr>
      <w:r>
        <w:rPr>
          <w:rStyle w:val="FootnoteReference"/>
        </w:rPr>
        <w:footnoteRef/>
      </w:r>
      <w:r>
        <w:t xml:space="preserve"> See Original Panel Report, paras. 7.1769 and 7.1771.</w:t>
      </w:r>
    </w:p>
  </w:footnote>
  <w:footnote w:id="1153">
    <w:p w:rsidR="00FD2727" w:rsidRPr="002F2175" w:rsidRDefault="00FD2727">
      <w:pPr>
        <w:pStyle w:val="FootnoteText"/>
        <w:rPr>
          <w:lang w:val="en-US"/>
        </w:rPr>
      </w:pPr>
      <w:r>
        <w:rPr>
          <w:rStyle w:val="FootnoteReference"/>
        </w:rPr>
        <w:footnoteRef/>
      </w:r>
      <w:r>
        <w:t xml:space="preserve"> Appellate Body Report, </w:t>
      </w:r>
      <w:r w:rsidRPr="00D762D2">
        <w:rPr>
          <w:i/>
          <w:szCs w:val="20"/>
          <w:lang w:val="en-US"/>
        </w:rPr>
        <w:t>US – Large Civil Aircraft</w:t>
      </w:r>
      <w:r>
        <w:rPr>
          <w:i/>
          <w:szCs w:val="20"/>
          <w:lang w:val="en-US"/>
        </w:rPr>
        <w:t xml:space="preserve"> (2</w:t>
      </w:r>
      <w:r w:rsidRPr="00E83341">
        <w:rPr>
          <w:i/>
          <w:szCs w:val="20"/>
          <w:vertAlign w:val="superscript"/>
          <w:lang w:val="en-US"/>
        </w:rPr>
        <w:t>nd</w:t>
      </w:r>
      <w:r>
        <w:rPr>
          <w:i/>
          <w:szCs w:val="20"/>
          <w:lang w:val="en-US"/>
        </w:rPr>
        <w:t xml:space="preserve"> complaint)</w:t>
      </w:r>
      <w:r>
        <w:rPr>
          <w:szCs w:val="20"/>
          <w:lang w:val="en-US"/>
        </w:rPr>
        <w:t>, para. 1086.</w:t>
      </w:r>
    </w:p>
  </w:footnote>
  <w:footnote w:id="1154">
    <w:p w:rsidR="00FD2727" w:rsidRPr="002F2175" w:rsidRDefault="00FD2727">
      <w:pPr>
        <w:pStyle w:val="FootnoteText"/>
        <w:rPr>
          <w:lang w:val="en-US"/>
        </w:rPr>
      </w:pPr>
      <w:r>
        <w:rPr>
          <w:rStyle w:val="FootnoteReference"/>
        </w:rPr>
        <w:footnoteRef/>
      </w:r>
      <w:r>
        <w:t xml:space="preserve"> </w:t>
      </w:r>
      <w:r w:rsidRPr="00E94C83">
        <w:rPr>
          <w:lang w:val="en-US"/>
        </w:rPr>
        <w:t>Emphasis added.</w:t>
      </w:r>
    </w:p>
  </w:footnote>
  <w:footnote w:id="1155">
    <w:p w:rsidR="00FD2727" w:rsidRPr="002F2175" w:rsidRDefault="00FD2727" w:rsidP="00267BCB">
      <w:pPr>
        <w:pStyle w:val="FootnoteText"/>
        <w:rPr>
          <w:lang w:val="en-US"/>
        </w:rPr>
      </w:pPr>
      <w:r>
        <w:rPr>
          <w:rStyle w:val="FootnoteReference"/>
        </w:rPr>
        <w:footnoteRef/>
      </w:r>
      <w:r>
        <w:t xml:space="preserve"> European Union</w:t>
      </w:r>
      <w:r w:rsidRPr="00E82DA0">
        <w:t xml:space="preserve">'s appellant's submission, </w:t>
      </w:r>
      <w:r>
        <w:t>para. </w:t>
      </w:r>
      <w:r w:rsidRPr="00E82DA0">
        <w:t>644. (emphasis original)</w:t>
      </w:r>
    </w:p>
  </w:footnote>
  <w:footnote w:id="1156">
    <w:p w:rsidR="00FD2727" w:rsidRPr="002F2175" w:rsidRDefault="00FD2727" w:rsidP="00267BCB">
      <w:pPr>
        <w:pStyle w:val="FootnoteText"/>
        <w:rPr>
          <w:lang w:val="en-US"/>
        </w:rPr>
      </w:pPr>
      <w:r>
        <w:rPr>
          <w:rStyle w:val="FootnoteReference"/>
        </w:rPr>
        <w:footnoteRef/>
      </w:r>
      <w:r>
        <w:t xml:space="preserve"> Appellate Body Report, </w:t>
      </w:r>
      <w:r w:rsidRPr="00AF2B40">
        <w:rPr>
          <w:i/>
        </w:rPr>
        <w:t>EC and certain member States — Large Civil Aircraft</w:t>
      </w:r>
      <w:r w:rsidRPr="004D1B15">
        <w:t>,</w:t>
      </w:r>
      <w:r>
        <w:t xml:space="preserve"> para. 1166. (fn omitted)</w:t>
      </w:r>
    </w:p>
  </w:footnote>
  <w:footnote w:id="1157">
    <w:p w:rsidR="00FD2727" w:rsidRPr="002F2175" w:rsidRDefault="00FD2727" w:rsidP="00267BCB">
      <w:pPr>
        <w:pStyle w:val="FootnoteText"/>
        <w:rPr>
          <w:lang w:val="en-US"/>
        </w:rPr>
      </w:pPr>
      <w:r>
        <w:rPr>
          <w:rStyle w:val="FootnoteReference"/>
        </w:rPr>
        <w:footnoteRef/>
      </w:r>
      <w:r>
        <w:t xml:space="preserve"> Appellate Body</w:t>
      </w:r>
      <w:r w:rsidRPr="00D45BD8">
        <w:t xml:space="preserve"> Report, </w:t>
      </w:r>
      <w:r w:rsidRPr="00D45BD8">
        <w:rPr>
          <w:i/>
        </w:rPr>
        <w:t>US – Large Civil Aircraft (2</w:t>
      </w:r>
      <w:r w:rsidRPr="00D45BD8">
        <w:rPr>
          <w:i/>
          <w:vertAlign w:val="superscript"/>
        </w:rPr>
        <w:t>nd</w:t>
      </w:r>
      <w:r w:rsidRPr="00D45BD8">
        <w:rPr>
          <w:i/>
        </w:rPr>
        <w:t xml:space="preserve"> complaint)</w:t>
      </w:r>
      <w:r w:rsidRPr="00D45BD8">
        <w:t xml:space="preserve">, </w:t>
      </w:r>
      <w:r>
        <w:t>para. </w:t>
      </w:r>
      <w:r w:rsidRPr="00D45BD8">
        <w:t xml:space="preserve">1081 (quoting </w:t>
      </w:r>
      <w:r>
        <w:t>Appellate Body</w:t>
      </w:r>
      <w:r w:rsidRPr="00D45BD8">
        <w:t xml:space="preserve"> Report, </w:t>
      </w:r>
      <w:r w:rsidRPr="00D45BD8">
        <w:rPr>
          <w:i/>
        </w:rPr>
        <w:t>EC and certain member States – Large Civil Aircraft</w:t>
      </w:r>
      <w:r w:rsidRPr="00D45BD8">
        <w:t xml:space="preserve">, </w:t>
      </w:r>
      <w:r>
        <w:t>para. </w:t>
      </w:r>
      <w:r w:rsidRPr="00D45BD8">
        <w:t xml:space="preserve">1166, in turn quoting </w:t>
      </w:r>
      <w:r>
        <w:t>Appellate Body</w:t>
      </w:r>
      <w:r w:rsidRPr="00D45BD8">
        <w:t xml:space="preserve"> Report, </w:t>
      </w:r>
      <w:r w:rsidRPr="00D45BD8">
        <w:rPr>
          <w:i/>
          <w:iCs/>
        </w:rPr>
        <w:t>US – Upland Cotton</w:t>
      </w:r>
      <w:r w:rsidRPr="00D45BD8">
        <w:t xml:space="preserve">, </w:t>
      </w:r>
      <w:r>
        <w:t>para. </w:t>
      </w:r>
      <w:r w:rsidRPr="00D45BD8">
        <w:t>478).</w:t>
      </w:r>
    </w:p>
  </w:footnote>
  <w:footnote w:id="1158">
    <w:p w:rsidR="00FD2727" w:rsidRPr="002F2175" w:rsidRDefault="00FD2727" w:rsidP="00267BCB">
      <w:pPr>
        <w:pStyle w:val="FootnoteText"/>
        <w:rPr>
          <w:lang w:val="en-US"/>
        </w:rPr>
      </w:pPr>
      <w:r>
        <w:rPr>
          <w:rStyle w:val="FootnoteReference"/>
        </w:rPr>
        <w:footnoteRef/>
      </w:r>
      <w:r>
        <w:t xml:space="preserve"> Appellate Body</w:t>
      </w:r>
      <w:r w:rsidRPr="00D45BD8">
        <w:t xml:space="preserve"> Report, </w:t>
      </w:r>
      <w:r w:rsidRPr="00D45BD8">
        <w:rPr>
          <w:i/>
        </w:rPr>
        <w:t>US – Large Civil Aircraft (2</w:t>
      </w:r>
      <w:r w:rsidRPr="00D45BD8">
        <w:rPr>
          <w:i/>
          <w:vertAlign w:val="superscript"/>
        </w:rPr>
        <w:t>nd</w:t>
      </w:r>
      <w:r w:rsidRPr="00D45BD8">
        <w:rPr>
          <w:i/>
        </w:rPr>
        <w:t xml:space="preserve"> complaint)</w:t>
      </w:r>
      <w:r w:rsidRPr="00D45BD8">
        <w:t xml:space="preserve">, </w:t>
      </w:r>
      <w:r>
        <w:t>para. </w:t>
      </w:r>
      <w:r w:rsidRPr="00D45BD8">
        <w:t>1086.</w:t>
      </w:r>
    </w:p>
  </w:footnote>
  <w:footnote w:id="1159">
    <w:p w:rsidR="00FD2727" w:rsidRPr="002F2175" w:rsidRDefault="00FD2727" w:rsidP="00267BCB">
      <w:pPr>
        <w:pStyle w:val="FootnoteText"/>
        <w:rPr>
          <w:lang w:val="en-US"/>
        </w:rPr>
      </w:pPr>
      <w:r>
        <w:rPr>
          <w:rStyle w:val="FootnoteReference"/>
        </w:rPr>
        <w:footnoteRef/>
      </w:r>
      <w:r>
        <w:t xml:space="preserve"> Appellate Body</w:t>
      </w:r>
      <w:r w:rsidRPr="00D45BD8">
        <w:t xml:space="preserve"> Report, </w:t>
      </w:r>
      <w:r w:rsidRPr="00D45BD8">
        <w:rPr>
          <w:i/>
        </w:rPr>
        <w:t>US – Large Civil Aircraft (2</w:t>
      </w:r>
      <w:r w:rsidRPr="00D45BD8">
        <w:rPr>
          <w:i/>
          <w:vertAlign w:val="superscript"/>
        </w:rPr>
        <w:t>nd</w:t>
      </w:r>
      <w:r w:rsidRPr="00D45BD8">
        <w:rPr>
          <w:i/>
        </w:rPr>
        <w:t xml:space="preserve"> complaint)</w:t>
      </w:r>
      <w:r w:rsidRPr="00D45BD8">
        <w:t xml:space="preserve">, </w:t>
      </w:r>
      <w:r>
        <w:t>para. </w:t>
      </w:r>
      <w:r w:rsidRPr="00D45BD8">
        <w:t>1086.</w:t>
      </w:r>
    </w:p>
  </w:footnote>
  <w:footnote w:id="1160">
    <w:p w:rsidR="00FD2727" w:rsidRPr="002F2175" w:rsidRDefault="00FD2727" w:rsidP="00267BCB">
      <w:pPr>
        <w:pStyle w:val="FootnoteText"/>
        <w:rPr>
          <w:lang w:val="en-US"/>
        </w:rPr>
      </w:pPr>
      <w:r>
        <w:rPr>
          <w:rStyle w:val="FootnoteReference"/>
        </w:rPr>
        <w:footnoteRef/>
      </w:r>
      <w:r>
        <w:t xml:space="preserve"> European Union</w:t>
      </w:r>
      <w:r w:rsidRPr="00D45BD8">
        <w:t xml:space="preserve">'s appellant's submission, </w:t>
      </w:r>
      <w:r>
        <w:t>para. </w:t>
      </w:r>
      <w:r w:rsidRPr="00D45BD8">
        <w:t>645. (</w:t>
      </w:r>
      <w:r>
        <w:t>emphasis</w:t>
      </w:r>
      <w:r w:rsidRPr="00D45BD8">
        <w:t xml:space="preserve"> omitted)</w:t>
      </w:r>
    </w:p>
  </w:footnote>
  <w:footnote w:id="1161">
    <w:p w:rsidR="00FD2727" w:rsidRPr="002F2175" w:rsidRDefault="00FD2727" w:rsidP="00267BCB">
      <w:pPr>
        <w:pStyle w:val="FootnoteText"/>
        <w:rPr>
          <w:lang w:val="en-US"/>
        </w:rPr>
      </w:pPr>
      <w:r>
        <w:rPr>
          <w:rStyle w:val="FootnoteReference"/>
        </w:rPr>
        <w:footnoteRef/>
      </w:r>
      <w:r>
        <w:t xml:space="preserve"> See European Union's appellant's submission, para. 672. (fn omitted)</w:t>
      </w:r>
    </w:p>
  </w:footnote>
  <w:footnote w:id="1162">
    <w:p w:rsidR="00FD2727" w:rsidRPr="002F2175" w:rsidRDefault="00FD2727" w:rsidP="00AA339D">
      <w:pPr>
        <w:pStyle w:val="FootnoteText"/>
        <w:keepNext/>
        <w:keepLines/>
        <w:rPr>
          <w:lang w:val="en-US"/>
        </w:rPr>
      </w:pPr>
      <w:r>
        <w:rPr>
          <w:rStyle w:val="FootnoteReference"/>
        </w:rPr>
        <w:footnoteRef/>
      </w:r>
      <w:r>
        <w:t xml:space="preserve"> </w:t>
      </w:r>
      <w:r w:rsidRPr="00D44E62">
        <w:t xml:space="preserve">The European Union has separately appealed the Panel's failure properly </w:t>
      </w:r>
      <w:r>
        <w:t xml:space="preserve">to take into </w:t>
      </w:r>
      <w:r w:rsidRPr="00D44E62">
        <w:t xml:space="preserve">account, in its causation analysis, the differences in the nature and degree of competition between the relevant Airbus and Boeing </w:t>
      </w:r>
      <w:r>
        <w:t xml:space="preserve">LCA </w:t>
      </w:r>
      <w:r w:rsidRPr="00D44E62">
        <w:t xml:space="preserve">products in the </w:t>
      </w:r>
      <w:r>
        <w:t xml:space="preserve">various product and geographic </w:t>
      </w:r>
      <w:r w:rsidRPr="00D44E62">
        <w:t>market</w:t>
      </w:r>
      <w:r>
        <w:t>s in respect of which the United States brought its claims of serious prejudice</w:t>
      </w:r>
      <w:r w:rsidRPr="00D44E62">
        <w:t>. (European Union's appellant's submission, fn 521 to para. 559 and fn</w:t>
      </w:r>
      <w:r>
        <w:t> </w:t>
      </w:r>
      <w:r w:rsidRPr="00D44E62">
        <w:t>616 to para. 626 (referring</w:t>
      </w:r>
      <w:r>
        <w:t xml:space="preserve"> to</w:t>
      </w:r>
      <w:r w:rsidRPr="00D44E62">
        <w:t xml:space="preserve"> </w:t>
      </w:r>
      <w:r>
        <w:t>s</w:t>
      </w:r>
      <w:r w:rsidRPr="00D44E62">
        <w:t>ection VIII.E.4.a</w:t>
      </w:r>
      <w:r>
        <w:t xml:space="preserve"> of its appellant's submission</w:t>
      </w:r>
      <w:r w:rsidRPr="00D44E62">
        <w:t>))</w:t>
      </w:r>
    </w:p>
  </w:footnote>
  <w:footnote w:id="1163">
    <w:p w:rsidR="00FD2727" w:rsidRPr="002F2175" w:rsidRDefault="00FD2727">
      <w:pPr>
        <w:pStyle w:val="FootnoteText"/>
        <w:rPr>
          <w:lang w:val="en-US"/>
        </w:rPr>
      </w:pPr>
      <w:r>
        <w:rPr>
          <w:rStyle w:val="FootnoteReference"/>
        </w:rPr>
        <w:footnoteRef/>
      </w:r>
      <w:r>
        <w:t xml:space="preserve"> </w:t>
      </w:r>
      <w:r w:rsidRPr="00D44E62">
        <w:t>Panel Report, para. 6.1155.</w:t>
      </w:r>
    </w:p>
  </w:footnote>
  <w:footnote w:id="1164">
    <w:p w:rsidR="00FD2727" w:rsidRPr="002F2175" w:rsidRDefault="00FD2727">
      <w:pPr>
        <w:pStyle w:val="FootnoteText"/>
        <w:rPr>
          <w:lang w:val="en-US"/>
        </w:rPr>
      </w:pPr>
      <w:r>
        <w:rPr>
          <w:rStyle w:val="FootnoteReference"/>
        </w:rPr>
        <w:footnoteRef/>
      </w:r>
      <w:r>
        <w:t xml:space="preserve"> </w:t>
      </w:r>
      <w:r w:rsidRPr="00D44E62">
        <w:t>Panel Report, para. 6.1156.</w:t>
      </w:r>
    </w:p>
  </w:footnote>
  <w:footnote w:id="1165">
    <w:p w:rsidR="00FD2727" w:rsidRPr="002F2175" w:rsidRDefault="00FD2727">
      <w:pPr>
        <w:pStyle w:val="FootnoteText"/>
        <w:rPr>
          <w:lang w:val="en-US"/>
        </w:rPr>
      </w:pPr>
      <w:r>
        <w:rPr>
          <w:rStyle w:val="FootnoteReference"/>
        </w:rPr>
        <w:footnoteRef/>
      </w:r>
      <w:r>
        <w:t xml:space="preserve"> </w:t>
      </w:r>
      <w:r w:rsidRPr="00D44E62">
        <w:t xml:space="preserve">Panel Report, para. 6.1157 (referring to Appellate Body Report, </w:t>
      </w:r>
      <w:r w:rsidRPr="00D44E62">
        <w:rPr>
          <w:i/>
        </w:rPr>
        <w:t>EC and certain member States</w:t>
      </w:r>
      <w:r>
        <w:rPr>
          <w:i/>
        </w:rPr>
        <w:t xml:space="preserve"> – </w:t>
      </w:r>
      <w:r w:rsidRPr="00D44E62">
        <w:rPr>
          <w:i/>
        </w:rPr>
        <w:t>Large Civil Aircraft</w:t>
      </w:r>
      <w:r w:rsidRPr="00D44E62">
        <w:t>, paras. 1177</w:t>
      </w:r>
      <w:r>
        <w:t>-</w:t>
      </w:r>
      <w:r w:rsidRPr="00D44E62">
        <w:t xml:space="preserve">1178). </w:t>
      </w:r>
    </w:p>
  </w:footnote>
  <w:footnote w:id="1166">
    <w:p w:rsidR="00FD2727" w:rsidRPr="002F2175" w:rsidRDefault="00FD2727">
      <w:pPr>
        <w:pStyle w:val="FootnoteText"/>
        <w:rPr>
          <w:lang w:val="en-US"/>
        </w:rPr>
      </w:pPr>
      <w:r>
        <w:rPr>
          <w:rStyle w:val="FootnoteReference"/>
        </w:rPr>
        <w:footnoteRef/>
      </w:r>
      <w:r>
        <w:t xml:space="preserve"> </w:t>
      </w:r>
      <w:r w:rsidRPr="00D44E62">
        <w:t>Panel Report, para. 6.1157</w:t>
      </w:r>
      <w:r w:rsidRPr="002674CA">
        <w:t>.</w:t>
      </w:r>
    </w:p>
  </w:footnote>
  <w:footnote w:id="1167">
    <w:p w:rsidR="00FD2727" w:rsidRPr="004A7732" w:rsidRDefault="00FD2727" w:rsidP="00267BCB">
      <w:pPr>
        <w:pStyle w:val="FootnoteText"/>
      </w:pPr>
      <w:r>
        <w:rPr>
          <w:rStyle w:val="FootnoteReference"/>
        </w:rPr>
        <w:footnoteRef/>
      </w:r>
      <w:r>
        <w:t xml:space="preserve"> </w:t>
      </w:r>
      <w:r w:rsidRPr="002674CA">
        <w:t>Panel Report, para. 6.1157</w:t>
      </w:r>
      <w:r w:rsidRPr="00D44E62">
        <w:t>.</w:t>
      </w:r>
      <w:r>
        <w:t xml:space="preserve"> </w:t>
      </w:r>
    </w:p>
  </w:footnote>
  <w:footnote w:id="1168">
    <w:p w:rsidR="00FD2727" w:rsidRPr="002F2175" w:rsidRDefault="00FD2727">
      <w:pPr>
        <w:pStyle w:val="FootnoteText"/>
        <w:rPr>
          <w:lang w:val="en-US"/>
        </w:rPr>
      </w:pPr>
      <w:r>
        <w:rPr>
          <w:rStyle w:val="FootnoteReference"/>
        </w:rPr>
        <w:footnoteRef/>
      </w:r>
      <w:r>
        <w:t xml:space="preserve"> </w:t>
      </w:r>
      <w:r w:rsidRPr="00D44E62">
        <w:t>Panel Report, para</w:t>
      </w:r>
      <w:r>
        <w:t>s</w:t>
      </w:r>
      <w:r w:rsidRPr="00D44E62">
        <w:t>. 6.115</w:t>
      </w:r>
      <w:r>
        <w:t>8-6.1172</w:t>
      </w:r>
      <w:r w:rsidRPr="00D44E62">
        <w:t>.</w:t>
      </w:r>
    </w:p>
  </w:footnote>
  <w:footnote w:id="1169">
    <w:p w:rsidR="00FD2727" w:rsidRPr="002F2175" w:rsidRDefault="00FD2727">
      <w:pPr>
        <w:pStyle w:val="FootnoteText"/>
        <w:rPr>
          <w:lang w:val="en-US"/>
        </w:rPr>
      </w:pPr>
      <w:r>
        <w:rPr>
          <w:rStyle w:val="FootnoteReference"/>
        </w:rPr>
        <w:footnoteRef/>
      </w:r>
      <w:r>
        <w:t xml:space="preserve"> </w:t>
      </w:r>
      <w:r w:rsidRPr="00D44E62">
        <w:t>Panel Report, para. 6.1160. (emphasis original)</w:t>
      </w:r>
    </w:p>
  </w:footnote>
  <w:footnote w:id="1170">
    <w:p w:rsidR="00FD2727" w:rsidRPr="002F2175" w:rsidRDefault="00FD2727">
      <w:pPr>
        <w:pStyle w:val="FootnoteText"/>
        <w:rPr>
          <w:lang w:val="en-US"/>
        </w:rPr>
      </w:pPr>
      <w:r>
        <w:rPr>
          <w:rStyle w:val="FootnoteReference"/>
        </w:rPr>
        <w:footnoteRef/>
      </w:r>
      <w:r>
        <w:t xml:space="preserve"> </w:t>
      </w:r>
      <w:r w:rsidRPr="00D44E62">
        <w:t xml:space="preserve">Panel Report, para. 6.1169 (quoting Appellate Body Report, </w:t>
      </w:r>
      <w:r w:rsidRPr="00D44E62">
        <w:rPr>
          <w:i/>
        </w:rPr>
        <w:t xml:space="preserve">EC and certain member States </w:t>
      </w:r>
      <w:r>
        <w:rPr>
          <w:i/>
        </w:rPr>
        <w:t>–</w:t>
      </w:r>
      <w:r w:rsidRPr="00D44E62">
        <w:rPr>
          <w:i/>
        </w:rPr>
        <w:t xml:space="preserve"> Large Civil Aircraft</w:t>
      </w:r>
      <w:r w:rsidRPr="00D44E62">
        <w:t>, fn 2467 to para. 1120</w:t>
      </w:r>
      <w:r>
        <w:t xml:space="preserve"> </w:t>
      </w:r>
      <w:r w:rsidRPr="00D44E62">
        <w:t>(emphasis added by the Panel</w:t>
      </w:r>
      <w:r>
        <w:t>)).</w:t>
      </w:r>
      <w:r w:rsidRPr="00D44E62">
        <w:t xml:space="preserve"> </w:t>
      </w:r>
    </w:p>
  </w:footnote>
  <w:footnote w:id="1171">
    <w:p w:rsidR="00FD2727" w:rsidRPr="002F2175" w:rsidRDefault="00FD2727">
      <w:pPr>
        <w:pStyle w:val="FootnoteText"/>
        <w:rPr>
          <w:lang w:val="en-US"/>
        </w:rPr>
      </w:pPr>
      <w:r>
        <w:rPr>
          <w:rStyle w:val="FootnoteReference"/>
        </w:rPr>
        <w:footnoteRef/>
      </w:r>
      <w:r>
        <w:t xml:space="preserve"> </w:t>
      </w:r>
      <w:r w:rsidRPr="00D44E62">
        <w:t xml:space="preserve">Panel Report, para. 6.1169 (quoting Appellate Body Report, </w:t>
      </w:r>
      <w:r w:rsidRPr="00D44E62">
        <w:rPr>
          <w:i/>
        </w:rPr>
        <w:t xml:space="preserve">EC and certain member States </w:t>
      </w:r>
      <w:r>
        <w:rPr>
          <w:i/>
        </w:rPr>
        <w:t>–</w:t>
      </w:r>
      <w:r w:rsidRPr="00D44E62">
        <w:rPr>
          <w:i/>
        </w:rPr>
        <w:t xml:space="preserve"> Large Civil Aircraft</w:t>
      </w:r>
      <w:r w:rsidRPr="00D44E62">
        <w:t>, para. 1136).</w:t>
      </w:r>
    </w:p>
  </w:footnote>
  <w:footnote w:id="1172">
    <w:p w:rsidR="00FD2727" w:rsidRPr="002F2175" w:rsidRDefault="00FD2727">
      <w:pPr>
        <w:pStyle w:val="FootnoteText"/>
        <w:rPr>
          <w:lang w:val="en-US"/>
        </w:rPr>
      </w:pPr>
      <w:r>
        <w:rPr>
          <w:rStyle w:val="FootnoteReference"/>
        </w:rPr>
        <w:footnoteRef/>
      </w:r>
      <w:r>
        <w:t xml:space="preserve"> </w:t>
      </w:r>
      <w:r w:rsidRPr="00D44E62">
        <w:t xml:space="preserve">Panel Report, para. 6.1170 (referring to Appellate Body Report, </w:t>
      </w:r>
      <w:r w:rsidRPr="00D44E62">
        <w:rPr>
          <w:i/>
        </w:rPr>
        <w:t xml:space="preserve">EC and certain member States </w:t>
      </w:r>
      <w:r>
        <w:rPr>
          <w:i/>
        </w:rPr>
        <w:t>–</w:t>
      </w:r>
      <w:r w:rsidRPr="00D44E62">
        <w:rPr>
          <w:i/>
        </w:rPr>
        <w:t xml:space="preserve"> Large Civil Aircraft</w:t>
      </w:r>
      <w:r w:rsidRPr="00D44E62">
        <w:t>, para. 1134).</w:t>
      </w:r>
    </w:p>
  </w:footnote>
  <w:footnote w:id="1173">
    <w:p w:rsidR="00FD2727" w:rsidRPr="002F2175" w:rsidRDefault="00FD2727">
      <w:pPr>
        <w:pStyle w:val="FootnoteText"/>
        <w:rPr>
          <w:lang w:val="en-US"/>
        </w:rPr>
      </w:pPr>
      <w:r>
        <w:rPr>
          <w:rStyle w:val="FootnoteReference"/>
        </w:rPr>
        <w:footnoteRef/>
      </w:r>
      <w:r>
        <w:t xml:space="preserve"> </w:t>
      </w:r>
      <w:r w:rsidRPr="00D44E62">
        <w:t>Panel Report, para. 6.1172. (emphasis original)</w:t>
      </w:r>
    </w:p>
  </w:footnote>
  <w:footnote w:id="1174">
    <w:p w:rsidR="00FD2727" w:rsidRPr="002F2175" w:rsidRDefault="00FD2727">
      <w:pPr>
        <w:pStyle w:val="FootnoteText"/>
        <w:rPr>
          <w:lang w:val="en-US"/>
        </w:rPr>
      </w:pPr>
      <w:r>
        <w:rPr>
          <w:rStyle w:val="FootnoteReference"/>
        </w:rPr>
        <w:footnoteRef/>
      </w:r>
      <w:r>
        <w:t xml:space="preserve"> </w:t>
      </w:r>
      <w:r w:rsidRPr="00D44E62">
        <w:t>Panel Report, para. 6.1174. (emphasis original)</w:t>
      </w:r>
    </w:p>
  </w:footnote>
  <w:footnote w:id="1175">
    <w:p w:rsidR="00FD2727" w:rsidRPr="002F2175" w:rsidRDefault="00FD2727">
      <w:pPr>
        <w:pStyle w:val="FootnoteText"/>
        <w:rPr>
          <w:lang w:val="en-US"/>
        </w:rPr>
      </w:pPr>
      <w:r>
        <w:rPr>
          <w:rStyle w:val="FootnoteReference"/>
        </w:rPr>
        <w:footnoteRef/>
      </w:r>
      <w:r>
        <w:t xml:space="preserve"> </w:t>
      </w:r>
      <w:r w:rsidRPr="00D44E62">
        <w:t xml:space="preserve">Panel Report, para. 6.1178 (referring to Appellate Body Report, </w:t>
      </w:r>
      <w:r w:rsidRPr="00D44E62">
        <w:rPr>
          <w:i/>
        </w:rPr>
        <w:t xml:space="preserve">EC and certain member States </w:t>
      </w:r>
      <w:r>
        <w:rPr>
          <w:i/>
        </w:rPr>
        <w:t>–</w:t>
      </w:r>
      <w:r w:rsidRPr="00D44E62">
        <w:rPr>
          <w:i/>
        </w:rPr>
        <w:t xml:space="preserve"> Large Civil Aircraft</w:t>
      </w:r>
      <w:r w:rsidRPr="00D44E62">
        <w:t>, paras. 1120-1121). (emphasis original)</w:t>
      </w:r>
    </w:p>
  </w:footnote>
  <w:footnote w:id="1176">
    <w:p w:rsidR="00FD2727" w:rsidRPr="002F2175" w:rsidRDefault="00FD2727">
      <w:pPr>
        <w:pStyle w:val="FootnoteText"/>
        <w:rPr>
          <w:lang w:val="en-US"/>
        </w:rPr>
      </w:pPr>
      <w:r>
        <w:rPr>
          <w:rStyle w:val="FootnoteReference"/>
        </w:rPr>
        <w:footnoteRef/>
      </w:r>
      <w:r>
        <w:t xml:space="preserve"> </w:t>
      </w:r>
      <w:r w:rsidRPr="00D44E62">
        <w:t>Panel Report, para. 6.1178.</w:t>
      </w:r>
    </w:p>
  </w:footnote>
  <w:footnote w:id="1177">
    <w:p w:rsidR="00FD2727" w:rsidRPr="002F2175" w:rsidRDefault="00FD2727">
      <w:pPr>
        <w:pStyle w:val="FootnoteText"/>
        <w:rPr>
          <w:lang w:val="en-US"/>
        </w:rPr>
      </w:pPr>
      <w:r>
        <w:rPr>
          <w:rStyle w:val="FootnoteReference"/>
        </w:rPr>
        <w:footnoteRef/>
      </w:r>
      <w:r>
        <w:t xml:space="preserve"> </w:t>
      </w:r>
      <w:r w:rsidRPr="00D44E62">
        <w:t xml:space="preserve">Panel Report, para. 6.1179 (quoting Appellate Body Report, </w:t>
      </w:r>
      <w:r w:rsidRPr="00D44E62">
        <w:rPr>
          <w:i/>
        </w:rPr>
        <w:t xml:space="preserve">EC and certain member States </w:t>
      </w:r>
      <w:r>
        <w:rPr>
          <w:i/>
        </w:rPr>
        <w:t>–</w:t>
      </w:r>
      <w:r w:rsidRPr="00D44E62">
        <w:rPr>
          <w:i/>
        </w:rPr>
        <w:t xml:space="preserve"> Large Civil Aircraft</w:t>
      </w:r>
      <w:r w:rsidRPr="00D44E62">
        <w:t>, fn 2468 to para. 1120 (emphasis added</w:t>
      </w:r>
      <w:r>
        <w:t xml:space="preserve"> by the Panel</w:t>
      </w:r>
      <w:r w:rsidRPr="00D44E62">
        <w:t>)).</w:t>
      </w:r>
    </w:p>
  </w:footnote>
  <w:footnote w:id="1178">
    <w:p w:rsidR="00FD2727" w:rsidRPr="002F2175" w:rsidRDefault="00FD2727">
      <w:pPr>
        <w:pStyle w:val="FootnoteText"/>
        <w:rPr>
          <w:lang w:val="en-US"/>
        </w:rPr>
      </w:pPr>
      <w:r>
        <w:rPr>
          <w:rStyle w:val="FootnoteReference"/>
        </w:rPr>
        <w:footnoteRef/>
      </w:r>
      <w:r>
        <w:t xml:space="preserve"> </w:t>
      </w:r>
      <w:r w:rsidRPr="00D44E62">
        <w:t>Panel Report, para. 6.1179. (emphasis original)</w:t>
      </w:r>
    </w:p>
  </w:footnote>
  <w:footnote w:id="1179">
    <w:p w:rsidR="00FD2727" w:rsidRPr="002F2175" w:rsidRDefault="00FD2727">
      <w:pPr>
        <w:pStyle w:val="FootnoteText"/>
        <w:rPr>
          <w:lang w:val="en-US"/>
        </w:rPr>
      </w:pPr>
      <w:r>
        <w:rPr>
          <w:rStyle w:val="FootnoteReference"/>
        </w:rPr>
        <w:footnoteRef/>
      </w:r>
      <w:r>
        <w:t xml:space="preserve"> </w:t>
      </w:r>
      <w:r w:rsidRPr="00D44E62">
        <w:t>Panel Report, para. 6.1205.</w:t>
      </w:r>
    </w:p>
  </w:footnote>
  <w:footnote w:id="1180">
    <w:p w:rsidR="00FD2727" w:rsidRPr="002F2175" w:rsidRDefault="00FD2727">
      <w:pPr>
        <w:pStyle w:val="FootnoteText"/>
        <w:rPr>
          <w:lang w:val="en-US"/>
        </w:rPr>
      </w:pPr>
      <w:r>
        <w:rPr>
          <w:rStyle w:val="FootnoteReference"/>
        </w:rPr>
        <w:footnoteRef/>
      </w:r>
      <w:r>
        <w:t xml:space="preserve"> </w:t>
      </w:r>
      <w:r w:rsidRPr="00D44E62">
        <w:t>Panel Report, para. 6.1207. (emphasis original)</w:t>
      </w:r>
    </w:p>
  </w:footnote>
  <w:footnote w:id="1181">
    <w:p w:rsidR="00FD2727" w:rsidRPr="002F2175" w:rsidRDefault="00FD2727">
      <w:pPr>
        <w:pStyle w:val="FootnoteText"/>
        <w:rPr>
          <w:lang w:val="en-US"/>
        </w:rPr>
      </w:pPr>
      <w:r>
        <w:rPr>
          <w:rStyle w:val="FootnoteReference"/>
        </w:rPr>
        <w:footnoteRef/>
      </w:r>
      <w:r>
        <w:t xml:space="preserve"> </w:t>
      </w:r>
      <w:r w:rsidRPr="00D44E62">
        <w:t>Panel Report, para. 6.1207 (quoting</w:t>
      </w:r>
      <w:r>
        <w:t>, respectively,</w:t>
      </w:r>
      <w:r w:rsidRPr="00D44E62">
        <w:t xml:space="preserve"> Commission Notice on the Definition of Relevant Market, para. 39</w:t>
      </w:r>
      <w:r>
        <w:t xml:space="preserve">, published in </w:t>
      </w:r>
      <w:r w:rsidRPr="0074692C">
        <w:rPr>
          <w:i/>
        </w:rPr>
        <w:t>Official Journal of the European Communities</w:t>
      </w:r>
      <w:r>
        <w:t>,</w:t>
      </w:r>
      <w:r w:rsidRPr="00D44E62">
        <w:t xml:space="preserve"> C</w:t>
      </w:r>
      <w:r>
        <w:t xml:space="preserve"> Series, No. </w:t>
      </w:r>
      <w:r w:rsidRPr="00D44E62">
        <w:t>372 (1997) (</w:t>
      </w:r>
      <w:r>
        <w:t>Panel </w:t>
      </w:r>
      <w:r w:rsidRPr="00AE6C1C">
        <w:t>Exhibit USA</w:t>
      </w:r>
      <w:r w:rsidRPr="002674CA">
        <w:t>-551)</w:t>
      </w:r>
      <w:r>
        <w:t>, para. 38</w:t>
      </w:r>
      <w:r w:rsidRPr="002674CA">
        <w:t>; OECD Policy Roundtables</w:t>
      </w:r>
      <w:r w:rsidRPr="00D44E62">
        <w:t xml:space="preserve">, Competition Committee, Background Note on Market Definition </w:t>
      </w:r>
      <w:r>
        <w:t>(</w:t>
      </w:r>
      <w:r w:rsidRPr="00D44E62">
        <w:t>2012</w:t>
      </w:r>
      <w:r>
        <w:t>)</w:t>
      </w:r>
      <w:r w:rsidRPr="00D44E62">
        <w:t xml:space="preserve"> (</w:t>
      </w:r>
      <w:r w:rsidRPr="00AE6C1C">
        <w:t>Panel Exhibit USA-549</w:t>
      </w:r>
      <w:r w:rsidRPr="00D44E62">
        <w:t>), European Commission submission, p.</w:t>
      </w:r>
      <w:r>
        <w:t> </w:t>
      </w:r>
      <w:r w:rsidRPr="00D44E62">
        <w:t>336).</w:t>
      </w:r>
    </w:p>
  </w:footnote>
  <w:footnote w:id="1182">
    <w:p w:rsidR="00FD2727" w:rsidRPr="002F2175" w:rsidRDefault="00FD2727">
      <w:pPr>
        <w:pStyle w:val="FootnoteText"/>
        <w:rPr>
          <w:lang w:val="en-US"/>
        </w:rPr>
      </w:pPr>
      <w:r>
        <w:rPr>
          <w:rStyle w:val="FootnoteReference"/>
        </w:rPr>
        <w:footnoteRef/>
      </w:r>
      <w:r>
        <w:t xml:space="preserve"> </w:t>
      </w:r>
      <w:r w:rsidRPr="00D44E62">
        <w:t>Panel Report, para. 6.1208.</w:t>
      </w:r>
    </w:p>
  </w:footnote>
  <w:footnote w:id="1183">
    <w:p w:rsidR="00FD2727" w:rsidRPr="002F2175" w:rsidRDefault="00FD2727">
      <w:pPr>
        <w:pStyle w:val="FootnoteText"/>
        <w:rPr>
          <w:lang w:val="en-US"/>
        </w:rPr>
      </w:pPr>
      <w:r>
        <w:rPr>
          <w:rStyle w:val="FootnoteReference"/>
        </w:rPr>
        <w:footnoteRef/>
      </w:r>
      <w:r>
        <w:t xml:space="preserve"> </w:t>
      </w:r>
      <w:r w:rsidRPr="00D44E62">
        <w:t>Panel Report, para. 6.1208.</w:t>
      </w:r>
    </w:p>
  </w:footnote>
  <w:footnote w:id="1184">
    <w:p w:rsidR="00FD2727" w:rsidRPr="002F2175" w:rsidRDefault="00FD2727">
      <w:pPr>
        <w:pStyle w:val="FootnoteText"/>
        <w:rPr>
          <w:lang w:val="en-US"/>
        </w:rPr>
      </w:pPr>
      <w:r>
        <w:rPr>
          <w:rStyle w:val="FootnoteReference"/>
        </w:rPr>
        <w:footnoteRef/>
      </w:r>
      <w:r>
        <w:t xml:space="preserve"> </w:t>
      </w:r>
      <w:r w:rsidRPr="00D44E62">
        <w:t>Panel Report, para. 6.1209 (</w:t>
      </w:r>
      <w:r>
        <w:t>quoting</w:t>
      </w:r>
      <w:r w:rsidRPr="00D44E62">
        <w:t xml:space="preserve"> European Union's second written submission to the Panel, paras. 626-704; response</w:t>
      </w:r>
      <w:r>
        <w:t>s</w:t>
      </w:r>
      <w:r w:rsidRPr="00D44E62">
        <w:t xml:space="preserve"> to Panel question</w:t>
      </w:r>
      <w:r>
        <w:t>s</w:t>
      </w:r>
      <w:r w:rsidRPr="00D44E62">
        <w:t xml:space="preserve"> Nos. 48, 49, 50, 52-56, 70-71, 75, and 79, paras. 213, 215, 221-225, 227, 230, 232, 250, 253, 255, 258, 261, 277, 288-291, 303, and 327</w:t>
      </w:r>
      <w:r>
        <w:t>, respectively (emphasis added by the Panel</w:t>
      </w:r>
      <w:r w:rsidRPr="00D44E62">
        <w:t>)</w:t>
      </w:r>
      <w:r>
        <w:t>).</w:t>
      </w:r>
    </w:p>
  </w:footnote>
  <w:footnote w:id="1185">
    <w:p w:rsidR="00FD2727" w:rsidRPr="002F2175" w:rsidRDefault="00FD2727">
      <w:pPr>
        <w:pStyle w:val="FootnoteText"/>
        <w:rPr>
          <w:lang w:val="en-US"/>
        </w:rPr>
      </w:pPr>
      <w:r>
        <w:rPr>
          <w:rStyle w:val="FootnoteReference"/>
        </w:rPr>
        <w:footnoteRef/>
      </w:r>
      <w:r>
        <w:t xml:space="preserve"> </w:t>
      </w:r>
      <w:r w:rsidRPr="00D44E62">
        <w:t xml:space="preserve">Panel Report, para. 6.1210 (quoting Appellate Body Report, </w:t>
      </w:r>
      <w:r w:rsidRPr="00D44E62">
        <w:rPr>
          <w:i/>
        </w:rPr>
        <w:t>EC and certain member States</w:t>
      </w:r>
      <w:r>
        <w:rPr>
          <w:i/>
        </w:rPr>
        <w:t xml:space="preserve"> – </w:t>
      </w:r>
      <w:r w:rsidRPr="00D44E62">
        <w:rPr>
          <w:i/>
        </w:rPr>
        <w:t>Large Civil Aircraft</w:t>
      </w:r>
      <w:r w:rsidRPr="00D44E62">
        <w:t>, para. 1120).</w:t>
      </w:r>
    </w:p>
  </w:footnote>
  <w:footnote w:id="1186">
    <w:p w:rsidR="00FD2727" w:rsidRPr="002F2175" w:rsidRDefault="00FD2727">
      <w:pPr>
        <w:pStyle w:val="FootnoteText"/>
        <w:rPr>
          <w:lang w:val="en-US"/>
        </w:rPr>
      </w:pPr>
      <w:r>
        <w:rPr>
          <w:rStyle w:val="FootnoteReference"/>
        </w:rPr>
        <w:footnoteRef/>
      </w:r>
      <w:r>
        <w:t xml:space="preserve"> </w:t>
      </w:r>
      <w:r w:rsidRPr="00D44E62">
        <w:t>Panel Report, para. 6.1210.</w:t>
      </w:r>
    </w:p>
  </w:footnote>
  <w:footnote w:id="1187">
    <w:p w:rsidR="00FD2727" w:rsidRPr="002F2175" w:rsidRDefault="00FD2727">
      <w:pPr>
        <w:pStyle w:val="FootnoteText"/>
        <w:rPr>
          <w:lang w:val="en-US"/>
        </w:rPr>
      </w:pPr>
      <w:r>
        <w:rPr>
          <w:rStyle w:val="FootnoteReference"/>
        </w:rPr>
        <w:footnoteRef/>
      </w:r>
      <w:r>
        <w:t xml:space="preserve"> </w:t>
      </w:r>
      <w:r w:rsidRPr="00D44E62">
        <w:t>Panel Report, para. 6.1211. (emphasis original)</w:t>
      </w:r>
    </w:p>
  </w:footnote>
  <w:footnote w:id="1188">
    <w:p w:rsidR="00FD2727" w:rsidRPr="002F2175" w:rsidRDefault="00FD2727">
      <w:pPr>
        <w:pStyle w:val="FootnoteText"/>
        <w:rPr>
          <w:lang w:val="en-US"/>
        </w:rPr>
      </w:pPr>
      <w:r>
        <w:rPr>
          <w:rStyle w:val="FootnoteReference"/>
        </w:rPr>
        <w:footnoteRef/>
      </w:r>
      <w:r>
        <w:t xml:space="preserve"> </w:t>
      </w:r>
      <w:r w:rsidRPr="00D44E62">
        <w:t>Panel Report, para. 6.1211.</w:t>
      </w:r>
    </w:p>
  </w:footnote>
  <w:footnote w:id="1189">
    <w:p w:rsidR="00FD2727" w:rsidRPr="002F2175" w:rsidRDefault="00FD2727">
      <w:pPr>
        <w:pStyle w:val="FootnoteText"/>
        <w:rPr>
          <w:lang w:val="en-US"/>
        </w:rPr>
      </w:pPr>
      <w:r>
        <w:rPr>
          <w:rStyle w:val="FootnoteReference"/>
        </w:rPr>
        <w:footnoteRef/>
      </w:r>
      <w:r>
        <w:t xml:space="preserve"> </w:t>
      </w:r>
      <w:r w:rsidRPr="00D44E62">
        <w:t>Panel Report, para. 6.1211.</w:t>
      </w:r>
    </w:p>
  </w:footnote>
  <w:footnote w:id="1190">
    <w:p w:rsidR="00FD2727" w:rsidRPr="002F2175" w:rsidRDefault="00FD2727">
      <w:pPr>
        <w:pStyle w:val="FootnoteText"/>
        <w:rPr>
          <w:lang w:val="en-US"/>
        </w:rPr>
      </w:pPr>
      <w:r>
        <w:rPr>
          <w:rStyle w:val="FootnoteReference"/>
        </w:rPr>
        <w:footnoteRef/>
      </w:r>
      <w:r>
        <w:t xml:space="preserve"> </w:t>
      </w:r>
      <w:r w:rsidRPr="00D44E62">
        <w:t>Panel Report, para. 6.1211. (emphasis original)</w:t>
      </w:r>
    </w:p>
  </w:footnote>
  <w:footnote w:id="1191">
    <w:p w:rsidR="00FD2727" w:rsidRPr="002F2175" w:rsidRDefault="00FD2727">
      <w:pPr>
        <w:pStyle w:val="FootnoteText"/>
        <w:rPr>
          <w:lang w:val="en-US"/>
        </w:rPr>
      </w:pPr>
      <w:r>
        <w:rPr>
          <w:rStyle w:val="FootnoteReference"/>
        </w:rPr>
        <w:footnoteRef/>
      </w:r>
      <w:r>
        <w:t xml:space="preserve"> </w:t>
      </w:r>
      <w:r w:rsidRPr="00D44E62">
        <w:t>Panel Report, paras. 6.1213-6.1223.</w:t>
      </w:r>
    </w:p>
  </w:footnote>
  <w:footnote w:id="1192">
    <w:p w:rsidR="00FD2727" w:rsidRPr="002F2175" w:rsidRDefault="00FD2727">
      <w:pPr>
        <w:pStyle w:val="FootnoteText"/>
        <w:rPr>
          <w:lang w:val="en-US"/>
        </w:rPr>
      </w:pPr>
      <w:r>
        <w:rPr>
          <w:rStyle w:val="FootnoteReference"/>
        </w:rPr>
        <w:footnoteRef/>
      </w:r>
      <w:r>
        <w:t xml:space="preserve"> </w:t>
      </w:r>
      <w:r w:rsidRPr="00D44E62">
        <w:t>Panel Report, para. 6.1224.</w:t>
      </w:r>
    </w:p>
  </w:footnote>
  <w:footnote w:id="1193">
    <w:p w:rsidR="00FD2727" w:rsidRPr="002F2175" w:rsidRDefault="00FD2727">
      <w:pPr>
        <w:pStyle w:val="FootnoteText"/>
        <w:rPr>
          <w:lang w:val="en-US"/>
        </w:rPr>
      </w:pPr>
      <w:r>
        <w:rPr>
          <w:rStyle w:val="FootnoteReference"/>
        </w:rPr>
        <w:footnoteRef/>
      </w:r>
      <w:r>
        <w:t xml:space="preserve"> </w:t>
      </w:r>
      <w:r w:rsidRPr="00D44E62">
        <w:t>Panel Report, para. 6.1236. (emphasis original)</w:t>
      </w:r>
    </w:p>
  </w:footnote>
  <w:footnote w:id="1194">
    <w:p w:rsidR="00FD2727" w:rsidRPr="002F2175" w:rsidRDefault="00FD2727">
      <w:pPr>
        <w:pStyle w:val="FootnoteText"/>
        <w:rPr>
          <w:lang w:val="en-US"/>
        </w:rPr>
      </w:pPr>
      <w:r>
        <w:rPr>
          <w:rStyle w:val="FootnoteReference"/>
        </w:rPr>
        <w:footnoteRef/>
      </w:r>
      <w:r>
        <w:t xml:space="preserve"> </w:t>
      </w:r>
      <w:r w:rsidRPr="00D44E62">
        <w:t>Panel Report, para. 6.1236.</w:t>
      </w:r>
    </w:p>
  </w:footnote>
  <w:footnote w:id="1195">
    <w:p w:rsidR="00FD2727" w:rsidRPr="002F2175" w:rsidRDefault="00FD2727">
      <w:pPr>
        <w:pStyle w:val="FootnoteText"/>
        <w:rPr>
          <w:lang w:val="en-US"/>
        </w:rPr>
      </w:pPr>
      <w:r>
        <w:rPr>
          <w:rStyle w:val="FootnoteReference"/>
        </w:rPr>
        <w:footnoteRef/>
      </w:r>
      <w:r>
        <w:t xml:space="preserve"> </w:t>
      </w:r>
      <w:r w:rsidRPr="00D44E62">
        <w:t>Panel Report, para. 6.1236.</w:t>
      </w:r>
    </w:p>
  </w:footnote>
  <w:footnote w:id="1196">
    <w:p w:rsidR="00FD2727" w:rsidRPr="002F2175" w:rsidRDefault="00FD2727">
      <w:pPr>
        <w:pStyle w:val="FootnoteText"/>
        <w:rPr>
          <w:lang w:val="en-US"/>
        </w:rPr>
      </w:pPr>
      <w:r>
        <w:rPr>
          <w:rStyle w:val="FootnoteReference"/>
        </w:rPr>
        <w:footnoteRef/>
      </w:r>
      <w:r>
        <w:t xml:space="preserve"> </w:t>
      </w:r>
      <w:r w:rsidRPr="00D44E62">
        <w:t>Panel Report, para. 6.1237.</w:t>
      </w:r>
    </w:p>
  </w:footnote>
  <w:footnote w:id="1197">
    <w:p w:rsidR="00FD2727" w:rsidRPr="002F2175" w:rsidRDefault="00FD2727">
      <w:pPr>
        <w:pStyle w:val="FootnoteText"/>
        <w:rPr>
          <w:lang w:val="en-US"/>
        </w:rPr>
      </w:pPr>
      <w:r>
        <w:rPr>
          <w:rStyle w:val="FootnoteReference"/>
        </w:rPr>
        <w:footnoteRef/>
      </w:r>
      <w:r>
        <w:t xml:space="preserve"> </w:t>
      </w:r>
      <w:r w:rsidRPr="00D44E62">
        <w:t>Panel Report, para. 6.1237 (referring to European Union's first written submission to the Panel, paras. 600-606; Christophe Mourey, Senior Vice President</w:t>
      </w:r>
      <w:r>
        <w:t>,</w:t>
      </w:r>
      <w:r w:rsidRPr="00D44E62">
        <w:t xml:space="preserve"> Contracts, Airbus, "Statement on Current Competitive Conditions in the LCA Industry", 4 July 2012 </w:t>
      </w:r>
      <w:r w:rsidRPr="002674CA">
        <w:t>(Mourey Statement)</w:t>
      </w:r>
      <w:r w:rsidRPr="00D44E62">
        <w:t xml:space="preserve"> (Panel Exhibit EU-8</w:t>
      </w:r>
      <w:r>
        <w:t xml:space="preserve"> (BCI</w:t>
      </w:r>
      <w:r w:rsidRPr="002674CA">
        <w:t>))</w:t>
      </w:r>
      <w:r w:rsidRPr="00D44E62">
        <w:t>, paras. 75-84). (emphasis original)</w:t>
      </w:r>
    </w:p>
  </w:footnote>
  <w:footnote w:id="1198">
    <w:p w:rsidR="00FD2727" w:rsidRPr="002F2175" w:rsidRDefault="00FD2727">
      <w:pPr>
        <w:pStyle w:val="FootnoteText"/>
        <w:rPr>
          <w:lang w:val="en-US"/>
        </w:rPr>
      </w:pPr>
      <w:r>
        <w:rPr>
          <w:rStyle w:val="FootnoteReference"/>
        </w:rPr>
        <w:footnoteRef/>
      </w:r>
      <w:r>
        <w:t xml:space="preserve"> </w:t>
      </w:r>
      <w:r w:rsidRPr="00D44E62">
        <w:t>Panel Report, para. 6.1287.</w:t>
      </w:r>
    </w:p>
  </w:footnote>
  <w:footnote w:id="1199">
    <w:p w:rsidR="00FD2727" w:rsidRPr="002F2175" w:rsidRDefault="00FD2727">
      <w:pPr>
        <w:pStyle w:val="FootnoteText"/>
        <w:rPr>
          <w:lang w:val="en-US"/>
        </w:rPr>
      </w:pPr>
      <w:r>
        <w:rPr>
          <w:rStyle w:val="FootnoteReference"/>
        </w:rPr>
        <w:footnoteRef/>
      </w:r>
      <w:r>
        <w:t xml:space="preserve"> </w:t>
      </w:r>
      <w:r w:rsidRPr="00D44E62">
        <w:t xml:space="preserve">Panel Report, para. 6.1287. See </w:t>
      </w:r>
      <w:r>
        <w:t>also</w:t>
      </w:r>
      <w:r w:rsidRPr="00D44E62">
        <w:t xml:space="preserve"> para. 6.1246.</w:t>
      </w:r>
    </w:p>
  </w:footnote>
  <w:footnote w:id="1200">
    <w:p w:rsidR="00FD2727" w:rsidRPr="002F2175" w:rsidRDefault="00FD2727">
      <w:pPr>
        <w:pStyle w:val="FootnoteText"/>
        <w:rPr>
          <w:lang w:val="en-US"/>
        </w:rPr>
      </w:pPr>
      <w:r>
        <w:rPr>
          <w:rStyle w:val="FootnoteReference"/>
        </w:rPr>
        <w:footnoteRef/>
      </w:r>
      <w:r>
        <w:t xml:space="preserve"> </w:t>
      </w:r>
      <w:r w:rsidRPr="00D44E62">
        <w:t>Panel Report, para. 6.1288.</w:t>
      </w:r>
    </w:p>
  </w:footnote>
  <w:footnote w:id="1201">
    <w:p w:rsidR="00FD2727" w:rsidRPr="002F2175" w:rsidRDefault="00FD2727">
      <w:pPr>
        <w:pStyle w:val="FootnoteText"/>
        <w:rPr>
          <w:lang w:val="en-US"/>
        </w:rPr>
      </w:pPr>
      <w:r>
        <w:rPr>
          <w:rStyle w:val="FootnoteReference"/>
        </w:rPr>
        <w:footnoteRef/>
      </w:r>
      <w:r>
        <w:t xml:space="preserve"> </w:t>
      </w:r>
      <w:r w:rsidRPr="00D44E62">
        <w:t>Panel Report, para. 6.1288. (emphasis original) The Panel further recalled that the European Union had failed to disclose the information on price concessions that were used in the</w:t>
      </w:r>
      <w:r>
        <w:t xml:space="preserve"> </w:t>
      </w:r>
      <w:r w:rsidRPr="003D21AC">
        <w:t>Supplemental Statement</w:t>
      </w:r>
      <w:r>
        <w:t xml:space="preserve"> by</w:t>
      </w:r>
      <w:r w:rsidRPr="00D44E62">
        <w:t xml:space="preserve"> </w:t>
      </w:r>
      <w:r w:rsidRPr="003D21AC">
        <w:t xml:space="preserve">Christophe Mourey </w:t>
      </w:r>
      <w:r>
        <w:t>(</w:t>
      </w:r>
      <w:r w:rsidRPr="003D21AC">
        <w:t xml:space="preserve">Christophe Mourey, Senior Vice President, Contracts, Airbus, </w:t>
      </w:r>
      <w:r>
        <w:t>"</w:t>
      </w:r>
      <w:r w:rsidRPr="003D21AC">
        <w:t>Supplemental statement on current competitive conditions in the LCA industry</w:t>
      </w:r>
      <w:r>
        <w:t>"</w:t>
      </w:r>
      <w:r w:rsidRPr="003D21AC">
        <w:t>, 12 December 2012 (Supplemental Mourey Statement) (Panel Exhibit EU-124 (BCI/HSBI))</w:t>
      </w:r>
      <w:r>
        <w:t xml:space="preserve">) </w:t>
      </w:r>
      <w:r w:rsidRPr="00D44E62">
        <w:t>to arrive at its conclusions. (</w:t>
      </w:r>
      <w:r>
        <w:t>Ibid., fn </w:t>
      </w:r>
      <w:r w:rsidRPr="00D44E62">
        <w:t xml:space="preserve">2187 </w:t>
      </w:r>
      <w:r>
        <w:t>thereto (referring to para. 6.1262))</w:t>
      </w:r>
    </w:p>
  </w:footnote>
  <w:footnote w:id="1202">
    <w:p w:rsidR="00FD2727" w:rsidRPr="002F2175" w:rsidRDefault="00FD2727">
      <w:pPr>
        <w:pStyle w:val="FootnoteText"/>
        <w:rPr>
          <w:lang w:val="en-US"/>
        </w:rPr>
      </w:pPr>
      <w:r>
        <w:rPr>
          <w:rStyle w:val="FootnoteReference"/>
        </w:rPr>
        <w:footnoteRef/>
      </w:r>
      <w:r>
        <w:t xml:space="preserve"> </w:t>
      </w:r>
      <w:r w:rsidRPr="00D44E62">
        <w:t>Panel Report, para. 6.1288.</w:t>
      </w:r>
    </w:p>
  </w:footnote>
  <w:footnote w:id="1203">
    <w:p w:rsidR="00FD2727" w:rsidRPr="002F2175" w:rsidRDefault="00FD2727">
      <w:pPr>
        <w:pStyle w:val="FootnoteText"/>
        <w:rPr>
          <w:lang w:val="en-US"/>
        </w:rPr>
      </w:pPr>
      <w:r>
        <w:rPr>
          <w:rStyle w:val="FootnoteReference"/>
        </w:rPr>
        <w:footnoteRef/>
      </w:r>
      <w:r>
        <w:t xml:space="preserve"> </w:t>
      </w:r>
      <w:r w:rsidRPr="00D44E62">
        <w:t>Panel Report, para. 6.1288.</w:t>
      </w:r>
    </w:p>
  </w:footnote>
  <w:footnote w:id="1204">
    <w:p w:rsidR="00FD2727" w:rsidRPr="002F2175" w:rsidRDefault="00FD2727">
      <w:pPr>
        <w:pStyle w:val="FootnoteText"/>
        <w:rPr>
          <w:lang w:val="en-US"/>
        </w:rPr>
      </w:pPr>
      <w:r>
        <w:rPr>
          <w:rStyle w:val="FootnoteReference"/>
        </w:rPr>
        <w:footnoteRef/>
      </w:r>
      <w:r>
        <w:t xml:space="preserve"> </w:t>
      </w:r>
      <w:r w:rsidRPr="00D44E62">
        <w:t>Panel Report, para. 6.1277.</w:t>
      </w:r>
    </w:p>
  </w:footnote>
  <w:footnote w:id="1205">
    <w:p w:rsidR="00FD2727" w:rsidRPr="002F2175" w:rsidRDefault="00FD2727">
      <w:pPr>
        <w:pStyle w:val="FootnoteText"/>
        <w:rPr>
          <w:lang w:val="en-US"/>
        </w:rPr>
      </w:pPr>
      <w:r>
        <w:rPr>
          <w:rStyle w:val="FootnoteReference"/>
        </w:rPr>
        <w:footnoteRef/>
      </w:r>
      <w:r>
        <w:t xml:space="preserve"> </w:t>
      </w:r>
      <w:r w:rsidRPr="00D44E62">
        <w:t>Panel Report, para. 6.1290.</w:t>
      </w:r>
    </w:p>
  </w:footnote>
  <w:footnote w:id="1206">
    <w:p w:rsidR="00FD2727" w:rsidRPr="002F2175" w:rsidRDefault="00FD2727">
      <w:pPr>
        <w:pStyle w:val="FootnoteText"/>
        <w:rPr>
          <w:lang w:val="en-US"/>
        </w:rPr>
      </w:pPr>
      <w:r>
        <w:rPr>
          <w:rStyle w:val="FootnoteReference"/>
        </w:rPr>
        <w:footnoteRef/>
      </w:r>
      <w:r>
        <w:t xml:space="preserve"> </w:t>
      </w:r>
      <w:r w:rsidRPr="00D44E62">
        <w:t>Panel Report, para. 6.1292.</w:t>
      </w:r>
    </w:p>
  </w:footnote>
  <w:footnote w:id="1207">
    <w:p w:rsidR="00FD2727" w:rsidRPr="002F2175" w:rsidRDefault="00FD2727" w:rsidP="00267BCB">
      <w:pPr>
        <w:pStyle w:val="FootnoteText"/>
        <w:keepNext/>
        <w:keepLines/>
        <w:rPr>
          <w:lang w:val="en-US"/>
        </w:rPr>
      </w:pPr>
      <w:r>
        <w:rPr>
          <w:rStyle w:val="FootnoteReference"/>
        </w:rPr>
        <w:footnoteRef/>
      </w:r>
      <w:r>
        <w:t xml:space="preserve"> Panel Report, para. 6.1293. </w:t>
      </w:r>
      <w:r w:rsidRPr="00D44E62">
        <w:t xml:space="preserve">The Panel noted that the United States also argued that the alleged market for twin-aisle LCA includes the A340. However, the Panel found that the market presence of this family of Airbus LCA came to an end before the beginning of the post-implementation period when Airbus terminated the A340 </w:t>
      </w:r>
      <w:r>
        <w:t>project</w:t>
      </w:r>
      <w:r w:rsidRPr="00D44E62">
        <w:t xml:space="preserve"> in November 2011. Accordingly, the Panel considered that the A340 family of Airbus LCA was no longer available and could not, therefore, fall within the scope of the alleged twin-aisle market for LCA that exists currently. (</w:t>
      </w:r>
      <w:r>
        <w:t>Ibid.</w:t>
      </w:r>
      <w:r w:rsidRPr="00D44E62">
        <w:t xml:space="preserve">, fn 2188 </w:t>
      </w:r>
      <w:r>
        <w:t>there</w:t>
      </w:r>
      <w:r w:rsidRPr="00D44E62">
        <w:t>to)</w:t>
      </w:r>
    </w:p>
  </w:footnote>
  <w:footnote w:id="1208">
    <w:p w:rsidR="00FD2727" w:rsidRPr="002F2175" w:rsidRDefault="00FD2727">
      <w:pPr>
        <w:pStyle w:val="FootnoteText"/>
        <w:rPr>
          <w:lang w:val="en-US"/>
        </w:rPr>
      </w:pPr>
      <w:r>
        <w:rPr>
          <w:rStyle w:val="FootnoteReference"/>
        </w:rPr>
        <w:footnoteRef/>
      </w:r>
      <w:r>
        <w:t xml:space="preserve"> </w:t>
      </w:r>
      <w:r w:rsidRPr="00D44E62">
        <w:t>Panel Report, para. 6.1293.</w:t>
      </w:r>
    </w:p>
  </w:footnote>
  <w:footnote w:id="1209">
    <w:p w:rsidR="00FD2727" w:rsidRPr="002F2175" w:rsidRDefault="00FD2727">
      <w:pPr>
        <w:pStyle w:val="FootnoteText"/>
        <w:rPr>
          <w:lang w:val="en-US"/>
        </w:rPr>
      </w:pPr>
      <w:r>
        <w:rPr>
          <w:rStyle w:val="FootnoteReference"/>
        </w:rPr>
        <w:footnoteRef/>
      </w:r>
      <w:r>
        <w:t xml:space="preserve"> </w:t>
      </w:r>
      <w:r w:rsidRPr="00D44E62">
        <w:t>Panel Report, para. 6.1293 (referring to European Union's first written submission to the Panel, paras. 607-619; second written submission to the Panel, paras. 626</w:t>
      </w:r>
      <w:r w:rsidRPr="00D44E62">
        <w:noBreakHyphen/>
        <w:t>628; response to Panel question No.</w:t>
      </w:r>
      <w:r>
        <w:t> </w:t>
      </w:r>
      <w:r w:rsidRPr="00D44E62">
        <w:t>70).</w:t>
      </w:r>
    </w:p>
  </w:footnote>
  <w:footnote w:id="1210">
    <w:p w:rsidR="00FD2727" w:rsidRPr="002F2175" w:rsidRDefault="00FD2727">
      <w:pPr>
        <w:pStyle w:val="FootnoteText"/>
        <w:rPr>
          <w:lang w:val="en-US"/>
        </w:rPr>
      </w:pPr>
      <w:r>
        <w:rPr>
          <w:rStyle w:val="FootnoteReference"/>
        </w:rPr>
        <w:footnoteRef/>
      </w:r>
      <w:r>
        <w:t xml:space="preserve"> </w:t>
      </w:r>
      <w:r w:rsidRPr="00D44E62">
        <w:t>Panel Report, para. 6.1363.</w:t>
      </w:r>
    </w:p>
  </w:footnote>
  <w:footnote w:id="1211">
    <w:p w:rsidR="00FD2727" w:rsidRPr="002F2175" w:rsidRDefault="00FD2727">
      <w:pPr>
        <w:pStyle w:val="FootnoteText"/>
        <w:rPr>
          <w:lang w:val="en-US"/>
        </w:rPr>
      </w:pPr>
      <w:r>
        <w:rPr>
          <w:rStyle w:val="FootnoteReference"/>
        </w:rPr>
        <w:footnoteRef/>
      </w:r>
      <w:r>
        <w:t xml:space="preserve"> </w:t>
      </w:r>
      <w:r w:rsidRPr="00D44E62">
        <w:t>Panel Report, para. 6.1363.</w:t>
      </w:r>
    </w:p>
  </w:footnote>
  <w:footnote w:id="1212">
    <w:p w:rsidR="00FD2727" w:rsidRPr="002F2175" w:rsidRDefault="00FD2727">
      <w:pPr>
        <w:pStyle w:val="FootnoteText"/>
        <w:rPr>
          <w:lang w:val="en-US"/>
        </w:rPr>
      </w:pPr>
      <w:r>
        <w:rPr>
          <w:rStyle w:val="FootnoteReference"/>
        </w:rPr>
        <w:footnoteRef/>
      </w:r>
      <w:r>
        <w:t xml:space="preserve"> </w:t>
      </w:r>
      <w:r w:rsidRPr="00D44E62">
        <w:t>Panel Report, para. 6.1363.</w:t>
      </w:r>
    </w:p>
  </w:footnote>
  <w:footnote w:id="1213">
    <w:p w:rsidR="00FD2727" w:rsidRPr="002F2175" w:rsidRDefault="00FD2727">
      <w:pPr>
        <w:pStyle w:val="FootnoteText"/>
        <w:rPr>
          <w:lang w:val="en-US"/>
        </w:rPr>
      </w:pPr>
      <w:r>
        <w:rPr>
          <w:rStyle w:val="FootnoteReference"/>
        </w:rPr>
        <w:footnoteRef/>
      </w:r>
      <w:r>
        <w:t xml:space="preserve"> </w:t>
      </w:r>
      <w:r w:rsidRPr="00D44E62">
        <w:t>Panel Report, para. 6.1364.</w:t>
      </w:r>
    </w:p>
  </w:footnote>
  <w:footnote w:id="1214">
    <w:p w:rsidR="00FD2727" w:rsidRPr="002F2175" w:rsidRDefault="00FD2727">
      <w:pPr>
        <w:pStyle w:val="FootnoteText"/>
        <w:rPr>
          <w:lang w:val="en-US"/>
        </w:rPr>
      </w:pPr>
      <w:r>
        <w:rPr>
          <w:rStyle w:val="FootnoteReference"/>
        </w:rPr>
        <w:footnoteRef/>
      </w:r>
      <w:r>
        <w:t xml:space="preserve"> </w:t>
      </w:r>
      <w:r w:rsidRPr="00D44E62">
        <w:t>Panel Report, para. 6.1364.</w:t>
      </w:r>
    </w:p>
  </w:footnote>
  <w:footnote w:id="1215">
    <w:p w:rsidR="00FD2727" w:rsidRPr="002F2175" w:rsidRDefault="00FD2727">
      <w:pPr>
        <w:pStyle w:val="FootnoteText"/>
        <w:rPr>
          <w:lang w:val="en-US"/>
        </w:rPr>
      </w:pPr>
      <w:r>
        <w:rPr>
          <w:rStyle w:val="FootnoteReference"/>
        </w:rPr>
        <w:footnoteRef/>
      </w:r>
      <w:r>
        <w:t xml:space="preserve"> </w:t>
      </w:r>
      <w:r w:rsidRPr="00D44E62">
        <w:t>Panel Report, para. 6.1364.</w:t>
      </w:r>
    </w:p>
  </w:footnote>
  <w:footnote w:id="1216">
    <w:p w:rsidR="00FD2727" w:rsidRPr="002F2175" w:rsidRDefault="00FD2727">
      <w:pPr>
        <w:pStyle w:val="FootnoteText"/>
        <w:rPr>
          <w:lang w:val="en-US"/>
        </w:rPr>
      </w:pPr>
      <w:r>
        <w:rPr>
          <w:rStyle w:val="FootnoteReference"/>
        </w:rPr>
        <w:footnoteRef/>
      </w:r>
      <w:r>
        <w:t xml:space="preserve"> </w:t>
      </w:r>
      <w:r w:rsidRPr="00D44E62">
        <w:t>Panel Report, para. 6.1364.</w:t>
      </w:r>
    </w:p>
  </w:footnote>
  <w:footnote w:id="1217">
    <w:p w:rsidR="00FD2727" w:rsidRPr="002F2175" w:rsidRDefault="00FD2727">
      <w:pPr>
        <w:pStyle w:val="FootnoteText"/>
        <w:rPr>
          <w:lang w:val="en-US"/>
        </w:rPr>
      </w:pPr>
      <w:r>
        <w:rPr>
          <w:rStyle w:val="FootnoteReference"/>
        </w:rPr>
        <w:footnoteRef/>
      </w:r>
      <w:r>
        <w:t xml:space="preserve"> </w:t>
      </w:r>
      <w:r w:rsidRPr="00D44E62">
        <w:t>Panel Report, para. 6.1364. (emphasis original)</w:t>
      </w:r>
    </w:p>
  </w:footnote>
  <w:footnote w:id="1218">
    <w:p w:rsidR="00FD2727" w:rsidRPr="002F2175" w:rsidRDefault="00FD2727">
      <w:pPr>
        <w:pStyle w:val="FootnoteText"/>
        <w:rPr>
          <w:lang w:val="en-US"/>
        </w:rPr>
      </w:pPr>
      <w:r>
        <w:rPr>
          <w:rStyle w:val="FootnoteReference"/>
        </w:rPr>
        <w:footnoteRef/>
      </w:r>
      <w:r>
        <w:t xml:space="preserve"> </w:t>
      </w:r>
      <w:r w:rsidRPr="00D44E62">
        <w:t>Panel Report, para. 6.1365.</w:t>
      </w:r>
    </w:p>
  </w:footnote>
  <w:footnote w:id="1219">
    <w:p w:rsidR="00FD2727" w:rsidRPr="002F2175" w:rsidRDefault="00FD2727">
      <w:pPr>
        <w:pStyle w:val="FootnoteText"/>
        <w:rPr>
          <w:lang w:val="en-US"/>
        </w:rPr>
      </w:pPr>
      <w:r>
        <w:rPr>
          <w:rStyle w:val="FootnoteReference"/>
        </w:rPr>
        <w:footnoteRef/>
      </w:r>
      <w:r>
        <w:t xml:space="preserve"> </w:t>
      </w:r>
      <w:r w:rsidRPr="00D44E62">
        <w:t>Panel Report, para. 6.1367.</w:t>
      </w:r>
    </w:p>
  </w:footnote>
  <w:footnote w:id="1220">
    <w:p w:rsidR="00FD2727" w:rsidRPr="002F2175" w:rsidRDefault="00FD2727">
      <w:pPr>
        <w:pStyle w:val="FootnoteText"/>
        <w:rPr>
          <w:lang w:val="en-US"/>
        </w:rPr>
      </w:pPr>
      <w:r>
        <w:rPr>
          <w:rStyle w:val="FootnoteReference"/>
        </w:rPr>
        <w:footnoteRef/>
      </w:r>
      <w:r>
        <w:t xml:space="preserve"> </w:t>
      </w:r>
      <w:r w:rsidRPr="00D44E62">
        <w:t>Panel Report, para. 6.1367. (emphasis original)</w:t>
      </w:r>
    </w:p>
  </w:footnote>
  <w:footnote w:id="1221">
    <w:p w:rsidR="00FD2727" w:rsidRPr="002F2175" w:rsidRDefault="00FD2727">
      <w:pPr>
        <w:pStyle w:val="FootnoteText"/>
        <w:rPr>
          <w:lang w:val="en-US"/>
        </w:rPr>
      </w:pPr>
      <w:r>
        <w:rPr>
          <w:rStyle w:val="FootnoteReference"/>
        </w:rPr>
        <w:footnoteRef/>
      </w:r>
      <w:r>
        <w:t xml:space="preserve"> </w:t>
      </w:r>
      <w:r w:rsidRPr="00D44E62">
        <w:t>Panel Report, para. 6.1365.</w:t>
      </w:r>
    </w:p>
  </w:footnote>
  <w:footnote w:id="1222">
    <w:p w:rsidR="00FD2727" w:rsidRPr="002F2175" w:rsidRDefault="00FD2727">
      <w:pPr>
        <w:pStyle w:val="FootnoteText"/>
        <w:rPr>
          <w:lang w:val="en-US"/>
        </w:rPr>
      </w:pPr>
      <w:r>
        <w:rPr>
          <w:rStyle w:val="FootnoteReference"/>
        </w:rPr>
        <w:footnoteRef/>
      </w:r>
      <w:r>
        <w:t xml:space="preserve"> </w:t>
      </w:r>
      <w:r w:rsidRPr="00D44E62">
        <w:t>Panel Report, para. 6.1346.</w:t>
      </w:r>
    </w:p>
  </w:footnote>
  <w:footnote w:id="1223">
    <w:p w:rsidR="00FD2727" w:rsidRPr="002F2175" w:rsidRDefault="00FD2727">
      <w:pPr>
        <w:pStyle w:val="FootnoteText"/>
        <w:rPr>
          <w:lang w:val="en-US"/>
        </w:rPr>
      </w:pPr>
      <w:r>
        <w:rPr>
          <w:rStyle w:val="FootnoteReference"/>
        </w:rPr>
        <w:footnoteRef/>
      </w:r>
      <w:r>
        <w:t xml:space="preserve"> </w:t>
      </w:r>
      <w:r w:rsidRPr="00D44E62">
        <w:t>Panel Report, para. 6.1348.</w:t>
      </w:r>
    </w:p>
  </w:footnote>
  <w:footnote w:id="1224">
    <w:p w:rsidR="00FD2727" w:rsidRPr="002F2175" w:rsidRDefault="00FD2727">
      <w:pPr>
        <w:pStyle w:val="FootnoteText"/>
        <w:rPr>
          <w:lang w:val="en-US"/>
        </w:rPr>
      </w:pPr>
      <w:r>
        <w:rPr>
          <w:rStyle w:val="FootnoteReference"/>
        </w:rPr>
        <w:footnoteRef/>
      </w:r>
      <w:r>
        <w:t xml:space="preserve"> </w:t>
      </w:r>
      <w:r w:rsidRPr="00D44E62">
        <w:t>Panel Report, para. 6.1348.</w:t>
      </w:r>
    </w:p>
  </w:footnote>
  <w:footnote w:id="1225">
    <w:p w:rsidR="00FD2727" w:rsidRPr="002F2175" w:rsidRDefault="00FD2727">
      <w:pPr>
        <w:pStyle w:val="FootnoteText"/>
        <w:rPr>
          <w:lang w:val="en-US"/>
        </w:rPr>
      </w:pPr>
      <w:r>
        <w:rPr>
          <w:rStyle w:val="FootnoteReference"/>
        </w:rPr>
        <w:footnoteRef/>
      </w:r>
      <w:r>
        <w:t xml:space="preserve"> </w:t>
      </w:r>
      <w:r w:rsidRPr="00D44E62">
        <w:t>Panel Report, para. 6.1349</w:t>
      </w:r>
      <w:r>
        <w:t>. See also</w:t>
      </w:r>
      <w:r w:rsidRPr="00D44E62">
        <w:t xml:space="preserve"> Appellate Body Report, </w:t>
      </w:r>
      <w:r w:rsidRPr="00D44E62">
        <w:rPr>
          <w:i/>
        </w:rPr>
        <w:t>EC and certain member States</w:t>
      </w:r>
      <w:r>
        <w:rPr>
          <w:i/>
        </w:rPr>
        <w:t xml:space="preserve"> – </w:t>
      </w:r>
      <w:r w:rsidRPr="00D44E62">
        <w:rPr>
          <w:i/>
        </w:rPr>
        <w:t>Large Civil Aircraft</w:t>
      </w:r>
      <w:r w:rsidRPr="00D44E62">
        <w:t>, para. </w:t>
      </w:r>
      <w:r w:rsidRPr="00C417C1">
        <w:t>1223</w:t>
      </w:r>
      <w:r w:rsidRPr="00D44E62">
        <w:t>.</w:t>
      </w:r>
    </w:p>
  </w:footnote>
  <w:footnote w:id="1226">
    <w:p w:rsidR="00FD2727" w:rsidRPr="002F2175" w:rsidRDefault="00FD2727">
      <w:pPr>
        <w:pStyle w:val="FootnoteText"/>
        <w:rPr>
          <w:lang w:val="en-US"/>
        </w:rPr>
      </w:pPr>
      <w:r>
        <w:rPr>
          <w:rStyle w:val="FootnoteReference"/>
        </w:rPr>
        <w:footnoteRef/>
      </w:r>
      <w:r>
        <w:t xml:space="preserve"> </w:t>
      </w:r>
      <w:r w:rsidRPr="00D44E62">
        <w:t>Panel Report, para. 6.1349. (emphasis original)</w:t>
      </w:r>
    </w:p>
  </w:footnote>
  <w:footnote w:id="1227">
    <w:p w:rsidR="00FD2727" w:rsidRPr="002F2175" w:rsidRDefault="00FD2727">
      <w:pPr>
        <w:pStyle w:val="FootnoteText"/>
        <w:rPr>
          <w:lang w:val="en-US"/>
        </w:rPr>
      </w:pPr>
      <w:r>
        <w:rPr>
          <w:rStyle w:val="FootnoteReference"/>
        </w:rPr>
        <w:footnoteRef/>
      </w:r>
      <w:r>
        <w:t xml:space="preserve"> </w:t>
      </w:r>
      <w:r w:rsidRPr="00D44E62">
        <w:t>Panel Report, para. 6.1370.</w:t>
      </w:r>
    </w:p>
  </w:footnote>
  <w:footnote w:id="1228">
    <w:p w:rsidR="00FD2727" w:rsidRPr="002F2175" w:rsidRDefault="00FD2727">
      <w:pPr>
        <w:pStyle w:val="FootnoteText"/>
        <w:rPr>
          <w:lang w:val="en-US"/>
        </w:rPr>
      </w:pPr>
      <w:r>
        <w:rPr>
          <w:rStyle w:val="FootnoteReference"/>
        </w:rPr>
        <w:footnoteRef/>
      </w:r>
      <w:r>
        <w:t xml:space="preserve"> </w:t>
      </w:r>
      <w:r w:rsidRPr="00D44E62">
        <w:t>Panel Report, para. 6.1371 (referring to United States' second written submission to the Panel, para. 492; response to Panel question No</w:t>
      </w:r>
      <w:r>
        <w:t>s</w:t>
      </w:r>
      <w:r w:rsidRPr="00D44E62">
        <w:t xml:space="preserve">. 50, </w:t>
      </w:r>
      <w:r>
        <w:t>52, and 63, paras.</w:t>
      </w:r>
      <w:r w:rsidRPr="00D44E62">
        <w:t xml:space="preserve"> 156, </w:t>
      </w:r>
      <w:r>
        <w:t>166, and 247, respectively</w:t>
      </w:r>
      <w:r w:rsidRPr="00D44E62">
        <w:t>).</w:t>
      </w:r>
    </w:p>
  </w:footnote>
  <w:footnote w:id="1229">
    <w:p w:rsidR="00FD2727" w:rsidRPr="002F2175" w:rsidRDefault="00FD2727">
      <w:pPr>
        <w:pStyle w:val="FootnoteText"/>
        <w:rPr>
          <w:lang w:val="en-US"/>
        </w:rPr>
      </w:pPr>
      <w:r>
        <w:rPr>
          <w:rStyle w:val="FootnoteReference"/>
        </w:rPr>
        <w:footnoteRef/>
      </w:r>
      <w:r>
        <w:t xml:space="preserve"> </w:t>
      </w:r>
      <w:r w:rsidRPr="00D44E62">
        <w:t>Panel Report, para. 6.1371 (referring to European Union's first written submission to the Panel, paras. 620-633).</w:t>
      </w:r>
    </w:p>
  </w:footnote>
  <w:footnote w:id="1230">
    <w:p w:rsidR="00FD2727" w:rsidRPr="002F2175" w:rsidRDefault="00FD2727">
      <w:pPr>
        <w:pStyle w:val="FootnoteText"/>
        <w:rPr>
          <w:lang w:val="en-US"/>
        </w:rPr>
      </w:pPr>
      <w:r>
        <w:rPr>
          <w:rStyle w:val="FootnoteReference"/>
        </w:rPr>
        <w:footnoteRef/>
      </w:r>
      <w:r>
        <w:t xml:space="preserve"> </w:t>
      </w:r>
      <w:r w:rsidRPr="00D44E62">
        <w:t>Panel Report, para. 6.1407.</w:t>
      </w:r>
    </w:p>
  </w:footnote>
  <w:footnote w:id="1231">
    <w:p w:rsidR="00FD2727" w:rsidRPr="002F2175" w:rsidRDefault="00FD2727">
      <w:pPr>
        <w:pStyle w:val="FootnoteText"/>
        <w:rPr>
          <w:lang w:val="en-US"/>
        </w:rPr>
      </w:pPr>
      <w:r>
        <w:rPr>
          <w:rStyle w:val="FootnoteReference"/>
        </w:rPr>
        <w:footnoteRef/>
      </w:r>
      <w:r>
        <w:t xml:space="preserve"> </w:t>
      </w:r>
      <w:r w:rsidRPr="00D44E62">
        <w:t>Panel Report, para. 6.1407.</w:t>
      </w:r>
    </w:p>
  </w:footnote>
  <w:footnote w:id="1232">
    <w:p w:rsidR="00FD2727" w:rsidRPr="002F2175" w:rsidRDefault="00FD2727">
      <w:pPr>
        <w:pStyle w:val="FootnoteText"/>
        <w:rPr>
          <w:lang w:val="en-US"/>
        </w:rPr>
      </w:pPr>
      <w:r>
        <w:rPr>
          <w:rStyle w:val="FootnoteReference"/>
        </w:rPr>
        <w:footnoteRef/>
      </w:r>
      <w:r>
        <w:t xml:space="preserve"> </w:t>
      </w:r>
      <w:r w:rsidRPr="00D44E62">
        <w:t>Panel Report, para. 6.1407 (referring to paras. 6.1379-6.1383).</w:t>
      </w:r>
    </w:p>
  </w:footnote>
  <w:footnote w:id="1233">
    <w:p w:rsidR="00FD2727" w:rsidRPr="002F2175" w:rsidRDefault="00FD2727">
      <w:pPr>
        <w:pStyle w:val="FootnoteText"/>
        <w:rPr>
          <w:lang w:val="en-US"/>
        </w:rPr>
      </w:pPr>
      <w:r>
        <w:rPr>
          <w:rStyle w:val="FootnoteReference"/>
        </w:rPr>
        <w:footnoteRef/>
      </w:r>
      <w:r>
        <w:t xml:space="preserve"> </w:t>
      </w:r>
      <w:r w:rsidRPr="00D44E62">
        <w:t>Panel Report, para. 6.1407.</w:t>
      </w:r>
    </w:p>
  </w:footnote>
  <w:footnote w:id="1234">
    <w:p w:rsidR="00FD2727" w:rsidRPr="002F2175" w:rsidRDefault="00FD2727">
      <w:pPr>
        <w:pStyle w:val="FootnoteText"/>
        <w:rPr>
          <w:lang w:val="en-US"/>
        </w:rPr>
      </w:pPr>
      <w:r>
        <w:rPr>
          <w:rStyle w:val="FootnoteReference"/>
        </w:rPr>
        <w:footnoteRef/>
      </w:r>
      <w:r>
        <w:t xml:space="preserve"> </w:t>
      </w:r>
      <w:r w:rsidRPr="00D44E62">
        <w:t>Panel Report, para. 6.1408.</w:t>
      </w:r>
    </w:p>
  </w:footnote>
  <w:footnote w:id="1235">
    <w:p w:rsidR="00FD2727" w:rsidRPr="002F2175" w:rsidRDefault="00FD2727">
      <w:pPr>
        <w:pStyle w:val="FootnoteText"/>
        <w:rPr>
          <w:lang w:val="en-US"/>
        </w:rPr>
      </w:pPr>
      <w:r>
        <w:rPr>
          <w:rStyle w:val="FootnoteReference"/>
        </w:rPr>
        <w:footnoteRef/>
      </w:r>
      <w:r>
        <w:t xml:space="preserve"> </w:t>
      </w:r>
      <w:r w:rsidRPr="00D44E62">
        <w:t>Panel Report, para. 6.1408.</w:t>
      </w:r>
    </w:p>
  </w:footnote>
  <w:footnote w:id="1236">
    <w:p w:rsidR="00FD2727" w:rsidRPr="002F2175" w:rsidRDefault="00FD2727">
      <w:pPr>
        <w:pStyle w:val="FootnoteText"/>
        <w:rPr>
          <w:lang w:val="en-US"/>
        </w:rPr>
      </w:pPr>
      <w:r>
        <w:rPr>
          <w:rStyle w:val="FootnoteReference"/>
        </w:rPr>
        <w:footnoteRef/>
      </w:r>
      <w:r>
        <w:t xml:space="preserve"> </w:t>
      </w:r>
      <w:r w:rsidRPr="00D44E62">
        <w:t>Panel Report, para. 6.1396 (referring to United States' first written submission to the Panel, paras. 483-486 and 493-503; response to Panel question No. 49).</w:t>
      </w:r>
    </w:p>
  </w:footnote>
  <w:footnote w:id="1237">
    <w:p w:rsidR="00FD2727" w:rsidRPr="002F2175" w:rsidRDefault="00FD2727">
      <w:pPr>
        <w:pStyle w:val="FootnoteText"/>
        <w:rPr>
          <w:lang w:val="en-US"/>
        </w:rPr>
      </w:pPr>
      <w:r>
        <w:rPr>
          <w:rStyle w:val="FootnoteReference"/>
        </w:rPr>
        <w:footnoteRef/>
      </w:r>
      <w:r>
        <w:t xml:space="preserve"> </w:t>
      </w:r>
      <w:r w:rsidRPr="00D44E62">
        <w:t>Panel Report, para. 6.1400.</w:t>
      </w:r>
    </w:p>
  </w:footnote>
  <w:footnote w:id="1238">
    <w:p w:rsidR="00FD2727" w:rsidRPr="002F2175" w:rsidRDefault="00FD2727">
      <w:pPr>
        <w:pStyle w:val="FootnoteText"/>
        <w:rPr>
          <w:lang w:val="en-US"/>
        </w:rPr>
      </w:pPr>
      <w:r>
        <w:rPr>
          <w:rStyle w:val="FootnoteReference"/>
        </w:rPr>
        <w:footnoteRef/>
      </w:r>
      <w:r>
        <w:t xml:space="preserve"> </w:t>
      </w:r>
      <w:r w:rsidRPr="00D44E62">
        <w:t>Panel Report, para. 6.1400.</w:t>
      </w:r>
    </w:p>
  </w:footnote>
  <w:footnote w:id="1239">
    <w:p w:rsidR="00FD2727" w:rsidRPr="002F2175" w:rsidRDefault="00FD2727">
      <w:pPr>
        <w:pStyle w:val="FootnoteText"/>
        <w:rPr>
          <w:lang w:val="en-US"/>
        </w:rPr>
      </w:pPr>
      <w:r>
        <w:rPr>
          <w:rStyle w:val="FootnoteReference"/>
        </w:rPr>
        <w:footnoteRef/>
      </w:r>
      <w:r>
        <w:t xml:space="preserve"> </w:t>
      </w:r>
      <w:r w:rsidRPr="00D44E62">
        <w:t>Panel Report, para. 6.1402.</w:t>
      </w:r>
    </w:p>
  </w:footnote>
  <w:footnote w:id="1240">
    <w:p w:rsidR="00FD2727" w:rsidRPr="002F2175" w:rsidRDefault="00FD2727">
      <w:pPr>
        <w:pStyle w:val="FootnoteText"/>
        <w:rPr>
          <w:lang w:val="en-US"/>
        </w:rPr>
      </w:pPr>
      <w:r>
        <w:rPr>
          <w:rStyle w:val="FootnoteReference"/>
        </w:rPr>
        <w:footnoteRef/>
      </w:r>
      <w:r>
        <w:t xml:space="preserve"> </w:t>
      </w:r>
      <w:r w:rsidRPr="00D44E62">
        <w:t>Panel Report, para. 6.1405.</w:t>
      </w:r>
    </w:p>
  </w:footnote>
  <w:footnote w:id="1241">
    <w:p w:rsidR="00FD2727" w:rsidRPr="002F2175" w:rsidRDefault="00FD2727">
      <w:pPr>
        <w:pStyle w:val="FootnoteText"/>
        <w:rPr>
          <w:lang w:val="en-US"/>
        </w:rPr>
      </w:pPr>
      <w:r>
        <w:rPr>
          <w:rStyle w:val="FootnoteReference"/>
        </w:rPr>
        <w:footnoteRef/>
      </w:r>
      <w:r>
        <w:t xml:space="preserve"> </w:t>
      </w:r>
      <w:r w:rsidRPr="00D44E62">
        <w:t>Panel Report, para. 6.1405. (emphasis original)</w:t>
      </w:r>
    </w:p>
  </w:footnote>
  <w:footnote w:id="1242">
    <w:p w:rsidR="00FD2727" w:rsidRPr="002F2175" w:rsidRDefault="00FD2727">
      <w:pPr>
        <w:pStyle w:val="FootnoteText"/>
        <w:rPr>
          <w:lang w:val="en-US"/>
        </w:rPr>
      </w:pPr>
      <w:r>
        <w:rPr>
          <w:rStyle w:val="FootnoteReference"/>
        </w:rPr>
        <w:footnoteRef/>
      </w:r>
      <w:r>
        <w:t xml:space="preserve"> </w:t>
      </w:r>
      <w:r w:rsidRPr="00D44E62">
        <w:t>Panel Report, para. 6.1410.</w:t>
      </w:r>
    </w:p>
  </w:footnote>
  <w:footnote w:id="1243">
    <w:p w:rsidR="00FD2727" w:rsidRPr="002F2175" w:rsidRDefault="00FD2727">
      <w:pPr>
        <w:pStyle w:val="FootnoteText"/>
        <w:rPr>
          <w:lang w:val="en-US"/>
        </w:rPr>
      </w:pPr>
      <w:r>
        <w:rPr>
          <w:rStyle w:val="FootnoteReference"/>
        </w:rPr>
        <w:footnoteRef/>
      </w:r>
      <w:r>
        <w:t xml:space="preserve"> </w:t>
      </w:r>
      <w:r w:rsidRPr="00D44E62">
        <w:t xml:space="preserve">Panel Report, paras. 6.1416 and </w:t>
      </w:r>
      <w:r w:rsidRPr="000F5917">
        <w:t>7.1.d.xi</w:t>
      </w:r>
      <w:r w:rsidRPr="00D44E62">
        <w:t>.</w:t>
      </w:r>
    </w:p>
  </w:footnote>
  <w:footnote w:id="1244">
    <w:p w:rsidR="00FD2727" w:rsidRPr="002F2175" w:rsidRDefault="00FD2727">
      <w:pPr>
        <w:pStyle w:val="FootnoteText"/>
        <w:rPr>
          <w:lang w:val="en-US"/>
        </w:rPr>
      </w:pPr>
      <w:r>
        <w:rPr>
          <w:rStyle w:val="FootnoteReference"/>
        </w:rPr>
        <w:footnoteRef/>
      </w:r>
      <w:r>
        <w:t xml:space="preserve"> </w:t>
      </w:r>
      <w:r w:rsidRPr="00D44E62">
        <w:t>Panel Report, para. </w:t>
      </w:r>
      <w:r w:rsidRPr="000061AF">
        <w:t>6.1416</w:t>
      </w:r>
      <w:r w:rsidRPr="00D44E62">
        <w:t>. (emphasis original; fns omitted)</w:t>
      </w:r>
    </w:p>
  </w:footnote>
  <w:footnote w:id="1245">
    <w:p w:rsidR="00FD2727" w:rsidRPr="002F2175" w:rsidRDefault="00FD2727">
      <w:pPr>
        <w:pStyle w:val="FootnoteText"/>
        <w:rPr>
          <w:lang w:val="en-US"/>
        </w:rPr>
      </w:pPr>
      <w:r>
        <w:rPr>
          <w:rStyle w:val="FootnoteReference"/>
        </w:rPr>
        <w:footnoteRef/>
      </w:r>
      <w:r>
        <w:t xml:space="preserve"> </w:t>
      </w:r>
      <w:r w:rsidRPr="00D44E62">
        <w:t>European Union's appellant's submission, paras. 597-598</w:t>
      </w:r>
      <w:r>
        <w:t xml:space="preserve"> and 606</w:t>
      </w:r>
      <w:r w:rsidRPr="00D44E62">
        <w:t>.</w:t>
      </w:r>
    </w:p>
  </w:footnote>
  <w:footnote w:id="1246">
    <w:p w:rsidR="00FD2727" w:rsidRPr="002F2175" w:rsidRDefault="00FD2727">
      <w:pPr>
        <w:pStyle w:val="FootnoteText"/>
        <w:rPr>
          <w:lang w:val="en-US"/>
        </w:rPr>
      </w:pPr>
      <w:r>
        <w:rPr>
          <w:rStyle w:val="FootnoteReference"/>
        </w:rPr>
        <w:footnoteRef/>
      </w:r>
      <w:r>
        <w:t xml:space="preserve"> </w:t>
      </w:r>
      <w:r w:rsidRPr="00D44E62">
        <w:t xml:space="preserve">European Union's appellant's submission, para. 639. </w:t>
      </w:r>
      <w:r>
        <w:t xml:space="preserve">(emphasis original) </w:t>
      </w:r>
      <w:r w:rsidRPr="00D44E62">
        <w:t>See also</w:t>
      </w:r>
      <w:r>
        <w:t xml:space="preserve"> </w:t>
      </w:r>
      <w:r w:rsidRPr="00D44E62">
        <w:t>para. 540.</w:t>
      </w:r>
    </w:p>
  </w:footnote>
  <w:footnote w:id="1247">
    <w:p w:rsidR="00FD2727" w:rsidRPr="002F2175" w:rsidRDefault="00FD2727">
      <w:pPr>
        <w:pStyle w:val="FootnoteText"/>
        <w:rPr>
          <w:lang w:val="en-US"/>
        </w:rPr>
      </w:pPr>
      <w:r>
        <w:rPr>
          <w:rStyle w:val="FootnoteReference"/>
        </w:rPr>
        <w:footnoteRef/>
      </w:r>
      <w:r>
        <w:t xml:space="preserve"> </w:t>
      </w:r>
      <w:r w:rsidRPr="00D44E62">
        <w:t>European Union's appellant's submission, paras. 541-542 and 639.</w:t>
      </w:r>
    </w:p>
  </w:footnote>
  <w:footnote w:id="1248">
    <w:p w:rsidR="00FD2727" w:rsidRDefault="00FD2727" w:rsidP="00267BCB">
      <w:pPr>
        <w:pStyle w:val="FootnoteText"/>
      </w:pPr>
      <w:r>
        <w:rPr>
          <w:rStyle w:val="FootnoteReference"/>
        </w:rPr>
        <w:footnoteRef/>
      </w:r>
      <w:r>
        <w:t xml:space="preserve"> </w:t>
      </w:r>
      <w:r w:rsidRPr="00D44E62">
        <w:t>European Union's appellant's submission, para</w:t>
      </w:r>
      <w:r>
        <w:t>s</w:t>
      </w:r>
      <w:r w:rsidRPr="00D44E62">
        <w:t>. 599</w:t>
      </w:r>
      <w:r>
        <w:t>-601</w:t>
      </w:r>
      <w:r w:rsidRPr="00D44E62">
        <w:t>.</w:t>
      </w:r>
    </w:p>
  </w:footnote>
  <w:footnote w:id="1249">
    <w:p w:rsidR="00FD2727" w:rsidRPr="002F2175" w:rsidRDefault="00FD2727">
      <w:pPr>
        <w:pStyle w:val="FootnoteText"/>
        <w:rPr>
          <w:lang w:val="en-US"/>
        </w:rPr>
      </w:pPr>
      <w:r>
        <w:rPr>
          <w:rStyle w:val="FootnoteReference"/>
        </w:rPr>
        <w:footnoteRef/>
      </w:r>
      <w:r>
        <w:t xml:space="preserve"> </w:t>
      </w:r>
      <w:r w:rsidRPr="00D44E62">
        <w:t>European Union's appellant's submission, para. 577 (</w:t>
      </w:r>
      <w:r>
        <w:t>quoting</w:t>
      </w:r>
      <w:r w:rsidRPr="00D44E62">
        <w:t xml:space="preserve"> Appellate Body Report, </w:t>
      </w:r>
      <w:r w:rsidRPr="00F7683C">
        <w:rPr>
          <w:i/>
        </w:rPr>
        <w:t>EC and certain member States</w:t>
      </w:r>
      <w:r>
        <w:rPr>
          <w:i/>
        </w:rPr>
        <w:t xml:space="preserve"> – </w:t>
      </w:r>
      <w:r w:rsidRPr="00F7683C">
        <w:rPr>
          <w:i/>
        </w:rPr>
        <w:t>Large Civil Aircraft</w:t>
      </w:r>
      <w:r w:rsidRPr="00F7683C">
        <w:t xml:space="preserve">, para. 1123 (emphasis </w:t>
      </w:r>
      <w:r>
        <w:t>added by the European Union</w:t>
      </w:r>
      <w:r w:rsidRPr="00F7683C">
        <w:t>)</w:t>
      </w:r>
      <w:r>
        <w:t>).</w:t>
      </w:r>
    </w:p>
  </w:footnote>
  <w:footnote w:id="1250">
    <w:p w:rsidR="00FD2727" w:rsidRDefault="00FD2727">
      <w:pPr>
        <w:pStyle w:val="FootnoteText"/>
      </w:pPr>
      <w:r>
        <w:rPr>
          <w:rStyle w:val="FootnoteReference"/>
        </w:rPr>
        <w:footnoteRef/>
      </w:r>
      <w:r>
        <w:t xml:space="preserve"> European Union's appellant's submission, para. 579. (emphasis added)</w:t>
      </w:r>
    </w:p>
  </w:footnote>
  <w:footnote w:id="1251">
    <w:p w:rsidR="00FD2727" w:rsidRPr="002F2175" w:rsidRDefault="00FD2727">
      <w:pPr>
        <w:pStyle w:val="FootnoteText"/>
        <w:rPr>
          <w:lang w:val="en-US"/>
        </w:rPr>
      </w:pPr>
      <w:r>
        <w:rPr>
          <w:rStyle w:val="FootnoteReference"/>
        </w:rPr>
        <w:footnoteRef/>
      </w:r>
      <w:r>
        <w:t xml:space="preserve"> </w:t>
      </w:r>
      <w:r w:rsidRPr="00F7683C">
        <w:t xml:space="preserve">European Union's appellant's submission, para. 579 (quoting Appellate Body Report, </w:t>
      </w:r>
      <w:r w:rsidRPr="00F7683C">
        <w:rPr>
          <w:i/>
        </w:rPr>
        <w:t>EC and certain member States</w:t>
      </w:r>
      <w:r>
        <w:rPr>
          <w:i/>
        </w:rPr>
        <w:t xml:space="preserve"> – </w:t>
      </w:r>
      <w:r w:rsidRPr="00F7683C">
        <w:rPr>
          <w:i/>
        </w:rPr>
        <w:t>Large Civil Aircraft</w:t>
      </w:r>
      <w:r w:rsidRPr="00F7683C">
        <w:t>, para. 1123 (emphasis added by</w:t>
      </w:r>
      <w:r w:rsidRPr="00D44E62">
        <w:t xml:space="preserve"> the European Union)</w:t>
      </w:r>
      <w:r w:rsidRPr="00F7683C">
        <w:t>).</w:t>
      </w:r>
    </w:p>
  </w:footnote>
  <w:footnote w:id="1252">
    <w:p w:rsidR="00FD2727" w:rsidRPr="002F2175" w:rsidRDefault="00FD2727">
      <w:pPr>
        <w:pStyle w:val="FootnoteText"/>
        <w:rPr>
          <w:lang w:val="en-US"/>
        </w:rPr>
      </w:pPr>
      <w:r>
        <w:rPr>
          <w:rStyle w:val="FootnoteReference"/>
        </w:rPr>
        <w:footnoteRef/>
      </w:r>
      <w:r>
        <w:t xml:space="preserve"> </w:t>
      </w:r>
      <w:r w:rsidRPr="00D44E62">
        <w:t>European Union's appellant's submission, para. 579.</w:t>
      </w:r>
    </w:p>
  </w:footnote>
  <w:footnote w:id="1253">
    <w:p w:rsidR="00FD2727" w:rsidRPr="00D44E62" w:rsidRDefault="00FD2727" w:rsidP="00267BCB">
      <w:pPr>
        <w:pStyle w:val="FootnoteText"/>
        <w:keepLines/>
      </w:pPr>
      <w:r w:rsidRPr="00D44E62">
        <w:rPr>
          <w:rStyle w:val="FootnoteReference"/>
        </w:rPr>
        <w:footnoteRef/>
      </w:r>
      <w:r w:rsidRPr="00D44E62">
        <w:t xml:space="preserve"> European Union's appellant's submission, paras. 597 and 602.</w:t>
      </w:r>
    </w:p>
  </w:footnote>
  <w:footnote w:id="1254">
    <w:p w:rsidR="00FD2727" w:rsidRPr="00D44E62" w:rsidRDefault="00FD2727" w:rsidP="00267BCB">
      <w:pPr>
        <w:pStyle w:val="FootnoteText"/>
        <w:keepLines/>
      </w:pPr>
      <w:r w:rsidRPr="00D44E62">
        <w:rPr>
          <w:rStyle w:val="FootnoteReference"/>
        </w:rPr>
        <w:footnoteRef/>
      </w:r>
      <w:r w:rsidRPr="00D44E62">
        <w:t xml:space="preserve"> United States' appellee's submission, para. 273.</w:t>
      </w:r>
    </w:p>
  </w:footnote>
  <w:footnote w:id="1255">
    <w:p w:rsidR="00FD2727" w:rsidRPr="00D44E62" w:rsidRDefault="00FD2727" w:rsidP="00267BCB">
      <w:pPr>
        <w:pStyle w:val="FootnoteText"/>
        <w:keepLines/>
      </w:pPr>
      <w:r w:rsidRPr="00D44E62">
        <w:rPr>
          <w:rStyle w:val="FootnoteReference"/>
        </w:rPr>
        <w:footnoteRef/>
      </w:r>
      <w:r w:rsidRPr="00D44E62">
        <w:t xml:space="preserve"> United States' appellee's submission, para. 274.</w:t>
      </w:r>
    </w:p>
  </w:footnote>
  <w:footnote w:id="1256">
    <w:p w:rsidR="00FD2727" w:rsidRPr="00D44E62" w:rsidRDefault="00FD2727" w:rsidP="00267BCB">
      <w:pPr>
        <w:pStyle w:val="FootnoteText"/>
        <w:keepLines/>
      </w:pPr>
      <w:r w:rsidRPr="00D44E62">
        <w:rPr>
          <w:rStyle w:val="FootnoteReference"/>
        </w:rPr>
        <w:footnoteRef/>
      </w:r>
      <w:r w:rsidRPr="00D44E62">
        <w:t xml:space="preserve"> United States' appellee's submission, para. 274 (quoting European Union's appellant's submission, para. 599). </w:t>
      </w:r>
    </w:p>
  </w:footnote>
  <w:footnote w:id="1257">
    <w:p w:rsidR="00FD2727" w:rsidRPr="00D44E62" w:rsidRDefault="00FD2727" w:rsidP="00267BCB">
      <w:pPr>
        <w:pStyle w:val="FootnoteText"/>
        <w:keepLines/>
      </w:pPr>
      <w:r w:rsidRPr="00D44E62">
        <w:rPr>
          <w:rStyle w:val="FootnoteReference"/>
        </w:rPr>
        <w:footnoteRef/>
      </w:r>
      <w:r w:rsidRPr="00D44E62">
        <w:t xml:space="preserve"> United States' appellee's submission, para. 288 (quoti</w:t>
      </w:r>
      <w:r>
        <w:t>ng Panel Report, para. 6.1412).</w:t>
      </w:r>
    </w:p>
  </w:footnote>
  <w:footnote w:id="1258">
    <w:p w:rsidR="00FD2727" w:rsidRPr="00D44E62" w:rsidRDefault="00FD2727" w:rsidP="00267BCB">
      <w:pPr>
        <w:pStyle w:val="FootnoteText"/>
        <w:keepLines/>
      </w:pPr>
      <w:r w:rsidRPr="00D44E62">
        <w:rPr>
          <w:rStyle w:val="FootnoteReference"/>
        </w:rPr>
        <w:footnoteRef/>
      </w:r>
      <w:r w:rsidRPr="00D44E62">
        <w:t xml:space="preserve"> United States' appellee's submission, para. 277.</w:t>
      </w:r>
    </w:p>
  </w:footnote>
  <w:footnote w:id="1259">
    <w:p w:rsidR="00FD2727" w:rsidRPr="002F2175" w:rsidRDefault="00FD2727">
      <w:pPr>
        <w:pStyle w:val="FootnoteText"/>
        <w:rPr>
          <w:lang w:val="en-US"/>
        </w:rPr>
      </w:pPr>
      <w:r>
        <w:rPr>
          <w:rStyle w:val="FootnoteReference"/>
        </w:rPr>
        <w:footnoteRef/>
      </w:r>
      <w:r>
        <w:t xml:space="preserve"> </w:t>
      </w:r>
      <w:r w:rsidRPr="00D92844">
        <w:t xml:space="preserve">Appellate Body Report, </w:t>
      </w:r>
      <w:r w:rsidRPr="00D92844">
        <w:rPr>
          <w:i/>
        </w:rPr>
        <w:t>EC and certain member States</w:t>
      </w:r>
      <w:r>
        <w:rPr>
          <w:i/>
        </w:rPr>
        <w:t xml:space="preserve"> – </w:t>
      </w:r>
      <w:r w:rsidRPr="00D92844">
        <w:rPr>
          <w:i/>
        </w:rPr>
        <w:t>Large Civil Aircraft</w:t>
      </w:r>
      <w:r>
        <w:t>, para. 1120. (fn </w:t>
      </w:r>
      <w:r w:rsidRPr="00D92844">
        <w:t>omitted)</w:t>
      </w:r>
      <w:r>
        <w:t xml:space="preserve"> </w:t>
      </w:r>
    </w:p>
  </w:footnote>
  <w:footnote w:id="1260">
    <w:p w:rsidR="00FD2727" w:rsidRPr="00E20560" w:rsidRDefault="00FD2727" w:rsidP="00267BCB">
      <w:pPr>
        <w:pStyle w:val="FootnoteText"/>
        <w:rPr>
          <w:color w:val="000000"/>
        </w:rPr>
      </w:pPr>
      <w:r w:rsidRPr="00E20560">
        <w:rPr>
          <w:rStyle w:val="FootnoteReference"/>
          <w:color w:val="000000"/>
        </w:rPr>
        <w:footnoteRef/>
      </w:r>
      <w:r>
        <w:rPr>
          <w:color w:val="000000"/>
        </w:rPr>
        <w:t xml:space="preserve"> </w:t>
      </w:r>
      <w:r w:rsidRPr="00E20560">
        <w:rPr>
          <w:color w:val="000000"/>
        </w:rPr>
        <w:t xml:space="preserve">Appellate Body Report, </w:t>
      </w:r>
      <w:r w:rsidRPr="00E20560">
        <w:rPr>
          <w:i/>
          <w:color w:val="000000"/>
        </w:rPr>
        <w:t>US</w:t>
      </w:r>
      <w:r w:rsidRPr="00E20560">
        <w:rPr>
          <w:color w:val="000000"/>
        </w:rPr>
        <w:t xml:space="preserve"> </w:t>
      </w:r>
      <w:r w:rsidRPr="00E20560">
        <w:rPr>
          <w:i/>
          <w:color w:val="000000"/>
        </w:rPr>
        <w:t>–</w:t>
      </w:r>
      <w:r w:rsidRPr="00E20560">
        <w:rPr>
          <w:color w:val="000000"/>
        </w:rPr>
        <w:t xml:space="preserve"> </w:t>
      </w:r>
      <w:r w:rsidRPr="00E20560">
        <w:rPr>
          <w:i/>
          <w:color w:val="000000"/>
        </w:rPr>
        <w:t>Upland</w:t>
      </w:r>
      <w:r w:rsidRPr="00E20560">
        <w:rPr>
          <w:color w:val="000000"/>
        </w:rPr>
        <w:t xml:space="preserve"> </w:t>
      </w:r>
      <w:r w:rsidRPr="00E20560">
        <w:rPr>
          <w:i/>
          <w:color w:val="000000"/>
        </w:rPr>
        <w:t>Cotton</w:t>
      </w:r>
      <w:r w:rsidRPr="00E20560">
        <w:rPr>
          <w:color w:val="000000"/>
        </w:rPr>
        <w:t xml:space="preserve">, para. 408. </w:t>
      </w:r>
      <w:r>
        <w:rPr>
          <w:color w:val="000000"/>
        </w:rPr>
        <w:t xml:space="preserve">The </w:t>
      </w:r>
      <w:r w:rsidRPr="00E20560">
        <w:t xml:space="preserve">Appellate Body </w:t>
      </w:r>
      <w:r>
        <w:t>in that dispute also agreed with a definition of</w:t>
      </w:r>
      <w:r w:rsidRPr="00E20560">
        <w:t xml:space="preserve"> "market" as "the area of economic activity in which buyers and sellers come together and the forces of supply and demand affect prices</w:t>
      </w:r>
      <w:r>
        <w:t>". (</w:t>
      </w:r>
      <w:r>
        <w:rPr>
          <w:color w:val="000000"/>
        </w:rPr>
        <w:t xml:space="preserve">Ibid. (quoting Panel Report, </w:t>
      </w:r>
      <w:r w:rsidRPr="00E20560">
        <w:rPr>
          <w:i/>
          <w:color w:val="000000"/>
        </w:rPr>
        <w:t>US</w:t>
      </w:r>
      <w:r w:rsidRPr="00E20560">
        <w:rPr>
          <w:color w:val="000000"/>
        </w:rPr>
        <w:t xml:space="preserve"> </w:t>
      </w:r>
      <w:r w:rsidRPr="00E20560">
        <w:rPr>
          <w:i/>
          <w:color w:val="000000"/>
        </w:rPr>
        <w:t>–</w:t>
      </w:r>
      <w:r w:rsidRPr="00E20560">
        <w:rPr>
          <w:color w:val="000000"/>
        </w:rPr>
        <w:t xml:space="preserve"> </w:t>
      </w:r>
      <w:r w:rsidRPr="00E20560">
        <w:rPr>
          <w:i/>
          <w:color w:val="000000"/>
        </w:rPr>
        <w:t>Upland</w:t>
      </w:r>
      <w:r w:rsidRPr="00E20560">
        <w:rPr>
          <w:color w:val="000000"/>
        </w:rPr>
        <w:t xml:space="preserve"> </w:t>
      </w:r>
      <w:r w:rsidRPr="00E20560">
        <w:rPr>
          <w:i/>
          <w:color w:val="000000"/>
        </w:rPr>
        <w:t>Cotton</w:t>
      </w:r>
      <w:r>
        <w:rPr>
          <w:color w:val="000000"/>
        </w:rPr>
        <w:t xml:space="preserve">, para. 7.1236, in turn quoting </w:t>
      </w:r>
      <w:r w:rsidRPr="008A597A">
        <w:rPr>
          <w:i/>
        </w:rPr>
        <w:t>Merriam</w:t>
      </w:r>
      <w:r w:rsidRPr="008A597A">
        <w:rPr>
          <w:i/>
        </w:rPr>
        <w:noBreakHyphen/>
        <w:t>Webster Dictionary online</w:t>
      </w:r>
      <w:r>
        <w:rPr>
          <w:color w:val="000000"/>
        </w:rPr>
        <w:t>))</w:t>
      </w:r>
    </w:p>
  </w:footnote>
  <w:footnote w:id="1261">
    <w:p w:rsidR="00FD2727" w:rsidRPr="002F2175" w:rsidRDefault="00FD2727">
      <w:pPr>
        <w:pStyle w:val="FootnoteText"/>
        <w:rPr>
          <w:lang w:val="en-US"/>
        </w:rPr>
      </w:pPr>
      <w:r>
        <w:rPr>
          <w:rStyle w:val="FootnoteReference"/>
        </w:rPr>
        <w:footnoteRef/>
      </w:r>
      <w:r>
        <w:t xml:space="preserve"> </w:t>
      </w:r>
      <w:r w:rsidRPr="00D92844">
        <w:t xml:space="preserve">Appellate Body Report, </w:t>
      </w:r>
      <w:r w:rsidRPr="00D92844">
        <w:rPr>
          <w:i/>
        </w:rPr>
        <w:t>EC and certain member States</w:t>
      </w:r>
      <w:r>
        <w:rPr>
          <w:i/>
        </w:rPr>
        <w:t xml:space="preserve"> – </w:t>
      </w:r>
      <w:r w:rsidRPr="00D92844">
        <w:rPr>
          <w:i/>
        </w:rPr>
        <w:t>Large Civil Aircraft</w:t>
      </w:r>
      <w:r w:rsidRPr="00D92844">
        <w:t>, fn 2467 to</w:t>
      </w:r>
      <w:r w:rsidRPr="00D44E62">
        <w:t xml:space="preserve"> para. 1120 (quoting M</w:t>
      </w:r>
      <w:r>
        <w:t>assimo</w:t>
      </w:r>
      <w:r w:rsidRPr="00D44E62">
        <w:t xml:space="preserve"> Motta, </w:t>
      </w:r>
      <w:r w:rsidRPr="00166EB4">
        <w:rPr>
          <w:i/>
        </w:rPr>
        <w:t xml:space="preserve">Competition Policy: Theory and Practice </w:t>
      </w:r>
      <w:r w:rsidRPr="00166EB4">
        <w:t>(Cambridge University Press, 2005), p. 102).</w:t>
      </w:r>
    </w:p>
  </w:footnote>
  <w:footnote w:id="1262">
    <w:p w:rsidR="00FD2727" w:rsidRPr="002F2175" w:rsidRDefault="00FD2727">
      <w:pPr>
        <w:pStyle w:val="FootnoteText"/>
        <w:rPr>
          <w:lang w:val="en-US"/>
        </w:rPr>
      </w:pPr>
      <w:r>
        <w:rPr>
          <w:rStyle w:val="FootnoteReference"/>
        </w:rPr>
        <w:footnoteRef/>
      </w:r>
      <w:r>
        <w:t xml:space="preserve"> </w:t>
      </w:r>
      <w:r w:rsidRPr="00D92844">
        <w:t xml:space="preserve">Appellate Body Report, </w:t>
      </w:r>
      <w:r w:rsidRPr="00D92844">
        <w:rPr>
          <w:i/>
        </w:rPr>
        <w:t>EC and certain member States</w:t>
      </w:r>
      <w:r>
        <w:rPr>
          <w:i/>
        </w:rPr>
        <w:t xml:space="preserve"> – </w:t>
      </w:r>
      <w:r w:rsidRPr="00D92844">
        <w:rPr>
          <w:i/>
        </w:rPr>
        <w:t>Large Civil Aircraft</w:t>
      </w:r>
      <w:r w:rsidRPr="00D92844">
        <w:t>, para. 1120.</w:t>
      </w:r>
    </w:p>
  </w:footnote>
  <w:footnote w:id="1263">
    <w:p w:rsidR="00FD2727" w:rsidRPr="002F2175" w:rsidRDefault="00FD2727">
      <w:pPr>
        <w:pStyle w:val="FootnoteText"/>
        <w:rPr>
          <w:lang w:val="en-US"/>
        </w:rPr>
      </w:pPr>
      <w:r>
        <w:rPr>
          <w:rStyle w:val="FootnoteReference"/>
        </w:rPr>
        <w:footnoteRef/>
      </w:r>
      <w:r>
        <w:t xml:space="preserve"> </w:t>
      </w:r>
      <w:r w:rsidRPr="00D92844">
        <w:t xml:space="preserve">Appellate Body Report, </w:t>
      </w:r>
      <w:r w:rsidRPr="00D92844">
        <w:rPr>
          <w:i/>
        </w:rPr>
        <w:t>EC and certain member States</w:t>
      </w:r>
      <w:r>
        <w:rPr>
          <w:i/>
        </w:rPr>
        <w:t xml:space="preserve"> – </w:t>
      </w:r>
      <w:r w:rsidRPr="00D92844">
        <w:rPr>
          <w:i/>
        </w:rPr>
        <w:t>Large Civil Aircraft</w:t>
      </w:r>
      <w:r w:rsidRPr="00D92844">
        <w:t>, para. 1120.</w:t>
      </w:r>
    </w:p>
  </w:footnote>
  <w:footnote w:id="1264">
    <w:p w:rsidR="00FD2727" w:rsidRPr="002F2175" w:rsidRDefault="00FD2727">
      <w:pPr>
        <w:pStyle w:val="FootnoteText"/>
        <w:rPr>
          <w:lang w:val="en-US"/>
        </w:rPr>
      </w:pPr>
      <w:r>
        <w:rPr>
          <w:rStyle w:val="FootnoteReference"/>
        </w:rPr>
        <w:footnoteRef/>
      </w:r>
      <w:r>
        <w:t xml:space="preserve"> </w:t>
      </w:r>
      <w:r w:rsidRPr="00D92844">
        <w:t xml:space="preserve">Appellate Body Report, </w:t>
      </w:r>
      <w:r w:rsidRPr="00D92844">
        <w:rPr>
          <w:i/>
        </w:rPr>
        <w:t>EC and certain member States</w:t>
      </w:r>
      <w:r>
        <w:rPr>
          <w:i/>
        </w:rPr>
        <w:t xml:space="preserve"> – </w:t>
      </w:r>
      <w:r w:rsidRPr="00D92844">
        <w:rPr>
          <w:i/>
        </w:rPr>
        <w:t>Large Civil Aircraft</w:t>
      </w:r>
      <w:r w:rsidRPr="00D92844">
        <w:t>, para. 1134.</w:t>
      </w:r>
      <w:r w:rsidRPr="0084164D">
        <w:t xml:space="preserve"> </w:t>
      </w:r>
      <w:r>
        <w:t xml:space="preserve">We also recall that in </w:t>
      </w:r>
      <w:r w:rsidRPr="00B6417E">
        <w:rPr>
          <w:i/>
        </w:rPr>
        <w:t>US – Upland Cotton</w:t>
      </w:r>
      <w:r>
        <w:t>, t</w:t>
      </w:r>
      <w:r w:rsidRPr="00E20560">
        <w:t xml:space="preserve">he Appellate Body </w:t>
      </w:r>
      <w:r>
        <w:t xml:space="preserve">shared the </w:t>
      </w:r>
      <w:r w:rsidRPr="00E20560">
        <w:t>panel</w:t>
      </w:r>
      <w:r>
        <w:t xml:space="preserve">'s view </w:t>
      </w:r>
      <w:r w:rsidRPr="00E20560">
        <w:t>that "the scope of the 'market', for determining the area of competition between two products, may depend on several factors such as the nature of the product, the homogeneity of the conditions of competition, and transport costs."</w:t>
      </w:r>
      <w:r>
        <w:t xml:space="preserve"> (</w:t>
      </w:r>
      <w:r w:rsidRPr="00E20560">
        <w:rPr>
          <w:color w:val="000000"/>
        </w:rPr>
        <w:t xml:space="preserve">Appellate Body Report, </w:t>
      </w:r>
      <w:r w:rsidRPr="00E20560">
        <w:rPr>
          <w:i/>
          <w:color w:val="000000"/>
        </w:rPr>
        <w:t>US</w:t>
      </w:r>
      <w:r w:rsidRPr="00E20560">
        <w:rPr>
          <w:color w:val="000000"/>
        </w:rPr>
        <w:t xml:space="preserve"> </w:t>
      </w:r>
      <w:r w:rsidRPr="00E20560">
        <w:rPr>
          <w:i/>
          <w:color w:val="000000"/>
        </w:rPr>
        <w:t>–</w:t>
      </w:r>
      <w:r w:rsidRPr="00E20560">
        <w:rPr>
          <w:color w:val="000000"/>
        </w:rPr>
        <w:t xml:space="preserve"> </w:t>
      </w:r>
      <w:r w:rsidRPr="00E20560">
        <w:rPr>
          <w:i/>
          <w:color w:val="000000"/>
        </w:rPr>
        <w:t>Upland</w:t>
      </w:r>
      <w:r w:rsidRPr="00E20560">
        <w:rPr>
          <w:color w:val="000000"/>
        </w:rPr>
        <w:t xml:space="preserve"> </w:t>
      </w:r>
      <w:r w:rsidRPr="00E20560">
        <w:rPr>
          <w:i/>
          <w:color w:val="000000"/>
        </w:rPr>
        <w:t>Cotton</w:t>
      </w:r>
      <w:r>
        <w:rPr>
          <w:color w:val="000000"/>
        </w:rPr>
        <w:t>, para. 408 (fn omitted))</w:t>
      </w:r>
      <w:r w:rsidRPr="00E20560">
        <w:rPr>
          <w:color w:val="000000"/>
        </w:rPr>
        <w:t xml:space="preserve"> </w:t>
      </w:r>
    </w:p>
  </w:footnote>
  <w:footnote w:id="1265">
    <w:p w:rsidR="00FD2727" w:rsidRDefault="00FD2727" w:rsidP="00267BCB">
      <w:pPr>
        <w:pStyle w:val="FootnoteText"/>
      </w:pPr>
      <w:r>
        <w:rPr>
          <w:rStyle w:val="FootnoteReference"/>
        </w:rPr>
        <w:footnoteRef/>
      </w:r>
      <w:r>
        <w:t xml:space="preserve"> </w:t>
      </w:r>
      <w:r w:rsidRPr="00D92844">
        <w:t xml:space="preserve">Appellate Body Report, </w:t>
      </w:r>
      <w:r w:rsidRPr="00D92844">
        <w:rPr>
          <w:i/>
        </w:rPr>
        <w:t>EC and certain member States</w:t>
      </w:r>
      <w:r>
        <w:rPr>
          <w:i/>
        </w:rPr>
        <w:t xml:space="preserve"> – </w:t>
      </w:r>
      <w:r w:rsidRPr="00D92844">
        <w:rPr>
          <w:i/>
        </w:rPr>
        <w:t>Large Civil Aircraft</w:t>
      </w:r>
      <w:r w:rsidRPr="00D92844">
        <w:t>, para. </w:t>
      </w:r>
      <w:r>
        <w:t>1119.</w:t>
      </w:r>
      <w:r w:rsidRPr="00F85CC1">
        <w:t xml:space="preserve"> </w:t>
      </w:r>
      <w:r>
        <w:t>The Appellate Body emphasized, however, that "</w:t>
      </w:r>
      <w:r w:rsidRPr="00E20560">
        <w:t>it is important to note that whether or not a broad or narrow range of products benefit from subsidization says little about whether all these products compete in the same market</w:t>
      </w:r>
      <w:r>
        <w:t>" and that</w:t>
      </w:r>
      <w:r w:rsidRPr="00E20560">
        <w:t xml:space="preserve"> </w:t>
      </w:r>
      <w:r>
        <w:t>"</w:t>
      </w:r>
      <w:r w:rsidRPr="00E20560">
        <w:t>products benefiting from subsidies may compete in very different markets</w:t>
      </w:r>
      <w:r>
        <w:t>". (Ibid., para. 1123)</w:t>
      </w:r>
    </w:p>
  </w:footnote>
  <w:footnote w:id="1266">
    <w:p w:rsidR="00FD2727" w:rsidRDefault="00FD2727">
      <w:pPr>
        <w:pStyle w:val="FootnoteText"/>
      </w:pPr>
      <w:r>
        <w:rPr>
          <w:rStyle w:val="FootnoteReference"/>
        </w:rPr>
        <w:footnoteRef/>
      </w:r>
      <w:r>
        <w:t xml:space="preserve"> We recall the Appellate Body to have found that "</w:t>
      </w:r>
      <w:r w:rsidRPr="00EB6587">
        <w:t>an assessment of the conditions of competition may reveal the existence of multiple product markets in which particular products of the complaining Member compete with particular subsid</w:t>
      </w:r>
      <w:r>
        <w:t>ized products of the respondent". (</w:t>
      </w:r>
      <w:r w:rsidRPr="00D92844">
        <w:t xml:space="preserve">Appellate Body Report, </w:t>
      </w:r>
      <w:r w:rsidRPr="00D92844">
        <w:rPr>
          <w:i/>
        </w:rPr>
        <w:t>EC and certain member States</w:t>
      </w:r>
      <w:r>
        <w:rPr>
          <w:i/>
        </w:rPr>
        <w:t xml:space="preserve"> – </w:t>
      </w:r>
      <w:r w:rsidRPr="00D92844">
        <w:rPr>
          <w:i/>
        </w:rPr>
        <w:t>Large Civil Aircraft</w:t>
      </w:r>
      <w:r w:rsidRPr="00D92844">
        <w:t>, para. 1123</w:t>
      </w:r>
      <w:r>
        <w:t>)</w:t>
      </w:r>
    </w:p>
  </w:footnote>
  <w:footnote w:id="1267">
    <w:p w:rsidR="00FD2727" w:rsidRPr="002F2175" w:rsidRDefault="00FD2727">
      <w:pPr>
        <w:pStyle w:val="FootnoteText"/>
        <w:rPr>
          <w:lang w:val="en-US"/>
        </w:rPr>
      </w:pPr>
      <w:r>
        <w:rPr>
          <w:rStyle w:val="FootnoteReference"/>
        </w:rPr>
        <w:footnoteRef/>
      </w:r>
      <w:r>
        <w:t xml:space="preserve"> </w:t>
      </w:r>
      <w:r w:rsidRPr="00D92844">
        <w:t xml:space="preserve">Appellate Body Report, </w:t>
      </w:r>
      <w:r w:rsidRPr="00D92844">
        <w:rPr>
          <w:i/>
        </w:rPr>
        <w:t>EC and certain member States</w:t>
      </w:r>
      <w:r>
        <w:rPr>
          <w:i/>
        </w:rPr>
        <w:t xml:space="preserve"> – </w:t>
      </w:r>
      <w:r w:rsidRPr="00D92844">
        <w:rPr>
          <w:i/>
        </w:rPr>
        <w:t>Large Civil Aircraft</w:t>
      </w:r>
      <w:r w:rsidRPr="00D92844">
        <w:t>, para. 1123.</w:t>
      </w:r>
    </w:p>
  </w:footnote>
  <w:footnote w:id="1268">
    <w:p w:rsidR="00FD2727" w:rsidRPr="002F2175" w:rsidRDefault="00FD2727" w:rsidP="00267BCB">
      <w:pPr>
        <w:pStyle w:val="FootnoteText"/>
        <w:rPr>
          <w:lang w:val="en-US"/>
        </w:rPr>
      </w:pPr>
      <w:r>
        <w:rPr>
          <w:rStyle w:val="FootnoteReference"/>
        </w:rPr>
        <w:footnoteRef/>
      </w:r>
      <w:r>
        <w:t xml:space="preserve"> </w:t>
      </w:r>
      <w:r w:rsidRPr="00793859">
        <w:t xml:space="preserve">Appellate Body Report, </w:t>
      </w:r>
      <w:r w:rsidRPr="00793859">
        <w:rPr>
          <w:i/>
        </w:rPr>
        <w:t>EC and certain member States</w:t>
      </w:r>
      <w:r>
        <w:rPr>
          <w:i/>
        </w:rPr>
        <w:t xml:space="preserve"> – </w:t>
      </w:r>
      <w:r w:rsidRPr="00793859">
        <w:rPr>
          <w:i/>
        </w:rPr>
        <w:t>Large Civil Aircraft</w:t>
      </w:r>
      <w:r w:rsidRPr="00793859">
        <w:t>, para. 1123.</w:t>
      </w:r>
    </w:p>
  </w:footnote>
  <w:footnote w:id="1269">
    <w:p w:rsidR="00FD2727" w:rsidRDefault="00FD2727">
      <w:pPr>
        <w:pStyle w:val="FootnoteText"/>
      </w:pPr>
      <w:r>
        <w:rPr>
          <w:rStyle w:val="FootnoteReference"/>
        </w:rPr>
        <w:footnoteRef/>
      </w:r>
      <w:r>
        <w:t xml:space="preserve"> See Appellate Body Report, </w:t>
      </w:r>
      <w:r w:rsidRPr="00793859">
        <w:rPr>
          <w:i/>
        </w:rPr>
        <w:t>EC and certain member States</w:t>
      </w:r>
      <w:r>
        <w:rPr>
          <w:i/>
        </w:rPr>
        <w:t xml:space="preserve"> – </w:t>
      </w:r>
      <w:r w:rsidRPr="00793859">
        <w:rPr>
          <w:i/>
        </w:rPr>
        <w:t>Large Civil Aircraft</w:t>
      </w:r>
      <w:r w:rsidRPr="00793859">
        <w:t>, para. 11</w:t>
      </w:r>
      <w:r>
        <w:t>31.</w:t>
      </w:r>
    </w:p>
  </w:footnote>
  <w:footnote w:id="1270">
    <w:p w:rsidR="00FD2727" w:rsidRDefault="00FD2727" w:rsidP="00267BCB">
      <w:pPr>
        <w:pStyle w:val="FootnoteText"/>
        <w:keepNext/>
        <w:keepLines/>
      </w:pPr>
      <w:r>
        <w:rPr>
          <w:rStyle w:val="FootnoteReference"/>
        </w:rPr>
        <w:footnoteRef/>
      </w:r>
      <w:r>
        <w:t xml:space="preserve"> </w:t>
      </w:r>
      <w:r w:rsidRPr="00E20560">
        <w:t xml:space="preserve">In the </w:t>
      </w:r>
      <w:r>
        <w:t>original proceedings, the Appellate Body found that the original p</w:t>
      </w:r>
      <w:r w:rsidRPr="00E20560">
        <w:t xml:space="preserve">anel was </w:t>
      </w:r>
      <w:r>
        <w:t>"</w:t>
      </w:r>
      <w:r w:rsidRPr="00E20560">
        <w:t xml:space="preserve">required to make an independent and objective assessment of the serious prejudice claims put forward by the United States, </w:t>
      </w:r>
      <w:r w:rsidRPr="00E20560">
        <w:rPr>
          <w:i/>
        </w:rPr>
        <w:t>including</w:t>
      </w:r>
      <w:r w:rsidRPr="00E20560">
        <w:t xml:space="preserve"> whether it was appropriate to examine all Airbus LCA as a single </w:t>
      </w:r>
      <w:r>
        <w:t>'</w:t>
      </w:r>
      <w:r w:rsidRPr="00E20560">
        <w:t>subsidized product</w:t>
      </w:r>
      <w:r>
        <w:t>'</w:t>
      </w:r>
      <w:r w:rsidRPr="00E20560">
        <w:t xml:space="preserve"> and all Boeing LCA as a single </w:t>
      </w:r>
      <w:r>
        <w:t>'</w:t>
      </w:r>
      <w:r w:rsidRPr="00E20560">
        <w:t>like product</w:t>
      </w:r>
      <w:r>
        <w:t>'</w:t>
      </w:r>
      <w:r w:rsidRPr="00E20560">
        <w:t xml:space="preserve"> for purposes of its adverse effects inquiry</w:t>
      </w:r>
      <w:r>
        <w:t>". In so doing, the Appellate Body stated that the original panel was also required to assess "</w:t>
      </w:r>
      <w:r w:rsidRPr="00E20560">
        <w:t xml:space="preserve">the European Communities' allegation that </w:t>
      </w:r>
      <w:r w:rsidRPr="00E20560">
        <w:rPr>
          <w:szCs w:val="24"/>
        </w:rPr>
        <w:t xml:space="preserve">there </w:t>
      </w:r>
      <w:r>
        <w:rPr>
          <w:szCs w:val="24"/>
        </w:rPr>
        <w:t>{were}, in </w:t>
      </w:r>
      <w:r w:rsidRPr="00E20560">
        <w:rPr>
          <w:szCs w:val="24"/>
        </w:rPr>
        <w:t>fact, five distinct product markets of Airbus and Boeing LCA</w:t>
      </w:r>
      <w:r>
        <w:rPr>
          <w:szCs w:val="24"/>
        </w:rPr>
        <w:t>". (</w:t>
      </w:r>
      <w:r w:rsidRPr="00793859">
        <w:t xml:space="preserve">Appellate Body Report, </w:t>
      </w:r>
      <w:r w:rsidRPr="00793859">
        <w:rPr>
          <w:i/>
        </w:rPr>
        <w:t>EC and certain member States</w:t>
      </w:r>
      <w:r>
        <w:rPr>
          <w:i/>
        </w:rPr>
        <w:t xml:space="preserve"> – </w:t>
      </w:r>
      <w:r w:rsidRPr="00793859">
        <w:rPr>
          <w:i/>
        </w:rPr>
        <w:t>Large Civil Aircraft</w:t>
      </w:r>
      <w:r w:rsidRPr="00793859">
        <w:t>, para. 11</w:t>
      </w:r>
      <w:r>
        <w:t>31 (emphasis original)</w:t>
      </w:r>
      <w:r>
        <w:rPr>
          <w:szCs w:val="24"/>
        </w:rPr>
        <w:t>) According to the Appellate Body</w:t>
      </w:r>
      <w:r w:rsidRPr="00E20560">
        <w:rPr>
          <w:szCs w:val="24"/>
        </w:rPr>
        <w:t xml:space="preserve">, </w:t>
      </w:r>
      <w:r>
        <w:rPr>
          <w:szCs w:val="24"/>
        </w:rPr>
        <w:t xml:space="preserve">the original panel </w:t>
      </w:r>
      <w:r w:rsidRPr="00E20560">
        <w:t xml:space="preserve">should have </w:t>
      </w:r>
      <w:r>
        <w:t xml:space="preserve">then </w:t>
      </w:r>
      <w:r w:rsidRPr="00E20560">
        <w:t>reached a conclusion as to whether any of the parties' or a different "product market" definition was appropriate for purposes of its displacement analysis</w:t>
      </w:r>
      <w:r>
        <w:t>. (Ibid.)</w:t>
      </w:r>
    </w:p>
  </w:footnote>
  <w:footnote w:id="1271">
    <w:p w:rsidR="00FD2727" w:rsidRPr="002F2175" w:rsidRDefault="00FD2727">
      <w:pPr>
        <w:pStyle w:val="FootnoteText"/>
        <w:rPr>
          <w:lang w:val="en-US"/>
        </w:rPr>
      </w:pPr>
      <w:r>
        <w:rPr>
          <w:rStyle w:val="FootnoteReference"/>
        </w:rPr>
        <w:footnoteRef/>
      </w:r>
      <w:r>
        <w:t xml:space="preserve"> </w:t>
      </w:r>
      <w:r w:rsidRPr="00D92844">
        <w:t xml:space="preserve">Appellate Body Report, </w:t>
      </w:r>
      <w:r w:rsidRPr="00D92844">
        <w:rPr>
          <w:i/>
        </w:rPr>
        <w:t>EC and certain member States</w:t>
      </w:r>
      <w:r>
        <w:rPr>
          <w:i/>
        </w:rPr>
        <w:t xml:space="preserve"> – </w:t>
      </w:r>
      <w:r w:rsidRPr="00D92844">
        <w:rPr>
          <w:i/>
        </w:rPr>
        <w:t>Large Civil Aircraft</w:t>
      </w:r>
      <w:r>
        <w:t>, para. 1128.</w:t>
      </w:r>
    </w:p>
  </w:footnote>
  <w:footnote w:id="1272">
    <w:p w:rsidR="00FD2727" w:rsidRDefault="00FD2727">
      <w:pPr>
        <w:pStyle w:val="FootnoteText"/>
      </w:pPr>
      <w:r>
        <w:rPr>
          <w:rStyle w:val="FootnoteReference"/>
        </w:rPr>
        <w:footnoteRef/>
      </w:r>
      <w:r>
        <w:t xml:space="preserve"> </w:t>
      </w:r>
      <w:r w:rsidRPr="00D92844">
        <w:t xml:space="preserve">Appellate Body Report, </w:t>
      </w:r>
      <w:r w:rsidRPr="00D92844">
        <w:rPr>
          <w:i/>
        </w:rPr>
        <w:t>EC and certain member States</w:t>
      </w:r>
      <w:r>
        <w:rPr>
          <w:i/>
        </w:rPr>
        <w:t xml:space="preserve"> – </w:t>
      </w:r>
      <w:r w:rsidRPr="00D92844">
        <w:rPr>
          <w:i/>
        </w:rPr>
        <w:t>Large Civil Aircraft</w:t>
      </w:r>
      <w:r w:rsidRPr="00D92844">
        <w:t>,</w:t>
      </w:r>
      <w:r>
        <w:t xml:space="preserve"> para. 1120.</w:t>
      </w:r>
    </w:p>
  </w:footnote>
  <w:footnote w:id="1273">
    <w:p w:rsidR="00FD2727" w:rsidRDefault="00FD2727" w:rsidP="00267BCB">
      <w:pPr>
        <w:pStyle w:val="FootnoteText"/>
      </w:pPr>
      <w:r>
        <w:rPr>
          <w:rStyle w:val="FootnoteReference"/>
        </w:rPr>
        <w:footnoteRef/>
      </w:r>
      <w:r>
        <w:t xml:space="preserve"> </w:t>
      </w:r>
      <w:r w:rsidRPr="00D92844">
        <w:t xml:space="preserve">Appellate Body Report, </w:t>
      </w:r>
      <w:r w:rsidRPr="00D92844">
        <w:rPr>
          <w:i/>
        </w:rPr>
        <w:t>EC and certain member States</w:t>
      </w:r>
      <w:r>
        <w:rPr>
          <w:i/>
        </w:rPr>
        <w:t xml:space="preserve"> – </w:t>
      </w:r>
      <w:r w:rsidRPr="00D92844">
        <w:rPr>
          <w:i/>
        </w:rPr>
        <w:t>Large Civil Aircraft</w:t>
      </w:r>
      <w:r w:rsidRPr="00D92844">
        <w:t>,</w:t>
      </w:r>
      <w:r>
        <w:t xml:space="preserve"> para. 1120. The Appellate Body noted that "{a}</w:t>
      </w:r>
      <w:r w:rsidRPr="00E20560">
        <w:t xml:space="preserve">lthough physical characteristics, end-uses, and consumer preferences may assist in deciding whether two products are in the same market, they should </w:t>
      </w:r>
      <w:r w:rsidRPr="00E20560">
        <w:rPr>
          <w:i/>
        </w:rPr>
        <w:t>not</w:t>
      </w:r>
      <w:r w:rsidRPr="00E20560">
        <w:t xml:space="preserve"> be treated as the exclusive factors to consider in deciding whether those products are sufficiently substitutable so as to create competitive constraints on each other.</w:t>
      </w:r>
      <w:r>
        <w:t>"</w:t>
      </w:r>
      <w:r w:rsidRPr="00E20560">
        <w:t xml:space="preserve"> </w:t>
      </w:r>
      <w:r>
        <w:t>(Ibid. (emphasis original))</w:t>
      </w:r>
    </w:p>
  </w:footnote>
  <w:footnote w:id="1274">
    <w:p w:rsidR="00FD2727" w:rsidRPr="002F2175" w:rsidRDefault="00FD2727" w:rsidP="00267BCB">
      <w:pPr>
        <w:pStyle w:val="FootnoteText"/>
        <w:rPr>
          <w:lang w:val="en-US"/>
        </w:rPr>
      </w:pPr>
      <w:r>
        <w:rPr>
          <w:rStyle w:val="FootnoteReference"/>
        </w:rPr>
        <w:footnoteRef/>
      </w:r>
      <w:r>
        <w:t xml:space="preserve"> </w:t>
      </w:r>
      <w:r w:rsidRPr="00D44E62">
        <w:t xml:space="preserve">Appellate Body Report, </w:t>
      </w:r>
      <w:r w:rsidRPr="00D44E62">
        <w:rPr>
          <w:i/>
        </w:rPr>
        <w:t>EC and certain member States</w:t>
      </w:r>
      <w:r>
        <w:rPr>
          <w:i/>
        </w:rPr>
        <w:t xml:space="preserve"> – </w:t>
      </w:r>
      <w:r w:rsidRPr="00D44E62">
        <w:rPr>
          <w:i/>
        </w:rPr>
        <w:t>Large Civil Aircraft</w:t>
      </w:r>
      <w:r w:rsidRPr="00D44E62">
        <w:t>, para. 1120.</w:t>
      </w:r>
    </w:p>
  </w:footnote>
  <w:footnote w:id="1275">
    <w:p w:rsidR="00FD2727" w:rsidRDefault="00FD2727">
      <w:pPr>
        <w:pStyle w:val="FootnoteText"/>
      </w:pPr>
      <w:r>
        <w:rPr>
          <w:rStyle w:val="FootnoteReference"/>
        </w:rPr>
        <w:footnoteRef/>
      </w:r>
      <w:r>
        <w:t xml:space="preserve"> We note that the compliance panel in </w:t>
      </w:r>
      <w:r w:rsidRPr="003C7BB3">
        <w:rPr>
          <w:i/>
          <w:color w:val="000000"/>
          <w:szCs w:val="16"/>
        </w:rPr>
        <w:t>US – Large Civil Aircraft (2</w:t>
      </w:r>
      <w:r w:rsidRPr="003C7BB3">
        <w:rPr>
          <w:i/>
          <w:color w:val="000000"/>
          <w:szCs w:val="16"/>
          <w:vertAlign w:val="superscript"/>
        </w:rPr>
        <w:t>nd</w:t>
      </w:r>
      <w:r w:rsidRPr="003C7BB3">
        <w:rPr>
          <w:i/>
          <w:color w:val="000000"/>
          <w:szCs w:val="16"/>
        </w:rPr>
        <w:t xml:space="preserve"> complaint) (Article 21.5 – EU)</w:t>
      </w:r>
      <w:r>
        <w:t xml:space="preserve"> found that "</w:t>
      </w:r>
      <w:r w:rsidRPr="00430C7F">
        <w:t>the European Union has not demonstrated that existing technology aircraft and new technology aircraft of similar capacity, range, and MTOW no longer exercise meaningful competitive constraints on each other such that they presently compete in separate LCA product markets"</w:t>
      </w:r>
      <w:r w:rsidRPr="004B7A66">
        <w:t>.</w:t>
      </w:r>
      <w:r>
        <w:t xml:space="preserve"> (Panel Report, </w:t>
      </w:r>
      <w:r w:rsidRPr="003C7BB3">
        <w:rPr>
          <w:i/>
          <w:color w:val="000000"/>
          <w:szCs w:val="16"/>
        </w:rPr>
        <w:t>US – Large Civil Aircraft (2</w:t>
      </w:r>
      <w:r w:rsidRPr="003C7BB3">
        <w:rPr>
          <w:i/>
          <w:color w:val="000000"/>
          <w:szCs w:val="16"/>
          <w:vertAlign w:val="superscript"/>
        </w:rPr>
        <w:t>nd</w:t>
      </w:r>
      <w:r w:rsidRPr="003C7BB3">
        <w:rPr>
          <w:i/>
          <w:color w:val="000000"/>
          <w:szCs w:val="16"/>
        </w:rPr>
        <w:t xml:space="preserve"> complaint) (Article 21.5 – EU)</w:t>
      </w:r>
      <w:r>
        <w:rPr>
          <w:iCs/>
        </w:rPr>
        <w:t>, para. 9.39</w:t>
      </w:r>
      <w:r>
        <w:t>) We further note that, in coming to that conclusion, the compliance panel in that dispute noted this Panel's finding that "</w:t>
      </w:r>
      <w:r>
        <w:rPr>
          <w:szCs w:val="16"/>
        </w:rPr>
        <w:t xml:space="preserve">all Airbus and Boeing single-aisle aircraft compete in one and the same LCA product market", and "all five families of Airbus and Boeing twin-aisle LCA exercise differing but overall sufficient degrees of competitive constraints against each other such that they should all be considered to fall within the same LCA product market for the purpose of the serious prejudice claims". (Ibid., fn 2712 to para. 9.39 (referring to </w:t>
      </w:r>
      <w:r w:rsidRPr="00026122">
        <w:rPr>
          <w:szCs w:val="16"/>
        </w:rPr>
        <w:t>Panel Report, paras. 6.1286 and 6.1370</w:t>
      </w:r>
      <w:r>
        <w:rPr>
          <w:szCs w:val="16"/>
        </w:rPr>
        <w:t>))</w:t>
      </w:r>
    </w:p>
  </w:footnote>
  <w:footnote w:id="1276">
    <w:p w:rsidR="00FD2727" w:rsidRDefault="00FD2727" w:rsidP="00267BCB">
      <w:pPr>
        <w:pStyle w:val="FootnoteText"/>
      </w:pPr>
      <w:r>
        <w:rPr>
          <w:rStyle w:val="FootnoteReference"/>
        </w:rPr>
        <w:footnoteRef/>
      </w:r>
      <w:r>
        <w:t xml:space="preserve"> </w:t>
      </w:r>
      <w:r w:rsidRPr="00BA271F">
        <w:t xml:space="preserve">In its opening statement at the second session of the oral hearing, the European Union recalled that the compliance panel in </w:t>
      </w:r>
      <w:r w:rsidRPr="003C7BB3">
        <w:rPr>
          <w:i/>
          <w:color w:val="000000"/>
          <w:szCs w:val="16"/>
        </w:rPr>
        <w:t>US – Large Civil Aircraft (2</w:t>
      </w:r>
      <w:r w:rsidRPr="003C7BB3">
        <w:rPr>
          <w:i/>
          <w:color w:val="000000"/>
          <w:szCs w:val="16"/>
          <w:vertAlign w:val="superscript"/>
        </w:rPr>
        <w:t>nd</w:t>
      </w:r>
      <w:r w:rsidRPr="003C7BB3">
        <w:rPr>
          <w:i/>
          <w:color w:val="000000"/>
          <w:szCs w:val="16"/>
        </w:rPr>
        <w:t xml:space="preserve"> complaint) (Article 21.5 – EU)</w:t>
      </w:r>
      <w:r w:rsidRPr="00BA271F">
        <w:t xml:space="preserve"> used the formulation "meaningful competitive constraints", rather than significant competitive constraints. </w:t>
      </w:r>
      <w:r w:rsidRPr="003E545A">
        <w:t>The European Union emphasized that what matters is not the adjective chosen to describe the requirement, provided that a panel's analysis properly takes into account the required nature and degree of competition between the products.</w:t>
      </w:r>
      <w:r>
        <w:t xml:space="preserve"> </w:t>
      </w:r>
    </w:p>
  </w:footnote>
  <w:footnote w:id="1277">
    <w:p w:rsidR="00FD2727" w:rsidRDefault="00FD2727">
      <w:pPr>
        <w:pStyle w:val="FootnoteText"/>
      </w:pPr>
      <w:r>
        <w:rPr>
          <w:rStyle w:val="FootnoteReference"/>
        </w:rPr>
        <w:footnoteRef/>
      </w:r>
      <w:r>
        <w:t xml:space="preserve"> European Union's opening statement at the second session of the oral hearing.</w:t>
      </w:r>
    </w:p>
  </w:footnote>
  <w:footnote w:id="1278">
    <w:p w:rsidR="00FD2727" w:rsidRDefault="00FD2727" w:rsidP="00267BCB">
      <w:pPr>
        <w:pStyle w:val="FootnoteText"/>
      </w:pPr>
      <w:r>
        <w:rPr>
          <w:rStyle w:val="FootnoteReference"/>
        </w:rPr>
        <w:footnoteRef/>
      </w:r>
      <w:r>
        <w:t xml:space="preserve"> European Union's opening statement at the second session of the oral hearing.</w:t>
      </w:r>
    </w:p>
  </w:footnote>
  <w:footnote w:id="1279">
    <w:p w:rsidR="00FD2727" w:rsidRPr="00DB6EEA" w:rsidRDefault="00FD2727">
      <w:pPr>
        <w:pStyle w:val="FootnoteText"/>
      </w:pPr>
      <w:r>
        <w:rPr>
          <w:rStyle w:val="FootnoteReference"/>
        </w:rPr>
        <w:footnoteRef/>
      </w:r>
      <w:r>
        <w:t xml:space="preserve"> </w:t>
      </w:r>
      <w:r w:rsidRPr="00D92844">
        <w:t xml:space="preserve">Appellate Body Report, </w:t>
      </w:r>
      <w:r w:rsidRPr="00D92844">
        <w:rPr>
          <w:i/>
        </w:rPr>
        <w:t>EC and certain member States</w:t>
      </w:r>
      <w:r>
        <w:rPr>
          <w:i/>
        </w:rPr>
        <w:t xml:space="preserve"> – </w:t>
      </w:r>
      <w:r w:rsidRPr="00D92844">
        <w:rPr>
          <w:i/>
        </w:rPr>
        <w:t>Large Civil Aircraft</w:t>
      </w:r>
      <w:r w:rsidRPr="00D92844">
        <w:t>,</w:t>
      </w:r>
      <w:r>
        <w:t xml:space="preserve"> para. 1134 and fn 2492 thereto.</w:t>
      </w:r>
    </w:p>
  </w:footnote>
  <w:footnote w:id="1280">
    <w:p w:rsidR="00FD2727" w:rsidRPr="002F2175" w:rsidRDefault="00FD2727" w:rsidP="00267BCB">
      <w:pPr>
        <w:pStyle w:val="FootnoteText"/>
        <w:rPr>
          <w:lang w:val="en-US"/>
        </w:rPr>
      </w:pPr>
      <w:r>
        <w:rPr>
          <w:rStyle w:val="FootnoteReference"/>
        </w:rPr>
        <w:footnoteRef/>
      </w:r>
      <w:r>
        <w:t xml:space="preserve"> </w:t>
      </w:r>
      <w:r w:rsidRPr="00D92844">
        <w:t>In this regard, we recall the Appellate Body's guidance that the identification of the relevant product market(s) "is likely to vary from case</w:t>
      </w:r>
      <w:r>
        <w:t xml:space="preserve"> </w:t>
      </w:r>
      <w:r w:rsidRPr="00D92844">
        <w:t>to</w:t>
      </w:r>
      <w:r>
        <w:t xml:space="preserve"> </w:t>
      </w:r>
      <w:r w:rsidRPr="00D92844">
        <w:t xml:space="preserve">case depending upon the particular factual circumstances". (Appellate Body Report, </w:t>
      </w:r>
      <w:r w:rsidRPr="00D92844">
        <w:rPr>
          <w:i/>
        </w:rPr>
        <w:t>EC and certain member States</w:t>
      </w:r>
      <w:r>
        <w:rPr>
          <w:i/>
        </w:rPr>
        <w:t xml:space="preserve"> – </w:t>
      </w:r>
      <w:r w:rsidRPr="00D92844">
        <w:rPr>
          <w:i/>
        </w:rPr>
        <w:t>Large Civil Aircraft</w:t>
      </w:r>
      <w:r w:rsidRPr="00D92844">
        <w:t>, para. 1123)</w:t>
      </w:r>
    </w:p>
  </w:footnote>
  <w:footnote w:id="1281">
    <w:p w:rsidR="00FD2727" w:rsidRDefault="00FD2727" w:rsidP="00267BCB">
      <w:pPr>
        <w:pStyle w:val="FootnoteText"/>
      </w:pPr>
      <w:r>
        <w:rPr>
          <w:rStyle w:val="FootnoteReference"/>
        </w:rPr>
        <w:footnoteRef/>
      </w:r>
      <w:r>
        <w:t xml:space="preserve"> European Union's response to questioning at the oral hearing.</w:t>
      </w:r>
    </w:p>
  </w:footnote>
  <w:footnote w:id="1282">
    <w:p w:rsidR="00FD2727" w:rsidRPr="002F2175" w:rsidRDefault="00FD2727" w:rsidP="00267BCB">
      <w:pPr>
        <w:pStyle w:val="FootnoteText"/>
        <w:rPr>
          <w:lang w:val="en-US"/>
        </w:rPr>
      </w:pPr>
      <w:r>
        <w:rPr>
          <w:rStyle w:val="FootnoteReference"/>
        </w:rPr>
        <w:footnoteRef/>
      </w:r>
      <w:r>
        <w:t xml:space="preserve"> </w:t>
      </w:r>
      <w:r w:rsidRPr="00D44E62">
        <w:t>Panel Report, para. 6.120</w:t>
      </w:r>
      <w:r>
        <w:t>4</w:t>
      </w:r>
      <w:r w:rsidRPr="00D44E62">
        <w:t>.</w:t>
      </w:r>
      <w:r>
        <w:t xml:space="preserve"> (emphasis original)</w:t>
      </w:r>
    </w:p>
  </w:footnote>
  <w:footnote w:id="1283">
    <w:p w:rsidR="00FD2727" w:rsidRPr="002F2175" w:rsidRDefault="00FD2727" w:rsidP="00267BCB">
      <w:pPr>
        <w:pStyle w:val="FootnoteText"/>
        <w:rPr>
          <w:lang w:val="en-US"/>
        </w:rPr>
      </w:pPr>
      <w:r>
        <w:rPr>
          <w:rStyle w:val="FootnoteReference"/>
        </w:rPr>
        <w:footnoteRef/>
      </w:r>
      <w:r>
        <w:t xml:space="preserve"> </w:t>
      </w:r>
      <w:r w:rsidRPr="00D44E62">
        <w:t xml:space="preserve">European Union's appellant's submission, para. 599 (referring to Panel Report, para. 6.1289), </w:t>
      </w:r>
      <w:r>
        <w:t>para. </w:t>
      </w:r>
      <w:r w:rsidRPr="00D44E62">
        <w:t xml:space="preserve">600 (referring to Panel Report, para. 6.1382), and </w:t>
      </w:r>
      <w:r>
        <w:t xml:space="preserve">para. </w:t>
      </w:r>
      <w:r w:rsidRPr="00D44E62">
        <w:t>601 (referring to Panel Report, paras. 6.1280, 6.1315, 6.1320, and 6.1348).</w:t>
      </w:r>
    </w:p>
  </w:footnote>
  <w:footnote w:id="1284">
    <w:p w:rsidR="00FD2727" w:rsidRPr="002F2175" w:rsidRDefault="00FD2727" w:rsidP="00267BCB">
      <w:pPr>
        <w:pStyle w:val="FootnoteText"/>
        <w:rPr>
          <w:lang w:val="en-US"/>
        </w:rPr>
      </w:pPr>
      <w:r>
        <w:rPr>
          <w:rStyle w:val="FootnoteReference"/>
        </w:rPr>
        <w:footnoteRef/>
      </w:r>
      <w:r>
        <w:t xml:space="preserve"> </w:t>
      </w:r>
      <w:r w:rsidRPr="00793859">
        <w:t xml:space="preserve">Appellate Body Report, </w:t>
      </w:r>
      <w:r w:rsidRPr="00793859">
        <w:rPr>
          <w:i/>
        </w:rPr>
        <w:t xml:space="preserve">EC and certain member States </w:t>
      </w:r>
      <w:r>
        <w:rPr>
          <w:i/>
        </w:rPr>
        <w:t>–</w:t>
      </w:r>
      <w:r w:rsidRPr="00793859">
        <w:rPr>
          <w:i/>
        </w:rPr>
        <w:t xml:space="preserve"> Large Civil Aircraft</w:t>
      </w:r>
      <w:r w:rsidRPr="00793859">
        <w:t xml:space="preserve">, para. 1119. </w:t>
      </w:r>
      <w:r>
        <w:t>The Appellate Body noted that a similar argument can be made with respect to impedance. (Ibid., fn 2466 thereto)</w:t>
      </w:r>
    </w:p>
  </w:footnote>
  <w:footnote w:id="1285">
    <w:p w:rsidR="00FD2727" w:rsidRPr="002F2175" w:rsidRDefault="00FD2727" w:rsidP="00267BCB">
      <w:pPr>
        <w:pStyle w:val="FootnoteText"/>
        <w:rPr>
          <w:lang w:val="en-US"/>
        </w:rPr>
      </w:pPr>
      <w:r>
        <w:rPr>
          <w:rStyle w:val="FootnoteReference"/>
        </w:rPr>
        <w:footnoteRef/>
      </w:r>
      <w:r>
        <w:t xml:space="preserve"> </w:t>
      </w:r>
      <w:r w:rsidRPr="00793859">
        <w:t xml:space="preserve">Appellate Body Report, </w:t>
      </w:r>
      <w:r w:rsidRPr="00793859">
        <w:rPr>
          <w:i/>
        </w:rPr>
        <w:t xml:space="preserve">EC and certain member States </w:t>
      </w:r>
      <w:r>
        <w:rPr>
          <w:i/>
        </w:rPr>
        <w:t>–</w:t>
      </w:r>
      <w:r w:rsidRPr="00793859">
        <w:rPr>
          <w:i/>
        </w:rPr>
        <w:t xml:space="preserve"> Large Civil Aircraft</w:t>
      </w:r>
      <w:r w:rsidRPr="00793859">
        <w:t>, para. 1136.</w:t>
      </w:r>
    </w:p>
  </w:footnote>
  <w:footnote w:id="1286">
    <w:p w:rsidR="00FD2727" w:rsidRPr="002F2175" w:rsidRDefault="00FD2727" w:rsidP="00267BCB">
      <w:pPr>
        <w:pStyle w:val="FootnoteText"/>
        <w:rPr>
          <w:lang w:val="en-US"/>
        </w:rPr>
      </w:pPr>
      <w:r>
        <w:rPr>
          <w:rStyle w:val="FootnoteReference"/>
        </w:rPr>
        <w:footnoteRef/>
      </w:r>
      <w:r>
        <w:t xml:space="preserve"> </w:t>
      </w:r>
      <w:r w:rsidRPr="00793859">
        <w:t xml:space="preserve">Appellate Body Report, </w:t>
      </w:r>
      <w:r w:rsidRPr="00793859">
        <w:rPr>
          <w:i/>
        </w:rPr>
        <w:t xml:space="preserve">EC and certain member States </w:t>
      </w:r>
      <w:r>
        <w:rPr>
          <w:i/>
        </w:rPr>
        <w:t>–</w:t>
      </w:r>
      <w:r w:rsidRPr="00793859">
        <w:rPr>
          <w:i/>
        </w:rPr>
        <w:t xml:space="preserve"> Large Civil Aircraft</w:t>
      </w:r>
      <w:r w:rsidRPr="00793859">
        <w:t>, para. 1136.</w:t>
      </w:r>
    </w:p>
  </w:footnote>
  <w:footnote w:id="1287">
    <w:p w:rsidR="00FD2727" w:rsidRDefault="00FD2727">
      <w:pPr>
        <w:pStyle w:val="FootnoteText"/>
      </w:pPr>
      <w:r>
        <w:rPr>
          <w:rStyle w:val="FootnoteReference"/>
        </w:rPr>
        <w:footnoteRef/>
      </w:r>
      <w:r>
        <w:t xml:space="preserve"> European Union's opening statement at the second session of the oral hearing.</w:t>
      </w:r>
    </w:p>
  </w:footnote>
  <w:footnote w:id="1288">
    <w:p w:rsidR="00FD2727" w:rsidRPr="002F2175" w:rsidRDefault="00FD2727" w:rsidP="00267BCB">
      <w:pPr>
        <w:pStyle w:val="FootnoteText"/>
        <w:rPr>
          <w:lang w:val="en-US"/>
        </w:rPr>
      </w:pPr>
      <w:r>
        <w:rPr>
          <w:rStyle w:val="FootnoteReference"/>
        </w:rPr>
        <w:footnoteRef/>
      </w:r>
      <w:r>
        <w:t xml:space="preserve"> </w:t>
      </w:r>
      <w:r w:rsidRPr="00D44E62">
        <w:t xml:space="preserve">Panel Report, para. 6.1210 (quoting Appellate Body Report, </w:t>
      </w:r>
      <w:r w:rsidRPr="00D44E62">
        <w:rPr>
          <w:i/>
        </w:rPr>
        <w:t>EC and certain member States</w:t>
      </w:r>
      <w:r>
        <w:rPr>
          <w:i/>
        </w:rPr>
        <w:t xml:space="preserve"> – </w:t>
      </w:r>
      <w:r w:rsidRPr="00D44E62">
        <w:rPr>
          <w:i/>
        </w:rPr>
        <w:t>Large Civil Aircraft</w:t>
      </w:r>
      <w:r w:rsidRPr="00D44E62">
        <w:t>, para. 1120).</w:t>
      </w:r>
      <w:r>
        <w:t xml:space="preserve"> </w:t>
      </w:r>
    </w:p>
  </w:footnote>
  <w:footnote w:id="1289">
    <w:p w:rsidR="00FD2727" w:rsidRDefault="00FD2727" w:rsidP="00267BCB">
      <w:pPr>
        <w:pStyle w:val="FootnoteText"/>
      </w:pPr>
      <w:r>
        <w:rPr>
          <w:rStyle w:val="FootnoteReference"/>
        </w:rPr>
        <w:footnoteRef/>
      </w:r>
      <w:r>
        <w:t xml:space="preserve"> Panel Report, para. 6.1178.</w:t>
      </w:r>
    </w:p>
  </w:footnote>
  <w:footnote w:id="1290">
    <w:p w:rsidR="00FD2727" w:rsidRPr="002F2175" w:rsidRDefault="00FD2727" w:rsidP="00267BCB">
      <w:pPr>
        <w:pStyle w:val="FootnoteText"/>
        <w:rPr>
          <w:lang w:val="en-US"/>
        </w:rPr>
      </w:pPr>
      <w:r>
        <w:rPr>
          <w:rStyle w:val="FootnoteReference"/>
        </w:rPr>
        <w:footnoteRef/>
      </w:r>
      <w:r>
        <w:t xml:space="preserve"> </w:t>
      </w:r>
      <w:r w:rsidRPr="00D44E62">
        <w:t>Panel Report, para. 6.1160. (emphasis original)</w:t>
      </w:r>
    </w:p>
  </w:footnote>
  <w:footnote w:id="1291">
    <w:p w:rsidR="00FD2727" w:rsidRPr="00D44E62" w:rsidRDefault="00FD2727" w:rsidP="00267BCB">
      <w:pPr>
        <w:pStyle w:val="FootnoteText"/>
        <w:keepLines/>
      </w:pPr>
      <w:r w:rsidRPr="00D44E62">
        <w:rPr>
          <w:rStyle w:val="FootnoteReference"/>
        </w:rPr>
        <w:footnoteRef/>
      </w:r>
      <w:r w:rsidRPr="00D44E62">
        <w:t xml:space="preserve"> European Union's appellant's submission, para. 599 (referring to Panel Report, para. 6.1289), </w:t>
      </w:r>
      <w:r>
        <w:t>para. </w:t>
      </w:r>
      <w:r w:rsidRPr="00D44E62">
        <w:t xml:space="preserve">600 (referring to Panel Report, para. 6.1382), and </w:t>
      </w:r>
      <w:r>
        <w:t xml:space="preserve">para. </w:t>
      </w:r>
      <w:r w:rsidRPr="00D44E62">
        <w:t>601 (referring to Panel Report, paras. 6.12</w:t>
      </w:r>
      <w:r>
        <w:t>80, 6.1315, 6.1320, and 6.1348)</w:t>
      </w:r>
      <w:r w:rsidRPr="00D44E62">
        <w:t>.</w:t>
      </w:r>
    </w:p>
  </w:footnote>
  <w:footnote w:id="1292">
    <w:p w:rsidR="00FD2727" w:rsidRPr="00D44E62" w:rsidRDefault="00FD2727" w:rsidP="00267BCB">
      <w:pPr>
        <w:pStyle w:val="FootnoteText"/>
        <w:keepLines/>
      </w:pPr>
      <w:r w:rsidRPr="00D44E62">
        <w:rPr>
          <w:rStyle w:val="FootnoteReference"/>
        </w:rPr>
        <w:footnoteRef/>
      </w:r>
      <w:r w:rsidRPr="00D44E62">
        <w:t xml:space="preserve"> European Union's appellant's submission, para. 599.</w:t>
      </w:r>
    </w:p>
  </w:footnote>
  <w:footnote w:id="1293">
    <w:p w:rsidR="00FD2727" w:rsidRPr="002F2175" w:rsidRDefault="00FD2727">
      <w:pPr>
        <w:pStyle w:val="FootnoteText"/>
        <w:rPr>
          <w:lang w:val="en-US"/>
        </w:rPr>
      </w:pPr>
      <w:r>
        <w:rPr>
          <w:rStyle w:val="FootnoteReference"/>
        </w:rPr>
        <w:footnoteRef/>
      </w:r>
      <w:r>
        <w:t xml:space="preserve"> </w:t>
      </w:r>
      <w:r w:rsidRPr="00D44E62">
        <w:t>Panel Report, paras. 6.1238, 6.1294, and 6.1372.</w:t>
      </w:r>
    </w:p>
  </w:footnote>
  <w:footnote w:id="1294">
    <w:p w:rsidR="00FD2727" w:rsidRPr="002F2175" w:rsidRDefault="00FD2727">
      <w:pPr>
        <w:pStyle w:val="FootnoteText"/>
        <w:rPr>
          <w:lang w:val="en-US"/>
        </w:rPr>
      </w:pPr>
      <w:r>
        <w:rPr>
          <w:rStyle w:val="FootnoteReference"/>
        </w:rPr>
        <w:footnoteRef/>
      </w:r>
      <w:r>
        <w:t xml:space="preserve"> </w:t>
      </w:r>
      <w:r w:rsidRPr="00D44E62">
        <w:t>Panel Report, paras. 6.1238, 6.1294, and 6.1372.</w:t>
      </w:r>
    </w:p>
  </w:footnote>
  <w:footnote w:id="1295">
    <w:p w:rsidR="00FD2727" w:rsidRPr="002F2175" w:rsidRDefault="00FD2727">
      <w:pPr>
        <w:pStyle w:val="FootnoteText"/>
        <w:rPr>
          <w:lang w:val="en-US"/>
        </w:rPr>
      </w:pPr>
      <w:r>
        <w:rPr>
          <w:rStyle w:val="FootnoteReference"/>
        </w:rPr>
        <w:footnoteRef/>
      </w:r>
      <w:r>
        <w:t xml:space="preserve"> </w:t>
      </w:r>
      <w:r w:rsidRPr="00D44E62">
        <w:t>European Union's appellant's submission, para. 599 (quoting Panel Report, para. 6.1289</w:t>
      </w:r>
      <w:r>
        <w:t>). (emphasis original)</w:t>
      </w:r>
    </w:p>
  </w:footnote>
  <w:footnote w:id="1296">
    <w:p w:rsidR="00FD2727" w:rsidRPr="002F2175" w:rsidRDefault="00FD2727">
      <w:pPr>
        <w:pStyle w:val="FootnoteText"/>
        <w:rPr>
          <w:lang w:val="en-US"/>
        </w:rPr>
      </w:pPr>
      <w:r>
        <w:rPr>
          <w:rStyle w:val="FootnoteReference"/>
        </w:rPr>
        <w:footnoteRef/>
      </w:r>
      <w:r>
        <w:t xml:space="preserve"> </w:t>
      </w:r>
      <w:r w:rsidRPr="00D44E62">
        <w:t>European Union's appellant's submission, para. 597 (referring to Panel Report, paras. 6.1210, 6.1211, 6.1236, 6.1289, and 6.1382). (emphasis original)</w:t>
      </w:r>
    </w:p>
  </w:footnote>
  <w:footnote w:id="1297">
    <w:p w:rsidR="00FD2727" w:rsidRDefault="00FD2727" w:rsidP="00267BCB">
      <w:pPr>
        <w:pStyle w:val="FootnoteText"/>
      </w:pPr>
      <w:r>
        <w:rPr>
          <w:rStyle w:val="FootnoteReference"/>
        </w:rPr>
        <w:footnoteRef/>
      </w:r>
      <w:r>
        <w:t xml:space="preserve"> United States' appellee's submission, para. 330. </w:t>
      </w:r>
    </w:p>
  </w:footnote>
  <w:footnote w:id="1298">
    <w:p w:rsidR="00FD2727" w:rsidRDefault="00FD2727" w:rsidP="00267BCB">
      <w:pPr>
        <w:pStyle w:val="FootnoteText"/>
      </w:pPr>
      <w:r>
        <w:rPr>
          <w:rStyle w:val="FootnoteReference"/>
        </w:rPr>
        <w:footnoteRef/>
      </w:r>
      <w:r>
        <w:t xml:space="preserve"> United States' appellee's submission, para. 329 (quoting Panel Report, para. 6.1289). (emphasis original)</w:t>
      </w:r>
    </w:p>
  </w:footnote>
  <w:footnote w:id="1299">
    <w:p w:rsidR="00FD2727" w:rsidRPr="002F2175" w:rsidRDefault="00FD2727">
      <w:pPr>
        <w:pStyle w:val="FootnoteText"/>
        <w:rPr>
          <w:lang w:val="en-US"/>
        </w:rPr>
      </w:pPr>
      <w:r>
        <w:rPr>
          <w:rStyle w:val="FootnoteReference"/>
        </w:rPr>
        <w:footnoteRef/>
      </w:r>
      <w:r>
        <w:t xml:space="preserve"> </w:t>
      </w:r>
      <w:r w:rsidRPr="00D44E62">
        <w:t>Panel Report, para. 6.1416.</w:t>
      </w:r>
      <w:r>
        <w:t xml:space="preserve"> (emphasis added)</w:t>
      </w:r>
    </w:p>
  </w:footnote>
  <w:footnote w:id="1300">
    <w:p w:rsidR="00FD2727" w:rsidRPr="002F2175" w:rsidRDefault="00FD2727">
      <w:pPr>
        <w:pStyle w:val="FootnoteText"/>
        <w:rPr>
          <w:lang w:val="en-US"/>
        </w:rPr>
      </w:pPr>
      <w:r>
        <w:rPr>
          <w:rStyle w:val="FootnoteReference"/>
        </w:rPr>
        <w:footnoteRef/>
      </w:r>
      <w:r>
        <w:t xml:space="preserve"> </w:t>
      </w:r>
      <w:r w:rsidRPr="00D44E62">
        <w:t>Panel Report, para. 6.1416. (emphasis original; fn omitted)</w:t>
      </w:r>
    </w:p>
  </w:footnote>
  <w:footnote w:id="1301">
    <w:p w:rsidR="00FD2727" w:rsidRPr="002F2175" w:rsidRDefault="00FD2727">
      <w:pPr>
        <w:pStyle w:val="FootnoteText"/>
        <w:rPr>
          <w:lang w:val="en-US"/>
        </w:rPr>
      </w:pPr>
      <w:r>
        <w:rPr>
          <w:rStyle w:val="FootnoteReference"/>
        </w:rPr>
        <w:footnoteRef/>
      </w:r>
      <w:r>
        <w:t xml:space="preserve"> </w:t>
      </w:r>
      <w:r w:rsidRPr="00D44E62">
        <w:t>Panel Report, para. 6.1416. (</w:t>
      </w:r>
      <w:r>
        <w:t xml:space="preserve">emphasis added; </w:t>
      </w:r>
      <w:r w:rsidRPr="00D44E62">
        <w:t>fn omitted)</w:t>
      </w:r>
    </w:p>
  </w:footnote>
  <w:footnote w:id="1302">
    <w:p w:rsidR="00FD2727" w:rsidRPr="002F2175" w:rsidRDefault="00FD2727">
      <w:pPr>
        <w:pStyle w:val="FootnoteText"/>
        <w:rPr>
          <w:lang w:val="en-US"/>
        </w:rPr>
      </w:pPr>
      <w:r>
        <w:rPr>
          <w:rStyle w:val="FootnoteReference"/>
        </w:rPr>
        <w:footnoteRef/>
      </w:r>
      <w:r>
        <w:t xml:space="preserve"> </w:t>
      </w:r>
      <w:r w:rsidRPr="00D92844">
        <w:t>Panel Report, para. 6.1244</w:t>
      </w:r>
      <w:r>
        <w:t>.</w:t>
      </w:r>
    </w:p>
  </w:footnote>
  <w:footnote w:id="1303">
    <w:p w:rsidR="00FD2727" w:rsidRPr="002F2175" w:rsidRDefault="00FD2727">
      <w:pPr>
        <w:pStyle w:val="FootnoteText"/>
        <w:rPr>
          <w:lang w:val="en-US"/>
        </w:rPr>
      </w:pPr>
      <w:r>
        <w:rPr>
          <w:rStyle w:val="FootnoteReference"/>
        </w:rPr>
        <w:footnoteRef/>
      </w:r>
      <w:r>
        <w:t xml:space="preserve"> </w:t>
      </w:r>
      <w:r w:rsidRPr="00D92844">
        <w:t>Panel Report, para. 6.1287. See also para. 6.1246.</w:t>
      </w:r>
    </w:p>
  </w:footnote>
  <w:footnote w:id="1304">
    <w:p w:rsidR="00FD2727" w:rsidRPr="002F2175" w:rsidRDefault="00FD2727">
      <w:pPr>
        <w:pStyle w:val="FootnoteText"/>
        <w:rPr>
          <w:lang w:val="en-US"/>
        </w:rPr>
      </w:pPr>
      <w:r>
        <w:rPr>
          <w:rStyle w:val="FootnoteReference"/>
        </w:rPr>
        <w:footnoteRef/>
      </w:r>
      <w:r>
        <w:t xml:space="preserve"> </w:t>
      </w:r>
      <w:r w:rsidRPr="00D92844">
        <w:t>Panel Report, para. 6.1287. (emphasis original)</w:t>
      </w:r>
    </w:p>
  </w:footnote>
  <w:footnote w:id="1305">
    <w:p w:rsidR="00FD2727" w:rsidRPr="002F2175" w:rsidRDefault="00FD2727">
      <w:pPr>
        <w:pStyle w:val="FootnoteText"/>
        <w:rPr>
          <w:lang w:val="en-US"/>
        </w:rPr>
      </w:pPr>
      <w:r>
        <w:rPr>
          <w:rStyle w:val="FootnoteReference"/>
        </w:rPr>
        <w:footnoteRef/>
      </w:r>
      <w:r>
        <w:t xml:space="preserve"> </w:t>
      </w:r>
      <w:r w:rsidRPr="00D92844">
        <w:t>Panel Report, para. 6.1237.</w:t>
      </w:r>
    </w:p>
  </w:footnote>
  <w:footnote w:id="1306">
    <w:p w:rsidR="00FD2727" w:rsidRPr="002F2175" w:rsidRDefault="00FD2727">
      <w:pPr>
        <w:pStyle w:val="FootnoteText"/>
        <w:rPr>
          <w:lang w:val="en-US"/>
        </w:rPr>
      </w:pPr>
      <w:r>
        <w:rPr>
          <w:rStyle w:val="FootnoteReference"/>
        </w:rPr>
        <w:footnoteRef/>
      </w:r>
      <w:r>
        <w:t xml:space="preserve"> See </w:t>
      </w:r>
      <w:r w:rsidRPr="00D92844">
        <w:t xml:space="preserve">Appellate Body Report, </w:t>
      </w:r>
      <w:r w:rsidRPr="00D92844">
        <w:rPr>
          <w:i/>
        </w:rPr>
        <w:t xml:space="preserve">EC and certain member States </w:t>
      </w:r>
      <w:r>
        <w:rPr>
          <w:i/>
        </w:rPr>
        <w:t>–</w:t>
      </w:r>
      <w:r w:rsidRPr="00D92844">
        <w:rPr>
          <w:i/>
        </w:rPr>
        <w:t xml:space="preserve"> Large Civil Aircraft</w:t>
      </w:r>
      <w:r w:rsidRPr="00D92844">
        <w:t>,</w:t>
      </w:r>
      <w:r w:rsidRPr="00D44E62">
        <w:t xml:space="preserve"> paras. 1120</w:t>
      </w:r>
      <w:r w:rsidRPr="00D44E62">
        <w:noBreakHyphen/>
        <w:t>1122 and 1134.</w:t>
      </w:r>
    </w:p>
  </w:footnote>
  <w:footnote w:id="1307">
    <w:p w:rsidR="00FD2727" w:rsidRDefault="00FD2727" w:rsidP="00267BCB">
      <w:pPr>
        <w:pStyle w:val="FootnoteText"/>
      </w:pPr>
      <w:r>
        <w:rPr>
          <w:rStyle w:val="FootnoteReference"/>
        </w:rPr>
        <w:footnoteRef/>
      </w:r>
      <w:r>
        <w:t xml:space="preserve"> </w:t>
      </w:r>
      <w:r w:rsidRPr="00D44E62">
        <w:t>Panel Report, para. 6.1237 (referring to European Union's first written submission to the Panel, paras. 600-606; Mourey Statement (Panel Exhibit EU-8</w:t>
      </w:r>
      <w:r>
        <w:t xml:space="preserve"> (BCI))</w:t>
      </w:r>
      <w:r w:rsidRPr="00D44E62">
        <w:t>, paras. 75-84).</w:t>
      </w:r>
    </w:p>
  </w:footnote>
  <w:footnote w:id="1308">
    <w:p w:rsidR="00FD2727" w:rsidRPr="002F2175" w:rsidRDefault="00FD2727">
      <w:pPr>
        <w:pStyle w:val="FootnoteText"/>
        <w:rPr>
          <w:lang w:val="en-US"/>
        </w:rPr>
      </w:pPr>
      <w:r>
        <w:rPr>
          <w:rStyle w:val="FootnoteReference"/>
        </w:rPr>
        <w:footnoteRef/>
      </w:r>
      <w:r>
        <w:t xml:space="preserve"> </w:t>
      </w:r>
      <w:r w:rsidRPr="00D44E62">
        <w:t xml:space="preserve">Panel Report, para. 6.1249 (referring to </w:t>
      </w:r>
      <w:r>
        <w:t xml:space="preserve">Bair Declaration </w:t>
      </w:r>
      <w:r w:rsidRPr="00D44E62">
        <w:t>(Panel Exhibit USA-339</w:t>
      </w:r>
      <w:r>
        <w:t xml:space="preserve"> (BCI))</w:t>
      </w:r>
      <w:r w:rsidRPr="00D44E62">
        <w:t>, paras. 27 and 29</w:t>
      </w:r>
      <w:r>
        <w:t>; United States' response to Panel question No. 63</w:t>
      </w:r>
      <w:r w:rsidRPr="00D44E62">
        <w:t>). (emphasis added) We note that Bair uses the phrase "</w:t>
      </w:r>
      <w:r w:rsidRPr="007E4D57">
        <w:t>significant competitive relationships</w:t>
      </w:r>
      <w:r w:rsidRPr="00D44E62">
        <w:t>"</w:t>
      </w:r>
      <w:r w:rsidRPr="00D44E62">
        <w:rPr>
          <w:b/>
        </w:rPr>
        <w:t xml:space="preserve"> </w:t>
      </w:r>
      <w:r w:rsidRPr="00D44E62">
        <w:t>to describe the competition between the 737NG, 737MAX, A320ceo, and A320neo. (Bair Declaration (Panel Exhibi</w:t>
      </w:r>
      <w:r>
        <w:t>t USA-339 (BCI)), paras. 27 and </w:t>
      </w:r>
      <w:r w:rsidRPr="00D44E62">
        <w:t>29)</w:t>
      </w:r>
    </w:p>
  </w:footnote>
  <w:footnote w:id="1309">
    <w:p w:rsidR="00FD2727" w:rsidRPr="002F2175" w:rsidRDefault="00FD2727">
      <w:pPr>
        <w:pStyle w:val="FootnoteText"/>
        <w:rPr>
          <w:lang w:val="en-US"/>
        </w:rPr>
      </w:pPr>
      <w:r>
        <w:rPr>
          <w:rStyle w:val="FootnoteReference"/>
        </w:rPr>
        <w:footnoteRef/>
      </w:r>
      <w:r>
        <w:t xml:space="preserve"> </w:t>
      </w:r>
      <w:r w:rsidRPr="00D44E62">
        <w:t>Panel Report, para. 6.1252.</w:t>
      </w:r>
    </w:p>
  </w:footnote>
  <w:footnote w:id="1310">
    <w:p w:rsidR="00FD2727" w:rsidRPr="002F2175" w:rsidRDefault="00FD2727">
      <w:pPr>
        <w:pStyle w:val="FootnoteText"/>
        <w:rPr>
          <w:lang w:val="en-US"/>
        </w:rPr>
      </w:pPr>
      <w:r>
        <w:rPr>
          <w:rStyle w:val="FootnoteReference"/>
        </w:rPr>
        <w:footnoteRef/>
      </w:r>
      <w:r>
        <w:t xml:space="preserve"> </w:t>
      </w:r>
      <w:r w:rsidRPr="00D44E62">
        <w:t>Panel Report, para. 6.1252.</w:t>
      </w:r>
    </w:p>
  </w:footnote>
  <w:footnote w:id="1311">
    <w:p w:rsidR="00FD2727" w:rsidRPr="002F2175" w:rsidRDefault="00FD2727">
      <w:pPr>
        <w:pStyle w:val="FootnoteText"/>
        <w:rPr>
          <w:lang w:val="en-US"/>
        </w:rPr>
      </w:pPr>
      <w:r>
        <w:rPr>
          <w:rStyle w:val="FootnoteReference"/>
        </w:rPr>
        <w:footnoteRef/>
      </w:r>
      <w:r>
        <w:t xml:space="preserve"> </w:t>
      </w:r>
      <w:r w:rsidRPr="00D44E62">
        <w:t>Panel Report, para. 6.1252 (quoting Bair Declaration (Panel Exhibit USA-339</w:t>
      </w:r>
      <w:r>
        <w:t xml:space="preserve"> (BCI))</w:t>
      </w:r>
      <w:r w:rsidRPr="00D44E62">
        <w:t>, para. 27 (emphasis added by the Panel</w:t>
      </w:r>
      <w:r>
        <w:t>)).</w:t>
      </w:r>
    </w:p>
  </w:footnote>
  <w:footnote w:id="1312">
    <w:p w:rsidR="00FD2727" w:rsidRPr="002F2175" w:rsidRDefault="00FD2727">
      <w:pPr>
        <w:pStyle w:val="FootnoteText"/>
        <w:rPr>
          <w:lang w:val="en-US"/>
        </w:rPr>
      </w:pPr>
      <w:r>
        <w:rPr>
          <w:rStyle w:val="FootnoteReference"/>
        </w:rPr>
        <w:footnoteRef/>
      </w:r>
      <w:r>
        <w:t xml:space="preserve"> </w:t>
      </w:r>
      <w:r w:rsidRPr="00D44E62">
        <w:t xml:space="preserve">Panel Report, para. 6.1252 (quoting </w:t>
      </w:r>
      <w:r w:rsidRPr="002674CA">
        <w:t>Supplemental Mourey Statement</w:t>
      </w:r>
      <w:r>
        <w:t xml:space="preserve"> (Panel Exhibit EU-124 (BCI/HSBI))</w:t>
      </w:r>
      <w:r w:rsidRPr="00D44E62">
        <w:t>, para. 23 (emphasis added by the Panel</w:t>
      </w:r>
      <w:r>
        <w:t>)).</w:t>
      </w:r>
      <w:r w:rsidRPr="00151237">
        <w:t xml:space="preserve"> </w:t>
      </w:r>
      <w:r>
        <w:t>(additional fn omitted)</w:t>
      </w:r>
    </w:p>
  </w:footnote>
  <w:footnote w:id="1313">
    <w:p w:rsidR="00FD2727" w:rsidRPr="002F2175" w:rsidRDefault="00FD2727">
      <w:pPr>
        <w:pStyle w:val="FootnoteText"/>
        <w:rPr>
          <w:lang w:val="en-US"/>
        </w:rPr>
      </w:pPr>
      <w:r>
        <w:rPr>
          <w:rStyle w:val="FootnoteReference"/>
        </w:rPr>
        <w:footnoteRef/>
      </w:r>
      <w:r>
        <w:t xml:space="preserve"> </w:t>
      </w:r>
      <w:r w:rsidRPr="00D44E62">
        <w:t>Panel Report, para. 6.1251 (referring to European Union's comments on the United States' response to Panel question No. 63, paras. 509</w:t>
      </w:r>
      <w:r>
        <w:t>-</w:t>
      </w:r>
      <w:r w:rsidRPr="00D44E62">
        <w:t>510).</w:t>
      </w:r>
    </w:p>
  </w:footnote>
  <w:footnote w:id="1314">
    <w:p w:rsidR="00FD2727" w:rsidRPr="002F2175" w:rsidRDefault="00FD2727">
      <w:pPr>
        <w:pStyle w:val="FootnoteText"/>
        <w:rPr>
          <w:lang w:val="en-US"/>
        </w:rPr>
      </w:pPr>
      <w:r>
        <w:rPr>
          <w:rStyle w:val="FootnoteReference"/>
        </w:rPr>
        <w:footnoteRef/>
      </w:r>
      <w:r>
        <w:t xml:space="preserve"> </w:t>
      </w:r>
      <w:r w:rsidRPr="00D44E62">
        <w:t>Panel Report, para. 6.1251.</w:t>
      </w:r>
    </w:p>
  </w:footnote>
  <w:footnote w:id="1315">
    <w:p w:rsidR="00FD2727" w:rsidRPr="002F2175" w:rsidRDefault="00FD2727">
      <w:pPr>
        <w:pStyle w:val="FootnoteText"/>
        <w:rPr>
          <w:lang w:val="en-US"/>
        </w:rPr>
      </w:pPr>
      <w:r>
        <w:rPr>
          <w:rStyle w:val="FootnoteReference"/>
        </w:rPr>
        <w:footnoteRef/>
      </w:r>
      <w:r>
        <w:t xml:space="preserve"> </w:t>
      </w:r>
      <w:r w:rsidRPr="00D44E62">
        <w:t>Panel Report, para. 6.1260.</w:t>
      </w:r>
      <w:r>
        <w:t xml:space="preserve"> (fn omitted)</w:t>
      </w:r>
    </w:p>
  </w:footnote>
  <w:footnote w:id="1316">
    <w:p w:rsidR="00FD2727" w:rsidRPr="002F2175" w:rsidRDefault="00FD2727">
      <w:pPr>
        <w:pStyle w:val="FootnoteText"/>
        <w:rPr>
          <w:lang w:val="en-US"/>
        </w:rPr>
      </w:pPr>
      <w:r>
        <w:rPr>
          <w:rStyle w:val="FootnoteReference"/>
        </w:rPr>
        <w:footnoteRef/>
      </w:r>
      <w:r>
        <w:t xml:space="preserve"> </w:t>
      </w:r>
      <w:r w:rsidRPr="00D44E62">
        <w:t xml:space="preserve">Panel Report, para. 6.1264 (referring to </w:t>
      </w:r>
      <w:r>
        <w:t xml:space="preserve">para. </w:t>
      </w:r>
      <w:r w:rsidRPr="00D44E62">
        <w:t>6.1217).</w:t>
      </w:r>
    </w:p>
  </w:footnote>
  <w:footnote w:id="1317">
    <w:p w:rsidR="00FD2727" w:rsidRPr="002F2175" w:rsidRDefault="00FD2727">
      <w:pPr>
        <w:pStyle w:val="FootnoteText"/>
        <w:rPr>
          <w:lang w:val="en-US"/>
        </w:rPr>
      </w:pPr>
      <w:r>
        <w:rPr>
          <w:rStyle w:val="FootnoteReference"/>
        </w:rPr>
        <w:footnoteRef/>
      </w:r>
      <w:r>
        <w:t xml:space="preserve"> </w:t>
      </w:r>
      <w:r w:rsidRPr="00D44E62">
        <w:t>Panel Report, para. 6.1264. (emphasis original)</w:t>
      </w:r>
    </w:p>
  </w:footnote>
  <w:footnote w:id="1318">
    <w:p w:rsidR="00FD2727" w:rsidRPr="002F2175" w:rsidRDefault="00FD2727" w:rsidP="00267BCB">
      <w:pPr>
        <w:pStyle w:val="FootnoteText"/>
        <w:rPr>
          <w:lang w:val="en-US"/>
        </w:rPr>
      </w:pPr>
      <w:r>
        <w:rPr>
          <w:rStyle w:val="FootnoteReference"/>
        </w:rPr>
        <w:footnoteRef/>
      </w:r>
      <w:r>
        <w:t xml:space="preserve"> </w:t>
      </w:r>
      <w:r w:rsidRPr="00D44E62">
        <w:t>Panel Report, para. 6.1265. (emphasis added)</w:t>
      </w:r>
    </w:p>
  </w:footnote>
  <w:footnote w:id="1319">
    <w:p w:rsidR="00FD2727" w:rsidRPr="002F2175" w:rsidRDefault="00FD2727">
      <w:pPr>
        <w:pStyle w:val="FootnoteText"/>
        <w:rPr>
          <w:lang w:val="en-US"/>
        </w:rPr>
      </w:pPr>
      <w:r>
        <w:rPr>
          <w:rStyle w:val="FootnoteReference"/>
        </w:rPr>
        <w:footnoteRef/>
      </w:r>
      <w:r>
        <w:t xml:space="preserve"> </w:t>
      </w:r>
      <w:r w:rsidRPr="00D44E62">
        <w:t>Panel Report, para. 6.1265. (emphasis added)</w:t>
      </w:r>
    </w:p>
  </w:footnote>
  <w:footnote w:id="1320">
    <w:p w:rsidR="00FD2727" w:rsidRPr="002F2175" w:rsidRDefault="00FD2727">
      <w:pPr>
        <w:pStyle w:val="FootnoteText"/>
        <w:rPr>
          <w:lang w:val="en-US"/>
        </w:rPr>
      </w:pPr>
      <w:r>
        <w:rPr>
          <w:rStyle w:val="FootnoteReference"/>
        </w:rPr>
        <w:footnoteRef/>
      </w:r>
      <w:r>
        <w:t xml:space="preserve"> </w:t>
      </w:r>
      <w:r w:rsidRPr="00D44E62">
        <w:t>Panel Report, para. 6.1289.</w:t>
      </w:r>
    </w:p>
  </w:footnote>
  <w:footnote w:id="1321">
    <w:p w:rsidR="00FD2727" w:rsidRPr="002F2175" w:rsidRDefault="00FD2727">
      <w:pPr>
        <w:pStyle w:val="FootnoteText"/>
        <w:rPr>
          <w:lang w:val="en-US"/>
        </w:rPr>
      </w:pPr>
      <w:r>
        <w:rPr>
          <w:rStyle w:val="FootnoteReference"/>
        </w:rPr>
        <w:footnoteRef/>
      </w:r>
      <w:r>
        <w:t xml:space="preserve"> </w:t>
      </w:r>
      <w:r w:rsidRPr="00D44E62">
        <w:t>Panel Report, para. 6.1289. (emphasis original)</w:t>
      </w:r>
    </w:p>
  </w:footnote>
  <w:footnote w:id="1322">
    <w:p w:rsidR="00FD2727" w:rsidRPr="002F2175" w:rsidRDefault="00FD2727">
      <w:pPr>
        <w:pStyle w:val="FootnoteText"/>
        <w:rPr>
          <w:lang w:val="en-US"/>
        </w:rPr>
      </w:pPr>
      <w:r>
        <w:rPr>
          <w:rStyle w:val="FootnoteReference"/>
        </w:rPr>
        <w:footnoteRef/>
      </w:r>
      <w:r>
        <w:t xml:space="preserve"> </w:t>
      </w:r>
      <w:r w:rsidRPr="00D44E62">
        <w:t>Panel Report, para. 6.1290. (emphasis added)</w:t>
      </w:r>
    </w:p>
  </w:footnote>
  <w:footnote w:id="1323">
    <w:p w:rsidR="00FD2727" w:rsidRPr="002F2175" w:rsidRDefault="00FD2727">
      <w:pPr>
        <w:pStyle w:val="FootnoteText"/>
        <w:rPr>
          <w:lang w:val="en-US"/>
        </w:rPr>
      </w:pPr>
      <w:r>
        <w:rPr>
          <w:rStyle w:val="FootnoteReference"/>
        </w:rPr>
        <w:footnoteRef/>
      </w:r>
      <w:r>
        <w:t xml:space="preserve"> </w:t>
      </w:r>
      <w:r w:rsidRPr="00D44E62">
        <w:t>Panel Report, para. 6.1280.</w:t>
      </w:r>
      <w:r>
        <w:t xml:space="preserve"> (emphasis added)</w:t>
      </w:r>
    </w:p>
  </w:footnote>
  <w:footnote w:id="1324">
    <w:p w:rsidR="00FD2727" w:rsidRPr="002F2175" w:rsidRDefault="00FD2727">
      <w:pPr>
        <w:pStyle w:val="FootnoteText"/>
        <w:rPr>
          <w:lang w:val="en-US"/>
        </w:rPr>
      </w:pPr>
      <w:r>
        <w:rPr>
          <w:rStyle w:val="FootnoteReference"/>
        </w:rPr>
        <w:footnoteRef/>
      </w:r>
      <w:r>
        <w:t xml:space="preserve"> </w:t>
      </w:r>
      <w:r w:rsidRPr="00D44E62">
        <w:t>Panel Report, para. 6.1280. (emphasis added) We recall that</w:t>
      </w:r>
      <w:r>
        <w:t>,</w:t>
      </w:r>
      <w:r w:rsidRPr="00D44E62">
        <w:t xml:space="preserve"> while assessing the general conditions of competition in the LCA industry, the Panel considered that</w:t>
      </w:r>
      <w:r>
        <w:t>,</w:t>
      </w:r>
      <w:r w:rsidRPr="00D44E62">
        <w:t xml:space="preserve"> as in the original proceedings, technological innovation remained a key element of the competition between Airbus and Boeing. (</w:t>
      </w:r>
      <w:r>
        <w:t>Ibid.</w:t>
      </w:r>
      <w:r w:rsidRPr="00D44E62">
        <w:t>, para. 6.1220)</w:t>
      </w:r>
    </w:p>
  </w:footnote>
  <w:footnote w:id="1325">
    <w:p w:rsidR="00FD2727" w:rsidRPr="002F2175" w:rsidRDefault="00FD2727">
      <w:pPr>
        <w:pStyle w:val="FootnoteText"/>
        <w:rPr>
          <w:lang w:val="en-US"/>
        </w:rPr>
      </w:pPr>
      <w:r>
        <w:rPr>
          <w:rStyle w:val="FootnoteReference"/>
        </w:rPr>
        <w:footnoteRef/>
      </w:r>
      <w:r>
        <w:t xml:space="preserve"> </w:t>
      </w:r>
      <w:r w:rsidRPr="00D44E62">
        <w:t>Panel Report, para. 6.1280. (emphasis original)</w:t>
      </w:r>
    </w:p>
  </w:footnote>
  <w:footnote w:id="1326">
    <w:p w:rsidR="00FD2727" w:rsidRPr="002F2175" w:rsidRDefault="00FD2727">
      <w:pPr>
        <w:pStyle w:val="FootnoteText"/>
        <w:rPr>
          <w:lang w:val="en-US"/>
        </w:rPr>
      </w:pPr>
      <w:r>
        <w:rPr>
          <w:rStyle w:val="FootnoteReference"/>
        </w:rPr>
        <w:footnoteRef/>
      </w:r>
      <w:r>
        <w:t xml:space="preserve"> </w:t>
      </w:r>
      <w:r w:rsidRPr="00D44E62">
        <w:t>Panel Report, para. 6.1280.</w:t>
      </w:r>
    </w:p>
  </w:footnote>
  <w:footnote w:id="1327">
    <w:p w:rsidR="00FD2727" w:rsidRPr="002F2175" w:rsidRDefault="00FD2727">
      <w:pPr>
        <w:pStyle w:val="FootnoteText"/>
        <w:rPr>
          <w:lang w:val="en-US"/>
        </w:rPr>
      </w:pPr>
      <w:r>
        <w:rPr>
          <w:rStyle w:val="FootnoteReference"/>
        </w:rPr>
        <w:footnoteRef/>
      </w:r>
      <w:r>
        <w:t xml:space="preserve"> </w:t>
      </w:r>
      <w:r w:rsidRPr="00D44E62">
        <w:t>Panel Report, para. 6.1289. (</w:t>
      </w:r>
      <w:r>
        <w:t>italics</w:t>
      </w:r>
      <w:r w:rsidRPr="00D44E62">
        <w:t xml:space="preserve"> original; underlining added)</w:t>
      </w:r>
    </w:p>
  </w:footnote>
  <w:footnote w:id="1328">
    <w:p w:rsidR="00FD2727" w:rsidRDefault="00FD2727" w:rsidP="00267BCB">
      <w:pPr>
        <w:pStyle w:val="FootnoteText"/>
      </w:pPr>
      <w:r>
        <w:rPr>
          <w:rStyle w:val="FootnoteReference"/>
        </w:rPr>
        <w:footnoteRef/>
      </w:r>
      <w:r>
        <w:t xml:space="preserve"> Panel Report, para. 6.1416. (emphasis added)</w:t>
      </w:r>
    </w:p>
  </w:footnote>
  <w:footnote w:id="1329">
    <w:p w:rsidR="00FD2727" w:rsidRPr="002F2175" w:rsidRDefault="00FD2727">
      <w:pPr>
        <w:pStyle w:val="FootnoteText"/>
        <w:rPr>
          <w:lang w:val="en-US"/>
        </w:rPr>
      </w:pPr>
      <w:r>
        <w:rPr>
          <w:rStyle w:val="FootnoteReference"/>
        </w:rPr>
        <w:footnoteRef/>
      </w:r>
      <w:r>
        <w:t xml:space="preserve"> </w:t>
      </w:r>
      <w:r w:rsidRPr="00D44E62">
        <w:t>Panel Report, para. 6.1286. (emphasis added)</w:t>
      </w:r>
    </w:p>
  </w:footnote>
  <w:footnote w:id="1330">
    <w:p w:rsidR="00FD2727" w:rsidRPr="002F2175" w:rsidRDefault="00FD2727">
      <w:pPr>
        <w:pStyle w:val="FootnoteText"/>
        <w:rPr>
          <w:lang w:val="en-US"/>
        </w:rPr>
      </w:pPr>
      <w:r>
        <w:rPr>
          <w:rStyle w:val="FootnoteReference"/>
        </w:rPr>
        <w:footnoteRef/>
      </w:r>
      <w:r>
        <w:t xml:space="preserve"> </w:t>
      </w:r>
      <w:r w:rsidRPr="00D44E62">
        <w:t>Panel Report, para. 6.1286.</w:t>
      </w:r>
    </w:p>
  </w:footnote>
  <w:footnote w:id="1331">
    <w:p w:rsidR="00FD2727" w:rsidRPr="002F2175" w:rsidRDefault="00FD2727">
      <w:pPr>
        <w:pStyle w:val="FootnoteText"/>
        <w:rPr>
          <w:lang w:val="en-US"/>
        </w:rPr>
      </w:pPr>
      <w:r>
        <w:rPr>
          <w:rStyle w:val="FootnoteReference"/>
        </w:rPr>
        <w:footnoteRef/>
      </w:r>
      <w:r>
        <w:t xml:space="preserve"> </w:t>
      </w:r>
      <w:r w:rsidRPr="00D44E62">
        <w:t>Panel Report, para. 6.1205.</w:t>
      </w:r>
    </w:p>
  </w:footnote>
  <w:footnote w:id="1332">
    <w:p w:rsidR="00FD2727" w:rsidRPr="002F2175" w:rsidRDefault="00FD2727">
      <w:pPr>
        <w:pStyle w:val="FootnoteText"/>
        <w:rPr>
          <w:lang w:val="en-US"/>
        </w:rPr>
      </w:pPr>
      <w:r>
        <w:rPr>
          <w:rStyle w:val="FootnoteReference"/>
        </w:rPr>
        <w:footnoteRef/>
      </w:r>
      <w:r>
        <w:t xml:space="preserve"> </w:t>
      </w:r>
      <w:r w:rsidRPr="00D44E62">
        <w:t>Panel Report, para. 6.1205. (emphasis original)</w:t>
      </w:r>
    </w:p>
  </w:footnote>
  <w:footnote w:id="1333">
    <w:p w:rsidR="00FD2727" w:rsidRPr="002F2175" w:rsidRDefault="00FD2727">
      <w:pPr>
        <w:pStyle w:val="FootnoteText"/>
        <w:rPr>
          <w:lang w:val="en-US"/>
        </w:rPr>
      </w:pPr>
      <w:r>
        <w:rPr>
          <w:rStyle w:val="FootnoteReference"/>
        </w:rPr>
        <w:footnoteRef/>
      </w:r>
      <w:r>
        <w:t xml:space="preserve"> </w:t>
      </w:r>
      <w:r w:rsidRPr="00D44E62">
        <w:t>Panel Report, para. 6.1205.</w:t>
      </w:r>
    </w:p>
  </w:footnote>
  <w:footnote w:id="1334">
    <w:p w:rsidR="00FD2727" w:rsidRPr="002F2175" w:rsidRDefault="00FD2727">
      <w:pPr>
        <w:pStyle w:val="FootnoteText"/>
        <w:rPr>
          <w:lang w:val="en-US"/>
        </w:rPr>
      </w:pPr>
      <w:r>
        <w:rPr>
          <w:rStyle w:val="FootnoteReference"/>
        </w:rPr>
        <w:footnoteRef/>
      </w:r>
      <w:r>
        <w:t xml:space="preserve"> </w:t>
      </w:r>
      <w:r w:rsidRPr="00D44E62">
        <w:t>Panel Report, para. 6.1181 (referring to European Union's response to Panel question No. 132</w:t>
      </w:r>
      <w:r>
        <w:t>;</w:t>
      </w:r>
      <w:r w:rsidRPr="00D44E62">
        <w:t xml:space="preserve"> United States' comments on the European Union's response to Panel question No. 132).</w:t>
      </w:r>
    </w:p>
  </w:footnote>
  <w:footnote w:id="1335">
    <w:p w:rsidR="00FD2727" w:rsidRPr="002F2175" w:rsidRDefault="00FD2727">
      <w:pPr>
        <w:pStyle w:val="FootnoteText"/>
        <w:rPr>
          <w:lang w:val="en-US"/>
        </w:rPr>
      </w:pPr>
      <w:r>
        <w:rPr>
          <w:rStyle w:val="FootnoteReference"/>
        </w:rPr>
        <w:footnoteRef/>
      </w:r>
      <w:r>
        <w:t xml:space="preserve"> </w:t>
      </w:r>
      <w:r w:rsidRPr="00D44E62">
        <w:t>Panel Report, para. 6.1205.</w:t>
      </w:r>
    </w:p>
  </w:footnote>
  <w:footnote w:id="1336">
    <w:p w:rsidR="00FD2727" w:rsidRPr="002F2175" w:rsidRDefault="00FD2727">
      <w:pPr>
        <w:pStyle w:val="FootnoteText"/>
        <w:rPr>
          <w:lang w:val="en-US"/>
        </w:rPr>
      </w:pPr>
      <w:r>
        <w:rPr>
          <w:rStyle w:val="FootnoteReference"/>
        </w:rPr>
        <w:footnoteRef/>
      </w:r>
      <w:r>
        <w:t xml:space="preserve"> </w:t>
      </w:r>
      <w:r w:rsidRPr="00D44E62">
        <w:t>Panel Report, para. 6.1294. (emphasis original; fn omitted)</w:t>
      </w:r>
    </w:p>
  </w:footnote>
  <w:footnote w:id="1337">
    <w:p w:rsidR="00FD2727" w:rsidRPr="002F2175" w:rsidRDefault="00FD2727">
      <w:pPr>
        <w:pStyle w:val="FootnoteText"/>
        <w:rPr>
          <w:lang w:val="en-US"/>
        </w:rPr>
      </w:pPr>
      <w:r>
        <w:rPr>
          <w:rStyle w:val="FootnoteReference"/>
        </w:rPr>
        <w:footnoteRef/>
      </w:r>
      <w:r>
        <w:t xml:space="preserve"> </w:t>
      </w:r>
      <w:r w:rsidRPr="00D44E62">
        <w:t>Panel Report, paras. 6.1238</w:t>
      </w:r>
      <w:r>
        <w:t>, 6.1294, and 6.1372</w:t>
      </w:r>
      <w:r w:rsidRPr="00D44E62">
        <w:t>.</w:t>
      </w:r>
    </w:p>
  </w:footnote>
  <w:footnote w:id="1338">
    <w:p w:rsidR="00FD2727" w:rsidRPr="002F2175" w:rsidRDefault="00FD2727" w:rsidP="00267BCB">
      <w:pPr>
        <w:pStyle w:val="FootnoteText"/>
        <w:rPr>
          <w:lang w:val="en-US"/>
        </w:rPr>
      </w:pPr>
      <w:r>
        <w:rPr>
          <w:rStyle w:val="FootnoteReference"/>
        </w:rPr>
        <w:footnoteRef/>
      </w:r>
      <w:r>
        <w:t xml:space="preserve"> </w:t>
      </w:r>
      <w:r w:rsidRPr="00D44E62">
        <w:t>European Union's appellant's submission, para. 597 (referring to Panel Report, paras. 6.1210, 6.1211, 6.1236, 6.1289, and 6.1382). (emphasis original)</w:t>
      </w:r>
    </w:p>
  </w:footnote>
  <w:footnote w:id="1339">
    <w:p w:rsidR="00FD2727" w:rsidRPr="002F2175" w:rsidRDefault="00FD2727">
      <w:pPr>
        <w:pStyle w:val="FootnoteText"/>
        <w:rPr>
          <w:lang w:val="en-US"/>
        </w:rPr>
      </w:pPr>
      <w:r>
        <w:rPr>
          <w:rStyle w:val="FootnoteReference"/>
        </w:rPr>
        <w:footnoteRef/>
      </w:r>
      <w:r>
        <w:t xml:space="preserve"> </w:t>
      </w:r>
      <w:r w:rsidRPr="00D44E62">
        <w:t>European Union's appellant's submission, para. 601 (quoting Panel Report, para. 6.1315</w:t>
      </w:r>
      <w:r>
        <w:t xml:space="preserve"> </w:t>
      </w:r>
      <w:r w:rsidRPr="00D44E62">
        <w:t xml:space="preserve">(emphasis added by the European Union)). </w:t>
      </w:r>
    </w:p>
  </w:footnote>
  <w:footnote w:id="1340">
    <w:p w:rsidR="00FD2727" w:rsidRDefault="00FD2727">
      <w:pPr>
        <w:pStyle w:val="FootnoteText"/>
      </w:pPr>
      <w:r>
        <w:rPr>
          <w:rStyle w:val="FootnoteReference"/>
        </w:rPr>
        <w:footnoteRef/>
      </w:r>
      <w:r>
        <w:t xml:space="preserve"> European Union's appellant's submission, para. 601 (quoting Panel Report, para. 6.1320).</w:t>
      </w:r>
    </w:p>
  </w:footnote>
  <w:footnote w:id="1341">
    <w:p w:rsidR="00FD2727" w:rsidRDefault="00FD2727" w:rsidP="00267BCB">
      <w:pPr>
        <w:pStyle w:val="FootnoteText"/>
      </w:pPr>
      <w:r>
        <w:rPr>
          <w:rStyle w:val="FootnoteReference"/>
        </w:rPr>
        <w:footnoteRef/>
      </w:r>
      <w:r>
        <w:t xml:space="preserve"> United States' appellee's submission, para. 333.</w:t>
      </w:r>
    </w:p>
  </w:footnote>
  <w:footnote w:id="1342">
    <w:p w:rsidR="00FD2727" w:rsidRDefault="00FD2727" w:rsidP="00267BCB">
      <w:pPr>
        <w:pStyle w:val="FootnoteText"/>
      </w:pPr>
      <w:r>
        <w:rPr>
          <w:rStyle w:val="FootnoteReference"/>
        </w:rPr>
        <w:footnoteRef/>
      </w:r>
      <w:r>
        <w:t xml:space="preserve"> United States' appellee's submission, para. 333.</w:t>
      </w:r>
    </w:p>
  </w:footnote>
  <w:footnote w:id="1343">
    <w:p w:rsidR="00FD2727" w:rsidRPr="002F2175" w:rsidRDefault="00FD2727">
      <w:pPr>
        <w:pStyle w:val="FootnoteText"/>
        <w:rPr>
          <w:lang w:val="en-US"/>
        </w:rPr>
      </w:pPr>
      <w:r>
        <w:rPr>
          <w:rStyle w:val="FootnoteReference"/>
        </w:rPr>
        <w:footnoteRef/>
      </w:r>
      <w:r>
        <w:t xml:space="preserve"> </w:t>
      </w:r>
      <w:r w:rsidRPr="00D44E62">
        <w:t>Panel Report, para. 6.1312.</w:t>
      </w:r>
    </w:p>
  </w:footnote>
  <w:footnote w:id="1344">
    <w:p w:rsidR="00FD2727" w:rsidRPr="002F2175" w:rsidRDefault="00FD2727">
      <w:pPr>
        <w:pStyle w:val="FootnoteText"/>
        <w:rPr>
          <w:lang w:val="en-US"/>
        </w:rPr>
      </w:pPr>
      <w:r>
        <w:rPr>
          <w:rStyle w:val="FootnoteReference"/>
        </w:rPr>
        <w:footnoteRef/>
      </w:r>
      <w:r>
        <w:t xml:space="preserve"> </w:t>
      </w:r>
      <w:r w:rsidRPr="00D44E62">
        <w:t>Panel Report, para. 6.1313.</w:t>
      </w:r>
    </w:p>
  </w:footnote>
  <w:footnote w:id="1345">
    <w:p w:rsidR="00FD2727" w:rsidRPr="002F2175" w:rsidRDefault="00FD2727">
      <w:pPr>
        <w:pStyle w:val="FootnoteText"/>
        <w:rPr>
          <w:lang w:val="en-US"/>
        </w:rPr>
      </w:pPr>
      <w:r>
        <w:rPr>
          <w:rStyle w:val="FootnoteReference"/>
        </w:rPr>
        <w:footnoteRef/>
      </w:r>
      <w:r>
        <w:t xml:space="preserve"> </w:t>
      </w:r>
      <w:r w:rsidRPr="00D44E62">
        <w:t>Panel Report, para. 6.1313 (quoting Supplemental Mourey Statement (Panel Exhibit EU</w:t>
      </w:r>
      <w:r w:rsidRPr="00D44E62">
        <w:noBreakHyphen/>
        <w:t>124 (BCI/HSBI)</w:t>
      </w:r>
      <w:r>
        <w:t>)</w:t>
      </w:r>
      <w:r w:rsidRPr="00D44E62">
        <w:t>, para. 91).</w:t>
      </w:r>
    </w:p>
  </w:footnote>
  <w:footnote w:id="1346">
    <w:p w:rsidR="00FD2727" w:rsidRPr="002F2175" w:rsidRDefault="00FD2727">
      <w:pPr>
        <w:pStyle w:val="FootnoteText"/>
        <w:rPr>
          <w:lang w:val="en-US"/>
        </w:rPr>
      </w:pPr>
      <w:r>
        <w:rPr>
          <w:rStyle w:val="FootnoteReference"/>
        </w:rPr>
        <w:footnoteRef/>
      </w:r>
      <w:r>
        <w:t xml:space="preserve"> </w:t>
      </w:r>
      <w:r w:rsidRPr="00D44E62">
        <w:t>Panel Report, para. 6.1313.</w:t>
      </w:r>
    </w:p>
  </w:footnote>
  <w:footnote w:id="1347">
    <w:p w:rsidR="00FD2727" w:rsidRPr="002F2175" w:rsidRDefault="00FD2727">
      <w:pPr>
        <w:pStyle w:val="FootnoteText"/>
        <w:rPr>
          <w:lang w:val="en-US"/>
        </w:rPr>
      </w:pPr>
      <w:r>
        <w:rPr>
          <w:rStyle w:val="FootnoteReference"/>
        </w:rPr>
        <w:footnoteRef/>
      </w:r>
      <w:r>
        <w:t xml:space="preserve"> </w:t>
      </w:r>
      <w:r w:rsidRPr="00D44E62">
        <w:t>Panel Report, para. 6.1314.</w:t>
      </w:r>
    </w:p>
  </w:footnote>
  <w:footnote w:id="1348">
    <w:p w:rsidR="00FD2727" w:rsidRPr="002F2175" w:rsidRDefault="00FD2727">
      <w:pPr>
        <w:pStyle w:val="FootnoteText"/>
        <w:rPr>
          <w:lang w:val="en-US"/>
        </w:rPr>
      </w:pPr>
      <w:r>
        <w:rPr>
          <w:rStyle w:val="FootnoteReference"/>
        </w:rPr>
        <w:footnoteRef/>
      </w:r>
      <w:r>
        <w:t xml:space="preserve"> </w:t>
      </w:r>
      <w:r w:rsidRPr="00D44E62">
        <w:t>Panel Report, para. 6.1314. (emphasis original)</w:t>
      </w:r>
    </w:p>
  </w:footnote>
  <w:footnote w:id="1349">
    <w:p w:rsidR="00FD2727" w:rsidRPr="002F2175" w:rsidRDefault="00FD2727">
      <w:pPr>
        <w:pStyle w:val="FootnoteText"/>
        <w:rPr>
          <w:lang w:val="en-US"/>
        </w:rPr>
      </w:pPr>
      <w:r>
        <w:rPr>
          <w:rStyle w:val="FootnoteReference"/>
        </w:rPr>
        <w:footnoteRef/>
      </w:r>
      <w:r>
        <w:t xml:space="preserve"> </w:t>
      </w:r>
      <w:r w:rsidRPr="00D44E62">
        <w:t>Panel Report, para. 6.1314.</w:t>
      </w:r>
    </w:p>
  </w:footnote>
  <w:footnote w:id="1350">
    <w:p w:rsidR="00FD2727" w:rsidRPr="002F2175" w:rsidRDefault="00FD2727">
      <w:pPr>
        <w:pStyle w:val="FootnoteText"/>
        <w:rPr>
          <w:lang w:val="en-US"/>
        </w:rPr>
      </w:pPr>
      <w:r>
        <w:rPr>
          <w:rStyle w:val="FootnoteReference"/>
        </w:rPr>
        <w:footnoteRef/>
      </w:r>
      <w:r>
        <w:t xml:space="preserve"> </w:t>
      </w:r>
      <w:r w:rsidRPr="00D44E62">
        <w:t>Panel Report, paras. 6.1316</w:t>
      </w:r>
      <w:r>
        <w:t>-</w:t>
      </w:r>
      <w:r w:rsidRPr="00D44E62">
        <w:t>6.1317.</w:t>
      </w:r>
    </w:p>
  </w:footnote>
  <w:footnote w:id="1351">
    <w:p w:rsidR="00FD2727" w:rsidRPr="002F2175" w:rsidRDefault="00FD2727">
      <w:pPr>
        <w:pStyle w:val="FootnoteText"/>
        <w:rPr>
          <w:lang w:val="en-US"/>
        </w:rPr>
      </w:pPr>
      <w:r>
        <w:rPr>
          <w:rStyle w:val="FootnoteReference"/>
        </w:rPr>
        <w:footnoteRef/>
      </w:r>
      <w:r>
        <w:t xml:space="preserve"> </w:t>
      </w:r>
      <w:r w:rsidRPr="00D44E62">
        <w:t>Panel Report, para. 6.1318.</w:t>
      </w:r>
    </w:p>
  </w:footnote>
  <w:footnote w:id="1352">
    <w:p w:rsidR="00FD2727" w:rsidRPr="002F2175" w:rsidRDefault="00FD2727">
      <w:pPr>
        <w:pStyle w:val="FootnoteText"/>
        <w:rPr>
          <w:lang w:val="en-US"/>
        </w:rPr>
      </w:pPr>
      <w:r>
        <w:rPr>
          <w:rStyle w:val="FootnoteReference"/>
        </w:rPr>
        <w:footnoteRef/>
      </w:r>
      <w:r>
        <w:t xml:space="preserve"> </w:t>
      </w:r>
      <w:r w:rsidRPr="00D44E62">
        <w:t>Panel Report, para. 6.1318 (quoting United States' comments on the European Union's response to Panel question No. 75).</w:t>
      </w:r>
    </w:p>
  </w:footnote>
  <w:footnote w:id="1353">
    <w:p w:rsidR="00FD2727" w:rsidRPr="002F2175" w:rsidRDefault="00FD2727">
      <w:pPr>
        <w:pStyle w:val="FootnoteText"/>
        <w:rPr>
          <w:lang w:val="en-US"/>
        </w:rPr>
      </w:pPr>
      <w:r>
        <w:rPr>
          <w:rStyle w:val="FootnoteReference"/>
        </w:rPr>
        <w:footnoteRef/>
      </w:r>
      <w:r>
        <w:t xml:space="preserve"> </w:t>
      </w:r>
      <w:r w:rsidRPr="00D44E62">
        <w:t>Panel Report, para. 6.1322. (emphasis added)</w:t>
      </w:r>
    </w:p>
  </w:footnote>
  <w:footnote w:id="1354">
    <w:p w:rsidR="00FD2727" w:rsidRPr="002F2175" w:rsidRDefault="00FD2727">
      <w:pPr>
        <w:pStyle w:val="FootnoteText"/>
        <w:rPr>
          <w:lang w:val="en-US"/>
        </w:rPr>
      </w:pPr>
      <w:r>
        <w:rPr>
          <w:rStyle w:val="FootnoteReference"/>
        </w:rPr>
        <w:footnoteRef/>
      </w:r>
      <w:r>
        <w:t xml:space="preserve"> </w:t>
      </w:r>
      <w:r w:rsidRPr="00D44E62">
        <w:t>Panel Report, para. 6.1322.</w:t>
      </w:r>
    </w:p>
  </w:footnote>
  <w:footnote w:id="1355">
    <w:p w:rsidR="00FD2727" w:rsidRPr="002F2175" w:rsidRDefault="00FD2727" w:rsidP="00267BCB">
      <w:pPr>
        <w:pStyle w:val="FootnoteText"/>
        <w:rPr>
          <w:lang w:val="en-US"/>
        </w:rPr>
      </w:pPr>
      <w:r>
        <w:rPr>
          <w:rStyle w:val="FootnoteReference"/>
        </w:rPr>
        <w:footnoteRef/>
      </w:r>
      <w:r>
        <w:t xml:space="preserve"> </w:t>
      </w:r>
      <w:r w:rsidRPr="00D44E62">
        <w:t>European Union's appellant's submission, para. 601 (</w:t>
      </w:r>
      <w:r>
        <w:t>referring</w:t>
      </w:r>
      <w:r w:rsidRPr="00D44E62">
        <w:t xml:space="preserve"> </w:t>
      </w:r>
      <w:r>
        <w:t xml:space="preserve">to </w:t>
      </w:r>
      <w:r w:rsidRPr="00D44E62">
        <w:t>Panel Report, para</w:t>
      </w:r>
      <w:r>
        <w:t>s</w:t>
      </w:r>
      <w:r w:rsidRPr="00D44E62">
        <w:t>. 6.1315</w:t>
      </w:r>
      <w:r>
        <w:t xml:space="preserve"> and 6.1320</w:t>
      </w:r>
      <w:r w:rsidRPr="00D44E62">
        <w:t xml:space="preserve">). </w:t>
      </w:r>
    </w:p>
  </w:footnote>
  <w:footnote w:id="1356">
    <w:p w:rsidR="00FD2727" w:rsidRPr="002F2175" w:rsidRDefault="00FD2727">
      <w:pPr>
        <w:pStyle w:val="FootnoteText"/>
        <w:rPr>
          <w:lang w:val="en-US"/>
        </w:rPr>
      </w:pPr>
      <w:r>
        <w:rPr>
          <w:rStyle w:val="FootnoteReference"/>
        </w:rPr>
        <w:footnoteRef/>
      </w:r>
      <w:r>
        <w:t xml:space="preserve"> </w:t>
      </w:r>
      <w:r w:rsidRPr="00793859">
        <w:t xml:space="preserve">Appellate Body Report, </w:t>
      </w:r>
      <w:r w:rsidRPr="00793859">
        <w:rPr>
          <w:i/>
        </w:rPr>
        <w:t xml:space="preserve">EC and certain member States </w:t>
      </w:r>
      <w:r>
        <w:rPr>
          <w:i/>
        </w:rPr>
        <w:t>–</w:t>
      </w:r>
      <w:r w:rsidRPr="00793859">
        <w:rPr>
          <w:i/>
        </w:rPr>
        <w:t xml:space="preserve"> Large Civil Aircraft</w:t>
      </w:r>
      <w:r w:rsidRPr="00793859">
        <w:t>, para. 1120.</w:t>
      </w:r>
    </w:p>
  </w:footnote>
  <w:footnote w:id="1357">
    <w:p w:rsidR="00FD2727" w:rsidRPr="00D44E62" w:rsidRDefault="00FD2727" w:rsidP="00267BCB">
      <w:pPr>
        <w:pStyle w:val="FootnoteText"/>
        <w:keepLines/>
      </w:pPr>
      <w:r w:rsidRPr="00D44E62">
        <w:rPr>
          <w:rStyle w:val="FootnoteReference"/>
        </w:rPr>
        <w:footnoteRef/>
      </w:r>
      <w:r w:rsidRPr="00D44E62">
        <w:t xml:space="preserve"> Panel Report, para. 6.1344.</w:t>
      </w:r>
      <w:r>
        <w:t xml:space="preserve"> (emphasis original)</w:t>
      </w:r>
    </w:p>
  </w:footnote>
  <w:footnote w:id="1358">
    <w:p w:rsidR="00FD2727" w:rsidRPr="00D44E62" w:rsidRDefault="00FD2727" w:rsidP="00267BCB">
      <w:pPr>
        <w:pStyle w:val="FootnoteText"/>
        <w:keepLines/>
      </w:pPr>
      <w:r w:rsidRPr="00D44E62">
        <w:rPr>
          <w:rStyle w:val="FootnoteReference"/>
        </w:rPr>
        <w:footnoteRef/>
      </w:r>
      <w:r w:rsidRPr="00D44E62">
        <w:t xml:space="preserve"> Panel Report, para. 6.1344.</w:t>
      </w:r>
    </w:p>
  </w:footnote>
  <w:footnote w:id="1359">
    <w:p w:rsidR="00FD2727" w:rsidRPr="00D44E62" w:rsidRDefault="00FD2727" w:rsidP="00267BCB">
      <w:pPr>
        <w:pStyle w:val="FootnoteText"/>
        <w:keepLines/>
      </w:pPr>
      <w:r w:rsidRPr="00D44E62">
        <w:rPr>
          <w:rStyle w:val="FootnoteReference"/>
        </w:rPr>
        <w:footnoteRef/>
      </w:r>
      <w:r w:rsidRPr="00D44E62">
        <w:t xml:space="preserve"> Panel Report, para. 6.1344 (referring to paras</w:t>
      </w:r>
      <w:r>
        <w:t>.</w:t>
      </w:r>
      <w:r w:rsidRPr="00D44E62">
        <w:t xml:space="preserve"> 6.1</w:t>
      </w:r>
      <w:r>
        <w:t>31</w:t>
      </w:r>
      <w:r w:rsidRPr="00D44E62">
        <w:t>1-6.1322).</w:t>
      </w:r>
    </w:p>
  </w:footnote>
  <w:footnote w:id="1360">
    <w:p w:rsidR="00FD2727" w:rsidRPr="00D44E62" w:rsidRDefault="00FD2727" w:rsidP="00267BCB">
      <w:pPr>
        <w:pStyle w:val="FootnoteText"/>
        <w:keepLines/>
      </w:pPr>
      <w:r w:rsidRPr="00D44E62">
        <w:rPr>
          <w:rStyle w:val="FootnoteReference"/>
        </w:rPr>
        <w:footnoteRef/>
      </w:r>
      <w:r w:rsidRPr="00D44E62">
        <w:t xml:space="preserve"> Panel Report, para. 6.1293.</w:t>
      </w:r>
    </w:p>
  </w:footnote>
  <w:footnote w:id="1361">
    <w:p w:rsidR="00FD2727" w:rsidRDefault="00FD2727">
      <w:pPr>
        <w:pStyle w:val="FootnoteText"/>
      </w:pPr>
      <w:r>
        <w:rPr>
          <w:rStyle w:val="FootnoteReference"/>
        </w:rPr>
        <w:footnoteRef/>
      </w:r>
      <w:r>
        <w:t xml:space="preserve"> </w:t>
      </w:r>
      <w:r w:rsidRPr="00D44E62">
        <w:t>Panel Report, para. 6.1293.</w:t>
      </w:r>
    </w:p>
  </w:footnote>
  <w:footnote w:id="1362">
    <w:p w:rsidR="00FD2727" w:rsidRDefault="00FD2727" w:rsidP="00267BCB">
      <w:pPr>
        <w:pStyle w:val="FootnoteText"/>
      </w:pPr>
      <w:r>
        <w:rPr>
          <w:rStyle w:val="FootnoteReference"/>
        </w:rPr>
        <w:footnoteRef/>
      </w:r>
      <w:r>
        <w:t xml:space="preserve"> Panel Report, para. 6.1307. (emphasis original)</w:t>
      </w:r>
    </w:p>
  </w:footnote>
  <w:footnote w:id="1363">
    <w:p w:rsidR="00FD2727" w:rsidRDefault="00FD2727" w:rsidP="00267BCB">
      <w:pPr>
        <w:pStyle w:val="FootnoteText"/>
      </w:pPr>
      <w:r>
        <w:rPr>
          <w:rStyle w:val="FootnoteReference"/>
        </w:rPr>
        <w:footnoteRef/>
      </w:r>
      <w:r>
        <w:t xml:space="preserve"> Panel Report, para. 6.1308. (emphasis original)</w:t>
      </w:r>
    </w:p>
  </w:footnote>
  <w:footnote w:id="1364">
    <w:p w:rsidR="00FD2727" w:rsidRDefault="00FD2727" w:rsidP="00267BCB">
      <w:pPr>
        <w:pStyle w:val="FootnoteText"/>
      </w:pPr>
      <w:r>
        <w:rPr>
          <w:rStyle w:val="FootnoteReference"/>
        </w:rPr>
        <w:footnoteRef/>
      </w:r>
      <w:r>
        <w:t xml:space="preserve"> Panel Report, para. 6.1309. (emphasis original)</w:t>
      </w:r>
    </w:p>
  </w:footnote>
  <w:footnote w:id="1365">
    <w:p w:rsidR="00FD2727" w:rsidRDefault="00FD2727" w:rsidP="00267BCB">
      <w:pPr>
        <w:pStyle w:val="FootnoteText"/>
      </w:pPr>
      <w:r>
        <w:rPr>
          <w:rStyle w:val="FootnoteReference"/>
        </w:rPr>
        <w:footnoteRef/>
      </w:r>
      <w:r>
        <w:t xml:space="preserve"> Panel Report, para. 6.1310. (emphasis original)</w:t>
      </w:r>
    </w:p>
  </w:footnote>
  <w:footnote w:id="1366">
    <w:p w:rsidR="00FD2727" w:rsidRDefault="00FD2727" w:rsidP="00267BCB">
      <w:pPr>
        <w:pStyle w:val="FootnoteText"/>
      </w:pPr>
      <w:r>
        <w:rPr>
          <w:rStyle w:val="FootnoteReference"/>
        </w:rPr>
        <w:footnoteRef/>
      </w:r>
      <w:r>
        <w:t xml:space="preserve"> Panel Report, para. 6.1311.</w:t>
      </w:r>
    </w:p>
  </w:footnote>
  <w:footnote w:id="1367">
    <w:p w:rsidR="00FD2727" w:rsidRDefault="00FD2727" w:rsidP="00267BCB">
      <w:pPr>
        <w:pStyle w:val="FootnoteText"/>
      </w:pPr>
      <w:r>
        <w:rPr>
          <w:rStyle w:val="FootnoteReference"/>
        </w:rPr>
        <w:footnoteRef/>
      </w:r>
      <w:r>
        <w:t xml:space="preserve"> </w:t>
      </w:r>
      <w:r w:rsidRPr="000028A9">
        <w:rPr>
          <w:lang w:val="en-US"/>
        </w:rPr>
        <w:t>Panel Report, para. 6.1310</w:t>
      </w:r>
      <w:r>
        <w:rPr>
          <w:lang w:val="en-US"/>
        </w:rPr>
        <w:t>.</w:t>
      </w:r>
    </w:p>
  </w:footnote>
  <w:footnote w:id="1368">
    <w:p w:rsidR="00FD2727" w:rsidRDefault="00FD2727" w:rsidP="00267BCB">
      <w:pPr>
        <w:pStyle w:val="FootnoteText"/>
      </w:pPr>
      <w:r>
        <w:rPr>
          <w:rStyle w:val="FootnoteReference"/>
        </w:rPr>
        <w:footnoteRef/>
      </w:r>
      <w:r w:rsidRPr="000028A9">
        <w:rPr>
          <w:lang w:val="en-US"/>
        </w:rPr>
        <w:t xml:space="preserve"> Panel Report, para. 6.1310 (quoting </w:t>
      </w:r>
      <w:r w:rsidRPr="000028A9">
        <w:t xml:space="preserve">Mourey Statement (Panel Exhibit EU-8 (BCI)), </w:t>
      </w:r>
      <w:r w:rsidRPr="000028A9">
        <w:rPr>
          <w:lang w:val="en-US"/>
        </w:rPr>
        <w:t xml:space="preserve">para. </w:t>
      </w:r>
      <w:r>
        <w:t>88).</w:t>
      </w:r>
    </w:p>
  </w:footnote>
  <w:footnote w:id="1369">
    <w:p w:rsidR="00FD2727" w:rsidRDefault="00FD2727" w:rsidP="00267BCB">
      <w:pPr>
        <w:pStyle w:val="FootnoteText"/>
      </w:pPr>
      <w:r>
        <w:rPr>
          <w:rStyle w:val="FootnoteReference"/>
        </w:rPr>
        <w:footnoteRef/>
      </w:r>
      <w:r>
        <w:t xml:space="preserve"> Panel Report, para. 6.1365.</w:t>
      </w:r>
    </w:p>
  </w:footnote>
  <w:footnote w:id="1370">
    <w:p w:rsidR="00FD2727" w:rsidRDefault="00FD2727" w:rsidP="00267BCB">
      <w:pPr>
        <w:pStyle w:val="FootnoteText"/>
      </w:pPr>
      <w:r>
        <w:rPr>
          <w:rStyle w:val="FootnoteReference"/>
        </w:rPr>
        <w:footnoteRef/>
      </w:r>
      <w:r>
        <w:t xml:space="preserve"> Panel Report, para. 6.1327.</w:t>
      </w:r>
    </w:p>
  </w:footnote>
  <w:footnote w:id="1371">
    <w:p w:rsidR="00FD2727" w:rsidRDefault="00FD2727" w:rsidP="00267BCB">
      <w:pPr>
        <w:pStyle w:val="FootnoteText"/>
      </w:pPr>
      <w:r>
        <w:rPr>
          <w:rStyle w:val="FootnoteReference"/>
        </w:rPr>
        <w:footnoteRef/>
      </w:r>
      <w:r>
        <w:t xml:space="preserve"> Panel Report, para. 6.1327. (fn omitted)</w:t>
      </w:r>
    </w:p>
  </w:footnote>
  <w:footnote w:id="1372">
    <w:p w:rsidR="00FD2727" w:rsidRDefault="00FD2727" w:rsidP="00267BCB">
      <w:pPr>
        <w:pStyle w:val="FootnoteText"/>
      </w:pPr>
      <w:r>
        <w:rPr>
          <w:rStyle w:val="FootnoteReference"/>
        </w:rPr>
        <w:footnoteRef/>
      </w:r>
      <w:r>
        <w:t xml:space="preserve"> Panel Report, para. 6.1327. (fn omitted)</w:t>
      </w:r>
    </w:p>
  </w:footnote>
  <w:footnote w:id="1373">
    <w:p w:rsidR="00FD2727" w:rsidRDefault="00FD2727" w:rsidP="00267BCB">
      <w:pPr>
        <w:pStyle w:val="FootnoteText"/>
      </w:pPr>
      <w:r>
        <w:rPr>
          <w:rStyle w:val="FootnoteReference"/>
        </w:rPr>
        <w:footnoteRef/>
      </w:r>
      <w:r>
        <w:t xml:space="preserve"> Panel Report, para. 6.1327.</w:t>
      </w:r>
    </w:p>
  </w:footnote>
  <w:footnote w:id="1374">
    <w:p w:rsidR="00FD2727" w:rsidRDefault="00FD2727" w:rsidP="00267BCB">
      <w:pPr>
        <w:pStyle w:val="FootnoteText"/>
      </w:pPr>
      <w:r>
        <w:rPr>
          <w:rStyle w:val="FootnoteReference"/>
        </w:rPr>
        <w:footnoteRef/>
      </w:r>
      <w:r>
        <w:t xml:space="preserve"> Panel Report, para. 6.1327. (emphasis and fn omitted)</w:t>
      </w:r>
    </w:p>
  </w:footnote>
  <w:footnote w:id="1375">
    <w:p w:rsidR="00FD2727" w:rsidRDefault="00FD2727" w:rsidP="00267BCB">
      <w:pPr>
        <w:pStyle w:val="FootnoteText"/>
      </w:pPr>
      <w:r>
        <w:rPr>
          <w:rStyle w:val="FootnoteReference"/>
        </w:rPr>
        <w:footnoteRef/>
      </w:r>
      <w:r>
        <w:t xml:space="preserve"> Panel Report, para. 6.1327.</w:t>
      </w:r>
    </w:p>
  </w:footnote>
  <w:footnote w:id="1376">
    <w:p w:rsidR="00FD2727" w:rsidRDefault="00FD2727">
      <w:pPr>
        <w:pStyle w:val="FootnoteText"/>
      </w:pPr>
      <w:r>
        <w:rPr>
          <w:rStyle w:val="FootnoteReference"/>
        </w:rPr>
        <w:footnoteRef/>
      </w:r>
      <w:r>
        <w:t xml:space="preserve"> Panel Report, paras. 6.1293 and 6.1338.</w:t>
      </w:r>
    </w:p>
  </w:footnote>
  <w:footnote w:id="1377">
    <w:p w:rsidR="00FD2727" w:rsidRPr="002F2175" w:rsidRDefault="00FD2727" w:rsidP="00267BCB">
      <w:pPr>
        <w:pStyle w:val="FootnoteText"/>
        <w:rPr>
          <w:lang w:val="en-US"/>
        </w:rPr>
      </w:pPr>
      <w:r>
        <w:rPr>
          <w:rStyle w:val="FootnoteReference"/>
        </w:rPr>
        <w:footnoteRef/>
      </w:r>
      <w:r>
        <w:t xml:space="preserve"> </w:t>
      </w:r>
      <w:r w:rsidRPr="00D44E62">
        <w:t>Panel Report, para. 6.1367.</w:t>
      </w:r>
    </w:p>
  </w:footnote>
  <w:footnote w:id="1378">
    <w:p w:rsidR="00FD2727" w:rsidRPr="00D44E62" w:rsidRDefault="00FD2727" w:rsidP="00267BCB">
      <w:pPr>
        <w:pStyle w:val="FootnoteText"/>
        <w:keepLines/>
      </w:pPr>
      <w:r w:rsidRPr="00D44E62">
        <w:rPr>
          <w:rStyle w:val="FootnoteReference"/>
        </w:rPr>
        <w:footnoteRef/>
      </w:r>
      <w:r w:rsidRPr="00D44E62">
        <w:t xml:space="preserve"> Panel Report, para. 6.1363.</w:t>
      </w:r>
    </w:p>
  </w:footnote>
  <w:footnote w:id="1379">
    <w:p w:rsidR="00FD2727" w:rsidRPr="002F2175" w:rsidRDefault="00FD2727" w:rsidP="00267BCB">
      <w:pPr>
        <w:pStyle w:val="FootnoteText"/>
        <w:rPr>
          <w:lang w:val="en-US"/>
        </w:rPr>
      </w:pPr>
      <w:r>
        <w:rPr>
          <w:rStyle w:val="FootnoteReference"/>
        </w:rPr>
        <w:footnoteRef/>
      </w:r>
      <w:r>
        <w:t xml:space="preserve"> </w:t>
      </w:r>
      <w:r w:rsidRPr="00D44E62">
        <w:t>Panel Report, para. 6.1367. (emphasis original)</w:t>
      </w:r>
    </w:p>
  </w:footnote>
  <w:footnote w:id="1380">
    <w:p w:rsidR="00FD2727" w:rsidRPr="00D44E62" w:rsidRDefault="00FD2727" w:rsidP="00267BCB">
      <w:pPr>
        <w:pStyle w:val="FootnoteText"/>
        <w:keepLines/>
      </w:pPr>
      <w:r w:rsidRPr="00D44E62">
        <w:rPr>
          <w:rStyle w:val="FootnoteReference"/>
        </w:rPr>
        <w:footnoteRef/>
      </w:r>
      <w:r w:rsidRPr="00D44E62">
        <w:t xml:space="preserve"> Panel Report, para. 6.1364.</w:t>
      </w:r>
    </w:p>
  </w:footnote>
  <w:footnote w:id="1381">
    <w:p w:rsidR="00FD2727" w:rsidRDefault="00FD2727" w:rsidP="00267BCB">
      <w:pPr>
        <w:pStyle w:val="FootnoteText"/>
      </w:pPr>
      <w:r>
        <w:rPr>
          <w:rStyle w:val="FootnoteReference"/>
        </w:rPr>
        <w:footnoteRef/>
      </w:r>
      <w:r>
        <w:t xml:space="preserve"> Panel Report, para. 6.1370.</w:t>
      </w:r>
    </w:p>
  </w:footnote>
  <w:footnote w:id="1382">
    <w:p w:rsidR="00FD2727" w:rsidRDefault="00FD2727">
      <w:pPr>
        <w:pStyle w:val="FootnoteText"/>
      </w:pPr>
      <w:r>
        <w:rPr>
          <w:rStyle w:val="FootnoteReference"/>
        </w:rPr>
        <w:footnoteRef/>
      </w:r>
      <w:r>
        <w:t xml:space="preserve"> European Union's appellant's submission, para. 599.</w:t>
      </w:r>
    </w:p>
  </w:footnote>
  <w:footnote w:id="1383">
    <w:p w:rsidR="00FD2727" w:rsidRPr="002F2175" w:rsidRDefault="00FD2727">
      <w:pPr>
        <w:pStyle w:val="FootnoteText"/>
        <w:rPr>
          <w:lang w:val="en-US"/>
        </w:rPr>
      </w:pPr>
      <w:r>
        <w:rPr>
          <w:rStyle w:val="FootnoteReference"/>
        </w:rPr>
        <w:footnoteRef/>
      </w:r>
      <w:r>
        <w:t xml:space="preserve"> </w:t>
      </w:r>
      <w:r w:rsidRPr="00D44E62">
        <w:t>European Union's appellant's submission, para. 600 (quoting Panel Report, para. 6.1382 (emphasis added by the European Union)).</w:t>
      </w:r>
    </w:p>
  </w:footnote>
  <w:footnote w:id="1384">
    <w:p w:rsidR="00FD2727" w:rsidRDefault="00FD2727" w:rsidP="00267BCB">
      <w:pPr>
        <w:pStyle w:val="FootnoteText"/>
      </w:pPr>
      <w:r>
        <w:rPr>
          <w:rStyle w:val="FootnoteReference"/>
        </w:rPr>
        <w:footnoteRef/>
      </w:r>
      <w:r>
        <w:t xml:space="preserve"> United States' appellee's submission, para. 332 (quoting Panel Report, para. 6.1382).</w:t>
      </w:r>
    </w:p>
  </w:footnote>
  <w:footnote w:id="1385">
    <w:p w:rsidR="00FD2727" w:rsidRDefault="00FD2727" w:rsidP="00267BCB">
      <w:pPr>
        <w:pStyle w:val="FootnoteText"/>
      </w:pPr>
      <w:r>
        <w:rPr>
          <w:rStyle w:val="FootnoteReference"/>
        </w:rPr>
        <w:footnoteRef/>
      </w:r>
      <w:r>
        <w:t xml:space="preserve"> United States' appellee's submission, para. 332.</w:t>
      </w:r>
    </w:p>
  </w:footnote>
  <w:footnote w:id="1386">
    <w:p w:rsidR="00FD2727" w:rsidRDefault="00FD2727" w:rsidP="00267BCB">
      <w:pPr>
        <w:pStyle w:val="FootnoteText"/>
      </w:pPr>
      <w:r>
        <w:rPr>
          <w:rStyle w:val="FootnoteReference"/>
        </w:rPr>
        <w:footnoteRef/>
      </w:r>
      <w:r>
        <w:t xml:space="preserve"> United States' appellee's submission, para. 332.</w:t>
      </w:r>
    </w:p>
  </w:footnote>
  <w:footnote w:id="1387">
    <w:p w:rsidR="00FD2727" w:rsidRPr="002F2175" w:rsidRDefault="00FD2727">
      <w:pPr>
        <w:pStyle w:val="FootnoteText"/>
        <w:rPr>
          <w:lang w:val="en-US"/>
        </w:rPr>
      </w:pPr>
      <w:r>
        <w:rPr>
          <w:rStyle w:val="FootnoteReference"/>
        </w:rPr>
        <w:footnoteRef/>
      </w:r>
      <w:r>
        <w:t xml:space="preserve"> </w:t>
      </w:r>
      <w:r w:rsidRPr="00D44E62">
        <w:t>Panel Report, para. 6.1378. (emphasis added)</w:t>
      </w:r>
    </w:p>
  </w:footnote>
  <w:footnote w:id="1388">
    <w:p w:rsidR="00FD2727" w:rsidRDefault="00FD2727">
      <w:pPr>
        <w:pStyle w:val="FootnoteText"/>
      </w:pPr>
      <w:r>
        <w:rPr>
          <w:rStyle w:val="FootnoteReference"/>
        </w:rPr>
        <w:footnoteRef/>
      </w:r>
      <w:r>
        <w:t xml:space="preserve"> Appellate Body Report, </w:t>
      </w:r>
      <w:r w:rsidRPr="0088169D">
        <w:rPr>
          <w:i/>
        </w:rPr>
        <w:t>EC and certain member States – Large Civil Aircraft</w:t>
      </w:r>
      <w:r>
        <w:t>, para. 1121.</w:t>
      </w:r>
    </w:p>
  </w:footnote>
  <w:footnote w:id="1389">
    <w:p w:rsidR="00FD2727" w:rsidRPr="00356EEB" w:rsidRDefault="00FD2727">
      <w:pPr>
        <w:pStyle w:val="FootnoteText"/>
        <w:rPr>
          <w:lang w:val="en-US"/>
        </w:rPr>
      </w:pPr>
      <w:r>
        <w:rPr>
          <w:rStyle w:val="FootnoteReference"/>
        </w:rPr>
        <w:footnoteRef/>
      </w:r>
      <w:r>
        <w:t xml:space="preserve"> Panel Report, para. 6.1373, Table 18 (referring</w:t>
      </w:r>
      <w:r w:rsidRPr="00D44E62">
        <w:t xml:space="preserve"> to Mourey Statement (Panel Exhibit EU-8</w:t>
      </w:r>
      <w:r>
        <w:t xml:space="preserve"> (BCI))</w:t>
      </w:r>
      <w:r w:rsidRPr="00D44E62">
        <w:t xml:space="preserve">, </w:t>
      </w:r>
      <w:r>
        <w:t>T</w:t>
      </w:r>
      <w:r w:rsidRPr="00D44E62">
        <w:t>able 7; Bair Declaration (Panel Exhibit USA-339</w:t>
      </w:r>
      <w:r>
        <w:t xml:space="preserve"> (BCI))</w:t>
      </w:r>
      <w:r w:rsidRPr="00D44E62">
        <w:t>, para. 43</w:t>
      </w:r>
      <w:r>
        <w:t>)</w:t>
      </w:r>
      <w:r w:rsidRPr="00D44E62">
        <w:t>.</w:t>
      </w:r>
    </w:p>
  </w:footnote>
  <w:footnote w:id="1390">
    <w:p w:rsidR="00FD2727" w:rsidRPr="002F2175" w:rsidRDefault="00FD2727">
      <w:pPr>
        <w:pStyle w:val="FootnoteText"/>
        <w:rPr>
          <w:lang w:val="en-US"/>
        </w:rPr>
      </w:pPr>
      <w:r>
        <w:rPr>
          <w:rStyle w:val="FootnoteReference"/>
        </w:rPr>
        <w:footnoteRef/>
      </w:r>
      <w:r>
        <w:t xml:space="preserve"> </w:t>
      </w:r>
      <w:r w:rsidRPr="00D44E62">
        <w:t>Panel Report, para. 6.1378 (</w:t>
      </w:r>
      <w:r>
        <w:t xml:space="preserve">quoting </w:t>
      </w:r>
      <w:r w:rsidRPr="00D44E62">
        <w:t>Supplemental Mourey Statement (Panel Exhibit EU</w:t>
      </w:r>
      <w:r>
        <w:noBreakHyphen/>
      </w:r>
      <w:r w:rsidRPr="00D44E62">
        <w:t>124 (BCI/HSBI)</w:t>
      </w:r>
      <w:r>
        <w:t>)</w:t>
      </w:r>
      <w:r w:rsidRPr="00D44E62">
        <w:t>, para. 65; European Union's second written submission to the Panel, para. 690).</w:t>
      </w:r>
    </w:p>
  </w:footnote>
  <w:footnote w:id="1391">
    <w:p w:rsidR="00FD2727" w:rsidRPr="002F2175" w:rsidRDefault="00FD2727">
      <w:pPr>
        <w:pStyle w:val="FootnoteText"/>
        <w:rPr>
          <w:lang w:val="en-US"/>
        </w:rPr>
      </w:pPr>
      <w:r>
        <w:rPr>
          <w:rStyle w:val="FootnoteReference"/>
        </w:rPr>
        <w:footnoteRef/>
      </w:r>
      <w:r>
        <w:t xml:space="preserve"> </w:t>
      </w:r>
      <w:r w:rsidRPr="00D44E62">
        <w:t>Panel Report, para. 6.1378 (quoting Supplemental Mourey Statement (Panel Exhibit EU</w:t>
      </w:r>
      <w:r w:rsidRPr="00D44E62">
        <w:noBreakHyphen/>
        <w:t>124 (BCI/HSBI)</w:t>
      </w:r>
      <w:r>
        <w:t>)</w:t>
      </w:r>
      <w:r w:rsidRPr="00D44E62">
        <w:t>, para. 79).</w:t>
      </w:r>
    </w:p>
  </w:footnote>
  <w:footnote w:id="1392">
    <w:p w:rsidR="00FD2727" w:rsidRPr="002F2175" w:rsidRDefault="00FD2727">
      <w:pPr>
        <w:pStyle w:val="FootnoteText"/>
        <w:rPr>
          <w:lang w:val="en-US"/>
        </w:rPr>
      </w:pPr>
      <w:r>
        <w:rPr>
          <w:rStyle w:val="FootnoteReference"/>
        </w:rPr>
        <w:footnoteRef/>
      </w:r>
      <w:r>
        <w:t xml:space="preserve"> </w:t>
      </w:r>
      <w:r w:rsidRPr="00D44E62">
        <w:t>Panel Report, para. 6.1378 (quoting Mourey Statement (Panel Exhibit EU-8</w:t>
      </w:r>
      <w:r>
        <w:t xml:space="preserve"> (BCI))</w:t>
      </w:r>
      <w:r w:rsidRPr="00D44E62">
        <w:t>, para. 149).</w:t>
      </w:r>
    </w:p>
  </w:footnote>
  <w:footnote w:id="1393">
    <w:p w:rsidR="00FD2727" w:rsidRPr="002F2175" w:rsidRDefault="00FD2727">
      <w:pPr>
        <w:pStyle w:val="FootnoteText"/>
        <w:rPr>
          <w:lang w:val="en-US"/>
        </w:rPr>
      </w:pPr>
      <w:r>
        <w:rPr>
          <w:rStyle w:val="FootnoteReference"/>
        </w:rPr>
        <w:footnoteRef/>
      </w:r>
      <w:r>
        <w:t xml:space="preserve"> </w:t>
      </w:r>
      <w:r w:rsidRPr="00D44E62">
        <w:t>Panel Report, para. 6.1378.</w:t>
      </w:r>
    </w:p>
  </w:footnote>
  <w:footnote w:id="1394">
    <w:p w:rsidR="00FD2727" w:rsidRPr="002F2175" w:rsidRDefault="00FD2727">
      <w:pPr>
        <w:pStyle w:val="FootnoteText"/>
        <w:rPr>
          <w:lang w:val="en-US"/>
        </w:rPr>
      </w:pPr>
      <w:r>
        <w:rPr>
          <w:rStyle w:val="FootnoteReference"/>
        </w:rPr>
        <w:footnoteRef/>
      </w:r>
      <w:r>
        <w:t xml:space="preserve"> </w:t>
      </w:r>
      <w:r w:rsidRPr="00D44E62">
        <w:t>Panel Report, para. 6.1407.</w:t>
      </w:r>
    </w:p>
  </w:footnote>
  <w:footnote w:id="1395">
    <w:p w:rsidR="00FD2727" w:rsidRPr="002F2175" w:rsidRDefault="00FD2727">
      <w:pPr>
        <w:pStyle w:val="FootnoteText"/>
        <w:rPr>
          <w:lang w:val="en-US"/>
        </w:rPr>
      </w:pPr>
      <w:r>
        <w:rPr>
          <w:rStyle w:val="FootnoteReference"/>
        </w:rPr>
        <w:footnoteRef/>
      </w:r>
      <w:r>
        <w:t xml:space="preserve"> </w:t>
      </w:r>
      <w:r w:rsidRPr="00D44E62">
        <w:t>Panel Report, para. 6.1407.</w:t>
      </w:r>
    </w:p>
  </w:footnote>
  <w:footnote w:id="1396">
    <w:p w:rsidR="00FD2727" w:rsidRPr="002F2175" w:rsidRDefault="00FD2727">
      <w:pPr>
        <w:pStyle w:val="FootnoteText"/>
        <w:rPr>
          <w:lang w:val="en-US"/>
        </w:rPr>
      </w:pPr>
      <w:r>
        <w:rPr>
          <w:rStyle w:val="FootnoteReference"/>
        </w:rPr>
        <w:footnoteRef/>
      </w:r>
      <w:r>
        <w:t xml:space="preserve"> </w:t>
      </w:r>
      <w:r w:rsidRPr="00D44E62">
        <w:t>Panel Report, para. </w:t>
      </w:r>
      <w:r>
        <w:t>6.1407</w:t>
      </w:r>
      <w:r w:rsidRPr="00D44E62">
        <w:t>. (fn omitted)</w:t>
      </w:r>
    </w:p>
  </w:footnote>
  <w:footnote w:id="1397">
    <w:p w:rsidR="00FD2727" w:rsidRPr="002F2175" w:rsidRDefault="00FD2727">
      <w:pPr>
        <w:pStyle w:val="FootnoteText"/>
        <w:rPr>
          <w:lang w:val="en-US"/>
        </w:rPr>
      </w:pPr>
      <w:r>
        <w:rPr>
          <w:rStyle w:val="FootnoteReference"/>
        </w:rPr>
        <w:footnoteRef/>
      </w:r>
      <w:r>
        <w:t xml:space="preserve"> </w:t>
      </w:r>
      <w:r w:rsidRPr="00D44E62">
        <w:t>Panel Report, para. 6.1407. (emphasis added</w:t>
      </w:r>
      <w:r>
        <w:t>; fn omitted</w:t>
      </w:r>
      <w:r w:rsidRPr="00D44E62">
        <w:t>)</w:t>
      </w:r>
    </w:p>
  </w:footnote>
  <w:footnote w:id="1398">
    <w:p w:rsidR="00FD2727" w:rsidRPr="002F2175" w:rsidRDefault="00FD2727">
      <w:pPr>
        <w:pStyle w:val="FootnoteText"/>
        <w:rPr>
          <w:lang w:val="en-US"/>
        </w:rPr>
      </w:pPr>
      <w:r>
        <w:rPr>
          <w:rStyle w:val="FootnoteReference"/>
        </w:rPr>
        <w:footnoteRef/>
      </w:r>
      <w:r>
        <w:t xml:space="preserve"> </w:t>
      </w:r>
      <w:r w:rsidRPr="00D44E62">
        <w:t>Panel Report, para. 6.1380.</w:t>
      </w:r>
    </w:p>
  </w:footnote>
  <w:footnote w:id="1399">
    <w:p w:rsidR="00FD2727" w:rsidRPr="002F2175" w:rsidRDefault="00FD2727">
      <w:pPr>
        <w:pStyle w:val="FootnoteText"/>
        <w:rPr>
          <w:lang w:val="en-US"/>
        </w:rPr>
      </w:pPr>
      <w:r>
        <w:rPr>
          <w:rStyle w:val="FootnoteReference"/>
        </w:rPr>
        <w:footnoteRef/>
      </w:r>
      <w:r>
        <w:t xml:space="preserve"> </w:t>
      </w:r>
      <w:r w:rsidRPr="00D44E62">
        <w:t>Panel Report, para. 6.1379.</w:t>
      </w:r>
    </w:p>
  </w:footnote>
  <w:footnote w:id="1400">
    <w:p w:rsidR="00FD2727" w:rsidRPr="002F2175" w:rsidRDefault="00FD2727">
      <w:pPr>
        <w:pStyle w:val="FootnoteText"/>
        <w:rPr>
          <w:lang w:val="en-US"/>
        </w:rPr>
      </w:pPr>
      <w:r>
        <w:rPr>
          <w:rStyle w:val="FootnoteReference"/>
        </w:rPr>
        <w:footnoteRef/>
      </w:r>
      <w:r>
        <w:t xml:space="preserve"> </w:t>
      </w:r>
      <w:r w:rsidRPr="00D44E62">
        <w:t>Panel Report, para. 6.1381. (emphasis original)</w:t>
      </w:r>
    </w:p>
  </w:footnote>
  <w:footnote w:id="1401">
    <w:p w:rsidR="00FD2727" w:rsidRPr="002F2175" w:rsidRDefault="00FD2727">
      <w:pPr>
        <w:pStyle w:val="FootnoteText"/>
        <w:rPr>
          <w:lang w:val="en-US"/>
        </w:rPr>
      </w:pPr>
      <w:r>
        <w:rPr>
          <w:rStyle w:val="FootnoteReference"/>
        </w:rPr>
        <w:footnoteRef/>
      </w:r>
      <w:r>
        <w:t xml:space="preserve"> </w:t>
      </w:r>
      <w:r w:rsidRPr="00D44E62">
        <w:t>Panel Report, para. 6.1381.</w:t>
      </w:r>
    </w:p>
  </w:footnote>
  <w:footnote w:id="1402">
    <w:p w:rsidR="00FD2727" w:rsidRPr="002F2175" w:rsidRDefault="00FD2727">
      <w:pPr>
        <w:pStyle w:val="FootnoteText"/>
        <w:rPr>
          <w:lang w:val="en-US"/>
        </w:rPr>
      </w:pPr>
      <w:r>
        <w:rPr>
          <w:rStyle w:val="FootnoteReference"/>
        </w:rPr>
        <w:footnoteRef/>
      </w:r>
      <w:r>
        <w:t xml:space="preserve"> </w:t>
      </w:r>
      <w:r w:rsidRPr="00D44E62">
        <w:t>Panel Report, para. 6.1382.</w:t>
      </w:r>
    </w:p>
  </w:footnote>
  <w:footnote w:id="1403">
    <w:p w:rsidR="00FD2727" w:rsidRPr="002F2175" w:rsidRDefault="00FD2727">
      <w:pPr>
        <w:pStyle w:val="FootnoteText"/>
        <w:rPr>
          <w:lang w:val="en-US"/>
        </w:rPr>
      </w:pPr>
      <w:r>
        <w:rPr>
          <w:rStyle w:val="FootnoteReference"/>
        </w:rPr>
        <w:footnoteRef/>
      </w:r>
      <w:r>
        <w:t xml:space="preserve"> </w:t>
      </w:r>
      <w:r w:rsidRPr="00D44E62">
        <w:t xml:space="preserve">Panel Report, para. 6.1407. </w:t>
      </w:r>
      <w:r>
        <w:t>(fn omitted)</w:t>
      </w:r>
    </w:p>
  </w:footnote>
  <w:footnote w:id="1404">
    <w:p w:rsidR="00FD2727" w:rsidRPr="002F2175" w:rsidRDefault="00FD2727">
      <w:pPr>
        <w:pStyle w:val="FootnoteText"/>
        <w:rPr>
          <w:lang w:val="en-US"/>
        </w:rPr>
      </w:pPr>
      <w:r>
        <w:rPr>
          <w:rStyle w:val="FootnoteReference"/>
        </w:rPr>
        <w:footnoteRef/>
      </w:r>
      <w:r>
        <w:t xml:space="preserve"> </w:t>
      </w:r>
      <w:r w:rsidRPr="00793859">
        <w:t xml:space="preserve">Appellate Body Report, </w:t>
      </w:r>
      <w:r w:rsidRPr="00793859">
        <w:rPr>
          <w:i/>
        </w:rPr>
        <w:t xml:space="preserve">EC and certain member States </w:t>
      </w:r>
      <w:r>
        <w:rPr>
          <w:i/>
        </w:rPr>
        <w:t>–</w:t>
      </w:r>
      <w:r w:rsidRPr="00793859">
        <w:rPr>
          <w:i/>
        </w:rPr>
        <w:t xml:space="preserve"> Large Civil Aircraft</w:t>
      </w:r>
      <w:r w:rsidRPr="00793859">
        <w:t>, para. 1120. (emphasis added)</w:t>
      </w:r>
    </w:p>
  </w:footnote>
  <w:footnote w:id="1405">
    <w:p w:rsidR="00FD2727" w:rsidRPr="002F2175" w:rsidRDefault="00FD2727">
      <w:pPr>
        <w:pStyle w:val="FootnoteText"/>
        <w:rPr>
          <w:lang w:val="en-US"/>
        </w:rPr>
      </w:pPr>
      <w:r>
        <w:rPr>
          <w:rStyle w:val="FootnoteReference"/>
        </w:rPr>
        <w:footnoteRef/>
      </w:r>
      <w:r>
        <w:t xml:space="preserve"> </w:t>
      </w:r>
      <w:r w:rsidRPr="00793859">
        <w:t xml:space="preserve">Appellate Body Report, </w:t>
      </w:r>
      <w:r w:rsidRPr="00793859">
        <w:rPr>
          <w:i/>
        </w:rPr>
        <w:t xml:space="preserve">EC and certain member States </w:t>
      </w:r>
      <w:r>
        <w:rPr>
          <w:i/>
        </w:rPr>
        <w:t>–</w:t>
      </w:r>
      <w:r w:rsidRPr="00793859">
        <w:rPr>
          <w:i/>
        </w:rPr>
        <w:t xml:space="preserve"> Large Civil Aircraft</w:t>
      </w:r>
      <w:r w:rsidRPr="00793859">
        <w:t>, para. 1120.</w:t>
      </w:r>
    </w:p>
  </w:footnote>
  <w:footnote w:id="1406">
    <w:p w:rsidR="00FD2727" w:rsidRPr="002F2175" w:rsidRDefault="00FD2727" w:rsidP="00D27F64">
      <w:pPr>
        <w:pStyle w:val="FootnoteText"/>
        <w:rPr>
          <w:lang w:val="en-US"/>
        </w:rPr>
      </w:pPr>
      <w:r>
        <w:rPr>
          <w:rStyle w:val="FootnoteReference"/>
        </w:rPr>
        <w:footnoteRef/>
      </w:r>
      <w:r>
        <w:t xml:space="preserve"> </w:t>
      </w:r>
      <w:r w:rsidRPr="00D44E62">
        <w:t>Panel Report, para. 6.1383.</w:t>
      </w:r>
    </w:p>
  </w:footnote>
  <w:footnote w:id="1407">
    <w:p w:rsidR="00FD2727" w:rsidRPr="002F2175" w:rsidRDefault="00FD2727">
      <w:pPr>
        <w:pStyle w:val="FootnoteText"/>
        <w:rPr>
          <w:lang w:val="en-US"/>
        </w:rPr>
      </w:pPr>
      <w:r>
        <w:rPr>
          <w:rStyle w:val="FootnoteReference"/>
        </w:rPr>
        <w:footnoteRef/>
      </w:r>
      <w:r>
        <w:t xml:space="preserve"> </w:t>
      </w:r>
      <w:r w:rsidRPr="00D44E62">
        <w:t>Panel Report, para. 6.1387 (referring to United States' response to Panel question</w:t>
      </w:r>
      <w:r>
        <w:t>s</w:t>
      </w:r>
      <w:r w:rsidRPr="00D44E62">
        <w:t xml:space="preserve"> </w:t>
      </w:r>
      <w:r>
        <w:t>No. </w:t>
      </w:r>
      <w:r w:rsidRPr="00D44E62">
        <w:t>53</w:t>
      </w:r>
      <w:r>
        <w:t>,</w:t>
      </w:r>
      <w:r w:rsidRPr="00D44E62">
        <w:t xml:space="preserve"> para. 176 (HSBI) and </w:t>
      </w:r>
      <w:r>
        <w:t xml:space="preserve">No. </w:t>
      </w:r>
      <w:r w:rsidRPr="00D44E62">
        <w:t xml:space="preserve">58; </w:t>
      </w:r>
      <w:r w:rsidRPr="00D44E62">
        <w:rPr>
          <w:b/>
        </w:rPr>
        <w:t>[[</w:t>
      </w:r>
      <w:r w:rsidRPr="008A597A">
        <w:rPr>
          <w:b/>
        </w:rPr>
        <w:t>HSBI</w:t>
      </w:r>
      <w:r w:rsidRPr="00D44E62">
        <w:rPr>
          <w:b/>
        </w:rPr>
        <w:t xml:space="preserve">]] </w:t>
      </w:r>
      <w:r w:rsidRPr="00A70420">
        <w:t>(</w:t>
      </w:r>
      <w:r w:rsidRPr="00D44E62">
        <w:t>Panel Exhibit USA-539 (HSBI)</w:t>
      </w:r>
      <w:r>
        <w:t>)</w:t>
      </w:r>
      <w:r w:rsidRPr="00D44E62">
        <w:t xml:space="preserve">; </w:t>
      </w:r>
      <w:r w:rsidRPr="00D44E62">
        <w:rPr>
          <w:b/>
        </w:rPr>
        <w:t>[[</w:t>
      </w:r>
      <w:r w:rsidRPr="008A597A">
        <w:rPr>
          <w:b/>
        </w:rPr>
        <w:t>HSBI</w:t>
      </w:r>
      <w:r w:rsidRPr="00D44E62">
        <w:rPr>
          <w:b/>
        </w:rPr>
        <w:t xml:space="preserve">]] </w:t>
      </w:r>
      <w:r w:rsidRPr="00A70420">
        <w:t>(</w:t>
      </w:r>
      <w:r w:rsidRPr="00D44E62">
        <w:t>Panel</w:t>
      </w:r>
      <w:r w:rsidRPr="00D44E62">
        <w:rPr>
          <w:b/>
        </w:rPr>
        <w:t xml:space="preserve"> </w:t>
      </w:r>
      <w:r w:rsidRPr="00D44E62">
        <w:t>Exhibit USA-557 (HSBI))</w:t>
      </w:r>
      <w:r>
        <w:t>)</w:t>
      </w:r>
      <w:r w:rsidRPr="00D44E62">
        <w:t>.</w:t>
      </w:r>
    </w:p>
  </w:footnote>
  <w:footnote w:id="1408">
    <w:p w:rsidR="00FD2727" w:rsidRPr="002F2175" w:rsidRDefault="00FD2727">
      <w:pPr>
        <w:pStyle w:val="FootnoteText"/>
        <w:rPr>
          <w:lang w:val="en-US"/>
        </w:rPr>
      </w:pPr>
      <w:r>
        <w:rPr>
          <w:rStyle w:val="FootnoteReference"/>
        </w:rPr>
        <w:footnoteRef/>
      </w:r>
      <w:r>
        <w:t xml:space="preserve"> </w:t>
      </w:r>
      <w:r w:rsidRPr="00D44E62">
        <w:t xml:space="preserve">Panel Report, para. 6.1387 (quoting United States' response to Panel question No. 54, para. 177; Expert Declaration of Dr Chetan Sanghvi, </w:t>
      </w:r>
      <w:r w:rsidRPr="00837581">
        <w:t>NERA,</w:t>
      </w:r>
      <w:r w:rsidRPr="00D44E62">
        <w:t xml:space="preserve"> 21 May 2013 </w:t>
      </w:r>
      <w:r>
        <w:t>(Panel Exhibit USA</w:t>
      </w:r>
      <w:r>
        <w:noBreakHyphen/>
      </w:r>
      <w:r w:rsidRPr="00D44E62">
        <w:t xml:space="preserve">530), paras. 40-41). </w:t>
      </w:r>
    </w:p>
  </w:footnote>
  <w:footnote w:id="1409">
    <w:p w:rsidR="00FD2727" w:rsidRPr="002F2175" w:rsidRDefault="00FD2727">
      <w:pPr>
        <w:pStyle w:val="FootnoteText"/>
        <w:rPr>
          <w:lang w:val="en-US"/>
        </w:rPr>
      </w:pPr>
      <w:r>
        <w:rPr>
          <w:rStyle w:val="FootnoteReference"/>
        </w:rPr>
        <w:footnoteRef/>
      </w:r>
      <w:r>
        <w:t xml:space="preserve"> </w:t>
      </w:r>
      <w:r w:rsidRPr="00D44E62">
        <w:t>Panel Report, para. 6.1388 (referring to European Union's second written submission to the Panel, para. 693).</w:t>
      </w:r>
    </w:p>
  </w:footnote>
  <w:footnote w:id="1410">
    <w:p w:rsidR="00FD2727" w:rsidRPr="002F2175" w:rsidRDefault="00FD2727">
      <w:pPr>
        <w:pStyle w:val="FootnoteText"/>
        <w:rPr>
          <w:lang w:val="en-US"/>
        </w:rPr>
      </w:pPr>
      <w:r>
        <w:rPr>
          <w:rStyle w:val="FootnoteReference"/>
        </w:rPr>
        <w:footnoteRef/>
      </w:r>
      <w:r>
        <w:t xml:space="preserve"> </w:t>
      </w:r>
      <w:r w:rsidRPr="00D44E62">
        <w:t>Panel Report, para. 6.1388 (referring</w:t>
      </w:r>
      <w:r>
        <w:t xml:space="preserve"> </w:t>
      </w:r>
      <w:r w:rsidRPr="00D44E62">
        <w:t>to European Union's first written submission to the Panel, para. 631; second written submission to the Panel, para. 693; response to Panel question No. 54, para. 258 and fn 434 to para. 256; comments on the United States' response to Panel question No. 54, para. 392).</w:t>
      </w:r>
    </w:p>
  </w:footnote>
  <w:footnote w:id="1411">
    <w:p w:rsidR="00FD2727" w:rsidRPr="002F2175" w:rsidRDefault="00FD2727">
      <w:pPr>
        <w:pStyle w:val="FootnoteText"/>
        <w:rPr>
          <w:lang w:val="en-US"/>
        </w:rPr>
      </w:pPr>
      <w:r>
        <w:rPr>
          <w:rStyle w:val="FootnoteReference"/>
        </w:rPr>
        <w:footnoteRef/>
      </w:r>
      <w:r>
        <w:t xml:space="preserve"> </w:t>
      </w:r>
      <w:r w:rsidRPr="00D44E62">
        <w:t>Panel Report, para. 6.1388 (referring to European Union's comments on the United States' response to Panel question No. 53, paras. 381</w:t>
      </w:r>
      <w:r w:rsidRPr="00D44E62">
        <w:noBreakHyphen/>
        <w:t>382).</w:t>
      </w:r>
    </w:p>
  </w:footnote>
  <w:footnote w:id="1412">
    <w:p w:rsidR="00FD2727" w:rsidRPr="002F2175" w:rsidRDefault="00FD2727">
      <w:pPr>
        <w:pStyle w:val="FootnoteText"/>
        <w:rPr>
          <w:lang w:val="en-US"/>
        </w:rPr>
      </w:pPr>
      <w:r>
        <w:rPr>
          <w:rStyle w:val="FootnoteReference"/>
        </w:rPr>
        <w:footnoteRef/>
      </w:r>
      <w:r>
        <w:t xml:space="preserve"> </w:t>
      </w:r>
      <w:r w:rsidRPr="00D44E62">
        <w:t>Panel Report, para. 6.1390.</w:t>
      </w:r>
    </w:p>
  </w:footnote>
  <w:footnote w:id="1413">
    <w:p w:rsidR="00FD2727" w:rsidRPr="002F2175" w:rsidRDefault="00FD2727">
      <w:pPr>
        <w:pStyle w:val="FootnoteText"/>
        <w:rPr>
          <w:lang w:val="en-US"/>
        </w:rPr>
      </w:pPr>
      <w:r>
        <w:rPr>
          <w:rStyle w:val="FootnoteReference"/>
        </w:rPr>
        <w:footnoteRef/>
      </w:r>
      <w:r>
        <w:t xml:space="preserve"> </w:t>
      </w:r>
      <w:r w:rsidRPr="00D44E62">
        <w:t>Panel Report, para. 6.1391. (emphasis original)</w:t>
      </w:r>
    </w:p>
  </w:footnote>
  <w:footnote w:id="1414">
    <w:p w:rsidR="00FD2727" w:rsidRPr="002F2175" w:rsidRDefault="00FD2727">
      <w:pPr>
        <w:pStyle w:val="FootnoteText"/>
        <w:rPr>
          <w:lang w:val="en-US"/>
        </w:rPr>
      </w:pPr>
      <w:r>
        <w:rPr>
          <w:rStyle w:val="FootnoteReference"/>
        </w:rPr>
        <w:footnoteRef/>
      </w:r>
      <w:r>
        <w:t xml:space="preserve"> </w:t>
      </w:r>
      <w:r w:rsidRPr="00D44E62">
        <w:t>Panel Report, para. 6.1394.</w:t>
      </w:r>
    </w:p>
  </w:footnote>
  <w:footnote w:id="1415">
    <w:p w:rsidR="00FD2727" w:rsidRPr="002F2175" w:rsidRDefault="00FD2727">
      <w:pPr>
        <w:pStyle w:val="FootnoteText"/>
        <w:rPr>
          <w:lang w:val="en-US"/>
        </w:rPr>
      </w:pPr>
      <w:r>
        <w:rPr>
          <w:rStyle w:val="FootnoteReference"/>
        </w:rPr>
        <w:footnoteRef/>
      </w:r>
      <w:r>
        <w:t xml:space="preserve"> </w:t>
      </w:r>
      <w:r w:rsidRPr="00D44E62">
        <w:t>Panel Report, para. 6.1394.</w:t>
      </w:r>
    </w:p>
  </w:footnote>
  <w:footnote w:id="1416">
    <w:p w:rsidR="00FD2727" w:rsidRPr="002F2175" w:rsidRDefault="00FD2727">
      <w:pPr>
        <w:pStyle w:val="FootnoteText"/>
        <w:rPr>
          <w:lang w:val="en-US"/>
        </w:rPr>
      </w:pPr>
      <w:r>
        <w:rPr>
          <w:rStyle w:val="FootnoteReference"/>
        </w:rPr>
        <w:footnoteRef/>
      </w:r>
      <w:r>
        <w:t xml:space="preserve"> </w:t>
      </w:r>
      <w:r w:rsidRPr="00D44E62">
        <w:t>Panel Report, para. 6.1408.</w:t>
      </w:r>
    </w:p>
  </w:footnote>
  <w:footnote w:id="1417">
    <w:p w:rsidR="00FD2727" w:rsidRPr="002F2175" w:rsidRDefault="00FD2727">
      <w:pPr>
        <w:pStyle w:val="FootnoteText"/>
        <w:rPr>
          <w:lang w:val="en-US"/>
        </w:rPr>
      </w:pPr>
      <w:r>
        <w:rPr>
          <w:rStyle w:val="FootnoteReference"/>
        </w:rPr>
        <w:footnoteRef/>
      </w:r>
      <w:r>
        <w:t xml:space="preserve"> </w:t>
      </w:r>
      <w:r w:rsidRPr="00D44E62">
        <w:t>Panel Report, para. 6.1408.</w:t>
      </w:r>
    </w:p>
  </w:footnote>
  <w:footnote w:id="1418">
    <w:p w:rsidR="00FD2727" w:rsidRPr="002F2175" w:rsidRDefault="00FD2727">
      <w:pPr>
        <w:pStyle w:val="FootnoteText"/>
        <w:rPr>
          <w:lang w:val="en-US"/>
        </w:rPr>
      </w:pPr>
      <w:r>
        <w:rPr>
          <w:rStyle w:val="FootnoteReference"/>
        </w:rPr>
        <w:footnoteRef/>
      </w:r>
      <w:r>
        <w:t xml:space="preserve"> </w:t>
      </w:r>
      <w:r w:rsidRPr="00D44E62">
        <w:t>Panel Report, para. 6.1408.</w:t>
      </w:r>
    </w:p>
  </w:footnote>
  <w:footnote w:id="1419">
    <w:p w:rsidR="00FD2727" w:rsidRPr="002F2175" w:rsidRDefault="00FD2727">
      <w:pPr>
        <w:pStyle w:val="FootnoteText"/>
        <w:rPr>
          <w:lang w:val="en-US"/>
        </w:rPr>
      </w:pPr>
      <w:r>
        <w:rPr>
          <w:rStyle w:val="FootnoteReference"/>
        </w:rPr>
        <w:footnoteRef/>
      </w:r>
      <w:r>
        <w:t xml:space="preserve"> </w:t>
      </w:r>
      <w:r w:rsidRPr="00D44E62">
        <w:t>Panel Report, para. 6.1408.</w:t>
      </w:r>
    </w:p>
  </w:footnote>
  <w:footnote w:id="1420">
    <w:p w:rsidR="00FD2727" w:rsidRPr="002F2175" w:rsidRDefault="00FD2727">
      <w:pPr>
        <w:pStyle w:val="FootnoteText"/>
        <w:rPr>
          <w:lang w:val="en-US"/>
        </w:rPr>
      </w:pPr>
      <w:r>
        <w:rPr>
          <w:rStyle w:val="FootnoteReference"/>
        </w:rPr>
        <w:footnoteRef/>
      </w:r>
      <w:r>
        <w:t xml:space="preserve"> </w:t>
      </w:r>
      <w:r w:rsidRPr="00D44E62">
        <w:t>Panel Report, para. 6.1408. (emphasis added)</w:t>
      </w:r>
    </w:p>
  </w:footnote>
  <w:footnote w:id="1421">
    <w:p w:rsidR="00FD2727" w:rsidRDefault="00FD2727" w:rsidP="00267BCB">
      <w:pPr>
        <w:pStyle w:val="FootnoteText"/>
      </w:pPr>
      <w:r>
        <w:rPr>
          <w:rStyle w:val="FootnoteReference"/>
        </w:rPr>
        <w:footnoteRef/>
      </w:r>
      <w:r>
        <w:t xml:space="preserve"> Panel Report, para. 6.1416. (emphasis added)</w:t>
      </w:r>
    </w:p>
  </w:footnote>
  <w:footnote w:id="1422">
    <w:p w:rsidR="00FD2727" w:rsidRPr="002F2175" w:rsidRDefault="00FD2727">
      <w:pPr>
        <w:pStyle w:val="FootnoteText"/>
        <w:rPr>
          <w:lang w:val="en-US"/>
        </w:rPr>
      </w:pPr>
      <w:r>
        <w:rPr>
          <w:rStyle w:val="FootnoteReference"/>
        </w:rPr>
        <w:footnoteRef/>
      </w:r>
      <w:r>
        <w:t xml:space="preserve"> </w:t>
      </w:r>
      <w:r w:rsidRPr="00D44E62">
        <w:t>Panel Report, para. 6.1409.</w:t>
      </w:r>
      <w:r>
        <w:t xml:space="preserve"> (emphasis original)</w:t>
      </w:r>
    </w:p>
  </w:footnote>
  <w:footnote w:id="1423">
    <w:p w:rsidR="00FD2727" w:rsidRPr="002F2175" w:rsidRDefault="00FD2727">
      <w:pPr>
        <w:pStyle w:val="FootnoteText"/>
        <w:rPr>
          <w:lang w:val="en-US"/>
        </w:rPr>
      </w:pPr>
      <w:r>
        <w:rPr>
          <w:rStyle w:val="FootnoteReference"/>
        </w:rPr>
        <w:footnoteRef/>
      </w:r>
      <w:r>
        <w:t xml:space="preserve"> </w:t>
      </w:r>
      <w:r w:rsidRPr="00D44E62">
        <w:t>Panel Report, para. 6.1409.</w:t>
      </w:r>
      <w:r>
        <w:t xml:space="preserve"> (emphasis omitted)</w:t>
      </w:r>
    </w:p>
  </w:footnote>
  <w:footnote w:id="1424">
    <w:p w:rsidR="00FD2727" w:rsidRPr="002F2175" w:rsidRDefault="00FD2727">
      <w:pPr>
        <w:pStyle w:val="FootnoteText"/>
        <w:rPr>
          <w:lang w:val="en-US"/>
        </w:rPr>
      </w:pPr>
      <w:r>
        <w:rPr>
          <w:rStyle w:val="FootnoteReference"/>
        </w:rPr>
        <w:footnoteRef/>
      </w:r>
      <w:r>
        <w:t xml:space="preserve"> </w:t>
      </w:r>
      <w:r w:rsidRPr="00D44E62">
        <w:t>Panel Report, para. 6.1409.</w:t>
      </w:r>
    </w:p>
  </w:footnote>
  <w:footnote w:id="1425">
    <w:p w:rsidR="00FD2727" w:rsidRPr="002F2175" w:rsidRDefault="00FD2727">
      <w:pPr>
        <w:pStyle w:val="FootnoteText"/>
        <w:rPr>
          <w:lang w:val="en-US"/>
        </w:rPr>
      </w:pPr>
      <w:r>
        <w:rPr>
          <w:rStyle w:val="FootnoteReference"/>
        </w:rPr>
        <w:footnoteRef/>
      </w:r>
      <w:r>
        <w:t xml:space="preserve"> </w:t>
      </w:r>
      <w:r w:rsidRPr="00D44E62">
        <w:t>Panel Report, para. 6.1409.</w:t>
      </w:r>
    </w:p>
  </w:footnote>
  <w:footnote w:id="1426">
    <w:p w:rsidR="00FD2727" w:rsidRPr="002F2175" w:rsidRDefault="00FD2727">
      <w:pPr>
        <w:pStyle w:val="FootnoteText"/>
        <w:rPr>
          <w:lang w:val="en-US"/>
        </w:rPr>
      </w:pPr>
      <w:r>
        <w:rPr>
          <w:rStyle w:val="FootnoteReference"/>
        </w:rPr>
        <w:footnoteRef/>
      </w:r>
      <w:r>
        <w:t xml:space="preserve"> </w:t>
      </w:r>
      <w:r w:rsidRPr="00D44E62">
        <w:t>Panel Report, para. 6.1402 (quoting EADS Press Release, "British Airways to buy 12 Airbus A380 aircraft for long haul fleet", 27 September 2007 (Panel Exhibit USA-256)).</w:t>
      </w:r>
      <w:r>
        <w:t xml:space="preserve"> (emphasis added)</w:t>
      </w:r>
    </w:p>
  </w:footnote>
  <w:footnote w:id="1427">
    <w:p w:rsidR="00FD2727" w:rsidRPr="002F2175" w:rsidRDefault="00FD2727">
      <w:pPr>
        <w:pStyle w:val="FootnoteText"/>
        <w:rPr>
          <w:lang w:val="en-US"/>
        </w:rPr>
      </w:pPr>
      <w:r>
        <w:rPr>
          <w:rStyle w:val="FootnoteReference"/>
        </w:rPr>
        <w:footnoteRef/>
      </w:r>
      <w:r>
        <w:t xml:space="preserve"> </w:t>
      </w:r>
      <w:r w:rsidRPr="00D44E62">
        <w:t xml:space="preserve">Panel Report, para. 6.1405. </w:t>
      </w:r>
    </w:p>
  </w:footnote>
  <w:footnote w:id="1428">
    <w:p w:rsidR="00FD2727" w:rsidRDefault="00FD2727">
      <w:pPr>
        <w:pStyle w:val="FootnoteText"/>
      </w:pPr>
      <w:r>
        <w:rPr>
          <w:rStyle w:val="FootnoteReference"/>
        </w:rPr>
        <w:footnoteRef/>
      </w:r>
      <w:r>
        <w:t xml:space="preserve"> Panel Report, para. 6.1386.</w:t>
      </w:r>
    </w:p>
  </w:footnote>
  <w:footnote w:id="1429">
    <w:p w:rsidR="00FD2727" w:rsidRPr="002F2175" w:rsidRDefault="00FD2727">
      <w:pPr>
        <w:pStyle w:val="FootnoteText"/>
        <w:rPr>
          <w:lang w:val="en-US"/>
        </w:rPr>
      </w:pPr>
      <w:r>
        <w:rPr>
          <w:rStyle w:val="FootnoteReference"/>
        </w:rPr>
        <w:footnoteRef/>
      </w:r>
      <w:r>
        <w:t xml:space="preserve"> </w:t>
      </w:r>
      <w:r w:rsidRPr="00D44E62">
        <w:t>Panel Report, para. 6.1410.</w:t>
      </w:r>
    </w:p>
  </w:footnote>
  <w:footnote w:id="1430">
    <w:p w:rsidR="00FD2727" w:rsidRPr="002F2175" w:rsidRDefault="00FD2727">
      <w:pPr>
        <w:pStyle w:val="FootnoteText"/>
        <w:rPr>
          <w:lang w:val="en-US"/>
        </w:rPr>
      </w:pPr>
      <w:r>
        <w:rPr>
          <w:rStyle w:val="FootnoteReference"/>
        </w:rPr>
        <w:footnoteRef/>
      </w:r>
      <w:r>
        <w:t xml:space="preserve"> </w:t>
      </w:r>
      <w:r w:rsidRPr="00793859">
        <w:t>Panel Report, para. 6.1410 (</w:t>
      </w:r>
      <w:r>
        <w:t>quoting</w:t>
      </w:r>
      <w:r w:rsidRPr="00793859">
        <w:t xml:space="preserve"> Appellate Body Report, </w:t>
      </w:r>
      <w:r w:rsidRPr="00793859">
        <w:rPr>
          <w:i/>
        </w:rPr>
        <w:t xml:space="preserve">EC and certain member States </w:t>
      </w:r>
      <w:r>
        <w:rPr>
          <w:i/>
        </w:rPr>
        <w:t>–</w:t>
      </w:r>
      <w:r w:rsidRPr="00793859">
        <w:rPr>
          <w:i/>
        </w:rPr>
        <w:t xml:space="preserve"> Large Civil Aircraft</w:t>
      </w:r>
      <w:r w:rsidRPr="00793859">
        <w:t>, paras. 1227</w:t>
      </w:r>
      <w:r>
        <w:t>-</w:t>
      </w:r>
      <w:r w:rsidRPr="00793859">
        <w:t>1228).</w:t>
      </w:r>
    </w:p>
  </w:footnote>
  <w:footnote w:id="1431">
    <w:p w:rsidR="00FD2727" w:rsidRPr="002F2175" w:rsidRDefault="00FD2727">
      <w:pPr>
        <w:pStyle w:val="FootnoteText"/>
        <w:rPr>
          <w:lang w:val="en-US"/>
        </w:rPr>
      </w:pPr>
      <w:r>
        <w:rPr>
          <w:rStyle w:val="FootnoteReference"/>
        </w:rPr>
        <w:footnoteRef/>
      </w:r>
      <w:r>
        <w:t xml:space="preserve"> </w:t>
      </w:r>
      <w:r w:rsidRPr="00D44E62">
        <w:t>Panel Report, para. 6.1416.</w:t>
      </w:r>
    </w:p>
  </w:footnote>
  <w:footnote w:id="1432">
    <w:p w:rsidR="00FD2727" w:rsidRDefault="00FD2727" w:rsidP="00E80D8D">
      <w:pPr>
        <w:pStyle w:val="FootnoteText"/>
        <w:keepNext/>
        <w:keepLines/>
      </w:pPr>
      <w:r>
        <w:rPr>
          <w:rStyle w:val="FootnoteReference"/>
        </w:rPr>
        <w:footnoteRef/>
      </w:r>
      <w:r>
        <w:t xml:space="preserve"> Panel Report, para. 6.1377 (referring to European Union's first written submission to the Panel, paras. 626-629; second written submission to the Panel, para. 691; response to Panel question No. 49, para. 222; Mourey Statement (Panel Exhibit EU-8 </w:t>
      </w:r>
      <w:r w:rsidRPr="00286C48">
        <w:t>(BCI))</w:t>
      </w:r>
      <w:r>
        <w:t xml:space="preserve">, paras. 151-152 and 160; </w:t>
      </w:r>
      <w:r>
        <w:rPr>
          <w:szCs w:val="16"/>
        </w:rPr>
        <w:t>Supplemental Mourey Statement</w:t>
      </w:r>
      <w:r>
        <w:t xml:space="preserve"> (Panel Exhibit EU-124 (BCI/HSBI)), paras. 67-69).</w:t>
      </w:r>
    </w:p>
  </w:footnote>
  <w:footnote w:id="1433">
    <w:p w:rsidR="00FD2727" w:rsidRPr="002F2175" w:rsidRDefault="00FD2727" w:rsidP="00267BCB">
      <w:pPr>
        <w:pStyle w:val="FootnoteText"/>
        <w:rPr>
          <w:lang w:val="en-US"/>
        </w:rPr>
      </w:pPr>
      <w:r>
        <w:rPr>
          <w:rStyle w:val="FootnoteReference"/>
        </w:rPr>
        <w:footnoteRef/>
      </w:r>
      <w:r>
        <w:t xml:space="preserve"> </w:t>
      </w:r>
      <w:r w:rsidRPr="00D44E62">
        <w:t>Panel Report, para. 6.1413.</w:t>
      </w:r>
    </w:p>
  </w:footnote>
  <w:footnote w:id="1434">
    <w:p w:rsidR="00FD2727" w:rsidRPr="002F2175" w:rsidRDefault="00FD2727" w:rsidP="00267BCB">
      <w:pPr>
        <w:pStyle w:val="FootnoteText"/>
        <w:rPr>
          <w:lang w:val="en-US"/>
        </w:rPr>
      </w:pPr>
      <w:r>
        <w:rPr>
          <w:rStyle w:val="FootnoteReference"/>
        </w:rPr>
        <w:footnoteRef/>
      </w:r>
      <w:r>
        <w:t xml:space="preserve"> </w:t>
      </w:r>
      <w:r w:rsidRPr="00D44E62">
        <w:t>Panel Report, para. 6.1413.</w:t>
      </w:r>
    </w:p>
  </w:footnote>
  <w:footnote w:id="1435">
    <w:p w:rsidR="00FD2727" w:rsidRPr="002F2175" w:rsidRDefault="00FD2727" w:rsidP="00267BCB">
      <w:pPr>
        <w:pStyle w:val="FootnoteText"/>
        <w:rPr>
          <w:lang w:val="en-US"/>
        </w:rPr>
      </w:pPr>
      <w:r>
        <w:rPr>
          <w:rStyle w:val="FootnoteReference"/>
        </w:rPr>
        <w:footnoteRef/>
      </w:r>
      <w:r>
        <w:t xml:space="preserve"> </w:t>
      </w:r>
      <w:r w:rsidRPr="00D44E62">
        <w:t>Panel Report, para. 6.1413 (referring to European Union's first written submission to the Panel, paras. 491, 602, 604, and 718; second written submission to the Panel, paras. 636, 639, and 677; Mourey Statement (Panel Exhibit EU-8</w:t>
      </w:r>
      <w:r>
        <w:t xml:space="preserve"> (BCI))</w:t>
      </w:r>
      <w:r w:rsidRPr="00D44E62">
        <w:t>, para. </w:t>
      </w:r>
      <w:r w:rsidRPr="00D31074">
        <w:t>82; Supplemental Mourey Statement (Panel Exhibit EU-124 (BCI/HSBI)), paras. </w:t>
      </w:r>
      <w:r w:rsidRPr="00D44E62">
        <w:t>10, 13, 19</w:t>
      </w:r>
      <w:r>
        <w:t>,</w:t>
      </w:r>
      <w:r w:rsidRPr="00D44E62">
        <w:t xml:space="preserve"> and 22).</w:t>
      </w:r>
    </w:p>
  </w:footnote>
  <w:footnote w:id="1436">
    <w:p w:rsidR="00FD2727" w:rsidRPr="002F2175" w:rsidRDefault="00FD2727" w:rsidP="00267BCB">
      <w:pPr>
        <w:pStyle w:val="FootnoteText"/>
        <w:rPr>
          <w:lang w:val="en-US"/>
        </w:rPr>
      </w:pPr>
      <w:r>
        <w:rPr>
          <w:rStyle w:val="FootnoteReference"/>
        </w:rPr>
        <w:footnoteRef/>
      </w:r>
      <w:r>
        <w:t xml:space="preserve"> </w:t>
      </w:r>
      <w:r w:rsidRPr="00D44E62">
        <w:t>Panel Report, para. 6.1413 (referring to European Union's first written submission to the Panel, para. 860; Supplemental Mourey Statement (Panel Exhibit EU</w:t>
      </w:r>
      <w:r w:rsidRPr="00D44E62">
        <w:noBreakHyphen/>
        <w:t>124 (BCI/HSBI)</w:t>
      </w:r>
      <w:r>
        <w:t>)</w:t>
      </w:r>
      <w:r w:rsidRPr="00D44E62">
        <w:t>, paras. 10, 26, 35, 43, 50-51, and 60).</w:t>
      </w:r>
    </w:p>
  </w:footnote>
  <w:footnote w:id="1437">
    <w:p w:rsidR="00FD2727" w:rsidRPr="002F2175" w:rsidRDefault="00FD2727" w:rsidP="00267BCB">
      <w:pPr>
        <w:pStyle w:val="FootnoteText"/>
        <w:rPr>
          <w:lang w:val="en-US"/>
        </w:rPr>
      </w:pPr>
      <w:r>
        <w:rPr>
          <w:rStyle w:val="FootnoteReference"/>
        </w:rPr>
        <w:footnoteRef/>
      </w:r>
      <w:r>
        <w:t xml:space="preserve"> </w:t>
      </w:r>
      <w:r w:rsidRPr="00D44E62">
        <w:t>Panel Report, para. 6.1413 (referring to European Union's first written submission to the Panel, para. 629; second written submission to the Panel, para. 690; response to Panel question No. 58; Mourey Statement (Panel Exhibit EU-8</w:t>
      </w:r>
      <w:r>
        <w:t xml:space="preserve"> (BCI))</w:t>
      </w:r>
      <w:r w:rsidRPr="00D44E62">
        <w:t>, para. 176; Supplemental Mourey Statement (Panel Exhibit EU-124 (BCI/HSBI)</w:t>
      </w:r>
      <w:r>
        <w:t>)</w:t>
      </w:r>
      <w:r w:rsidRPr="00D44E62">
        <w:t>, para. 65).</w:t>
      </w:r>
    </w:p>
  </w:footnote>
  <w:footnote w:id="1438">
    <w:p w:rsidR="00FD2727" w:rsidRPr="002F2175" w:rsidRDefault="00FD2727">
      <w:pPr>
        <w:pStyle w:val="FootnoteText"/>
        <w:rPr>
          <w:lang w:val="en-US"/>
        </w:rPr>
      </w:pPr>
      <w:r>
        <w:rPr>
          <w:rStyle w:val="FootnoteReference"/>
        </w:rPr>
        <w:footnoteRef/>
      </w:r>
      <w:r>
        <w:t xml:space="preserve"> </w:t>
      </w:r>
      <w:r w:rsidRPr="00D44E62">
        <w:t xml:space="preserve">Panel Report, para. 6.1416. (emphasis added) </w:t>
      </w:r>
      <w:r>
        <w:t>In a footnote, t</w:t>
      </w:r>
      <w:r w:rsidRPr="00D44E62">
        <w:t>he Panel also recalled that</w:t>
      </w:r>
      <w:r>
        <w:t>,</w:t>
      </w:r>
      <w:r w:rsidRPr="00D44E62">
        <w:t xml:space="preserve"> during the original appellate proceedings, </w:t>
      </w:r>
      <w:r>
        <w:t>"</w:t>
      </w:r>
      <w:r w:rsidRPr="00D44E62">
        <w:t xml:space="preserve">the parties appeared to accept (or at least did not object to the notion) that competition in the LCA industry could be viewed as taking place in three distinct </w:t>
      </w:r>
      <w:r>
        <w:t xml:space="preserve">passenger </w:t>
      </w:r>
      <w:r w:rsidRPr="00D44E62">
        <w:t xml:space="preserve">aircraft product </w:t>
      </w:r>
      <w:r w:rsidRPr="00033DDE">
        <w:t>markets</w:t>
      </w:r>
      <w:r w:rsidRPr="00D44E62">
        <w:t xml:space="preserve">, namely, the </w:t>
      </w:r>
      <w:r w:rsidRPr="004C2065">
        <w:t>single-aisle</w:t>
      </w:r>
      <w:r w:rsidRPr="00D44E62">
        <w:t xml:space="preserve">, </w:t>
      </w:r>
      <w:r w:rsidRPr="004C2065">
        <w:t>twin-aisle</w:t>
      </w:r>
      <w:r w:rsidRPr="00D44E62">
        <w:t xml:space="preserve"> and VLA </w:t>
      </w:r>
      <w:r w:rsidRPr="00033DDE">
        <w:t>markets</w:t>
      </w:r>
      <w:r>
        <w:t>"</w:t>
      </w:r>
      <w:r w:rsidRPr="00D44E62">
        <w:t xml:space="preserve">, noting further that the </w:t>
      </w:r>
      <w:r w:rsidRPr="00172292">
        <w:t>Appellate Body</w:t>
      </w:r>
      <w:r w:rsidRPr="00D44E62">
        <w:t xml:space="preserve"> went on to "complete the analysis" on the basis of the same three product </w:t>
      </w:r>
      <w:r w:rsidRPr="00033DDE">
        <w:t>markets</w:t>
      </w:r>
      <w:r w:rsidRPr="00D44E62">
        <w:t>. (</w:t>
      </w:r>
      <w:r>
        <w:t>Ibid.</w:t>
      </w:r>
      <w:r w:rsidRPr="00D44E62">
        <w:t xml:space="preserve">, fn 2416 </w:t>
      </w:r>
      <w:r>
        <w:t>thereto</w:t>
      </w:r>
      <w:r w:rsidRPr="00D44E62">
        <w:t>)</w:t>
      </w:r>
    </w:p>
  </w:footnote>
  <w:footnote w:id="1439">
    <w:p w:rsidR="00FD2727" w:rsidRPr="002F2175" w:rsidRDefault="00FD2727">
      <w:pPr>
        <w:pStyle w:val="FootnoteText"/>
        <w:rPr>
          <w:lang w:val="en-US"/>
        </w:rPr>
      </w:pPr>
      <w:r>
        <w:rPr>
          <w:rStyle w:val="FootnoteReference"/>
        </w:rPr>
        <w:footnoteRef/>
      </w:r>
      <w:r>
        <w:t xml:space="preserve"> </w:t>
      </w:r>
      <w:r w:rsidRPr="00D44E62">
        <w:t>United States' appellee's submission, para. 349.</w:t>
      </w:r>
    </w:p>
  </w:footnote>
  <w:footnote w:id="1440">
    <w:p w:rsidR="00FD2727" w:rsidRPr="002F2175" w:rsidRDefault="00FD2727">
      <w:pPr>
        <w:pStyle w:val="FootnoteText"/>
        <w:rPr>
          <w:lang w:val="en-US"/>
        </w:rPr>
      </w:pPr>
      <w:r>
        <w:rPr>
          <w:rStyle w:val="FootnoteReference"/>
        </w:rPr>
        <w:footnoteRef/>
      </w:r>
      <w:r>
        <w:t xml:space="preserve"> </w:t>
      </w:r>
      <w:r w:rsidRPr="00D44E62">
        <w:t>United States' appellee's submission, para. 349 (quoting Panel Report, para. 6.1416</w:t>
      </w:r>
      <w:r>
        <w:t>).</w:t>
      </w:r>
      <w:r w:rsidRPr="00D44E62">
        <w:t xml:space="preserve"> (emphasis original</w:t>
      </w:r>
      <w:r>
        <w:t>)</w:t>
      </w:r>
    </w:p>
  </w:footnote>
  <w:footnote w:id="1441">
    <w:p w:rsidR="00FD2727" w:rsidRDefault="00FD2727" w:rsidP="00267BCB">
      <w:pPr>
        <w:pStyle w:val="FootnoteText"/>
      </w:pPr>
      <w:r>
        <w:rPr>
          <w:rStyle w:val="FootnoteReference"/>
        </w:rPr>
        <w:footnoteRef/>
      </w:r>
      <w:r>
        <w:t xml:space="preserve"> European Union's appellant's submission, para. 601 (quoting Panel Report, para. 6.1348 (emphasis added by the European Union)). </w:t>
      </w:r>
    </w:p>
  </w:footnote>
  <w:footnote w:id="1442">
    <w:p w:rsidR="00FD2727" w:rsidRPr="00B56CE2" w:rsidRDefault="00FD2727" w:rsidP="00267BCB">
      <w:pPr>
        <w:pStyle w:val="FootnoteText"/>
        <w:rPr>
          <w:lang w:val="en-US"/>
        </w:rPr>
      </w:pPr>
      <w:r>
        <w:rPr>
          <w:rStyle w:val="FootnoteReference"/>
        </w:rPr>
        <w:footnoteRef/>
      </w:r>
      <w:r w:rsidRPr="00B56CE2">
        <w:rPr>
          <w:lang w:val="en-US"/>
        </w:rPr>
        <w:t xml:space="preserve"> United States' appellee's submission, para. </w:t>
      </w:r>
      <w:r>
        <w:rPr>
          <w:lang w:val="en-US"/>
        </w:rPr>
        <w:t xml:space="preserve">333 (quoting </w:t>
      </w:r>
      <w:r w:rsidRPr="00B56CE2">
        <w:rPr>
          <w:lang w:val="en-US"/>
        </w:rPr>
        <w:t>Panel Report, para. 6.1348</w:t>
      </w:r>
      <w:r>
        <w:rPr>
          <w:lang w:val="en-US"/>
        </w:rPr>
        <w:t>)</w:t>
      </w:r>
      <w:r w:rsidRPr="00B56CE2">
        <w:rPr>
          <w:lang w:val="en-US"/>
        </w:rPr>
        <w:t>.</w:t>
      </w:r>
    </w:p>
  </w:footnote>
  <w:footnote w:id="1443">
    <w:p w:rsidR="00FD2727" w:rsidRDefault="00FD2727">
      <w:pPr>
        <w:pStyle w:val="FootnoteText"/>
      </w:pPr>
      <w:r>
        <w:rPr>
          <w:rStyle w:val="FootnoteReference"/>
        </w:rPr>
        <w:footnoteRef/>
      </w:r>
      <w:r>
        <w:t xml:space="preserve"> </w:t>
      </w:r>
      <w:r w:rsidRPr="00A178F9">
        <w:rPr>
          <w:lang w:val="en-US"/>
        </w:rPr>
        <w:t xml:space="preserve">United States' appellee's submission, para. </w:t>
      </w:r>
      <w:r>
        <w:rPr>
          <w:lang w:val="en-US"/>
        </w:rPr>
        <w:t>333.</w:t>
      </w:r>
    </w:p>
  </w:footnote>
  <w:footnote w:id="1444">
    <w:p w:rsidR="00FD2727" w:rsidRDefault="00FD2727">
      <w:pPr>
        <w:pStyle w:val="FootnoteText"/>
      </w:pPr>
      <w:r>
        <w:rPr>
          <w:rStyle w:val="FootnoteReference"/>
        </w:rPr>
        <w:footnoteRef/>
      </w:r>
      <w:r>
        <w:t xml:space="preserve"> Panel Report, para. 6.1348. </w:t>
      </w:r>
    </w:p>
  </w:footnote>
  <w:footnote w:id="1445">
    <w:p w:rsidR="00FD2727" w:rsidRDefault="00FD2727">
      <w:pPr>
        <w:pStyle w:val="FootnoteText"/>
      </w:pPr>
      <w:r>
        <w:rPr>
          <w:rStyle w:val="FootnoteReference"/>
        </w:rPr>
        <w:footnoteRef/>
      </w:r>
      <w:r>
        <w:t xml:space="preserve"> Panel Report, para. 6.1399.</w:t>
      </w:r>
    </w:p>
  </w:footnote>
  <w:footnote w:id="1446">
    <w:p w:rsidR="00FD2727" w:rsidRPr="002F2175" w:rsidRDefault="00FD2727" w:rsidP="00267BCB">
      <w:pPr>
        <w:pStyle w:val="FootnoteText"/>
        <w:rPr>
          <w:lang w:val="en-US"/>
        </w:rPr>
      </w:pPr>
      <w:r>
        <w:rPr>
          <w:rStyle w:val="FootnoteReference"/>
        </w:rPr>
        <w:footnoteRef/>
      </w:r>
      <w:r>
        <w:t xml:space="preserve"> </w:t>
      </w:r>
      <w:r w:rsidRPr="00D44E62">
        <w:t>Panel Report, para. 6.1349</w:t>
      </w:r>
      <w:r>
        <w:t>.</w:t>
      </w:r>
      <w:r w:rsidRPr="00D44E62">
        <w:t xml:space="preserve"> </w:t>
      </w:r>
      <w:r>
        <w:t>See also</w:t>
      </w:r>
      <w:r w:rsidRPr="00D44E62">
        <w:t xml:space="preserve"> Appellate Body Report, </w:t>
      </w:r>
      <w:r w:rsidRPr="00D44E62">
        <w:rPr>
          <w:i/>
        </w:rPr>
        <w:t>EC and certain member States</w:t>
      </w:r>
      <w:r>
        <w:rPr>
          <w:i/>
        </w:rPr>
        <w:t xml:space="preserve"> – </w:t>
      </w:r>
      <w:r w:rsidRPr="00D44E62">
        <w:rPr>
          <w:i/>
        </w:rPr>
        <w:t>Large Civil Aircraft</w:t>
      </w:r>
      <w:r w:rsidRPr="00D44E62">
        <w:t>, para. </w:t>
      </w:r>
      <w:r w:rsidRPr="00C417C1">
        <w:t>1223</w:t>
      </w:r>
      <w:r w:rsidRPr="00D44E62">
        <w:t>.</w:t>
      </w:r>
    </w:p>
  </w:footnote>
  <w:footnote w:id="1447">
    <w:p w:rsidR="00FD2727" w:rsidRDefault="00FD2727">
      <w:pPr>
        <w:pStyle w:val="FootnoteText"/>
      </w:pPr>
      <w:r>
        <w:rPr>
          <w:rStyle w:val="FootnoteReference"/>
        </w:rPr>
        <w:footnoteRef/>
      </w:r>
      <w:r>
        <w:t xml:space="preserve"> Panel Report, para. 6.1348.</w:t>
      </w:r>
    </w:p>
  </w:footnote>
  <w:footnote w:id="1448">
    <w:p w:rsidR="00FD2727" w:rsidRPr="002F2175" w:rsidRDefault="00FD2727" w:rsidP="00267BCB">
      <w:pPr>
        <w:pStyle w:val="FootnoteText"/>
        <w:rPr>
          <w:lang w:val="en-US"/>
        </w:rPr>
      </w:pPr>
      <w:r>
        <w:rPr>
          <w:rStyle w:val="FootnoteReference"/>
        </w:rPr>
        <w:footnoteRef/>
      </w:r>
      <w:r>
        <w:t xml:space="preserve"> </w:t>
      </w:r>
      <w:r w:rsidRPr="00D44E62">
        <w:t>European Union's appellant's submission, para. 615.</w:t>
      </w:r>
    </w:p>
  </w:footnote>
  <w:footnote w:id="1449">
    <w:p w:rsidR="00FD2727" w:rsidRPr="002F2175" w:rsidRDefault="00FD2727">
      <w:pPr>
        <w:pStyle w:val="FootnoteText"/>
        <w:rPr>
          <w:lang w:val="en-US"/>
        </w:rPr>
      </w:pPr>
      <w:r>
        <w:rPr>
          <w:rStyle w:val="FootnoteReference"/>
        </w:rPr>
        <w:footnoteRef/>
      </w:r>
      <w:r>
        <w:t xml:space="preserve"> </w:t>
      </w:r>
      <w:r w:rsidRPr="00D44E62">
        <w:t xml:space="preserve">European Union's appellant's submission, para. 616. We note that the European Union requests </w:t>
      </w:r>
      <w:r>
        <w:t>us</w:t>
      </w:r>
      <w:r w:rsidRPr="00D44E62">
        <w:t xml:space="preserve"> to consider this appeal only if </w:t>
      </w:r>
      <w:r>
        <w:t>we</w:t>
      </w:r>
      <w:r w:rsidRPr="00D44E62">
        <w:t xml:space="preserve"> reject the European Union's appeal concerning the Panel's interpretation of the term "market" in Article 6.3, and instead consider that the Panel properly interpreted the term "market". (</w:t>
      </w:r>
      <w:r>
        <w:t>Ibid.</w:t>
      </w:r>
      <w:r w:rsidRPr="00D44E62">
        <w:t>, para. 540</w:t>
      </w:r>
      <w:r>
        <w:t>,</w:t>
      </w:r>
      <w:r w:rsidRPr="00D44E62">
        <w:t xml:space="preserve"> and fn 576 to para. 595)</w:t>
      </w:r>
    </w:p>
  </w:footnote>
  <w:footnote w:id="1450">
    <w:p w:rsidR="00FD2727" w:rsidRPr="002F2175" w:rsidRDefault="00FD2727">
      <w:pPr>
        <w:pStyle w:val="FootnoteText"/>
        <w:rPr>
          <w:lang w:val="en-US"/>
        </w:rPr>
      </w:pPr>
      <w:r>
        <w:rPr>
          <w:rStyle w:val="FootnoteReference"/>
        </w:rPr>
        <w:footnoteRef/>
      </w:r>
      <w:r>
        <w:t xml:space="preserve"> </w:t>
      </w:r>
      <w:r w:rsidRPr="00D44E62">
        <w:t>European Union's appellant's submission, para. 619.</w:t>
      </w:r>
    </w:p>
  </w:footnote>
  <w:footnote w:id="1451">
    <w:p w:rsidR="00FD2727" w:rsidRPr="002F2175" w:rsidRDefault="00FD2727">
      <w:pPr>
        <w:pStyle w:val="FootnoteText"/>
        <w:rPr>
          <w:lang w:val="en-US"/>
        </w:rPr>
      </w:pPr>
      <w:r>
        <w:rPr>
          <w:rStyle w:val="FootnoteReference"/>
        </w:rPr>
        <w:footnoteRef/>
      </w:r>
      <w:r>
        <w:t xml:space="preserve"> </w:t>
      </w:r>
      <w:r w:rsidRPr="00D44E62">
        <w:t>European Union's appellant's submission, para. 620.</w:t>
      </w:r>
    </w:p>
  </w:footnote>
  <w:footnote w:id="1452">
    <w:p w:rsidR="00FD2727" w:rsidRPr="002F2175" w:rsidRDefault="00FD2727">
      <w:pPr>
        <w:pStyle w:val="FootnoteText"/>
        <w:rPr>
          <w:lang w:val="en-US"/>
        </w:rPr>
      </w:pPr>
      <w:r>
        <w:rPr>
          <w:rStyle w:val="FootnoteReference"/>
        </w:rPr>
        <w:footnoteRef/>
      </w:r>
      <w:r>
        <w:t xml:space="preserve"> </w:t>
      </w:r>
      <w:r w:rsidRPr="00D44E62">
        <w:t>European Union's appellant's submission, para. 621 (referring to Panel Report, fn 2415 to para. 6.1416).</w:t>
      </w:r>
    </w:p>
  </w:footnote>
  <w:footnote w:id="1453">
    <w:p w:rsidR="00FD2727" w:rsidRPr="002F2175" w:rsidRDefault="00FD2727">
      <w:pPr>
        <w:pStyle w:val="FootnoteText"/>
        <w:rPr>
          <w:lang w:val="en-US"/>
        </w:rPr>
      </w:pPr>
      <w:r>
        <w:rPr>
          <w:rStyle w:val="FootnoteReference"/>
        </w:rPr>
        <w:footnoteRef/>
      </w:r>
      <w:r>
        <w:t xml:space="preserve"> </w:t>
      </w:r>
      <w:r w:rsidRPr="00D44E62">
        <w:t>European Union's appellant's submission, para. 623.</w:t>
      </w:r>
    </w:p>
  </w:footnote>
  <w:footnote w:id="1454">
    <w:p w:rsidR="00FD2727" w:rsidRPr="002F2175" w:rsidRDefault="00FD2727">
      <w:pPr>
        <w:pStyle w:val="FootnoteText"/>
        <w:rPr>
          <w:lang w:val="en-US"/>
        </w:rPr>
      </w:pPr>
      <w:r>
        <w:rPr>
          <w:rStyle w:val="FootnoteReference"/>
        </w:rPr>
        <w:footnoteRef/>
      </w:r>
      <w:r>
        <w:t xml:space="preserve"> </w:t>
      </w:r>
      <w:r w:rsidRPr="00D44E62">
        <w:t>United States' appellee's submission, para. 348 (quoting European Union's appellant's submission, para. 624).</w:t>
      </w:r>
    </w:p>
  </w:footnote>
  <w:footnote w:id="1455">
    <w:p w:rsidR="00FD2727" w:rsidRPr="002F2175" w:rsidRDefault="00FD2727">
      <w:pPr>
        <w:pStyle w:val="FootnoteText"/>
        <w:rPr>
          <w:lang w:val="en-US"/>
        </w:rPr>
      </w:pPr>
      <w:r>
        <w:rPr>
          <w:rStyle w:val="FootnoteReference"/>
        </w:rPr>
        <w:footnoteRef/>
      </w:r>
      <w:r>
        <w:t xml:space="preserve"> </w:t>
      </w:r>
      <w:r w:rsidRPr="00D44E62">
        <w:t>United States' appellee's submission, para. 350.</w:t>
      </w:r>
    </w:p>
  </w:footnote>
  <w:footnote w:id="1456">
    <w:p w:rsidR="00FD2727" w:rsidRPr="002F2175" w:rsidRDefault="00FD2727">
      <w:pPr>
        <w:pStyle w:val="FootnoteText"/>
        <w:rPr>
          <w:lang w:val="en-US"/>
        </w:rPr>
      </w:pPr>
      <w:r>
        <w:rPr>
          <w:rStyle w:val="FootnoteReference"/>
        </w:rPr>
        <w:footnoteRef/>
      </w:r>
      <w:r>
        <w:t xml:space="preserve"> </w:t>
      </w:r>
      <w:r w:rsidRPr="00D44E62">
        <w:t>European Union's appellant's submission, para. 629. (emphasis original)</w:t>
      </w:r>
    </w:p>
  </w:footnote>
  <w:footnote w:id="1457">
    <w:p w:rsidR="00FD2727" w:rsidRPr="002F2175" w:rsidRDefault="00FD2727" w:rsidP="00267BCB">
      <w:pPr>
        <w:pStyle w:val="FootnoteText"/>
        <w:rPr>
          <w:lang w:val="en-US"/>
        </w:rPr>
      </w:pPr>
      <w:r>
        <w:rPr>
          <w:rStyle w:val="FootnoteReference"/>
        </w:rPr>
        <w:footnoteRef/>
      </w:r>
      <w:r>
        <w:t xml:space="preserve"> </w:t>
      </w:r>
      <w:r w:rsidRPr="00D44E62">
        <w:t>European Union's appellant's submission, para. 635. (emphasis original)</w:t>
      </w:r>
      <w:r>
        <w:t xml:space="preserve"> In its opening statement at the second session of the oral hearing, the European Union argued that, in assessing the scope of product markets in a given case, a panel must ensure that products within a product market would compete more closely with one another than with products outside that product market. </w:t>
      </w:r>
    </w:p>
  </w:footnote>
  <w:footnote w:id="1458">
    <w:p w:rsidR="00FD2727" w:rsidRPr="002F2175" w:rsidRDefault="00FD2727" w:rsidP="00267BCB">
      <w:pPr>
        <w:pStyle w:val="FootnoteText"/>
        <w:rPr>
          <w:lang w:val="en-US"/>
        </w:rPr>
      </w:pPr>
      <w:r>
        <w:rPr>
          <w:rStyle w:val="FootnoteReference"/>
        </w:rPr>
        <w:footnoteRef/>
      </w:r>
      <w:r>
        <w:t xml:space="preserve"> </w:t>
      </w:r>
      <w:r w:rsidRPr="00D44E62">
        <w:t>European Union's appellant's submission, para. 630.</w:t>
      </w:r>
    </w:p>
  </w:footnote>
  <w:footnote w:id="1459">
    <w:p w:rsidR="00FD2727" w:rsidRPr="002F2175" w:rsidRDefault="00FD2727" w:rsidP="00267BCB">
      <w:pPr>
        <w:pStyle w:val="FootnoteText"/>
        <w:rPr>
          <w:lang w:val="en-US"/>
        </w:rPr>
      </w:pPr>
      <w:r>
        <w:rPr>
          <w:rStyle w:val="FootnoteReference"/>
        </w:rPr>
        <w:footnoteRef/>
      </w:r>
      <w:r>
        <w:t xml:space="preserve"> </w:t>
      </w:r>
      <w:r w:rsidRPr="00D44E62">
        <w:t>European Union's appellant's submission, para. 637.</w:t>
      </w:r>
    </w:p>
  </w:footnote>
  <w:footnote w:id="1460">
    <w:p w:rsidR="00FD2727" w:rsidRPr="00A35FD0" w:rsidRDefault="00FD2727">
      <w:pPr>
        <w:pStyle w:val="FootnoteText"/>
      </w:pPr>
      <w:r>
        <w:rPr>
          <w:rStyle w:val="FootnoteReference"/>
        </w:rPr>
        <w:footnoteRef/>
      </w:r>
      <w:r>
        <w:t xml:space="preserve"> United States' appellee's submission, para. 354.</w:t>
      </w:r>
    </w:p>
  </w:footnote>
  <w:footnote w:id="1461">
    <w:p w:rsidR="00FD2727" w:rsidRPr="002F2175" w:rsidRDefault="00FD2727">
      <w:pPr>
        <w:pStyle w:val="FootnoteText"/>
        <w:rPr>
          <w:lang w:val="en-US"/>
        </w:rPr>
      </w:pPr>
      <w:r>
        <w:rPr>
          <w:rStyle w:val="FootnoteReference"/>
        </w:rPr>
        <w:footnoteRef/>
      </w:r>
      <w:r>
        <w:t xml:space="preserve"> </w:t>
      </w:r>
      <w:r w:rsidRPr="00D44E62">
        <w:t>United States' appellee's submission, para. 355 (quoting Panel Report, para. 6.1416</w:t>
      </w:r>
      <w:r>
        <w:t xml:space="preserve"> </w:t>
      </w:r>
      <w:r w:rsidRPr="00D44E62">
        <w:t>(emphasis original</w:t>
      </w:r>
      <w:r>
        <w:t>; fn omitted</w:t>
      </w:r>
      <w:r w:rsidRPr="00D44E62">
        <w:t xml:space="preserve">)). </w:t>
      </w:r>
    </w:p>
  </w:footnote>
  <w:footnote w:id="1462">
    <w:p w:rsidR="00FD2727" w:rsidRPr="002F2175" w:rsidRDefault="00FD2727">
      <w:pPr>
        <w:pStyle w:val="FootnoteText"/>
        <w:rPr>
          <w:lang w:val="en-US"/>
        </w:rPr>
      </w:pPr>
      <w:r>
        <w:rPr>
          <w:rStyle w:val="FootnoteReference"/>
        </w:rPr>
        <w:footnoteRef/>
      </w:r>
      <w:r>
        <w:t xml:space="preserve"> </w:t>
      </w:r>
      <w:r w:rsidRPr="00D44E62">
        <w:t>United States' appellee's submission, para. 355 (quoti</w:t>
      </w:r>
      <w:r>
        <w:t>ng Panel Report, para. 6.1416 (fn omitted)).</w:t>
      </w:r>
    </w:p>
  </w:footnote>
  <w:footnote w:id="1463">
    <w:p w:rsidR="00FD2727" w:rsidRPr="002F2175" w:rsidRDefault="00FD2727">
      <w:pPr>
        <w:pStyle w:val="FootnoteText"/>
        <w:rPr>
          <w:lang w:val="en-US"/>
        </w:rPr>
      </w:pPr>
      <w:r>
        <w:rPr>
          <w:rStyle w:val="FootnoteReference"/>
        </w:rPr>
        <w:footnoteRef/>
      </w:r>
      <w:r>
        <w:t xml:space="preserve"> </w:t>
      </w:r>
      <w:r w:rsidRPr="00D44E62">
        <w:t>United States' appellee's submission, para. 356.</w:t>
      </w:r>
    </w:p>
  </w:footnote>
  <w:footnote w:id="1464">
    <w:p w:rsidR="00FD2727" w:rsidRPr="002F2175" w:rsidRDefault="00FD2727">
      <w:pPr>
        <w:pStyle w:val="FootnoteText"/>
        <w:rPr>
          <w:lang w:val="en-US"/>
        </w:rPr>
      </w:pPr>
      <w:r>
        <w:rPr>
          <w:rStyle w:val="FootnoteReference"/>
        </w:rPr>
        <w:footnoteRef/>
      </w:r>
      <w:r>
        <w:t xml:space="preserve"> </w:t>
      </w:r>
      <w:r w:rsidRPr="00D44E62">
        <w:t>United States' appellee's submission, para. 356.</w:t>
      </w:r>
    </w:p>
  </w:footnote>
  <w:footnote w:id="1465">
    <w:p w:rsidR="00FD2727" w:rsidRPr="002F2175" w:rsidRDefault="00FD2727">
      <w:pPr>
        <w:pStyle w:val="FootnoteText"/>
        <w:rPr>
          <w:lang w:val="en-US"/>
        </w:rPr>
      </w:pPr>
      <w:r>
        <w:rPr>
          <w:rStyle w:val="FootnoteReference"/>
        </w:rPr>
        <w:footnoteRef/>
      </w:r>
      <w:r>
        <w:t xml:space="preserve"> </w:t>
      </w:r>
      <w:r w:rsidRPr="00D44E62">
        <w:t>United States' appellee's submission, para. 357.</w:t>
      </w:r>
    </w:p>
  </w:footnote>
  <w:footnote w:id="1466">
    <w:p w:rsidR="00FD2727" w:rsidRPr="002F2175" w:rsidRDefault="00FD2727">
      <w:pPr>
        <w:pStyle w:val="FootnoteText"/>
        <w:rPr>
          <w:lang w:val="en-US"/>
        </w:rPr>
      </w:pPr>
      <w:r>
        <w:rPr>
          <w:rStyle w:val="FootnoteReference"/>
        </w:rPr>
        <w:footnoteRef/>
      </w:r>
      <w:r>
        <w:t xml:space="preserve"> </w:t>
      </w:r>
      <w:r w:rsidRPr="00D44E62">
        <w:t>United States' appellee's submission, para. 358.</w:t>
      </w:r>
    </w:p>
  </w:footnote>
  <w:footnote w:id="1467">
    <w:p w:rsidR="00FD2727" w:rsidRPr="002F2175" w:rsidRDefault="00FD2727" w:rsidP="00267BCB">
      <w:pPr>
        <w:pStyle w:val="FootnoteText"/>
        <w:rPr>
          <w:lang w:val="en-US"/>
        </w:rPr>
      </w:pPr>
      <w:r>
        <w:rPr>
          <w:rStyle w:val="FootnoteReference"/>
        </w:rPr>
        <w:footnoteRef/>
      </w:r>
      <w:r>
        <w:t xml:space="preserve"> </w:t>
      </w:r>
      <w:r w:rsidRPr="00793859">
        <w:t xml:space="preserve">Appellate Body Report, </w:t>
      </w:r>
      <w:r w:rsidRPr="00793859">
        <w:rPr>
          <w:i/>
        </w:rPr>
        <w:t>EC and certain member States</w:t>
      </w:r>
      <w:r>
        <w:rPr>
          <w:i/>
        </w:rPr>
        <w:t xml:space="preserve"> – </w:t>
      </w:r>
      <w:r w:rsidRPr="00793859">
        <w:rPr>
          <w:i/>
        </w:rPr>
        <w:t>Large Civil Aircraft</w:t>
      </w:r>
      <w:r w:rsidRPr="00793859">
        <w:t>, para. 1123.</w:t>
      </w:r>
    </w:p>
  </w:footnote>
  <w:footnote w:id="1468">
    <w:p w:rsidR="00FD2727" w:rsidRDefault="00FD2727" w:rsidP="00267BCB">
      <w:pPr>
        <w:pStyle w:val="FootnoteText"/>
      </w:pPr>
      <w:r>
        <w:rPr>
          <w:rStyle w:val="FootnoteReference"/>
        </w:rPr>
        <w:footnoteRef/>
      </w:r>
      <w:r>
        <w:t xml:space="preserve"> See Appellate </w:t>
      </w:r>
      <w:r w:rsidRPr="00793859">
        <w:t xml:space="preserve">Body Report, </w:t>
      </w:r>
      <w:r w:rsidRPr="00793859">
        <w:rPr>
          <w:i/>
        </w:rPr>
        <w:t>EC and certain member States</w:t>
      </w:r>
      <w:r>
        <w:rPr>
          <w:i/>
        </w:rPr>
        <w:t xml:space="preserve"> – </w:t>
      </w:r>
      <w:r w:rsidRPr="00793859">
        <w:rPr>
          <w:i/>
        </w:rPr>
        <w:t>Large Civil Aircraft</w:t>
      </w:r>
      <w:r w:rsidRPr="00793859">
        <w:t>, para. 11</w:t>
      </w:r>
      <w:r>
        <w:t>31.</w:t>
      </w:r>
      <w:r>
        <w:rPr>
          <w:szCs w:val="24"/>
        </w:rPr>
        <w:t xml:space="preserve"> </w:t>
      </w:r>
    </w:p>
  </w:footnote>
  <w:footnote w:id="1469">
    <w:p w:rsidR="00FD2727" w:rsidRPr="002F2175" w:rsidRDefault="00FD2727">
      <w:pPr>
        <w:pStyle w:val="FootnoteText"/>
        <w:rPr>
          <w:lang w:val="en-US"/>
        </w:rPr>
      </w:pPr>
      <w:r>
        <w:rPr>
          <w:rStyle w:val="FootnoteReference"/>
        </w:rPr>
        <w:footnoteRef/>
      </w:r>
      <w:r>
        <w:t xml:space="preserve"> </w:t>
      </w:r>
      <w:r w:rsidRPr="00793859">
        <w:t xml:space="preserve">Appellate Body Report, </w:t>
      </w:r>
      <w:r w:rsidRPr="00793859">
        <w:rPr>
          <w:i/>
        </w:rPr>
        <w:t>EC and certain member States</w:t>
      </w:r>
      <w:r>
        <w:rPr>
          <w:i/>
        </w:rPr>
        <w:t xml:space="preserve"> – </w:t>
      </w:r>
      <w:r w:rsidRPr="00793859">
        <w:rPr>
          <w:i/>
        </w:rPr>
        <w:t>Large Civil Aircraft</w:t>
      </w:r>
      <w:r w:rsidRPr="00793859">
        <w:t>, para. 1131.</w:t>
      </w:r>
    </w:p>
  </w:footnote>
  <w:footnote w:id="1470">
    <w:p w:rsidR="00FD2727" w:rsidRPr="002F2175" w:rsidRDefault="00FD2727">
      <w:pPr>
        <w:pStyle w:val="FootnoteText"/>
        <w:rPr>
          <w:lang w:val="en-US"/>
        </w:rPr>
      </w:pPr>
      <w:r>
        <w:rPr>
          <w:rStyle w:val="FootnoteReference"/>
        </w:rPr>
        <w:footnoteRef/>
      </w:r>
      <w:r>
        <w:t xml:space="preserve"> </w:t>
      </w:r>
      <w:r w:rsidRPr="00793859">
        <w:t xml:space="preserve">Appellate Body Report, </w:t>
      </w:r>
      <w:r w:rsidRPr="008A597A">
        <w:rPr>
          <w:i/>
        </w:rPr>
        <w:t>EC and</w:t>
      </w:r>
      <w:r w:rsidRPr="00793859">
        <w:t xml:space="preserve"> </w:t>
      </w:r>
      <w:r w:rsidRPr="008A597A">
        <w:rPr>
          <w:i/>
        </w:rPr>
        <w:t>certain member States –</w:t>
      </w:r>
      <w:r>
        <w:t xml:space="preserve"> </w:t>
      </w:r>
      <w:r w:rsidRPr="008A597A">
        <w:rPr>
          <w:i/>
        </w:rPr>
        <w:t>Large Civil Aircraft</w:t>
      </w:r>
      <w:r w:rsidRPr="00793859">
        <w:t>, para. 1131.</w:t>
      </w:r>
    </w:p>
  </w:footnote>
  <w:footnote w:id="1471">
    <w:p w:rsidR="00FD2727" w:rsidRPr="002F2175" w:rsidRDefault="00FD2727">
      <w:pPr>
        <w:pStyle w:val="FootnoteText"/>
        <w:rPr>
          <w:lang w:val="en-US"/>
        </w:rPr>
      </w:pPr>
      <w:r>
        <w:rPr>
          <w:rStyle w:val="FootnoteReference"/>
        </w:rPr>
        <w:footnoteRef/>
      </w:r>
      <w:r>
        <w:t xml:space="preserve"> </w:t>
      </w:r>
      <w:r w:rsidRPr="00793859">
        <w:t xml:space="preserve">Appellate Body Report, </w:t>
      </w:r>
      <w:r w:rsidRPr="00793859">
        <w:rPr>
          <w:i/>
        </w:rPr>
        <w:t>EC and certain member States</w:t>
      </w:r>
      <w:r>
        <w:rPr>
          <w:i/>
        </w:rPr>
        <w:t xml:space="preserve"> – </w:t>
      </w:r>
      <w:r w:rsidRPr="00793859">
        <w:rPr>
          <w:i/>
        </w:rPr>
        <w:t>Large Civil Aircraft</w:t>
      </w:r>
      <w:r w:rsidRPr="00793859">
        <w:t>, para. 1130.</w:t>
      </w:r>
    </w:p>
  </w:footnote>
  <w:footnote w:id="1472">
    <w:p w:rsidR="00FD2727" w:rsidRPr="002F2175" w:rsidRDefault="00FD2727">
      <w:pPr>
        <w:pStyle w:val="FootnoteText"/>
        <w:rPr>
          <w:lang w:val="en-US"/>
        </w:rPr>
      </w:pPr>
      <w:r>
        <w:rPr>
          <w:rStyle w:val="FootnoteReference"/>
        </w:rPr>
        <w:footnoteRef/>
      </w:r>
      <w:r>
        <w:t xml:space="preserve"> </w:t>
      </w:r>
      <w:r w:rsidRPr="00793859">
        <w:t xml:space="preserve">Appellate Body Report, </w:t>
      </w:r>
      <w:r w:rsidRPr="00793859">
        <w:rPr>
          <w:i/>
        </w:rPr>
        <w:t>EC and certain member States</w:t>
      </w:r>
      <w:r>
        <w:rPr>
          <w:i/>
        </w:rPr>
        <w:t xml:space="preserve"> – </w:t>
      </w:r>
      <w:r w:rsidRPr="00793859">
        <w:rPr>
          <w:i/>
        </w:rPr>
        <w:t>Large Civil Aircraft</w:t>
      </w:r>
      <w:r w:rsidRPr="00793859">
        <w:t>, para. 1130.</w:t>
      </w:r>
    </w:p>
  </w:footnote>
  <w:footnote w:id="1473">
    <w:p w:rsidR="00FD2727" w:rsidRPr="002F2175" w:rsidRDefault="00FD2727">
      <w:pPr>
        <w:pStyle w:val="FootnoteText"/>
        <w:rPr>
          <w:lang w:val="en-US"/>
        </w:rPr>
      </w:pPr>
      <w:r>
        <w:rPr>
          <w:rStyle w:val="FootnoteReference"/>
        </w:rPr>
        <w:footnoteRef/>
      </w:r>
      <w:r>
        <w:t xml:space="preserve"> </w:t>
      </w:r>
      <w:r w:rsidRPr="00793859">
        <w:t xml:space="preserve">Appellate Body Report, </w:t>
      </w:r>
      <w:r w:rsidRPr="00793859">
        <w:rPr>
          <w:i/>
        </w:rPr>
        <w:t>EC and certain member States</w:t>
      </w:r>
      <w:r>
        <w:rPr>
          <w:i/>
        </w:rPr>
        <w:t xml:space="preserve"> – </w:t>
      </w:r>
      <w:r w:rsidRPr="00793859">
        <w:rPr>
          <w:i/>
        </w:rPr>
        <w:t>Large Civil Aircraft</w:t>
      </w:r>
      <w:r w:rsidRPr="00793859">
        <w:t>, para. 1130.</w:t>
      </w:r>
    </w:p>
  </w:footnote>
  <w:footnote w:id="1474">
    <w:p w:rsidR="00FD2727" w:rsidRPr="002F2175" w:rsidRDefault="00FD2727">
      <w:pPr>
        <w:pStyle w:val="FootnoteText"/>
        <w:rPr>
          <w:lang w:val="en-US"/>
        </w:rPr>
      </w:pPr>
      <w:r>
        <w:rPr>
          <w:rStyle w:val="FootnoteReference"/>
        </w:rPr>
        <w:footnoteRef/>
      </w:r>
      <w:r>
        <w:t xml:space="preserve"> </w:t>
      </w:r>
      <w:r w:rsidRPr="00D44E62">
        <w:t>Panel Report, para. 6.1157.</w:t>
      </w:r>
    </w:p>
  </w:footnote>
  <w:footnote w:id="1475">
    <w:p w:rsidR="00FD2727" w:rsidRPr="002F2175" w:rsidRDefault="00FD2727">
      <w:pPr>
        <w:pStyle w:val="FootnoteText"/>
        <w:rPr>
          <w:lang w:val="en-US"/>
        </w:rPr>
      </w:pPr>
      <w:r>
        <w:rPr>
          <w:rStyle w:val="FootnoteReference"/>
        </w:rPr>
        <w:footnoteRef/>
      </w:r>
      <w:r>
        <w:t xml:space="preserve"> </w:t>
      </w:r>
      <w:r w:rsidRPr="00D44E62">
        <w:t>Panel Report, para. 6.1157.</w:t>
      </w:r>
    </w:p>
  </w:footnote>
  <w:footnote w:id="1476">
    <w:p w:rsidR="00FD2727" w:rsidRDefault="00FD2727">
      <w:pPr>
        <w:pStyle w:val="FootnoteText"/>
      </w:pPr>
      <w:r>
        <w:rPr>
          <w:rStyle w:val="FootnoteReference"/>
        </w:rPr>
        <w:footnoteRef/>
      </w:r>
      <w:r>
        <w:t xml:space="preserve"> Panel Report, para. 6.1157.</w:t>
      </w:r>
    </w:p>
  </w:footnote>
  <w:footnote w:id="1477">
    <w:p w:rsidR="00FD2727" w:rsidRPr="002F2175" w:rsidRDefault="00FD2727">
      <w:pPr>
        <w:pStyle w:val="FootnoteText"/>
        <w:rPr>
          <w:lang w:val="en-US"/>
        </w:rPr>
      </w:pPr>
      <w:r>
        <w:rPr>
          <w:rStyle w:val="FootnoteReference"/>
        </w:rPr>
        <w:footnoteRef/>
      </w:r>
      <w:r>
        <w:t xml:space="preserve"> </w:t>
      </w:r>
      <w:r w:rsidRPr="00793859">
        <w:t xml:space="preserve">Appellate Body Report, </w:t>
      </w:r>
      <w:r w:rsidRPr="00793859">
        <w:rPr>
          <w:i/>
        </w:rPr>
        <w:t>EC and certain member States</w:t>
      </w:r>
      <w:r>
        <w:rPr>
          <w:i/>
        </w:rPr>
        <w:t xml:space="preserve"> – </w:t>
      </w:r>
      <w:r w:rsidRPr="00793859">
        <w:rPr>
          <w:i/>
        </w:rPr>
        <w:t>Large Civil Aircraft</w:t>
      </w:r>
      <w:r w:rsidRPr="00793859">
        <w:t>, para. 1120.</w:t>
      </w:r>
    </w:p>
  </w:footnote>
  <w:footnote w:id="1478">
    <w:p w:rsidR="00FD2727" w:rsidRPr="002F2175" w:rsidRDefault="00FD2727">
      <w:pPr>
        <w:pStyle w:val="FootnoteText"/>
        <w:rPr>
          <w:lang w:val="en-US"/>
        </w:rPr>
      </w:pPr>
      <w:r>
        <w:rPr>
          <w:rStyle w:val="FootnoteReference"/>
        </w:rPr>
        <w:footnoteRef/>
      </w:r>
      <w:r>
        <w:t xml:space="preserve"> </w:t>
      </w:r>
      <w:r w:rsidRPr="00793859">
        <w:t xml:space="preserve">Appellate Body Report, </w:t>
      </w:r>
      <w:r w:rsidRPr="00793859">
        <w:rPr>
          <w:i/>
        </w:rPr>
        <w:t>EC and certain member States</w:t>
      </w:r>
      <w:r>
        <w:rPr>
          <w:i/>
        </w:rPr>
        <w:t xml:space="preserve"> – </w:t>
      </w:r>
      <w:r w:rsidRPr="00793859">
        <w:rPr>
          <w:i/>
        </w:rPr>
        <w:t>Large Civil Aircraft</w:t>
      </w:r>
      <w:r w:rsidRPr="00793859">
        <w:t>, para. 1120.</w:t>
      </w:r>
    </w:p>
  </w:footnote>
  <w:footnote w:id="1479">
    <w:p w:rsidR="00FD2727" w:rsidRPr="002F2175" w:rsidRDefault="00FD2727">
      <w:pPr>
        <w:pStyle w:val="FootnoteText"/>
        <w:rPr>
          <w:lang w:val="en-US"/>
        </w:rPr>
      </w:pPr>
      <w:r>
        <w:rPr>
          <w:rStyle w:val="FootnoteReference"/>
        </w:rPr>
        <w:footnoteRef/>
      </w:r>
      <w:r>
        <w:t xml:space="preserve"> </w:t>
      </w:r>
      <w:r w:rsidRPr="00793859">
        <w:t>Panel Report, para. 6.1205.</w:t>
      </w:r>
    </w:p>
  </w:footnote>
  <w:footnote w:id="1480">
    <w:p w:rsidR="00FD2727" w:rsidRPr="002F2175" w:rsidRDefault="00FD2727">
      <w:pPr>
        <w:pStyle w:val="FootnoteText"/>
        <w:rPr>
          <w:lang w:val="en-US"/>
        </w:rPr>
      </w:pPr>
      <w:r>
        <w:rPr>
          <w:rStyle w:val="FootnoteReference"/>
        </w:rPr>
        <w:footnoteRef/>
      </w:r>
      <w:r>
        <w:t xml:space="preserve"> </w:t>
      </w:r>
      <w:r w:rsidRPr="00D44E62">
        <w:t>Panel Report, para. 6.1416.</w:t>
      </w:r>
    </w:p>
  </w:footnote>
  <w:footnote w:id="1481">
    <w:p w:rsidR="00FD2727" w:rsidRPr="002F2175" w:rsidRDefault="00FD2727">
      <w:pPr>
        <w:pStyle w:val="FootnoteText"/>
        <w:rPr>
          <w:lang w:val="en-US"/>
        </w:rPr>
      </w:pPr>
      <w:r>
        <w:rPr>
          <w:rStyle w:val="FootnoteReference"/>
        </w:rPr>
        <w:footnoteRef/>
      </w:r>
      <w:r>
        <w:t xml:space="preserve"> </w:t>
      </w:r>
      <w:r w:rsidRPr="00D44E62">
        <w:t>Panel Report, para. 6.1416. (emphasis original)</w:t>
      </w:r>
    </w:p>
  </w:footnote>
  <w:footnote w:id="1482">
    <w:p w:rsidR="00FD2727" w:rsidRPr="002F2175" w:rsidRDefault="00FD2727">
      <w:pPr>
        <w:pStyle w:val="FootnoteText"/>
        <w:rPr>
          <w:lang w:val="en-US"/>
        </w:rPr>
      </w:pPr>
      <w:r>
        <w:rPr>
          <w:rStyle w:val="FootnoteReference"/>
        </w:rPr>
        <w:footnoteRef/>
      </w:r>
      <w:r>
        <w:t xml:space="preserve"> </w:t>
      </w:r>
      <w:r w:rsidRPr="00D44E62">
        <w:t>Panel Report, para. 6.1416.</w:t>
      </w:r>
    </w:p>
  </w:footnote>
  <w:footnote w:id="1483">
    <w:p w:rsidR="00FD2727" w:rsidRPr="002F2175" w:rsidRDefault="00FD2727">
      <w:pPr>
        <w:pStyle w:val="FootnoteText"/>
        <w:rPr>
          <w:lang w:val="en-US"/>
        </w:rPr>
      </w:pPr>
      <w:r>
        <w:rPr>
          <w:rStyle w:val="FootnoteReference"/>
        </w:rPr>
        <w:footnoteRef/>
      </w:r>
      <w:r>
        <w:t xml:space="preserve"> </w:t>
      </w:r>
      <w:r w:rsidRPr="00D44E62">
        <w:t>Panel Report, para. 6.1416. (emphasis original; fn omitted)</w:t>
      </w:r>
    </w:p>
  </w:footnote>
  <w:footnote w:id="1484">
    <w:p w:rsidR="00FD2727" w:rsidRPr="002F2175" w:rsidRDefault="00FD2727">
      <w:pPr>
        <w:pStyle w:val="FootnoteText"/>
        <w:rPr>
          <w:lang w:val="en-US"/>
        </w:rPr>
      </w:pPr>
      <w:r>
        <w:rPr>
          <w:rStyle w:val="FootnoteReference"/>
        </w:rPr>
        <w:footnoteRef/>
      </w:r>
      <w:r>
        <w:t xml:space="preserve"> </w:t>
      </w:r>
      <w:r w:rsidRPr="00D44E62">
        <w:t xml:space="preserve">Panel Report, para. 6.1416. (emphasis added) </w:t>
      </w:r>
      <w:r>
        <w:t>In a footnote, t</w:t>
      </w:r>
      <w:r w:rsidRPr="00D44E62">
        <w:t>he Panel also recalled that</w:t>
      </w:r>
      <w:r>
        <w:t>,</w:t>
      </w:r>
      <w:r w:rsidRPr="00D44E62">
        <w:t xml:space="preserve"> during the original appellate proceedings, </w:t>
      </w:r>
      <w:r>
        <w:t>"</w:t>
      </w:r>
      <w:r w:rsidRPr="00D44E62">
        <w:t xml:space="preserve">the parties appeared to accept (or at least did not object to the notion) that competition in the LCA industry could be viewed as taking place in three distinct </w:t>
      </w:r>
      <w:r>
        <w:t xml:space="preserve">passenger </w:t>
      </w:r>
      <w:r w:rsidRPr="00D44E62">
        <w:t xml:space="preserve">aircraft product </w:t>
      </w:r>
      <w:r w:rsidRPr="00B8065E">
        <w:t>markets</w:t>
      </w:r>
      <w:r w:rsidRPr="00D44E62">
        <w:t xml:space="preserve">, namely, the </w:t>
      </w:r>
      <w:r w:rsidRPr="004C2065">
        <w:t>single-aisle</w:t>
      </w:r>
      <w:r w:rsidRPr="00D44E62">
        <w:t xml:space="preserve">, </w:t>
      </w:r>
      <w:r w:rsidRPr="004C2065">
        <w:t>twin-aisle</w:t>
      </w:r>
      <w:r w:rsidRPr="00D44E62">
        <w:t xml:space="preserve"> and VLA </w:t>
      </w:r>
      <w:r w:rsidRPr="00B8065E">
        <w:t>markets</w:t>
      </w:r>
      <w:r>
        <w:t>"</w:t>
      </w:r>
      <w:r w:rsidRPr="00D44E62">
        <w:t xml:space="preserve">, noting further that the Appellate Body went on to "complete the analysis" on the basis of the same three product </w:t>
      </w:r>
      <w:r w:rsidRPr="00B8065E">
        <w:t>markets</w:t>
      </w:r>
      <w:r w:rsidRPr="00D44E62">
        <w:t>. (</w:t>
      </w:r>
      <w:r>
        <w:t>Ibid.</w:t>
      </w:r>
      <w:r w:rsidRPr="00D44E62">
        <w:t>, fn</w:t>
      </w:r>
      <w:r>
        <w:t xml:space="preserve"> </w:t>
      </w:r>
      <w:r w:rsidRPr="00D44E62">
        <w:t xml:space="preserve">2416 </w:t>
      </w:r>
      <w:r>
        <w:t>there</w:t>
      </w:r>
      <w:r w:rsidRPr="00D44E62">
        <w:t>to)</w:t>
      </w:r>
    </w:p>
  </w:footnote>
  <w:footnote w:id="1485">
    <w:p w:rsidR="00FD2727" w:rsidRPr="002F2175" w:rsidRDefault="00FD2727" w:rsidP="00267BCB">
      <w:pPr>
        <w:pStyle w:val="FootnoteText"/>
        <w:keepNext/>
        <w:keepLines/>
        <w:rPr>
          <w:lang w:val="en-US"/>
        </w:rPr>
      </w:pPr>
      <w:r>
        <w:rPr>
          <w:rStyle w:val="FootnoteReference"/>
        </w:rPr>
        <w:footnoteRef/>
      </w:r>
      <w:r>
        <w:t xml:space="preserve"> </w:t>
      </w:r>
      <w:r w:rsidRPr="00D44E62">
        <w:t>Panel Report, para. 6.1293 (referring to European Union's first written submission to the Panel, paras. 607-619; second written submission to the Panel, paras. 626-628; response to Panel question No.</w:t>
      </w:r>
      <w:r>
        <w:t> </w:t>
      </w:r>
      <w:r w:rsidRPr="00D44E62">
        <w:t>70). The Panel noted that the European Union "also appear{ed} to argue that there may be no product market at all in which the 767-300ER is currently sold". (</w:t>
      </w:r>
      <w:r>
        <w:t>Ibid.</w:t>
      </w:r>
      <w:r w:rsidRPr="00D44E62">
        <w:t>, para. 6.1157</w:t>
      </w:r>
      <w:r>
        <w:t xml:space="preserve"> (fn omitted)</w:t>
      </w:r>
      <w:r w:rsidRPr="00D44E62">
        <w:t>)</w:t>
      </w:r>
    </w:p>
  </w:footnote>
  <w:footnote w:id="1486">
    <w:p w:rsidR="00FD2727" w:rsidRDefault="00FD2727">
      <w:pPr>
        <w:pStyle w:val="FootnoteText"/>
      </w:pPr>
      <w:r>
        <w:rPr>
          <w:rStyle w:val="FootnoteReference"/>
        </w:rPr>
        <w:footnoteRef/>
      </w:r>
      <w:r>
        <w:t xml:space="preserve"> </w:t>
      </w:r>
      <w:r w:rsidRPr="00D44E62">
        <w:t xml:space="preserve">Panel Report, para. 6.1156, Table 15: Competitive relationships </w:t>
      </w:r>
      <w:r w:rsidRPr="00872D71">
        <w:t>between LCA</w:t>
      </w:r>
      <w:r w:rsidRPr="00D44E62">
        <w:t xml:space="preserve"> according to the European Union.</w:t>
      </w:r>
    </w:p>
  </w:footnote>
  <w:footnote w:id="1487">
    <w:p w:rsidR="00FD2727" w:rsidRDefault="00FD2727">
      <w:pPr>
        <w:pStyle w:val="FootnoteText"/>
      </w:pPr>
      <w:r>
        <w:rPr>
          <w:rStyle w:val="FootnoteReference"/>
        </w:rPr>
        <w:footnoteRef/>
      </w:r>
      <w:r>
        <w:t xml:space="preserve"> Panel Report, para. 6.1293.</w:t>
      </w:r>
    </w:p>
  </w:footnote>
  <w:footnote w:id="1488">
    <w:p w:rsidR="00FD2727" w:rsidRDefault="00FD2727">
      <w:pPr>
        <w:pStyle w:val="FootnoteText"/>
      </w:pPr>
      <w:r>
        <w:rPr>
          <w:rStyle w:val="FootnoteReference"/>
        </w:rPr>
        <w:footnoteRef/>
      </w:r>
      <w:r>
        <w:t xml:space="preserve"> </w:t>
      </w:r>
      <w:r w:rsidRPr="00D44E62">
        <w:t xml:space="preserve">Panel Report, para. 6.1156, Table 15: Competitive relationships </w:t>
      </w:r>
      <w:r w:rsidRPr="00872D71">
        <w:t>between LCA</w:t>
      </w:r>
      <w:r w:rsidRPr="00D44E62">
        <w:t xml:space="preserve"> according to the European Union.</w:t>
      </w:r>
    </w:p>
  </w:footnote>
  <w:footnote w:id="1489">
    <w:p w:rsidR="00FD2727" w:rsidRDefault="00FD2727">
      <w:pPr>
        <w:pStyle w:val="FootnoteText"/>
      </w:pPr>
      <w:r>
        <w:rPr>
          <w:rStyle w:val="FootnoteReference"/>
        </w:rPr>
        <w:footnoteRef/>
      </w:r>
      <w:r>
        <w:t xml:space="preserve"> European Union's appellant's submission, para. 630.</w:t>
      </w:r>
    </w:p>
  </w:footnote>
  <w:footnote w:id="1490">
    <w:p w:rsidR="00FD2727" w:rsidRPr="002F2175" w:rsidRDefault="00FD2727">
      <w:pPr>
        <w:pStyle w:val="FootnoteText"/>
        <w:rPr>
          <w:lang w:val="en-US"/>
        </w:rPr>
      </w:pPr>
      <w:r>
        <w:rPr>
          <w:rStyle w:val="FootnoteReference"/>
        </w:rPr>
        <w:footnoteRef/>
      </w:r>
      <w:r>
        <w:t xml:space="preserve"> </w:t>
      </w:r>
      <w:r w:rsidRPr="00793859">
        <w:t xml:space="preserve">Appellate Body Report, </w:t>
      </w:r>
      <w:r w:rsidRPr="00793859">
        <w:rPr>
          <w:i/>
        </w:rPr>
        <w:t>EC and certain member States</w:t>
      </w:r>
      <w:r>
        <w:rPr>
          <w:i/>
        </w:rPr>
        <w:t xml:space="preserve"> – </w:t>
      </w:r>
      <w:r w:rsidRPr="00793859">
        <w:rPr>
          <w:i/>
        </w:rPr>
        <w:t>Large Civil Aircraft</w:t>
      </w:r>
      <w:r w:rsidRPr="00793859">
        <w:t>, para. 1123.</w:t>
      </w:r>
    </w:p>
  </w:footnote>
  <w:footnote w:id="1491">
    <w:p w:rsidR="00FD2727" w:rsidRPr="002F2175" w:rsidRDefault="00FD2727">
      <w:pPr>
        <w:pStyle w:val="FootnoteText"/>
        <w:rPr>
          <w:lang w:val="en-US"/>
        </w:rPr>
      </w:pPr>
      <w:r>
        <w:rPr>
          <w:rStyle w:val="FootnoteReference"/>
        </w:rPr>
        <w:footnoteRef/>
      </w:r>
      <w:r>
        <w:t xml:space="preserve"> In the original proceedings, the Appellate Body stated that "{t}he {original panel} was also required to assess the European Communities' allegation that there are, in fact, five distinct product markets of Airbus and Boeing LCA". (</w:t>
      </w:r>
      <w:r w:rsidRPr="00793859">
        <w:t xml:space="preserve">Appellate Body Report, </w:t>
      </w:r>
      <w:r w:rsidRPr="00793859">
        <w:rPr>
          <w:i/>
        </w:rPr>
        <w:t>EC and certain member States</w:t>
      </w:r>
      <w:r>
        <w:rPr>
          <w:i/>
        </w:rPr>
        <w:t xml:space="preserve"> – </w:t>
      </w:r>
      <w:r w:rsidRPr="00793859">
        <w:rPr>
          <w:i/>
        </w:rPr>
        <w:t>Large Civil Aircraft</w:t>
      </w:r>
      <w:r w:rsidRPr="00793859">
        <w:t>, para. 1131</w:t>
      </w:r>
      <w:r>
        <w:t xml:space="preserve">) </w:t>
      </w:r>
    </w:p>
  </w:footnote>
  <w:footnote w:id="1492">
    <w:p w:rsidR="00FD2727" w:rsidRPr="001A7032" w:rsidRDefault="00FD2727" w:rsidP="00267BCB">
      <w:pPr>
        <w:pStyle w:val="FootnoteText"/>
        <w:keepLines/>
      </w:pPr>
      <w:r w:rsidRPr="001A7032">
        <w:rPr>
          <w:rStyle w:val="FootnoteReference"/>
        </w:rPr>
        <w:footnoteRef/>
      </w:r>
      <w:r w:rsidRPr="001A7032">
        <w:t xml:space="preserve"> </w:t>
      </w:r>
      <w:r w:rsidRPr="00793859">
        <w:t xml:space="preserve">Appellate Body Report, </w:t>
      </w:r>
      <w:r w:rsidRPr="00793859">
        <w:rPr>
          <w:i/>
        </w:rPr>
        <w:t xml:space="preserve">US </w:t>
      </w:r>
      <w:r>
        <w:rPr>
          <w:i/>
        </w:rPr>
        <w:t>–</w:t>
      </w:r>
      <w:r w:rsidRPr="00793859">
        <w:rPr>
          <w:i/>
        </w:rPr>
        <w:t xml:space="preserve"> Carbon Steel (India)</w:t>
      </w:r>
      <w:r w:rsidRPr="00793859">
        <w:t>, para. 4.78 (</w:t>
      </w:r>
      <w:r>
        <w:t>quoting</w:t>
      </w:r>
      <w:r w:rsidRPr="00793859">
        <w:t xml:space="preserve"> Appellate Body Reports, </w:t>
      </w:r>
      <w:r w:rsidRPr="00793859">
        <w:rPr>
          <w:i/>
        </w:rPr>
        <w:t xml:space="preserve">China </w:t>
      </w:r>
      <w:r>
        <w:rPr>
          <w:i/>
        </w:rPr>
        <w:t>–</w:t>
      </w:r>
      <w:r w:rsidRPr="00793859">
        <w:rPr>
          <w:i/>
        </w:rPr>
        <w:t xml:space="preserve"> Rare Earths</w:t>
      </w:r>
      <w:r w:rsidRPr="00793859">
        <w:t xml:space="preserve">, para. 5.178, in turn referring to Appellate Body Reports, </w:t>
      </w:r>
      <w:r w:rsidRPr="00793859">
        <w:rPr>
          <w:i/>
          <w:iCs/>
        </w:rPr>
        <w:t>Brazil </w:t>
      </w:r>
      <w:r>
        <w:rPr>
          <w:i/>
        </w:rPr>
        <w:t>–</w:t>
      </w:r>
      <w:r w:rsidRPr="00793859">
        <w:rPr>
          <w:i/>
          <w:iCs/>
        </w:rPr>
        <w:t xml:space="preserve"> Retreaded Tyres</w:t>
      </w:r>
      <w:r w:rsidRPr="00793859">
        <w:t>, para. </w:t>
      </w:r>
      <w:r w:rsidRPr="00D31074">
        <w:rPr>
          <w:lang w:val="es-ES"/>
        </w:rPr>
        <w:t xml:space="preserve">185; </w:t>
      </w:r>
      <w:r w:rsidRPr="00D31074">
        <w:rPr>
          <w:i/>
          <w:iCs/>
          <w:lang w:val="es-ES"/>
        </w:rPr>
        <w:t>EC </w:t>
      </w:r>
      <w:r w:rsidRPr="00D31074">
        <w:rPr>
          <w:i/>
          <w:lang w:val="es-ES"/>
        </w:rPr>
        <w:t>–</w:t>
      </w:r>
      <w:r w:rsidRPr="00D31074">
        <w:rPr>
          <w:i/>
          <w:iCs/>
          <w:lang w:val="es-ES"/>
        </w:rPr>
        <w:t xml:space="preserve"> Hormones</w:t>
      </w:r>
      <w:r w:rsidRPr="00D31074">
        <w:rPr>
          <w:lang w:val="es-ES"/>
        </w:rPr>
        <w:t xml:space="preserve">, paras. 132 and 133; </w:t>
      </w:r>
      <w:r w:rsidRPr="00D31074">
        <w:rPr>
          <w:i/>
          <w:iCs/>
          <w:lang w:val="es-ES"/>
        </w:rPr>
        <w:t>Australia ‒ Salmon</w:t>
      </w:r>
      <w:r w:rsidRPr="00D31074">
        <w:rPr>
          <w:lang w:val="es-ES"/>
        </w:rPr>
        <w:t xml:space="preserve">, para. 266; </w:t>
      </w:r>
      <w:r w:rsidRPr="00D31074">
        <w:rPr>
          <w:i/>
          <w:iCs/>
          <w:lang w:val="es-ES"/>
        </w:rPr>
        <w:t>EC </w:t>
      </w:r>
      <w:r w:rsidRPr="00D31074">
        <w:rPr>
          <w:i/>
          <w:lang w:val="es-ES"/>
        </w:rPr>
        <w:t>–</w:t>
      </w:r>
      <w:r w:rsidRPr="00D31074">
        <w:rPr>
          <w:i/>
          <w:iCs/>
          <w:lang w:val="es-ES"/>
        </w:rPr>
        <w:t xml:space="preserve"> Asbestos</w:t>
      </w:r>
      <w:r w:rsidRPr="00D31074">
        <w:rPr>
          <w:lang w:val="es-ES"/>
        </w:rPr>
        <w:t>, para. </w:t>
      </w:r>
      <w:r w:rsidRPr="00BE1266">
        <w:t xml:space="preserve">161; </w:t>
      </w:r>
      <w:r>
        <w:rPr>
          <w:i/>
          <w:iCs/>
        </w:rPr>
        <w:t>EC </w:t>
      </w:r>
      <w:r w:rsidRPr="00BE1266">
        <w:rPr>
          <w:i/>
        </w:rPr>
        <w:t>–</w:t>
      </w:r>
      <w:r w:rsidRPr="00BE1266">
        <w:rPr>
          <w:i/>
          <w:iCs/>
        </w:rPr>
        <w:t xml:space="preserve"> Bed Linen (Article 21.5 </w:t>
      </w:r>
      <w:r w:rsidRPr="00BE1266">
        <w:rPr>
          <w:i/>
        </w:rPr>
        <w:t>–</w:t>
      </w:r>
      <w:r w:rsidRPr="00BE1266">
        <w:rPr>
          <w:i/>
          <w:iCs/>
        </w:rPr>
        <w:t xml:space="preserve"> India)</w:t>
      </w:r>
      <w:r w:rsidRPr="00BE1266">
        <w:t>, paras. 170, 177, a</w:t>
      </w:r>
      <w:r w:rsidRPr="004F25F0">
        <w:rPr>
          <w:lang w:val="en-US"/>
        </w:rPr>
        <w:t xml:space="preserve">nd 181; </w:t>
      </w:r>
      <w:r w:rsidRPr="004F25F0">
        <w:rPr>
          <w:i/>
          <w:iCs/>
          <w:lang w:val="en-US"/>
        </w:rPr>
        <w:t xml:space="preserve">EC </w:t>
      </w:r>
      <w:r w:rsidRPr="004F25F0">
        <w:rPr>
          <w:i/>
          <w:lang w:val="en-US"/>
        </w:rPr>
        <w:t>–</w:t>
      </w:r>
      <w:r w:rsidRPr="004F25F0">
        <w:rPr>
          <w:i/>
          <w:iCs/>
          <w:lang w:val="en-US"/>
        </w:rPr>
        <w:t xml:space="preserve"> Sardines</w:t>
      </w:r>
      <w:r w:rsidRPr="004F25F0">
        <w:rPr>
          <w:iCs/>
          <w:lang w:val="en-US"/>
        </w:rPr>
        <w:t>,</w:t>
      </w:r>
      <w:r w:rsidRPr="004F25F0">
        <w:rPr>
          <w:i/>
          <w:iCs/>
          <w:lang w:val="en-US"/>
        </w:rPr>
        <w:t xml:space="preserve"> </w:t>
      </w:r>
      <w:r w:rsidRPr="004F25F0">
        <w:rPr>
          <w:lang w:val="en-US"/>
        </w:rPr>
        <w:t xml:space="preserve">para. 299; </w:t>
      </w:r>
      <w:r w:rsidRPr="004F25F0">
        <w:rPr>
          <w:i/>
          <w:iCs/>
          <w:lang w:val="en-US"/>
        </w:rPr>
        <w:t>EC </w:t>
      </w:r>
      <w:r w:rsidRPr="004F25F0">
        <w:rPr>
          <w:i/>
          <w:lang w:val="en-US"/>
        </w:rPr>
        <w:t>–</w:t>
      </w:r>
      <w:r w:rsidRPr="004F25F0">
        <w:rPr>
          <w:i/>
          <w:iCs/>
          <w:lang w:val="en-US"/>
        </w:rPr>
        <w:t xml:space="preserve"> Tube or Pipe Fittings</w:t>
      </w:r>
      <w:r w:rsidRPr="004F25F0">
        <w:rPr>
          <w:lang w:val="en-US"/>
        </w:rPr>
        <w:t xml:space="preserve">, para. 125; </w:t>
      </w:r>
      <w:r w:rsidRPr="004F25F0">
        <w:rPr>
          <w:i/>
          <w:iCs/>
          <w:lang w:val="en-US"/>
        </w:rPr>
        <w:t>Japan </w:t>
      </w:r>
      <w:r w:rsidRPr="004F25F0">
        <w:rPr>
          <w:i/>
          <w:lang w:val="en-US"/>
        </w:rPr>
        <w:t>–</w:t>
      </w:r>
      <w:r w:rsidRPr="004F25F0">
        <w:rPr>
          <w:i/>
          <w:iCs/>
          <w:lang w:val="en-US"/>
        </w:rPr>
        <w:t xml:space="preserve"> Apples</w:t>
      </w:r>
      <w:r w:rsidRPr="004F25F0">
        <w:rPr>
          <w:lang w:val="en-US"/>
        </w:rPr>
        <w:t xml:space="preserve">, para. 221; </w:t>
      </w:r>
      <w:r w:rsidRPr="004F25F0">
        <w:rPr>
          <w:i/>
          <w:iCs/>
          <w:lang w:val="en-US"/>
        </w:rPr>
        <w:t xml:space="preserve">Japan </w:t>
      </w:r>
      <w:r w:rsidRPr="004F25F0">
        <w:rPr>
          <w:i/>
          <w:lang w:val="en-US"/>
        </w:rPr>
        <w:t>–</w:t>
      </w:r>
      <w:r w:rsidRPr="004F25F0">
        <w:rPr>
          <w:i/>
          <w:iCs/>
          <w:lang w:val="en-US"/>
        </w:rPr>
        <w:t xml:space="preserve"> Agricultural Products II</w:t>
      </w:r>
      <w:r w:rsidRPr="004F25F0">
        <w:rPr>
          <w:lang w:val="en-US"/>
        </w:rPr>
        <w:t>, paras. </w:t>
      </w:r>
      <w:r w:rsidRPr="000E25F8">
        <w:t xml:space="preserve">141-142; </w:t>
      </w:r>
      <w:r>
        <w:rPr>
          <w:i/>
          <w:iCs/>
        </w:rPr>
        <w:t>Korea ‒ </w:t>
      </w:r>
      <w:r w:rsidRPr="000E25F8">
        <w:rPr>
          <w:i/>
          <w:iCs/>
        </w:rPr>
        <w:t>Alcoholic Beverages</w:t>
      </w:r>
      <w:r w:rsidRPr="000E25F8">
        <w:t xml:space="preserve">, paras. 161-162; </w:t>
      </w:r>
      <w:r w:rsidRPr="000E25F8">
        <w:rPr>
          <w:i/>
          <w:iCs/>
        </w:rPr>
        <w:t>Korea </w:t>
      </w:r>
      <w:r w:rsidRPr="000E25F8">
        <w:rPr>
          <w:i/>
        </w:rPr>
        <w:t>–</w:t>
      </w:r>
      <w:r w:rsidRPr="000E25F8">
        <w:rPr>
          <w:i/>
          <w:iCs/>
        </w:rPr>
        <w:t xml:space="preserve"> Dairy</w:t>
      </w:r>
      <w:r w:rsidRPr="000E25F8">
        <w:t>, para. </w:t>
      </w:r>
      <w:r w:rsidRPr="00793859">
        <w:t xml:space="preserve">138; </w:t>
      </w:r>
      <w:r w:rsidRPr="00793859">
        <w:rPr>
          <w:i/>
          <w:iCs/>
        </w:rPr>
        <w:t>US </w:t>
      </w:r>
      <w:r>
        <w:rPr>
          <w:i/>
        </w:rPr>
        <w:t>–</w:t>
      </w:r>
      <w:r w:rsidRPr="00793859">
        <w:rPr>
          <w:i/>
          <w:iCs/>
        </w:rPr>
        <w:t xml:space="preserve"> Carbon Steel</w:t>
      </w:r>
      <w:r w:rsidRPr="00793859">
        <w:t xml:space="preserve">, para. 142; </w:t>
      </w:r>
      <w:r w:rsidRPr="003D6A3E">
        <w:rPr>
          <w:i/>
          <w:iCs/>
        </w:rPr>
        <w:t>US ‒ Gambling</w:t>
      </w:r>
      <w:r w:rsidRPr="003D6A3E">
        <w:t>, para. 363</w:t>
      </w:r>
      <w:r w:rsidRPr="00793859">
        <w:t xml:space="preserve">; </w:t>
      </w:r>
      <w:r w:rsidRPr="00793859">
        <w:rPr>
          <w:i/>
          <w:iCs/>
        </w:rPr>
        <w:t xml:space="preserve">US </w:t>
      </w:r>
      <w:r>
        <w:rPr>
          <w:i/>
          <w:iCs/>
        </w:rPr>
        <w:t>–</w:t>
      </w:r>
      <w:r w:rsidRPr="00793859">
        <w:rPr>
          <w:i/>
          <w:iCs/>
        </w:rPr>
        <w:t xml:space="preserve"> Oil Country Tubular Goods Sunset Reviews</w:t>
      </w:r>
      <w:r w:rsidRPr="00793859">
        <w:t xml:space="preserve">, para. 313; </w:t>
      </w:r>
      <w:r w:rsidRPr="00793859">
        <w:rPr>
          <w:i/>
          <w:iCs/>
        </w:rPr>
        <w:t>EC ‒ Selected Customs Matters</w:t>
      </w:r>
      <w:r w:rsidRPr="00793859">
        <w:t>, para. 258).</w:t>
      </w:r>
    </w:p>
  </w:footnote>
  <w:footnote w:id="1493">
    <w:p w:rsidR="00FD2727" w:rsidRPr="001A7032" w:rsidRDefault="00FD2727" w:rsidP="00267BCB">
      <w:pPr>
        <w:pStyle w:val="FootnoteText"/>
        <w:keepLines/>
      </w:pPr>
      <w:r w:rsidRPr="001A7032">
        <w:rPr>
          <w:rStyle w:val="FootnoteReference"/>
        </w:rPr>
        <w:footnoteRef/>
      </w:r>
      <w:r w:rsidRPr="001A7032">
        <w:t xml:space="preserve"> Appellate Body Reports, </w:t>
      </w:r>
      <w:r w:rsidRPr="001A7032">
        <w:rPr>
          <w:i/>
        </w:rPr>
        <w:t>Australia – Salmon</w:t>
      </w:r>
      <w:r w:rsidRPr="001A7032">
        <w:t xml:space="preserve">, para. 267; </w:t>
      </w:r>
      <w:r w:rsidRPr="005C3778">
        <w:rPr>
          <w:i/>
        </w:rPr>
        <w:t>Japan – Apples</w:t>
      </w:r>
      <w:r w:rsidRPr="005C3778">
        <w:t xml:space="preserve">, para. 221; </w:t>
      </w:r>
      <w:r>
        <w:rPr>
          <w:i/>
        </w:rPr>
        <w:t>Korea ‒ </w:t>
      </w:r>
      <w:r w:rsidRPr="005C3778">
        <w:rPr>
          <w:i/>
        </w:rPr>
        <w:t>Alcoholic Beverages</w:t>
      </w:r>
      <w:r w:rsidRPr="005C3778">
        <w:t>, para. 164</w:t>
      </w:r>
      <w:r w:rsidRPr="001A7032">
        <w:t xml:space="preserve">. </w:t>
      </w:r>
    </w:p>
  </w:footnote>
  <w:footnote w:id="1494">
    <w:p w:rsidR="00FD2727" w:rsidRPr="00286C48" w:rsidRDefault="00FD2727" w:rsidP="00267BCB">
      <w:pPr>
        <w:pStyle w:val="FootnoteText"/>
      </w:pPr>
      <w:r>
        <w:rPr>
          <w:rStyle w:val="FootnoteReference"/>
        </w:rPr>
        <w:footnoteRef/>
      </w:r>
      <w:r>
        <w:t xml:space="preserve"> </w:t>
      </w:r>
      <w:r w:rsidRPr="00793859">
        <w:t>Panel Report, para. 6.1416.</w:t>
      </w:r>
    </w:p>
  </w:footnote>
  <w:footnote w:id="1495">
    <w:p w:rsidR="00FD2727" w:rsidRPr="002F2175" w:rsidRDefault="00FD2727" w:rsidP="00267BCB">
      <w:pPr>
        <w:pStyle w:val="FootnoteText"/>
        <w:rPr>
          <w:lang w:val="en-US"/>
        </w:rPr>
      </w:pPr>
      <w:r>
        <w:rPr>
          <w:rStyle w:val="FootnoteReference"/>
        </w:rPr>
        <w:footnoteRef/>
      </w:r>
      <w:r>
        <w:t xml:space="preserve"> </w:t>
      </w:r>
      <w:r w:rsidRPr="00793859">
        <w:t xml:space="preserve">Appellate Body Report, </w:t>
      </w:r>
      <w:r w:rsidRPr="00793859">
        <w:rPr>
          <w:i/>
        </w:rPr>
        <w:t xml:space="preserve">EC and certain member States </w:t>
      </w:r>
      <w:r>
        <w:rPr>
          <w:i/>
        </w:rPr>
        <w:t>–</w:t>
      </w:r>
      <w:r w:rsidRPr="00793859">
        <w:rPr>
          <w:i/>
        </w:rPr>
        <w:t xml:space="preserve"> Large Civil Aircraft</w:t>
      </w:r>
      <w:r w:rsidRPr="00793859">
        <w:t>, para. 1136.</w:t>
      </w:r>
    </w:p>
  </w:footnote>
  <w:footnote w:id="1496">
    <w:p w:rsidR="00FD2727" w:rsidRPr="002F2175" w:rsidRDefault="00FD2727" w:rsidP="00267BCB">
      <w:pPr>
        <w:pStyle w:val="FootnoteText"/>
        <w:rPr>
          <w:lang w:val="en-US"/>
        </w:rPr>
      </w:pPr>
      <w:r>
        <w:rPr>
          <w:rStyle w:val="FootnoteReference"/>
        </w:rPr>
        <w:footnoteRef/>
      </w:r>
      <w:r>
        <w:t xml:space="preserve"> </w:t>
      </w:r>
      <w:r w:rsidRPr="00793859">
        <w:t xml:space="preserve">Appellate Body Report, </w:t>
      </w:r>
      <w:r w:rsidRPr="00793859">
        <w:rPr>
          <w:i/>
        </w:rPr>
        <w:t xml:space="preserve">EC and certain member States </w:t>
      </w:r>
      <w:r>
        <w:rPr>
          <w:i/>
        </w:rPr>
        <w:t>–</w:t>
      </w:r>
      <w:r w:rsidRPr="00793859">
        <w:rPr>
          <w:i/>
        </w:rPr>
        <w:t xml:space="preserve"> Large Civil Aircraft</w:t>
      </w:r>
      <w:r w:rsidRPr="00793859">
        <w:t>, para. 1136.</w:t>
      </w:r>
    </w:p>
  </w:footnote>
  <w:footnote w:id="1497">
    <w:p w:rsidR="00FD2727" w:rsidRPr="00145239" w:rsidRDefault="00FD2727" w:rsidP="00C752B3">
      <w:pPr>
        <w:pStyle w:val="FootnoteText"/>
        <w:rPr>
          <w:lang w:val="en-US"/>
        </w:rPr>
      </w:pPr>
      <w:r>
        <w:rPr>
          <w:rStyle w:val="FootnoteReference"/>
        </w:rPr>
        <w:footnoteRef/>
      </w:r>
      <w:r>
        <w:t xml:space="preserve"> As noted above, the Panel used the term "product effects" to refer to the effects of LA/MSF subsidies on the ability of Airbus to launch and bring to market an Airbus LCA as and when it did, and further found that "product effects" consisted of "direct effects" and "indirect effects", depending on whether the effects concern Airbus' ability to launch the particular model of LCA specifically funded by an LA/MSF subsidy (direct), or other models of LCA (indirect</w:t>
      </w:r>
      <w:r w:rsidRPr="00145239">
        <w:t xml:space="preserve">). (See </w:t>
      </w:r>
      <w:r w:rsidRPr="00145239">
        <w:rPr>
          <w:i/>
        </w:rPr>
        <w:t>supra</w:t>
      </w:r>
      <w:r w:rsidRPr="00145239">
        <w:t xml:space="preserve"> fn 1052)</w:t>
      </w:r>
    </w:p>
  </w:footnote>
  <w:footnote w:id="1498">
    <w:p w:rsidR="00FD2727" w:rsidRPr="00145239" w:rsidRDefault="00FD2727">
      <w:pPr>
        <w:pStyle w:val="FootnoteText"/>
        <w:rPr>
          <w:lang w:val="en-US"/>
        </w:rPr>
      </w:pPr>
      <w:r w:rsidRPr="00145239">
        <w:rPr>
          <w:rStyle w:val="FootnoteReference"/>
        </w:rPr>
        <w:footnoteRef/>
      </w:r>
      <w:r w:rsidRPr="00145239">
        <w:t xml:space="preserve"> Panel Report, para. 6.1534.</w:t>
      </w:r>
    </w:p>
  </w:footnote>
  <w:footnote w:id="1499">
    <w:p w:rsidR="00FD2727" w:rsidRPr="00145239" w:rsidRDefault="00FD2727">
      <w:pPr>
        <w:pStyle w:val="FootnoteText"/>
        <w:rPr>
          <w:lang w:val="en-US"/>
        </w:rPr>
      </w:pPr>
      <w:r w:rsidRPr="00145239">
        <w:rPr>
          <w:rStyle w:val="FootnoteReference"/>
        </w:rPr>
        <w:footnoteRef/>
      </w:r>
      <w:r w:rsidRPr="00145239">
        <w:t xml:space="preserve"> Panel Report, paras. 6.1778 and 7.1.d.xiii.</w:t>
      </w:r>
    </w:p>
  </w:footnote>
  <w:footnote w:id="1500">
    <w:p w:rsidR="00FD2727" w:rsidRPr="00410588" w:rsidRDefault="00FD2727">
      <w:pPr>
        <w:pStyle w:val="FootnoteText"/>
        <w:rPr>
          <w:lang w:val="en-US"/>
        </w:rPr>
      </w:pPr>
      <w:r w:rsidRPr="00145239">
        <w:rPr>
          <w:rStyle w:val="FootnoteReference"/>
        </w:rPr>
        <w:footnoteRef/>
      </w:r>
      <w:r w:rsidRPr="00145239">
        <w:t xml:space="preserve"> European Union's appellant's</w:t>
      </w:r>
      <w:r>
        <w:t xml:space="preserve"> submission, </w:t>
      </w:r>
      <w:r w:rsidRPr="00AF3D63">
        <w:t>para. </w:t>
      </w:r>
      <w:r>
        <w:t>774. (fn omitted)</w:t>
      </w:r>
    </w:p>
  </w:footnote>
  <w:footnote w:id="1501">
    <w:p w:rsidR="00FD2727" w:rsidRPr="00410588" w:rsidRDefault="00FD2727">
      <w:pPr>
        <w:pStyle w:val="FootnoteText"/>
        <w:rPr>
          <w:lang w:val="en-US"/>
        </w:rPr>
      </w:pPr>
      <w:r>
        <w:rPr>
          <w:rStyle w:val="FootnoteReference"/>
        </w:rPr>
        <w:footnoteRef/>
      </w:r>
      <w:r>
        <w:t xml:space="preserve"> European Union's appellant's submission, </w:t>
      </w:r>
      <w:r w:rsidRPr="00AF3D63">
        <w:t>para. </w:t>
      </w:r>
      <w:r>
        <w:t>776.</w:t>
      </w:r>
    </w:p>
  </w:footnote>
  <w:footnote w:id="1502">
    <w:p w:rsidR="00FD2727" w:rsidRPr="00410588" w:rsidRDefault="00FD2727">
      <w:pPr>
        <w:pStyle w:val="FootnoteText"/>
        <w:rPr>
          <w:lang w:val="en-US"/>
        </w:rPr>
      </w:pPr>
      <w:r>
        <w:rPr>
          <w:rStyle w:val="FootnoteReference"/>
        </w:rPr>
        <w:footnoteRef/>
      </w:r>
      <w:r>
        <w:t xml:space="preserve"> European Union's appellant's submission, </w:t>
      </w:r>
      <w:r w:rsidRPr="00AF3D63">
        <w:t>para. </w:t>
      </w:r>
      <w:r>
        <w:t>776.</w:t>
      </w:r>
    </w:p>
  </w:footnote>
  <w:footnote w:id="1503">
    <w:p w:rsidR="00FD2727" w:rsidRPr="00410588" w:rsidRDefault="00FD2727">
      <w:pPr>
        <w:pStyle w:val="FootnoteText"/>
        <w:rPr>
          <w:lang w:val="en-US"/>
        </w:rPr>
      </w:pPr>
      <w:r>
        <w:rPr>
          <w:rStyle w:val="FootnoteReference"/>
        </w:rPr>
        <w:footnoteRef/>
      </w:r>
      <w:r>
        <w:t xml:space="preserve"> European Union's appellant's submission, </w:t>
      </w:r>
      <w:r w:rsidRPr="00AF3D63">
        <w:t>para. </w:t>
      </w:r>
      <w:r>
        <w:t xml:space="preserve">834 (quoting Original Panel Report, </w:t>
      </w:r>
      <w:r w:rsidRPr="00AF3D63">
        <w:t>paras. </w:t>
      </w:r>
      <w:r w:rsidRPr="00EF6657">
        <w:t>7.1920, 7.1940, 7.1984,</w:t>
      </w:r>
      <w:r>
        <w:t xml:space="preserve"> and</w:t>
      </w:r>
      <w:r w:rsidRPr="00EF6657">
        <w:t xml:space="preserve"> 7.2025</w:t>
      </w:r>
      <w:r>
        <w:t>).</w:t>
      </w:r>
    </w:p>
  </w:footnote>
  <w:footnote w:id="1504">
    <w:p w:rsidR="00FD2727" w:rsidRPr="00410588" w:rsidRDefault="00FD2727">
      <w:pPr>
        <w:pStyle w:val="FootnoteText"/>
        <w:rPr>
          <w:lang w:val="en-US"/>
        </w:rPr>
      </w:pPr>
      <w:r>
        <w:rPr>
          <w:rStyle w:val="FootnoteReference"/>
        </w:rPr>
        <w:footnoteRef/>
      </w:r>
      <w:r>
        <w:t xml:space="preserve"> European Union's appellant's submission, </w:t>
      </w:r>
      <w:r w:rsidRPr="00AF3D63">
        <w:t>para. </w:t>
      </w:r>
      <w:r>
        <w:t>834.</w:t>
      </w:r>
    </w:p>
  </w:footnote>
  <w:footnote w:id="1505">
    <w:p w:rsidR="00FD2727" w:rsidRPr="00410588" w:rsidRDefault="00FD2727">
      <w:pPr>
        <w:pStyle w:val="FootnoteText"/>
        <w:rPr>
          <w:lang w:val="en-US"/>
        </w:rPr>
      </w:pPr>
      <w:r>
        <w:rPr>
          <w:rStyle w:val="FootnoteReference"/>
        </w:rPr>
        <w:footnoteRef/>
      </w:r>
      <w:r>
        <w:t xml:space="preserve"> European Union's appellant's submission, </w:t>
      </w:r>
      <w:r w:rsidRPr="00AF3D63">
        <w:t>para</w:t>
      </w:r>
      <w:r>
        <w:t>s</w:t>
      </w:r>
      <w:r w:rsidRPr="00AF3D63">
        <w:t>.</w:t>
      </w:r>
      <w:r>
        <w:t xml:space="preserve"> 777, 854, and 857.</w:t>
      </w:r>
    </w:p>
  </w:footnote>
  <w:footnote w:id="1506">
    <w:p w:rsidR="00FD2727" w:rsidRPr="00410588" w:rsidRDefault="00FD2727">
      <w:pPr>
        <w:pStyle w:val="FootnoteText"/>
        <w:rPr>
          <w:lang w:val="en-US"/>
        </w:rPr>
      </w:pPr>
      <w:r>
        <w:rPr>
          <w:rStyle w:val="FootnoteReference"/>
        </w:rPr>
        <w:footnoteRef/>
      </w:r>
      <w:r>
        <w:t xml:space="preserve"> European Union's appellant's submission, </w:t>
      </w:r>
      <w:r w:rsidRPr="00AF3D63">
        <w:t>para. </w:t>
      </w:r>
      <w:r>
        <w:t xml:space="preserve">854 (referring to Panel Report, </w:t>
      </w:r>
      <w:r w:rsidRPr="00AF3D63">
        <w:t>para. </w:t>
      </w:r>
      <w:r>
        <w:t>6.907).</w:t>
      </w:r>
    </w:p>
  </w:footnote>
  <w:footnote w:id="1507">
    <w:p w:rsidR="00FD2727" w:rsidRPr="00410588" w:rsidRDefault="00FD2727">
      <w:pPr>
        <w:pStyle w:val="FootnoteText"/>
        <w:rPr>
          <w:lang w:val="en-US"/>
        </w:rPr>
      </w:pPr>
      <w:r>
        <w:rPr>
          <w:rStyle w:val="FootnoteReference"/>
        </w:rPr>
        <w:footnoteRef/>
      </w:r>
      <w:r>
        <w:t xml:space="preserve"> European Union's appellant's submission, </w:t>
      </w:r>
      <w:r w:rsidRPr="00AF3D63">
        <w:t>para. </w:t>
      </w:r>
      <w:r>
        <w:t>854.</w:t>
      </w:r>
    </w:p>
  </w:footnote>
  <w:footnote w:id="1508">
    <w:p w:rsidR="00FD2727" w:rsidRDefault="00FD2727">
      <w:pPr>
        <w:pStyle w:val="FootnoteText"/>
      </w:pPr>
      <w:r>
        <w:rPr>
          <w:rStyle w:val="FootnoteReference"/>
        </w:rPr>
        <w:footnoteRef/>
      </w:r>
      <w:r>
        <w:t xml:space="preserve"> As noted above, such events include the </w:t>
      </w:r>
      <w:r>
        <w:rPr>
          <w:color w:val="000000"/>
        </w:rPr>
        <w:t>expiry of certain LA/MSF subsidies and non</w:t>
      </w:r>
      <w:r>
        <w:rPr>
          <w:color w:val="000000"/>
        </w:rPr>
        <w:noBreakHyphen/>
        <w:t xml:space="preserve">subsidized investments in the A320 and </w:t>
      </w:r>
      <w:r w:rsidRPr="00927C7B">
        <w:rPr>
          <w:color w:val="000000"/>
        </w:rPr>
        <w:t>A330</w:t>
      </w:r>
      <w:r>
        <w:rPr>
          <w:color w:val="000000"/>
        </w:rPr>
        <w:t xml:space="preserve"> families of Airbus LCA.</w:t>
      </w:r>
    </w:p>
  </w:footnote>
  <w:footnote w:id="1509">
    <w:p w:rsidR="00FD2727" w:rsidRPr="00410588" w:rsidRDefault="00FD2727">
      <w:pPr>
        <w:pStyle w:val="FootnoteText"/>
        <w:rPr>
          <w:lang w:val="en-US"/>
        </w:rPr>
      </w:pPr>
      <w:r>
        <w:rPr>
          <w:rStyle w:val="FootnoteReference"/>
        </w:rPr>
        <w:footnoteRef/>
      </w:r>
      <w:r>
        <w:t xml:space="preserve"> European Union's appellant's submission, </w:t>
      </w:r>
      <w:r w:rsidRPr="00AF3D63">
        <w:t>paras. </w:t>
      </w:r>
      <w:r>
        <w:t>776-786.</w:t>
      </w:r>
    </w:p>
  </w:footnote>
  <w:footnote w:id="1510">
    <w:p w:rsidR="00FD2727" w:rsidRPr="00410588" w:rsidRDefault="00FD2727">
      <w:pPr>
        <w:pStyle w:val="FootnoteText"/>
        <w:rPr>
          <w:lang w:val="en-US"/>
        </w:rPr>
      </w:pPr>
      <w:r>
        <w:rPr>
          <w:rStyle w:val="FootnoteReference"/>
        </w:rPr>
        <w:footnoteRef/>
      </w:r>
      <w:r>
        <w:t xml:space="preserve"> European Union's appellant's submission, </w:t>
      </w:r>
      <w:r w:rsidRPr="00AF3D63">
        <w:t>para</w:t>
      </w:r>
      <w:r>
        <w:t>s</w:t>
      </w:r>
      <w:r w:rsidRPr="00AF3D63">
        <w:t>. </w:t>
      </w:r>
      <w:r>
        <w:t>878-884.</w:t>
      </w:r>
    </w:p>
  </w:footnote>
  <w:footnote w:id="1511">
    <w:p w:rsidR="00FD2727" w:rsidRPr="00410588" w:rsidRDefault="00FD2727">
      <w:pPr>
        <w:pStyle w:val="FootnoteText"/>
        <w:rPr>
          <w:lang w:val="en-US"/>
        </w:rPr>
      </w:pPr>
      <w:r>
        <w:rPr>
          <w:rStyle w:val="FootnoteReference"/>
        </w:rPr>
        <w:footnoteRef/>
      </w:r>
      <w:r>
        <w:t xml:space="preserve"> European Union's appellant's submission, </w:t>
      </w:r>
      <w:r w:rsidRPr="00AF3D63">
        <w:t>para</w:t>
      </w:r>
      <w:r>
        <w:t>s</w:t>
      </w:r>
      <w:r w:rsidRPr="00AF3D63">
        <w:t>. </w:t>
      </w:r>
      <w:r>
        <w:t>888, 899, and 913.</w:t>
      </w:r>
    </w:p>
  </w:footnote>
  <w:footnote w:id="1512">
    <w:p w:rsidR="00FD2727" w:rsidRPr="00145239" w:rsidRDefault="00FD2727">
      <w:pPr>
        <w:pStyle w:val="FootnoteText"/>
        <w:rPr>
          <w:lang w:val="en-US"/>
        </w:rPr>
      </w:pPr>
      <w:r>
        <w:rPr>
          <w:rStyle w:val="FootnoteReference"/>
        </w:rPr>
        <w:footnoteRef/>
      </w:r>
      <w:r>
        <w:t xml:space="preserve"> </w:t>
      </w:r>
      <w:r w:rsidRPr="00145239">
        <w:t>European Union's appellant's submission, paras. 901 and 913.</w:t>
      </w:r>
    </w:p>
  </w:footnote>
  <w:footnote w:id="1513">
    <w:p w:rsidR="00FD2727" w:rsidRPr="00145239" w:rsidRDefault="00FD2727">
      <w:pPr>
        <w:pStyle w:val="FootnoteText"/>
        <w:rPr>
          <w:lang w:val="en-US"/>
        </w:rPr>
      </w:pPr>
      <w:r w:rsidRPr="00145239">
        <w:rPr>
          <w:rStyle w:val="FootnoteReference"/>
        </w:rPr>
        <w:footnoteRef/>
      </w:r>
      <w:r w:rsidRPr="00145239">
        <w:t xml:space="preserve"> European Union's appellant's submission, paras. 890-895.</w:t>
      </w:r>
    </w:p>
  </w:footnote>
  <w:footnote w:id="1514">
    <w:p w:rsidR="00FD2727" w:rsidRPr="00410588" w:rsidRDefault="00FD2727">
      <w:pPr>
        <w:pStyle w:val="FootnoteText"/>
        <w:rPr>
          <w:lang w:val="en-US"/>
        </w:rPr>
      </w:pPr>
      <w:r w:rsidRPr="00145239">
        <w:rPr>
          <w:rStyle w:val="FootnoteReference"/>
        </w:rPr>
        <w:footnoteRef/>
      </w:r>
      <w:r w:rsidRPr="00145239">
        <w:t xml:space="preserve"> See sections 5.6.3.4 and 5.6.3.5 of</w:t>
      </w:r>
      <w:r>
        <w:t xml:space="preserve"> this Report.</w:t>
      </w:r>
    </w:p>
  </w:footnote>
  <w:footnote w:id="1515">
    <w:p w:rsidR="00FD2727" w:rsidRPr="00410588" w:rsidRDefault="00FD2727">
      <w:pPr>
        <w:pStyle w:val="FootnoteText"/>
        <w:rPr>
          <w:lang w:val="en-US"/>
        </w:rPr>
      </w:pPr>
      <w:r>
        <w:rPr>
          <w:rStyle w:val="FootnoteReference"/>
        </w:rPr>
        <w:footnoteRef/>
      </w:r>
      <w:r>
        <w:t xml:space="preserve"> Panel Report, </w:t>
      </w:r>
      <w:r w:rsidRPr="00AF3D63">
        <w:t>para. </w:t>
      </w:r>
      <w:r>
        <w:t xml:space="preserve">6.1453 (quoting Appellate Body Report, </w:t>
      </w:r>
      <w:r>
        <w:rPr>
          <w:i/>
        </w:rPr>
        <w:t>EC and certain member States – Large Civil Aircraft</w:t>
      </w:r>
      <w:r>
        <w:t xml:space="preserve">, </w:t>
      </w:r>
      <w:r w:rsidRPr="00AF3D63">
        <w:t>para. </w:t>
      </w:r>
      <w:r>
        <w:t xml:space="preserve">1110). The Panel explained that, in contrast to a "unitary approach", a "two-step" analysis first seeks to identify the market phenomena described in Article 6.3(a)-(d) of the SCM Agreement and then, as a second step, examines whether there is a causal relationship between the phenomena and the challenged subsidies. The Panel recalled that, while the Appellate Body accepted the validity of this approach in the original proceedings, it explicitly stated that a "unitary analysis" would be preferable. (Ibid., fn 2490 thereto (referring to Appellate Body Report, </w:t>
      </w:r>
      <w:r>
        <w:rPr>
          <w:i/>
        </w:rPr>
        <w:t>EC and certain member States – Large Civil Aircraft</w:t>
      </w:r>
      <w:r>
        <w:t xml:space="preserve">, </w:t>
      </w:r>
      <w:r w:rsidRPr="00AF3D63">
        <w:t>paras. </w:t>
      </w:r>
      <w:r>
        <w:t>1107 and 1109)).</w:t>
      </w:r>
    </w:p>
  </w:footnote>
  <w:footnote w:id="1516">
    <w:p w:rsidR="00FD2727" w:rsidRPr="00410588" w:rsidRDefault="00FD2727">
      <w:pPr>
        <w:pStyle w:val="FootnoteText"/>
        <w:rPr>
          <w:lang w:val="en-US"/>
        </w:rPr>
      </w:pPr>
      <w:r>
        <w:rPr>
          <w:rStyle w:val="FootnoteReference"/>
        </w:rPr>
        <w:footnoteRef/>
      </w:r>
      <w:r>
        <w:t xml:space="preserve"> </w:t>
      </w:r>
      <w:r w:rsidRPr="00145239">
        <w:t>Panel Report, paras. 6.1457 and 6.1461. See also United States' first written submission to the Panel, paras. 335-352; second written submission to the Panel, paras. 367</w:t>
      </w:r>
      <w:r w:rsidRPr="00145239">
        <w:noBreakHyphen/>
        <w:t xml:space="preserve">373. As further discussed in para. 5.591 below, the original </w:t>
      </w:r>
      <w:r w:rsidRPr="00145239">
        <w:rPr>
          <w:szCs w:val="24"/>
        </w:rPr>
        <w:t>panel discussed four scenarios "for the LCA industry in the counterfactual world that would exist in the</w:t>
      </w:r>
      <w:r w:rsidRPr="0073626F">
        <w:rPr>
          <w:szCs w:val="24"/>
        </w:rPr>
        <w:t xml:space="preserve"> absence of subsidies to Airbus"</w:t>
      </w:r>
      <w:r>
        <w:rPr>
          <w:szCs w:val="24"/>
        </w:rPr>
        <w:t>.</w:t>
      </w:r>
      <w:r w:rsidRPr="0049080C">
        <w:rPr>
          <w:szCs w:val="24"/>
        </w:rPr>
        <w:t xml:space="preserve"> </w:t>
      </w:r>
      <w:r>
        <w:t xml:space="preserve">(Original Panel Report, </w:t>
      </w:r>
      <w:r w:rsidRPr="00AF3D63">
        <w:t>para. </w:t>
      </w:r>
      <w:r>
        <w:t xml:space="preserve">7.1984) </w:t>
      </w:r>
      <w:r>
        <w:rPr>
          <w:szCs w:val="24"/>
        </w:rPr>
        <w:t>Scenarios 1 and </w:t>
      </w:r>
      <w:r w:rsidRPr="0073626F">
        <w:rPr>
          <w:szCs w:val="24"/>
        </w:rPr>
        <w:t>2</w:t>
      </w:r>
      <w:r>
        <w:rPr>
          <w:szCs w:val="24"/>
        </w:rPr>
        <w:t xml:space="preserve">, which were considered "plausible" by the original panel, </w:t>
      </w:r>
      <w:r>
        <w:t>contemplated that a non</w:t>
      </w:r>
      <w:r>
        <w:noBreakHyphen/>
        <w:t>subsidized Airbus would have had no market presence in the 2001-2006 period. Scenarios 3 and 4, which the original panel considered "unlikely", envisaged that a non</w:t>
      </w:r>
      <w:r>
        <w:noBreakHyphen/>
        <w:t>subsidized Airbus would be competing in the 2001</w:t>
      </w:r>
      <w:r>
        <w:noBreakHyphen/>
        <w:t>2006 period as a "much weaker" company "with at best a more limited offering of LCA models". (Ibid., paras. 7.1984 and 7.1993)</w:t>
      </w:r>
    </w:p>
  </w:footnote>
  <w:footnote w:id="1517">
    <w:p w:rsidR="00FD2727" w:rsidRPr="00410588" w:rsidRDefault="00FD2727">
      <w:pPr>
        <w:pStyle w:val="FootnoteText"/>
        <w:rPr>
          <w:lang w:val="en-US"/>
        </w:rPr>
      </w:pPr>
      <w:r>
        <w:rPr>
          <w:rStyle w:val="FootnoteReference"/>
        </w:rPr>
        <w:footnoteRef/>
      </w:r>
      <w:r>
        <w:t xml:space="preserve"> Panel Report, </w:t>
      </w:r>
      <w:r w:rsidRPr="00AF3D63">
        <w:t>para. </w:t>
      </w:r>
      <w:r>
        <w:t>6.1462.</w:t>
      </w:r>
    </w:p>
  </w:footnote>
  <w:footnote w:id="1518">
    <w:p w:rsidR="00FD2727" w:rsidRPr="00410588" w:rsidRDefault="00FD2727">
      <w:pPr>
        <w:pStyle w:val="FootnoteText"/>
        <w:rPr>
          <w:lang w:val="en-US"/>
        </w:rPr>
      </w:pPr>
      <w:r>
        <w:rPr>
          <w:rStyle w:val="FootnoteReference"/>
        </w:rPr>
        <w:footnoteRef/>
      </w:r>
      <w:r>
        <w:t xml:space="preserve"> </w:t>
      </w:r>
      <w:r w:rsidRPr="00AF3D63">
        <w:t>See </w:t>
      </w:r>
      <w:r>
        <w:t xml:space="preserve">Panel Report, </w:t>
      </w:r>
      <w:r w:rsidRPr="00AF3D63">
        <w:t>paras. </w:t>
      </w:r>
      <w:r>
        <w:t>6.1464-6.1479.</w:t>
      </w:r>
    </w:p>
  </w:footnote>
  <w:footnote w:id="1519">
    <w:p w:rsidR="00FD2727" w:rsidRPr="00410588" w:rsidRDefault="00FD2727">
      <w:pPr>
        <w:pStyle w:val="FootnoteText"/>
        <w:rPr>
          <w:lang w:val="en-US"/>
        </w:rPr>
      </w:pPr>
      <w:r>
        <w:rPr>
          <w:rStyle w:val="FootnoteReference"/>
        </w:rPr>
        <w:footnoteRef/>
      </w:r>
      <w:r>
        <w:t xml:space="preserve"> Panel Report, </w:t>
      </w:r>
      <w:r w:rsidRPr="00AF3D63">
        <w:t>para. </w:t>
      </w:r>
      <w:r>
        <w:t xml:space="preserve">6.1475 (quoting Original Panel Report, </w:t>
      </w:r>
      <w:r w:rsidRPr="00AF3D63">
        <w:t>paras. </w:t>
      </w:r>
      <w:r>
        <w:t>7.1984 and 7.1993).</w:t>
      </w:r>
    </w:p>
  </w:footnote>
  <w:footnote w:id="1520">
    <w:p w:rsidR="00FD2727" w:rsidRPr="00410588" w:rsidRDefault="00FD2727" w:rsidP="00C752B3">
      <w:pPr>
        <w:pStyle w:val="FootnoteText"/>
        <w:rPr>
          <w:lang w:val="en-US"/>
        </w:rPr>
      </w:pPr>
      <w:r>
        <w:rPr>
          <w:rStyle w:val="FootnoteReference"/>
        </w:rPr>
        <w:footnoteRef/>
      </w:r>
      <w:r>
        <w:t xml:space="preserve"> Panel Report, </w:t>
      </w:r>
      <w:r w:rsidRPr="00AF3D63">
        <w:t>para. </w:t>
      </w:r>
      <w:r>
        <w:t>6.1475. (emphasis original)</w:t>
      </w:r>
    </w:p>
  </w:footnote>
  <w:footnote w:id="1521">
    <w:p w:rsidR="00FD2727" w:rsidRPr="00410588" w:rsidRDefault="00FD2727">
      <w:pPr>
        <w:pStyle w:val="FootnoteText"/>
        <w:rPr>
          <w:lang w:val="en-US"/>
        </w:rPr>
      </w:pPr>
      <w:r>
        <w:rPr>
          <w:rStyle w:val="FootnoteReference"/>
        </w:rPr>
        <w:footnoteRef/>
      </w:r>
      <w:r>
        <w:t xml:space="preserve"> Panel Report, </w:t>
      </w:r>
      <w:r w:rsidRPr="00AF3D63">
        <w:t>para. </w:t>
      </w:r>
      <w:r>
        <w:t>6.1480.</w:t>
      </w:r>
    </w:p>
  </w:footnote>
  <w:footnote w:id="1522">
    <w:p w:rsidR="00FD2727" w:rsidRPr="00410588" w:rsidRDefault="00FD2727">
      <w:pPr>
        <w:pStyle w:val="FootnoteText"/>
        <w:rPr>
          <w:lang w:val="en-US"/>
        </w:rPr>
      </w:pPr>
      <w:r>
        <w:rPr>
          <w:rStyle w:val="FootnoteReference"/>
        </w:rPr>
        <w:footnoteRef/>
      </w:r>
      <w:r>
        <w:t xml:space="preserve"> Panel Report, </w:t>
      </w:r>
      <w:r w:rsidRPr="00AF3D63">
        <w:t>para. </w:t>
      </w:r>
      <w:r>
        <w:t>6.1481.</w:t>
      </w:r>
    </w:p>
  </w:footnote>
  <w:footnote w:id="1523">
    <w:p w:rsidR="00FD2727" w:rsidRPr="00410588" w:rsidRDefault="00FD2727">
      <w:pPr>
        <w:pStyle w:val="FootnoteText"/>
        <w:rPr>
          <w:lang w:val="en-US"/>
        </w:rPr>
      </w:pPr>
      <w:r>
        <w:rPr>
          <w:rStyle w:val="FootnoteReference"/>
        </w:rPr>
        <w:footnoteRef/>
      </w:r>
      <w:r>
        <w:t xml:space="preserve"> Panel Report, </w:t>
      </w:r>
      <w:r w:rsidRPr="00AF3D63">
        <w:t>para. </w:t>
      </w:r>
      <w:r>
        <w:t xml:space="preserve">6.1481 (quoting Original Panel Report, </w:t>
      </w:r>
      <w:r w:rsidRPr="00AF3D63">
        <w:t>paras. </w:t>
      </w:r>
      <w:r>
        <w:t>7.1984 and 7.1993).</w:t>
      </w:r>
    </w:p>
  </w:footnote>
  <w:footnote w:id="1524">
    <w:p w:rsidR="00FD2727" w:rsidRPr="00410588" w:rsidRDefault="00FD2727">
      <w:pPr>
        <w:pStyle w:val="FootnoteText"/>
        <w:rPr>
          <w:lang w:val="en-US"/>
        </w:rPr>
      </w:pPr>
      <w:r>
        <w:rPr>
          <w:rStyle w:val="FootnoteReference"/>
        </w:rPr>
        <w:footnoteRef/>
      </w:r>
      <w:r>
        <w:t xml:space="preserve"> Panel Report, </w:t>
      </w:r>
      <w:r w:rsidRPr="00AF3D63">
        <w:t>para. </w:t>
      </w:r>
      <w:r>
        <w:t>6.1481.</w:t>
      </w:r>
    </w:p>
  </w:footnote>
  <w:footnote w:id="1525">
    <w:p w:rsidR="00FD2727" w:rsidRPr="00410588" w:rsidRDefault="00FD2727">
      <w:pPr>
        <w:pStyle w:val="FootnoteText"/>
        <w:rPr>
          <w:lang w:val="en-US"/>
        </w:rPr>
      </w:pPr>
      <w:r>
        <w:rPr>
          <w:rStyle w:val="FootnoteReference"/>
        </w:rPr>
        <w:footnoteRef/>
      </w:r>
      <w:r>
        <w:t xml:space="preserve"> The Panel further observed that, "{a}dditionally, and in the alternative", the European Union had argued that any lingering present-day effects of the challenged LA/MSF subsidies were not the cause of any present adverse effects because the United States' claims of Boeing lost sales and displacement in the various LCA product markets could be explained by a </w:t>
      </w:r>
      <w:r w:rsidRPr="005A305E">
        <w:t>number of factors unrelated t</w:t>
      </w:r>
      <w:r>
        <w:t>o the effects of LA/MSF. (Panel </w:t>
      </w:r>
      <w:r w:rsidRPr="005A305E">
        <w:t xml:space="preserve">Report, </w:t>
      </w:r>
      <w:r w:rsidRPr="00AF3D63">
        <w:t>para. </w:t>
      </w:r>
      <w:r w:rsidRPr="005A305E">
        <w:t xml:space="preserve">6.1481) The Panel examined the "alternative" argument in the final part of its analysis of the </w:t>
      </w:r>
      <w:r>
        <w:t>United States</w:t>
      </w:r>
      <w:r w:rsidRPr="005A305E">
        <w:t xml:space="preserve">' claims of Boeing lost sales, </w:t>
      </w:r>
      <w:r>
        <w:t>displacement</w:t>
      </w:r>
      <w:r w:rsidRPr="005A305E">
        <w:t xml:space="preserve">, and </w:t>
      </w:r>
      <w:r>
        <w:t xml:space="preserve">impedance </w:t>
      </w:r>
      <w:r w:rsidRPr="005A305E">
        <w:t xml:space="preserve">in the various LCA product markets. </w:t>
      </w:r>
      <w:r>
        <w:t xml:space="preserve">(Ibid., </w:t>
      </w:r>
      <w:r w:rsidRPr="00AF3D63">
        <w:t>paras. </w:t>
      </w:r>
      <w:r>
        <w:t>6.1782-6.1783, 6.1790-6.1797, and 6.1810-6.1816)</w:t>
      </w:r>
    </w:p>
  </w:footnote>
  <w:footnote w:id="1526">
    <w:p w:rsidR="00FD2727" w:rsidRPr="00410588" w:rsidRDefault="00FD2727">
      <w:pPr>
        <w:pStyle w:val="FootnoteText"/>
        <w:rPr>
          <w:lang w:val="en-US"/>
        </w:rPr>
      </w:pPr>
      <w:r>
        <w:rPr>
          <w:rStyle w:val="FootnoteReference"/>
        </w:rPr>
        <w:footnoteRef/>
      </w:r>
      <w:r>
        <w:t xml:space="preserve"> Panel Report, </w:t>
      </w:r>
      <w:r w:rsidRPr="00AF3D63">
        <w:t>para. </w:t>
      </w:r>
      <w:r>
        <w:t>6.1488.</w:t>
      </w:r>
    </w:p>
  </w:footnote>
  <w:footnote w:id="1527">
    <w:p w:rsidR="00FD2727" w:rsidRPr="00410588" w:rsidRDefault="00FD2727">
      <w:pPr>
        <w:pStyle w:val="FootnoteText"/>
        <w:rPr>
          <w:lang w:val="en-US"/>
        </w:rPr>
      </w:pPr>
      <w:r>
        <w:rPr>
          <w:rStyle w:val="FootnoteReference"/>
        </w:rPr>
        <w:footnoteRef/>
      </w:r>
      <w:r>
        <w:t xml:space="preserve"> Panel Report, </w:t>
      </w:r>
      <w:r w:rsidRPr="00AF3D63">
        <w:t>para. </w:t>
      </w:r>
      <w:r>
        <w:t>6.1489.</w:t>
      </w:r>
    </w:p>
  </w:footnote>
  <w:footnote w:id="1528">
    <w:p w:rsidR="00FD2727" w:rsidRPr="00410588" w:rsidRDefault="00FD2727">
      <w:pPr>
        <w:pStyle w:val="FootnoteText"/>
        <w:rPr>
          <w:lang w:val="en-US"/>
        </w:rPr>
      </w:pPr>
      <w:r>
        <w:rPr>
          <w:rStyle w:val="FootnoteReference"/>
        </w:rPr>
        <w:footnoteRef/>
      </w:r>
      <w:r>
        <w:t xml:space="preserve"> Panel Report, </w:t>
      </w:r>
      <w:r w:rsidRPr="00AF3D63">
        <w:t>para. </w:t>
      </w:r>
      <w:r>
        <w:t xml:space="preserve">6.1490 (referring to </w:t>
      </w:r>
      <w:r w:rsidRPr="00AF3D63">
        <w:t>paras. </w:t>
      </w:r>
      <w:r>
        <w:t>6.879 and 6.1076).</w:t>
      </w:r>
    </w:p>
  </w:footnote>
  <w:footnote w:id="1529">
    <w:p w:rsidR="00FD2727" w:rsidRPr="00410588" w:rsidRDefault="00FD2727">
      <w:pPr>
        <w:pStyle w:val="FootnoteText"/>
        <w:rPr>
          <w:lang w:val="en-US"/>
        </w:rPr>
      </w:pPr>
      <w:r>
        <w:rPr>
          <w:rStyle w:val="FootnoteReference"/>
        </w:rPr>
        <w:footnoteRef/>
      </w:r>
      <w:r>
        <w:t xml:space="preserve"> Panel Report, </w:t>
      </w:r>
      <w:r w:rsidRPr="00AF3D63">
        <w:t>para. </w:t>
      </w:r>
      <w:r>
        <w:t>6.1491.</w:t>
      </w:r>
    </w:p>
  </w:footnote>
  <w:footnote w:id="1530">
    <w:p w:rsidR="00FD2727" w:rsidRPr="00410588" w:rsidRDefault="00FD2727">
      <w:pPr>
        <w:pStyle w:val="FootnoteText"/>
        <w:rPr>
          <w:lang w:val="en-US"/>
        </w:rPr>
      </w:pPr>
      <w:r>
        <w:rPr>
          <w:rStyle w:val="FootnoteReference"/>
        </w:rPr>
        <w:footnoteRef/>
      </w:r>
      <w:r>
        <w:t xml:space="preserve"> Panel Report, </w:t>
      </w:r>
      <w:r w:rsidRPr="00AF3D63">
        <w:t>para. </w:t>
      </w:r>
      <w:r>
        <w:t>6.1492.</w:t>
      </w:r>
      <w:r w:rsidRPr="00061292">
        <w:t xml:space="preserve"> </w:t>
      </w:r>
      <w:r>
        <w:t>According to the Panel, learning, scope, and financial effects refer to the extent to which LA/MSF subsidies enable</w:t>
      </w:r>
      <w:r w:rsidRPr="00BA05D4">
        <w:t xml:space="preserve"> </w:t>
      </w:r>
      <w:r>
        <w:t>Airbus to: (i) develop the "knowledge, know-how and experience" to launch other LCA models; (ii) share inputs and spread costs between different LCA models; and (iii) lower the cost of financing new LCA models and generate revenues that would not otherwise exist in the absence of LA/MSF.</w:t>
      </w:r>
      <w:r w:rsidRPr="00CB050D">
        <w:t xml:space="preserve"> </w:t>
      </w:r>
      <w:r>
        <w:t xml:space="preserve">(Ibid., </w:t>
      </w:r>
      <w:r w:rsidRPr="00AF3D63">
        <w:t>paras. </w:t>
      </w:r>
      <w:r>
        <w:t>6.1510-6.1511)</w:t>
      </w:r>
    </w:p>
  </w:footnote>
  <w:footnote w:id="1531">
    <w:p w:rsidR="00FD2727" w:rsidRPr="00410588" w:rsidRDefault="00FD2727">
      <w:pPr>
        <w:pStyle w:val="FootnoteText"/>
        <w:rPr>
          <w:lang w:val="en-US"/>
        </w:rPr>
      </w:pPr>
      <w:r>
        <w:rPr>
          <w:rStyle w:val="FootnoteReference"/>
        </w:rPr>
        <w:footnoteRef/>
      </w:r>
      <w:r>
        <w:t xml:space="preserve"> Panel Report, </w:t>
      </w:r>
      <w:r w:rsidRPr="00AF3D63">
        <w:t>para. </w:t>
      </w:r>
      <w:r>
        <w:t>6.1508.</w:t>
      </w:r>
      <w:r w:rsidRPr="004B3BCF">
        <w:t xml:space="preserve"> </w:t>
      </w:r>
      <w:r>
        <w:t xml:space="preserve">(emphasis omitted) By contrast, the Panel observed that, where the very existence and ongoing market presence of an aircraft that was specifically funded with LA/MSF subsidies is </w:t>
      </w:r>
      <w:r w:rsidRPr="00CB050D">
        <w:rPr>
          <w:i/>
        </w:rPr>
        <w:t>not</w:t>
      </w:r>
      <w:r w:rsidRPr="008D6A7E">
        <w:rPr>
          <w:i/>
        </w:rPr>
        <w:t xml:space="preserve"> </w:t>
      </w:r>
      <w:r>
        <w:t xml:space="preserve">dependent on that funding, in the sense that the same aircraft would have been developed and brought to market at some point in time without the specifically designated LA/MSF subsidy, then it would be "highly unlikely for the </w:t>
      </w:r>
      <w:r w:rsidRPr="008D6A7E">
        <w:rPr>
          <w:i/>
        </w:rPr>
        <w:t>direct effects</w:t>
      </w:r>
      <w:r>
        <w:t xml:space="preserve"> of that LA/MSF funding to endure throughout the entire marketing life of the relevant LCA programme". (Ibid. (emphasis original))</w:t>
      </w:r>
    </w:p>
  </w:footnote>
  <w:footnote w:id="1532">
    <w:p w:rsidR="00FD2727" w:rsidRPr="00410588" w:rsidRDefault="00FD2727">
      <w:pPr>
        <w:pStyle w:val="FootnoteText"/>
        <w:rPr>
          <w:lang w:val="en-US"/>
        </w:rPr>
      </w:pPr>
      <w:r>
        <w:rPr>
          <w:rStyle w:val="FootnoteReference"/>
        </w:rPr>
        <w:footnoteRef/>
      </w:r>
      <w:r>
        <w:t xml:space="preserve"> Panel Report, </w:t>
      </w:r>
      <w:r w:rsidRPr="00AF3D63">
        <w:t>para. </w:t>
      </w:r>
      <w:r>
        <w:t>6.1513.</w:t>
      </w:r>
    </w:p>
  </w:footnote>
  <w:footnote w:id="1533">
    <w:p w:rsidR="00FD2727" w:rsidRPr="00410588" w:rsidRDefault="00FD2727">
      <w:pPr>
        <w:pStyle w:val="FootnoteText"/>
        <w:rPr>
          <w:lang w:val="en-US"/>
        </w:rPr>
      </w:pPr>
      <w:r>
        <w:rPr>
          <w:rStyle w:val="FootnoteReference"/>
        </w:rPr>
        <w:footnoteRef/>
      </w:r>
      <w:r>
        <w:t xml:space="preserve"> Panel Report, </w:t>
      </w:r>
      <w:r w:rsidRPr="00AF3D63">
        <w:t>para. </w:t>
      </w:r>
      <w:r>
        <w:t>6.1515. (emphasis original)</w:t>
      </w:r>
    </w:p>
  </w:footnote>
  <w:footnote w:id="1534">
    <w:p w:rsidR="00FD2727" w:rsidRPr="00410588" w:rsidRDefault="00FD2727">
      <w:pPr>
        <w:pStyle w:val="FootnoteText"/>
        <w:rPr>
          <w:lang w:val="en-US"/>
        </w:rPr>
      </w:pPr>
      <w:r>
        <w:rPr>
          <w:rStyle w:val="FootnoteReference"/>
        </w:rPr>
        <w:footnoteRef/>
      </w:r>
      <w:r>
        <w:t xml:space="preserve"> Panel Report, </w:t>
      </w:r>
      <w:r w:rsidRPr="00AF3D63">
        <w:t>para. </w:t>
      </w:r>
      <w:r>
        <w:t>6.1524.</w:t>
      </w:r>
    </w:p>
  </w:footnote>
  <w:footnote w:id="1535">
    <w:p w:rsidR="00FD2727" w:rsidRPr="00410588" w:rsidRDefault="00FD2727">
      <w:pPr>
        <w:pStyle w:val="FootnoteText"/>
        <w:rPr>
          <w:lang w:val="en-US"/>
        </w:rPr>
      </w:pPr>
      <w:r>
        <w:rPr>
          <w:rStyle w:val="FootnoteReference"/>
        </w:rPr>
        <w:footnoteRef/>
      </w:r>
      <w:r>
        <w:t xml:space="preserve"> Panel Report, </w:t>
      </w:r>
      <w:r w:rsidRPr="00AF3D63">
        <w:t>para. </w:t>
      </w:r>
      <w:r>
        <w:t>6.1525.</w:t>
      </w:r>
    </w:p>
  </w:footnote>
  <w:footnote w:id="1536">
    <w:p w:rsidR="00FD2727" w:rsidRPr="00410588" w:rsidRDefault="00FD2727">
      <w:pPr>
        <w:pStyle w:val="FootnoteText"/>
        <w:rPr>
          <w:lang w:val="en-US"/>
        </w:rPr>
      </w:pPr>
      <w:r>
        <w:rPr>
          <w:rStyle w:val="FootnoteReference"/>
        </w:rPr>
        <w:footnoteRef/>
      </w:r>
      <w:r>
        <w:t xml:space="preserve"> Panel Report, </w:t>
      </w:r>
      <w:r w:rsidRPr="00AF3D63">
        <w:t>para. </w:t>
      </w:r>
      <w:r>
        <w:t>6.1525.</w:t>
      </w:r>
    </w:p>
  </w:footnote>
  <w:footnote w:id="1537">
    <w:p w:rsidR="00FD2727" w:rsidRPr="00410588" w:rsidRDefault="00FD2727">
      <w:pPr>
        <w:pStyle w:val="FootnoteText"/>
        <w:rPr>
          <w:lang w:val="en-US"/>
        </w:rPr>
      </w:pPr>
      <w:r>
        <w:rPr>
          <w:rStyle w:val="FootnoteReference"/>
        </w:rPr>
        <w:footnoteRef/>
      </w:r>
      <w:r>
        <w:t xml:space="preserve"> Panel Report, </w:t>
      </w:r>
      <w:r w:rsidRPr="00AF3D63">
        <w:t>para. </w:t>
      </w:r>
      <w:r>
        <w:t>6.1526.</w:t>
      </w:r>
    </w:p>
  </w:footnote>
  <w:footnote w:id="1538">
    <w:p w:rsidR="00FD2727" w:rsidRPr="00410588" w:rsidRDefault="00FD2727">
      <w:pPr>
        <w:pStyle w:val="FootnoteText"/>
        <w:rPr>
          <w:lang w:val="en-US"/>
        </w:rPr>
      </w:pPr>
      <w:r>
        <w:rPr>
          <w:rStyle w:val="FootnoteReference"/>
        </w:rPr>
        <w:footnoteRef/>
      </w:r>
      <w:r>
        <w:t xml:space="preserve"> Panel Report, </w:t>
      </w:r>
      <w:r w:rsidRPr="00AF3D63">
        <w:t>para. </w:t>
      </w:r>
      <w:r>
        <w:t>6.1527.</w:t>
      </w:r>
    </w:p>
  </w:footnote>
  <w:footnote w:id="1539">
    <w:p w:rsidR="00FD2727" w:rsidRPr="00410588" w:rsidRDefault="00FD2727">
      <w:pPr>
        <w:pStyle w:val="FootnoteText"/>
        <w:rPr>
          <w:lang w:val="en-US"/>
        </w:rPr>
      </w:pPr>
      <w:r>
        <w:rPr>
          <w:rStyle w:val="FootnoteReference"/>
        </w:rPr>
        <w:footnoteRef/>
      </w:r>
      <w:r>
        <w:t xml:space="preserve"> Panel Report, </w:t>
      </w:r>
      <w:r w:rsidRPr="00AF3D63">
        <w:t>para. </w:t>
      </w:r>
      <w:r>
        <w:t>6.1531.</w:t>
      </w:r>
    </w:p>
  </w:footnote>
  <w:footnote w:id="1540">
    <w:p w:rsidR="00FD2727" w:rsidRPr="00410588" w:rsidRDefault="00FD2727">
      <w:pPr>
        <w:pStyle w:val="FootnoteText"/>
        <w:rPr>
          <w:lang w:val="en-US"/>
        </w:rPr>
      </w:pPr>
      <w:r>
        <w:rPr>
          <w:rStyle w:val="FootnoteReference"/>
        </w:rPr>
        <w:footnoteRef/>
      </w:r>
      <w:r>
        <w:t xml:space="preserve"> Panel Report, </w:t>
      </w:r>
      <w:r w:rsidRPr="00AF3D63">
        <w:t>para. </w:t>
      </w:r>
      <w:r>
        <w:t>6.1534.</w:t>
      </w:r>
    </w:p>
  </w:footnote>
  <w:footnote w:id="1541">
    <w:p w:rsidR="00FD2727" w:rsidRPr="00410588" w:rsidRDefault="00FD2727">
      <w:pPr>
        <w:pStyle w:val="FootnoteText"/>
        <w:rPr>
          <w:lang w:val="en-US"/>
        </w:rPr>
      </w:pPr>
      <w:r>
        <w:rPr>
          <w:rStyle w:val="FootnoteReference"/>
        </w:rPr>
        <w:footnoteRef/>
      </w:r>
      <w:r>
        <w:t xml:space="preserve"> Panel Report, </w:t>
      </w:r>
      <w:r w:rsidRPr="00AF3D63">
        <w:t>para. </w:t>
      </w:r>
      <w:r>
        <w:t>6.1534.</w:t>
      </w:r>
    </w:p>
  </w:footnote>
  <w:footnote w:id="1542">
    <w:p w:rsidR="00FD2727" w:rsidRPr="00410588" w:rsidRDefault="00FD2727">
      <w:pPr>
        <w:pStyle w:val="FootnoteText"/>
        <w:rPr>
          <w:lang w:val="en-US"/>
        </w:rPr>
      </w:pPr>
      <w:r>
        <w:rPr>
          <w:rStyle w:val="FootnoteReference"/>
        </w:rPr>
        <w:footnoteRef/>
      </w:r>
      <w:r>
        <w:t xml:space="preserve"> Panel Report, </w:t>
      </w:r>
      <w:r w:rsidRPr="00AF3D63">
        <w:t>para. </w:t>
      </w:r>
      <w:r>
        <w:t>6.1535. (emphasis omitted)</w:t>
      </w:r>
    </w:p>
  </w:footnote>
  <w:footnote w:id="1543">
    <w:p w:rsidR="00FD2727" w:rsidRPr="00145239" w:rsidRDefault="00FD2727">
      <w:pPr>
        <w:pStyle w:val="FootnoteText"/>
        <w:rPr>
          <w:lang w:val="en-US"/>
        </w:rPr>
      </w:pPr>
      <w:r>
        <w:rPr>
          <w:rStyle w:val="FootnoteReference"/>
        </w:rPr>
        <w:footnoteRef/>
      </w:r>
      <w:r>
        <w:t xml:space="preserve"> </w:t>
      </w:r>
      <w:r w:rsidRPr="00145239">
        <w:t xml:space="preserve">See 5.591 below. See also </w:t>
      </w:r>
      <w:r w:rsidRPr="00145239">
        <w:rPr>
          <w:i/>
        </w:rPr>
        <w:t>supra</w:t>
      </w:r>
      <w:r w:rsidRPr="00145239">
        <w:t xml:space="preserve"> fn 1515.</w:t>
      </w:r>
    </w:p>
  </w:footnote>
  <w:footnote w:id="1544">
    <w:p w:rsidR="00FD2727" w:rsidRPr="00410588" w:rsidRDefault="00FD2727">
      <w:pPr>
        <w:pStyle w:val="FootnoteText"/>
        <w:rPr>
          <w:lang w:val="en-US"/>
        </w:rPr>
      </w:pPr>
      <w:r w:rsidRPr="00145239">
        <w:rPr>
          <w:rStyle w:val="FootnoteReference"/>
        </w:rPr>
        <w:footnoteRef/>
      </w:r>
      <w:r w:rsidRPr="00145239">
        <w:t xml:space="preserve"> Panel Report, para. 6.1535. The Panel explained that, under the "plausible" counterfactual scenarios, a non</w:t>
      </w:r>
      <w:r w:rsidRPr="00145239">
        <w:noBreakHyphen/>
        <w:t>subsidized</w:t>
      </w:r>
      <w:r>
        <w:t xml:space="preserve"> Airbus would not have existed in 2006; and that there was, furthermore, no evidence before the Panel to suggest (and the European Union did not argue) that a non</w:t>
      </w:r>
      <w:r>
        <w:noBreakHyphen/>
        <w:t>subsidized Airbus would have come into being any time thereafter. (Ibid.)</w:t>
      </w:r>
    </w:p>
  </w:footnote>
  <w:footnote w:id="1545">
    <w:p w:rsidR="00FD2727" w:rsidRPr="00410588" w:rsidRDefault="00FD2727">
      <w:pPr>
        <w:pStyle w:val="FootnoteText"/>
        <w:rPr>
          <w:lang w:val="en-US"/>
        </w:rPr>
      </w:pPr>
      <w:r>
        <w:rPr>
          <w:rStyle w:val="FootnoteReference"/>
        </w:rPr>
        <w:footnoteRef/>
      </w:r>
      <w:r>
        <w:t xml:space="preserve"> Panel Report, </w:t>
      </w:r>
      <w:r w:rsidRPr="00AF3D63">
        <w:t>para. </w:t>
      </w:r>
      <w:r>
        <w:t>6.1537.</w:t>
      </w:r>
    </w:p>
  </w:footnote>
  <w:footnote w:id="1546">
    <w:p w:rsidR="00FD2727" w:rsidRPr="00410588" w:rsidRDefault="00FD2727">
      <w:pPr>
        <w:pStyle w:val="FootnoteText"/>
        <w:rPr>
          <w:lang w:val="en-US"/>
        </w:rPr>
      </w:pPr>
      <w:r>
        <w:rPr>
          <w:rStyle w:val="FootnoteReference"/>
        </w:rPr>
        <w:footnoteRef/>
      </w:r>
      <w:r>
        <w:t xml:space="preserve"> Panel Report, </w:t>
      </w:r>
      <w:r w:rsidRPr="00AF3D63">
        <w:t>para. </w:t>
      </w:r>
      <w:r>
        <w:t>6.1537. (fn omitted)</w:t>
      </w:r>
    </w:p>
  </w:footnote>
  <w:footnote w:id="1547">
    <w:p w:rsidR="00FD2727" w:rsidRPr="00410588" w:rsidRDefault="00FD2727">
      <w:pPr>
        <w:pStyle w:val="FootnoteText"/>
        <w:rPr>
          <w:lang w:val="en-US"/>
        </w:rPr>
      </w:pPr>
      <w:r>
        <w:rPr>
          <w:rStyle w:val="FootnoteReference"/>
        </w:rPr>
        <w:footnoteRef/>
      </w:r>
      <w:r>
        <w:t xml:space="preserve"> Panel Report, </w:t>
      </w:r>
      <w:r w:rsidRPr="00AF3D63">
        <w:t>para. </w:t>
      </w:r>
      <w:r>
        <w:t>6.1538.</w:t>
      </w:r>
    </w:p>
  </w:footnote>
  <w:footnote w:id="1548">
    <w:p w:rsidR="00FD2727" w:rsidRPr="00410588" w:rsidRDefault="00FD2727">
      <w:pPr>
        <w:pStyle w:val="FootnoteText"/>
        <w:rPr>
          <w:lang w:val="en-US"/>
        </w:rPr>
      </w:pPr>
      <w:r>
        <w:rPr>
          <w:rStyle w:val="FootnoteReference"/>
        </w:rPr>
        <w:footnoteRef/>
      </w:r>
      <w:r>
        <w:t xml:space="preserve"> Panel Report, </w:t>
      </w:r>
      <w:r w:rsidRPr="00AF3D63">
        <w:t>para. </w:t>
      </w:r>
      <w:r>
        <w:t xml:space="preserve">6.1540. The Panel referred to this as the "Contracting Period". </w:t>
      </w:r>
      <w:r w:rsidRPr="00AF3D63">
        <w:t>See </w:t>
      </w:r>
      <w:r>
        <w:t xml:space="preserve">also </w:t>
      </w:r>
      <w:r w:rsidRPr="00AF3D63">
        <w:t>para. </w:t>
      </w:r>
      <w:r>
        <w:t>6.1539.</w:t>
      </w:r>
    </w:p>
  </w:footnote>
  <w:footnote w:id="1549">
    <w:p w:rsidR="00FD2727" w:rsidRPr="00825D68" w:rsidRDefault="00FD2727">
      <w:pPr>
        <w:pStyle w:val="FootnoteText"/>
      </w:pPr>
      <w:r>
        <w:rPr>
          <w:rStyle w:val="FootnoteReference"/>
        </w:rPr>
        <w:footnoteRef/>
      </w:r>
      <w:r>
        <w:t xml:space="preserve"> This is the period consisting of events surrounding the A350XWB programme that occurred before the launch of the A350XWB, that is, before 1 December 2006. (Panel Report, </w:t>
      </w:r>
      <w:r w:rsidRPr="00AF3D63">
        <w:t>para. </w:t>
      </w:r>
      <w:r>
        <w:t>6.1541)</w:t>
      </w:r>
    </w:p>
  </w:footnote>
  <w:footnote w:id="1550">
    <w:p w:rsidR="00FD2727" w:rsidRPr="00410588" w:rsidRDefault="00FD2727">
      <w:pPr>
        <w:pStyle w:val="FootnoteText"/>
        <w:rPr>
          <w:lang w:val="en-US"/>
        </w:rPr>
      </w:pPr>
      <w:r>
        <w:rPr>
          <w:rStyle w:val="FootnoteReference"/>
        </w:rPr>
        <w:footnoteRef/>
      </w:r>
      <w:r>
        <w:t xml:space="preserve"> This relates to</w:t>
      </w:r>
      <w:r w:rsidRPr="00230B48">
        <w:t xml:space="preserve"> the A350XWB Business Case presented to the EADS Board of Directors on </w:t>
      </w:r>
      <w:r w:rsidRPr="00230B48">
        <w:rPr>
          <w:b/>
        </w:rPr>
        <w:t>[</w:t>
      </w:r>
      <w:r w:rsidRPr="00C8434D">
        <w:rPr>
          <w:b/>
          <w:szCs w:val="16"/>
        </w:rPr>
        <w:t>BCI</w:t>
      </w:r>
      <w:r w:rsidRPr="00230B48">
        <w:rPr>
          <w:b/>
        </w:rPr>
        <w:t>]</w:t>
      </w:r>
      <w:r>
        <w:t xml:space="preserve">, in preparation for the launch of the A350XWB, and to the official approval by EADS of the launch of the A350XWB on the basis of the Business Case, on 1 December 2006. (Panel Report, </w:t>
      </w:r>
      <w:r w:rsidRPr="00AF3D63">
        <w:t>para. </w:t>
      </w:r>
      <w:r>
        <w:t xml:space="preserve">6.1568; </w:t>
      </w:r>
      <w:r>
        <w:rPr>
          <w:szCs w:val="16"/>
        </w:rPr>
        <w:t xml:space="preserve">A350XWB Business Case Presentation </w:t>
      </w:r>
      <w:r>
        <w:t>(Panel Exhibit EU-130 (HSBI)))</w:t>
      </w:r>
    </w:p>
  </w:footnote>
  <w:footnote w:id="1551">
    <w:p w:rsidR="00FD2727" w:rsidRPr="00410588" w:rsidRDefault="00FD2727">
      <w:pPr>
        <w:pStyle w:val="FootnoteText"/>
        <w:rPr>
          <w:lang w:val="en-US"/>
        </w:rPr>
      </w:pPr>
      <w:r>
        <w:rPr>
          <w:rStyle w:val="FootnoteReference"/>
        </w:rPr>
        <w:footnoteRef/>
      </w:r>
      <w:r>
        <w:t xml:space="preserve"> Panel Report, </w:t>
      </w:r>
      <w:r w:rsidRPr="00AF3D63">
        <w:t>para. </w:t>
      </w:r>
      <w:r>
        <w:t>6.1574. This period relates to certain events surrounding the A350XWB programme occurring after the launch of the A350XWB, and through the Contracting Period. (Ibid.)</w:t>
      </w:r>
    </w:p>
  </w:footnote>
  <w:footnote w:id="1552">
    <w:p w:rsidR="00FD2727" w:rsidRPr="00410588" w:rsidRDefault="00FD2727">
      <w:pPr>
        <w:pStyle w:val="FootnoteText"/>
        <w:rPr>
          <w:lang w:val="en-US"/>
        </w:rPr>
      </w:pPr>
      <w:r>
        <w:rPr>
          <w:rStyle w:val="FootnoteReference"/>
        </w:rPr>
        <w:footnoteRef/>
      </w:r>
      <w:r>
        <w:t xml:space="preserve"> Panel Report, </w:t>
      </w:r>
      <w:r w:rsidRPr="00AF3D63">
        <w:t>para. </w:t>
      </w:r>
      <w:r>
        <w:t>6.1541.</w:t>
      </w:r>
    </w:p>
  </w:footnote>
  <w:footnote w:id="1553">
    <w:p w:rsidR="00FD2727" w:rsidRPr="00410588" w:rsidRDefault="00FD2727">
      <w:pPr>
        <w:pStyle w:val="FootnoteText"/>
        <w:rPr>
          <w:lang w:val="en-US"/>
        </w:rPr>
      </w:pPr>
      <w:r>
        <w:rPr>
          <w:rStyle w:val="FootnoteReference"/>
        </w:rPr>
        <w:footnoteRef/>
      </w:r>
      <w:r>
        <w:t xml:space="preserve"> Panel Report, </w:t>
      </w:r>
      <w:r w:rsidRPr="00AF3D63">
        <w:t>para. </w:t>
      </w:r>
      <w:r>
        <w:t xml:space="preserve">6.1567. </w:t>
      </w:r>
      <w:r w:rsidRPr="00AF3D63">
        <w:t>See </w:t>
      </w:r>
      <w:r>
        <w:t xml:space="preserve">also e.g. </w:t>
      </w:r>
      <w:r w:rsidRPr="00AF3D63">
        <w:t>paras. </w:t>
      </w:r>
      <w:r>
        <w:t>6.1544, and 6.1550-6.1553.</w:t>
      </w:r>
    </w:p>
  </w:footnote>
  <w:footnote w:id="1554">
    <w:p w:rsidR="00FD2727" w:rsidRPr="00410588" w:rsidRDefault="00FD2727">
      <w:pPr>
        <w:pStyle w:val="FootnoteText"/>
        <w:rPr>
          <w:lang w:val="en-US"/>
        </w:rPr>
      </w:pPr>
      <w:r>
        <w:rPr>
          <w:rStyle w:val="FootnoteReference"/>
        </w:rPr>
        <w:footnoteRef/>
      </w:r>
      <w:r>
        <w:t xml:space="preserve"> Panel Report, </w:t>
      </w:r>
      <w:r w:rsidRPr="00AF3D63">
        <w:t>para. </w:t>
      </w:r>
      <w:r>
        <w:t>6.1567.</w:t>
      </w:r>
    </w:p>
  </w:footnote>
  <w:footnote w:id="1555">
    <w:p w:rsidR="00FD2727" w:rsidRPr="00410588" w:rsidRDefault="00FD2727">
      <w:pPr>
        <w:pStyle w:val="FootnoteText"/>
        <w:rPr>
          <w:lang w:val="en-US"/>
        </w:rPr>
      </w:pPr>
      <w:r>
        <w:rPr>
          <w:rStyle w:val="FootnoteReference"/>
        </w:rPr>
        <w:footnoteRef/>
      </w:r>
      <w:r>
        <w:t xml:space="preserve"> Panel Report, </w:t>
      </w:r>
      <w:r w:rsidRPr="00AF3D63">
        <w:t>para. </w:t>
      </w:r>
      <w:r>
        <w:t>6.1573.</w:t>
      </w:r>
    </w:p>
  </w:footnote>
  <w:footnote w:id="1556">
    <w:p w:rsidR="00FD2727" w:rsidRPr="00825D68" w:rsidRDefault="00FD2727">
      <w:pPr>
        <w:pStyle w:val="FootnoteText"/>
        <w:rPr>
          <w:lang w:val="en-US"/>
        </w:rPr>
      </w:pPr>
      <w:r>
        <w:rPr>
          <w:rStyle w:val="FootnoteReference"/>
        </w:rPr>
        <w:footnoteRef/>
      </w:r>
      <w:r>
        <w:t xml:space="preserve"> </w:t>
      </w:r>
      <w:r>
        <w:rPr>
          <w:lang w:val="en-US"/>
        </w:rPr>
        <w:t>Panel Report, para. 6.1573. See also para. 6.1568.</w:t>
      </w:r>
    </w:p>
  </w:footnote>
  <w:footnote w:id="1557">
    <w:p w:rsidR="00FD2727" w:rsidRPr="00410588" w:rsidRDefault="00FD2727">
      <w:pPr>
        <w:pStyle w:val="FootnoteText"/>
        <w:rPr>
          <w:lang w:val="en-US"/>
        </w:rPr>
      </w:pPr>
      <w:r>
        <w:rPr>
          <w:rStyle w:val="FootnoteReference"/>
        </w:rPr>
        <w:footnoteRef/>
      </w:r>
      <w:r>
        <w:t xml:space="preserve"> Panel Report, </w:t>
      </w:r>
      <w:r w:rsidRPr="00AF3D63">
        <w:t>para. </w:t>
      </w:r>
      <w:r>
        <w:t xml:space="preserve">6.1573. </w:t>
      </w:r>
      <w:r w:rsidRPr="00AF3D63">
        <w:t>See </w:t>
      </w:r>
      <w:r>
        <w:t xml:space="preserve">also </w:t>
      </w:r>
      <w:r w:rsidRPr="00AF3D63">
        <w:t>paras. </w:t>
      </w:r>
      <w:r>
        <w:t>6.1569-6.1570.</w:t>
      </w:r>
    </w:p>
  </w:footnote>
  <w:footnote w:id="1558">
    <w:p w:rsidR="00FD2727" w:rsidRPr="00410588" w:rsidRDefault="00FD2727">
      <w:pPr>
        <w:pStyle w:val="FootnoteText"/>
        <w:rPr>
          <w:lang w:val="en-US"/>
        </w:rPr>
      </w:pPr>
      <w:r>
        <w:rPr>
          <w:rStyle w:val="FootnoteReference"/>
        </w:rPr>
        <w:footnoteRef/>
      </w:r>
      <w:r>
        <w:t xml:space="preserve"> </w:t>
      </w:r>
      <w:r w:rsidRPr="00071578">
        <w:t xml:space="preserve">Panel Report, </w:t>
      </w:r>
      <w:r w:rsidRPr="00AF3D63">
        <w:t>para. </w:t>
      </w:r>
      <w:r w:rsidRPr="00071578">
        <w:t>6.1573.</w:t>
      </w:r>
      <w:r>
        <w:t xml:space="preserve"> See also paras. 6.1571-6.1572.</w:t>
      </w:r>
    </w:p>
  </w:footnote>
  <w:footnote w:id="1559">
    <w:p w:rsidR="00FD2727" w:rsidRPr="00410588" w:rsidRDefault="00FD2727">
      <w:pPr>
        <w:pStyle w:val="FootnoteText"/>
        <w:rPr>
          <w:lang w:val="en-US"/>
        </w:rPr>
      </w:pPr>
      <w:r>
        <w:rPr>
          <w:rStyle w:val="FootnoteReference"/>
        </w:rPr>
        <w:footnoteRef/>
      </w:r>
      <w:r>
        <w:t xml:space="preserve"> The Panel used the term "First Contract Date" to refer to the date on which the evidence establishes that the first LA/MSF contract came into being. (Panel Report, </w:t>
      </w:r>
      <w:r w:rsidRPr="00AF3D63">
        <w:t>para. </w:t>
      </w:r>
      <w:r>
        <w:t>6.1631)</w:t>
      </w:r>
    </w:p>
  </w:footnote>
  <w:footnote w:id="1560">
    <w:p w:rsidR="00FD2727" w:rsidRPr="00410588" w:rsidRDefault="00FD2727">
      <w:pPr>
        <w:pStyle w:val="FootnoteText"/>
        <w:rPr>
          <w:lang w:val="en-US"/>
        </w:rPr>
      </w:pPr>
      <w:r>
        <w:rPr>
          <w:rStyle w:val="FootnoteReference"/>
        </w:rPr>
        <w:footnoteRef/>
      </w:r>
      <w:r>
        <w:t xml:space="preserve"> Panel Report, para. 6.1624. See also </w:t>
      </w:r>
      <w:r w:rsidRPr="00AF3D63">
        <w:t>paras. </w:t>
      </w:r>
      <w:r>
        <w:t>6.1585-6.1587.</w:t>
      </w:r>
    </w:p>
  </w:footnote>
  <w:footnote w:id="1561">
    <w:p w:rsidR="00FD2727" w:rsidRPr="00410588" w:rsidRDefault="00FD2727">
      <w:pPr>
        <w:pStyle w:val="FootnoteText"/>
        <w:rPr>
          <w:lang w:val="en-US"/>
        </w:rPr>
      </w:pPr>
      <w:r>
        <w:rPr>
          <w:rStyle w:val="FootnoteReference"/>
        </w:rPr>
        <w:footnoteRef/>
      </w:r>
      <w:r>
        <w:t xml:space="preserve"> Panel Report, </w:t>
      </w:r>
      <w:r w:rsidRPr="00AF3D63">
        <w:t>paras. </w:t>
      </w:r>
      <w:r>
        <w:t>6.1584 and 6.1624.</w:t>
      </w:r>
    </w:p>
  </w:footnote>
  <w:footnote w:id="1562">
    <w:p w:rsidR="00FD2727" w:rsidRPr="00410588" w:rsidRDefault="00FD2727">
      <w:pPr>
        <w:pStyle w:val="FootnoteText"/>
        <w:rPr>
          <w:lang w:val="en-US"/>
        </w:rPr>
      </w:pPr>
      <w:r>
        <w:rPr>
          <w:rStyle w:val="FootnoteReference"/>
        </w:rPr>
        <w:footnoteRef/>
      </w:r>
      <w:r>
        <w:t xml:space="preserve"> Panel Report, paras. 6.1613-1623.</w:t>
      </w:r>
    </w:p>
  </w:footnote>
  <w:footnote w:id="1563">
    <w:p w:rsidR="00FD2727" w:rsidRPr="00410588" w:rsidRDefault="00FD2727">
      <w:pPr>
        <w:pStyle w:val="FootnoteText"/>
        <w:rPr>
          <w:lang w:val="en-US"/>
        </w:rPr>
      </w:pPr>
      <w:r>
        <w:rPr>
          <w:rStyle w:val="FootnoteReference"/>
        </w:rPr>
        <w:footnoteRef/>
      </w:r>
      <w:r>
        <w:t xml:space="preserve"> </w:t>
      </w:r>
      <w:r w:rsidRPr="00C37517">
        <w:t>UK Appraisal (Panel Exhibit EU-(Article 13)-34 (HSBI)</w:t>
      </w:r>
      <w:r>
        <w:t>)</w:t>
      </w:r>
      <w:r w:rsidRPr="00C37517">
        <w:t>.</w:t>
      </w:r>
    </w:p>
  </w:footnote>
  <w:footnote w:id="1564">
    <w:p w:rsidR="00FD2727" w:rsidRPr="00410588" w:rsidRDefault="00FD2727">
      <w:pPr>
        <w:pStyle w:val="FootnoteText"/>
        <w:rPr>
          <w:lang w:val="en-US"/>
        </w:rPr>
      </w:pPr>
      <w:r>
        <w:rPr>
          <w:rStyle w:val="FootnoteReference"/>
        </w:rPr>
        <w:footnoteRef/>
      </w:r>
      <w:r>
        <w:t xml:space="preserve"> </w:t>
      </w:r>
      <w:r w:rsidRPr="00410588">
        <w:t xml:space="preserve">Panel Report, </w:t>
      </w:r>
      <w:r w:rsidRPr="00AF3D63">
        <w:t>paras. </w:t>
      </w:r>
      <w:r>
        <w:t>6.1600-6.1609, and 6.1624.</w:t>
      </w:r>
    </w:p>
  </w:footnote>
  <w:footnote w:id="1565">
    <w:p w:rsidR="00FD2727" w:rsidRPr="00410588" w:rsidRDefault="00FD2727">
      <w:pPr>
        <w:pStyle w:val="FootnoteText"/>
        <w:rPr>
          <w:lang w:val="en-US"/>
        </w:rPr>
      </w:pPr>
      <w:r>
        <w:rPr>
          <w:rStyle w:val="FootnoteReference"/>
        </w:rPr>
        <w:footnoteRef/>
      </w:r>
      <w:r>
        <w:t xml:space="preserve"> </w:t>
      </w:r>
      <w:r>
        <w:rPr>
          <w:lang w:val="en-US"/>
        </w:rPr>
        <w:t>Panel Report, para</w:t>
      </w:r>
      <w:r w:rsidRPr="00AF3D63">
        <w:rPr>
          <w:lang w:val="en-US"/>
        </w:rPr>
        <w:t>. </w:t>
      </w:r>
      <w:r>
        <w:rPr>
          <w:lang w:val="en-US"/>
        </w:rPr>
        <w:t>6.1624. See also para. 6.1598.</w:t>
      </w:r>
    </w:p>
  </w:footnote>
  <w:footnote w:id="1566">
    <w:p w:rsidR="00FD2727" w:rsidRPr="00410588" w:rsidRDefault="00FD2727">
      <w:pPr>
        <w:pStyle w:val="FootnoteText"/>
        <w:rPr>
          <w:lang w:val="en-US"/>
        </w:rPr>
      </w:pPr>
      <w:r>
        <w:rPr>
          <w:rStyle w:val="FootnoteReference"/>
        </w:rPr>
        <w:footnoteRef/>
      </w:r>
      <w:r>
        <w:t xml:space="preserve"> Panel Report, </w:t>
      </w:r>
      <w:r w:rsidRPr="00AF3D63">
        <w:t>para. </w:t>
      </w:r>
      <w:r>
        <w:t>6.1639.</w:t>
      </w:r>
    </w:p>
  </w:footnote>
  <w:footnote w:id="1567">
    <w:p w:rsidR="00FD2727" w:rsidRPr="00410588" w:rsidRDefault="00FD2727">
      <w:pPr>
        <w:pStyle w:val="FootnoteText"/>
        <w:rPr>
          <w:lang w:val="en-US"/>
        </w:rPr>
      </w:pPr>
      <w:r>
        <w:rPr>
          <w:rStyle w:val="FootnoteReference"/>
        </w:rPr>
        <w:footnoteRef/>
      </w:r>
      <w:r>
        <w:t xml:space="preserve"> Panel Report, </w:t>
      </w:r>
      <w:r w:rsidRPr="00AF3D63">
        <w:t>para. </w:t>
      </w:r>
      <w:r>
        <w:t>6.1638.</w:t>
      </w:r>
    </w:p>
  </w:footnote>
  <w:footnote w:id="1568">
    <w:p w:rsidR="00FD2727" w:rsidRPr="00410588" w:rsidRDefault="00FD2727">
      <w:pPr>
        <w:pStyle w:val="FootnoteText"/>
        <w:rPr>
          <w:lang w:val="en-US"/>
        </w:rPr>
      </w:pPr>
      <w:r>
        <w:rPr>
          <w:rStyle w:val="FootnoteReference"/>
        </w:rPr>
        <w:footnoteRef/>
      </w:r>
      <w:r>
        <w:t xml:space="preserve"> The Panel considered that, while it was theoretically possible for Airbus to involve a greater number of RSPs in the A350XWB programme by some degree, it was not persuaded that Airbus could have in practice relied on RSPs to a level that would have come anywhere close to doubling their involvement compared to the actual situation. (Panel Report, </w:t>
      </w:r>
      <w:r w:rsidRPr="00AF3D63">
        <w:t>para. </w:t>
      </w:r>
      <w:r>
        <w:t>6.1656)</w:t>
      </w:r>
    </w:p>
  </w:footnote>
  <w:footnote w:id="1569">
    <w:p w:rsidR="00FD2727" w:rsidRPr="00410588" w:rsidRDefault="00FD2727">
      <w:pPr>
        <w:pStyle w:val="FootnoteText"/>
        <w:rPr>
          <w:lang w:val="en-US"/>
        </w:rPr>
      </w:pPr>
      <w:r>
        <w:rPr>
          <w:rStyle w:val="FootnoteReference"/>
        </w:rPr>
        <w:footnoteRef/>
      </w:r>
      <w:r>
        <w:t xml:space="preserve"> The Panel found it far from clear that EADS was in a position to cut further significant costs from its budget at any relevant time, at least without inviting disruptions and other potential problems to its operations. (Panel Report, </w:t>
      </w:r>
      <w:r w:rsidRPr="00AF3D63">
        <w:t>para. </w:t>
      </w:r>
      <w:r>
        <w:t>6.1659)</w:t>
      </w:r>
    </w:p>
  </w:footnote>
  <w:footnote w:id="1570">
    <w:p w:rsidR="00FD2727" w:rsidRPr="00410588" w:rsidRDefault="00FD2727">
      <w:pPr>
        <w:pStyle w:val="FootnoteText"/>
        <w:rPr>
          <w:lang w:val="en-US"/>
        </w:rPr>
      </w:pPr>
      <w:r>
        <w:rPr>
          <w:rStyle w:val="FootnoteReference"/>
        </w:rPr>
        <w:footnoteRef/>
      </w:r>
      <w:r>
        <w:t xml:space="preserve"> While the Panel accepted that disposal of non</w:t>
      </w:r>
      <w:r>
        <w:noBreakHyphen/>
        <w:t>core assets by EADS, a reduction in shareholder distributions by EADS, and equity-related financing may have been options for EADS, it concluded that the extent to which they could be credible sources of funding for the A350XWB programme in the absence of A350XWB LA/MSF, at any relevant time remained speculative. (</w:t>
      </w:r>
      <w:r w:rsidRPr="00AF3D63">
        <w:t>See </w:t>
      </w:r>
      <w:r>
        <w:t xml:space="preserve">Panel Report, </w:t>
      </w:r>
      <w:r w:rsidRPr="00AF3D63">
        <w:t>paras. </w:t>
      </w:r>
      <w:r>
        <w:t>6.1657, 6.1664, and 6.1668)</w:t>
      </w:r>
    </w:p>
  </w:footnote>
  <w:footnote w:id="1571">
    <w:p w:rsidR="00FD2727" w:rsidRPr="00410588" w:rsidRDefault="00FD2727">
      <w:pPr>
        <w:pStyle w:val="FootnoteText"/>
        <w:rPr>
          <w:lang w:val="en-US"/>
        </w:rPr>
      </w:pPr>
      <w:r>
        <w:rPr>
          <w:rStyle w:val="FootnoteReference"/>
        </w:rPr>
        <w:footnoteRef/>
      </w:r>
      <w:r>
        <w:t xml:space="preserve"> The Panel considered that, although EADS had significant cash that it could have diverted to the A350XWB programme, doing so would have entailed significant risks for EADS given the uncertainties surrounding its future cash positions and the competing pressures on its cash reserves. (Panel Report, </w:t>
      </w:r>
      <w:r w:rsidRPr="00AF3D63">
        <w:t>para. </w:t>
      </w:r>
      <w:r>
        <w:t xml:space="preserve">6.1690) </w:t>
      </w:r>
    </w:p>
  </w:footnote>
  <w:footnote w:id="1572">
    <w:p w:rsidR="00FD2727" w:rsidRPr="00410588" w:rsidRDefault="00FD2727" w:rsidP="00C94315">
      <w:pPr>
        <w:pStyle w:val="FootnoteText"/>
        <w:keepNext/>
        <w:keepLines/>
        <w:rPr>
          <w:lang w:val="en-US"/>
        </w:rPr>
      </w:pPr>
      <w:r>
        <w:rPr>
          <w:rStyle w:val="FootnoteReference"/>
        </w:rPr>
        <w:footnoteRef/>
      </w:r>
      <w:r>
        <w:t xml:space="preserve"> While the Panel expressed certain reservations regarding the probative value of the evidence submitted by the European Union, the Panel detected little evidence that EADS would have had "</w:t>
      </w:r>
      <w:r>
        <w:rPr>
          <w:i/>
        </w:rPr>
        <w:t>no</w:t>
      </w:r>
      <w:r>
        <w:t xml:space="preserve"> </w:t>
      </w:r>
      <w:r>
        <w:rPr>
          <w:lang w:val="en-US"/>
        </w:rPr>
        <w:t xml:space="preserve">appreciable </w:t>
      </w:r>
      <w:r>
        <w:t xml:space="preserve">debt-raising capacity in the relevant time periods in the absence of A350XWB LA/MSF", and thus accepted that this was likely an option that could have been pursued to at least some </w:t>
      </w:r>
      <w:r>
        <w:rPr>
          <w:lang w:val="en-US"/>
        </w:rPr>
        <w:t xml:space="preserve">material </w:t>
      </w:r>
      <w:r>
        <w:t xml:space="preserve">degree. (Ibid., </w:t>
      </w:r>
      <w:r w:rsidRPr="00AF3D63">
        <w:t>para. </w:t>
      </w:r>
      <w:r>
        <w:t>6.1700 (emphasis original)).</w:t>
      </w:r>
    </w:p>
  </w:footnote>
  <w:footnote w:id="1573">
    <w:p w:rsidR="00FD2727" w:rsidRPr="00410588" w:rsidRDefault="00FD2727">
      <w:pPr>
        <w:pStyle w:val="FootnoteText"/>
        <w:rPr>
          <w:lang w:val="en-US"/>
        </w:rPr>
      </w:pPr>
      <w:r>
        <w:rPr>
          <w:rStyle w:val="FootnoteReference"/>
        </w:rPr>
        <w:footnoteRef/>
      </w:r>
      <w:r>
        <w:t xml:space="preserve"> Panel Report, </w:t>
      </w:r>
      <w:r w:rsidRPr="00AF3D63">
        <w:t>para. </w:t>
      </w:r>
      <w:r>
        <w:t xml:space="preserve">6.1701. </w:t>
      </w:r>
      <w:r w:rsidRPr="00AF3D63">
        <w:t>See </w:t>
      </w:r>
      <w:r>
        <w:t xml:space="preserve">also </w:t>
      </w:r>
      <w:r w:rsidRPr="00AF3D63">
        <w:t>paras. </w:t>
      </w:r>
      <w:r>
        <w:t>6.1702-6.1712.</w:t>
      </w:r>
    </w:p>
  </w:footnote>
  <w:footnote w:id="1574">
    <w:p w:rsidR="00FD2727" w:rsidRPr="00410588" w:rsidRDefault="00FD2727">
      <w:pPr>
        <w:pStyle w:val="FootnoteText"/>
        <w:rPr>
          <w:lang w:val="en-US"/>
        </w:rPr>
      </w:pPr>
      <w:r>
        <w:rPr>
          <w:rStyle w:val="FootnoteReference"/>
        </w:rPr>
        <w:footnoteRef/>
      </w:r>
      <w:r>
        <w:t xml:space="preserve"> Panel Report, </w:t>
      </w:r>
      <w:r w:rsidRPr="00AF3D63">
        <w:t>para. </w:t>
      </w:r>
      <w:r>
        <w:t xml:space="preserve">6.1717. According to the Panel, </w:t>
      </w:r>
      <w:r w:rsidRPr="00040B7F">
        <w:t xml:space="preserve">any single one of the potentially available </w:t>
      </w:r>
      <w:r>
        <w:t xml:space="preserve">funding </w:t>
      </w:r>
      <w:r w:rsidRPr="00040B7F">
        <w:t xml:space="preserve">options </w:t>
      </w:r>
      <w:r>
        <w:t xml:space="preserve">to Airbus, via EADS, </w:t>
      </w:r>
      <w:r w:rsidRPr="00040B7F">
        <w:t xml:space="preserve">would </w:t>
      </w:r>
      <w:r>
        <w:t>have had its own risks, costs and/or difficulties, and would</w:t>
      </w:r>
      <w:r w:rsidRPr="00040B7F">
        <w:t xml:space="preserve"> have been </w:t>
      </w:r>
      <w:r>
        <w:t>"</w:t>
      </w:r>
      <w:r w:rsidRPr="00040B7F">
        <w:t>insufficient on its own to replace either the absolute monetary value</w:t>
      </w:r>
      <w:r>
        <w:t xml:space="preserve"> </w:t>
      </w:r>
      <w:r w:rsidRPr="00195BEC">
        <w:t>or the relative financial security provided through the generally back</w:t>
      </w:r>
      <w:r>
        <w:noBreakHyphen/>
      </w:r>
      <w:r w:rsidRPr="00195BEC">
        <w:t>loaded, unsecured and success</w:t>
      </w:r>
      <w:r>
        <w:noBreakHyphen/>
      </w:r>
      <w:r w:rsidRPr="00195BEC">
        <w:t>dependent r</w:t>
      </w:r>
      <w:r>
        <w:t xml:space="preserve">epayment terms of A350XWB LA/MSF". (Ibid., </w:t>
      </w:r>
      <w:r w:rsidRPr="00AF3D63">
        <w:t>para. </w:t>
      </w:r>
      <w:r>
        <w:t>6.1715 (fn omitted))</w:t>
      </w:r>
    </w:p>
  </w:footnote>
  <w:footnote w:id="1575">
    <w:p w:rsidR="00FD2727" w:rsidRPr="00410588" w:rsidRDefault="00FD2727" w:rsidP="00C752B3">
      <w:pPr>
        <w:pStyle w:val="FootnoteText"/>
        <w:keepLines/>
        <w:rPr>
          <w:lang w:val="en-US"/>
        </w:rPr>
      </w:pPr>
      <w:r>
        <w:rPr>
          <w:rStyle w:val="FootnoteReference"/>
        </w:rPr>
        <w:footnoteRef/>
      </w:r>
      <w:r>
        <w:t xml:space="preserve"> Panel Report, </w:t>
      </w:r>
      <w:r w:rsidRPr="00AF3D63">
        <w:t>para. </w:t>
      </w:r>
      <w:r>
        <w:t xml:space="preserve">6.1716. </w:t>
      </w:r>
      <w:r w:rsidRPr="00E730EB">
        <w:t xml:space="preserve">Making such compromises would, in </w:t>
      </w:r>
      <w:r>
        <w:t>the Panel's</w:t>
      </w:r>
      <w:r w:rsidRPr="00E730EB">
        <w:t xml:space="preserve"> view, be a way to reduce costs and/or risk associated with the programme. Further, </w:t>
      </w:r>
      <w:r>
        <w:t>the Panel</w:t>
      </w:r>
      <w:r w:rsidRPr="00E730EB">
        <w:t xml:space="preserve"> note</w:t>
      </w:r>
      <w:r>
        <w:t>d several pieces of evidence o</w:t>
      </w:r>
      <w:r w:rsidRPr="00E730EB">
        <w:t>n the record indicating how financial troubles may delay an LCA programme.</w:t>
      </w:r>
      <w:r>
        <w:t xml:space="preserve"> (Ibid., </w:t>
      </w:r>
      <w:r w:rsidRPr="00AF3D63">
        <w:t>para. </w:t>
      </w:r>
      <w:r>
        <w:t>6.1716 and fn 3074 thereto (additional text in fn omitted))</w:t>
      </w:r>
    </w:p>
  </w:footnote>
  <w:footnote w:id="1576">
    <w:p w:rsidR="00FD2727" w:rsidRPr="00410588" w:rsidRDefault="00FD2727">
      <w:pPr>
        <w:pStyle w:val="FootnoteText"/>
        <w:rPr>
          <w:lang w:val="en-US"/>
        </w:rPr>
      </w:pPr>
      <w:r>
        <w:rPr>
          <w:rStyle w:val="FootnoteReference"/>
        </w:rPr>
        <w:footnoteRef/>
      </w:r>
      <w:r>
        <w:t xml:space="preserve"> Panel Report, </w:t>
      </w:r>
      <w:r w:rsidRPr="00AF3D63">
        <w:t>para. </w:t>
      </w:r>
      <w:r>
        <w:t>6.1717. (emphasis original)</w:t>
      </w:r>
    </w:p>
  </w:footnote>
  <w:footnote w:id="1577">
    <w:p w:rsidR="00FD2727" w:rsidRPr="00410588" w:rsidRDefault="00FD2727">
      <w:pPr>
        <w:pStyle w:val="FootnoteText"/>
        <w:rPr>
          <w:lang w:val="en-US"/>
        </w:rPr>
      </w:pPr>
      <w:r>
        <w:rPr>
          <w:rStyle w:val="FootnoteReference"/>
        </w:rPr>
        <w:footnoteRef/>
      </w:r>
      <w:r>
        <w:t xml:space="preserve"> Panel Report, </w:t>
      </w:r>
      <w:r w:rsidRPr="00AF3D63">
        <w:t>paras. </w:t>
      </w:r>
      <w:r>
        <w:t xml:space="preserve">6.1718-6.1719 and 6.1722. </w:t>
      </w:r>
    </w:p>
  </w:footnote>
  <w:footnote w:id="1578">
    <w:p w:rsidR="00FD2727" w:rsidRPr="00410588" w:rsidRDefault="00FD2727">
      <w:pPr>
        <w:pStyle w:val="FootnoteText"/>
        <w:rPr>
          <w:lang w:val="en-US"/>
        </w:rPr>
      </w:pPr>
      <w:r>
        <w:rPr>
          <w:rStyle w:val="FootnoteReference"/>
        </w:rPr>
        <w:footnoteRef/>
      </w:r>
      <w:r>
        <w:t xml:space="preserve"> Panel Report, </w:t>
      </w:r>
      <w:r w:rsidRPr="00AF3D63">
        <w:t>para. </w:t>
      </w:r>
      <w:r>
        <w:t>6.1722.</w:t>
      </w:r>
    </w:p>
  </w:footnote>
  <w:footnote w:id="1579">
    <w:p w:rsidR="00FD2727" w:rsidRPr="00410588" w:rsidRDefault="00FD2727">
      <w:pPr>
        <w:pStyle w:val="FootnoteText"/>
        <w:rPr>
          <w:lang w:val="en-US"/>
        </w:rPr>
      </w:pPr>
      <w:r>
        <w:rPr>
          <w:rStyle w:val="FootnoteReference"/>
        </w:rPr>
        <w:footnoteRef/>
      </w:r>
      <w:r>
        <w:t xml:space="preserve"> Panel Report, </w:t>
      </w:r>
      <w:r w:rsidRPr="00AF3D63">
        <w:t>para. </w:t>
      </w:r>
      <w:r>
        <w:t xml:space="preserve">6.1723. </w:t>
      </w:r>
    </w:p>
  </w:footnote>
  <w:footnote w:id="1580">
    <w:p w:rsidR="00FD2727" w:rsidRPr="00410588" w:rsidRDefault="00FD2727">
      <w:pPr>
        <w:pStyle w:val="FootnoteText"/>
        <w:rPr>
          <w:lang w:val="en-US"/>
        </w:rPr>
      </w:pPr>
      <w:r>
        <w:rPr>
          <w:rStyle w:val="FootnoteReference"/>
        </w:rPr>
        <w:footnoteRef/>
      </w:r>
      <w:r>
        <w:t xml:space="preserve"> Panel Report, </w:t>
      </w:r>
      <w:r w:rsidRPr="00AF3D63">
        <w:t>paras. </w:t>
      </w:r>
      <w:r>
        <w:t>6.1724-6.1725.</w:t>
      </w:r>
    </w:p>
  </w:footnote>
  <w:footnote w:id="1581">
    <w:p w:rsidR="00FD2727" w:rsidRPr="00410588" w:rsidRDefault="00FD2727">
      <w:pPr>
        <w:pStyle w:val="FootnoteText"/>
        <w:rPr>
          <w:lang w:val="en-US"/>
        </w:rPr>
      </w:pPr>
      <w:r>
        <w:rPr>
          <w:rStyle w:val="FootnoteReference"/>
        </w:rPr>
        <w:footnoteRef/>
      </w:r>
      <w:r>
        <w:t xml:space="preserve"> Panel Report, </w:t>
      </w:r>
      <w:r w:rsidRPr="00AF3D63">
        <w:t>para. </w:t>
      </w:r>
      <w:r>
        <w:t xml:space="preserve">6.1726. </w:t>
      </w:r>
      <w:r w:rsidRPr="00AF3D63">
        <w:t>See </w:t>
      </w:r>
      <w:r>
        <w:t xml:space="preserve">also </w:t>
      </w:r>
      <w:r w:rsidRPr="00AF3D63">
        <w:t>paras. </w:t>
      </w:r>
      <w:r>
        <w:t>6.1727-6.1744.</w:t>
      </w:r>
    </w:p>
  </w:footnote>
  <w:footnote w:id="1582">
    <w:p w:rsidR="00FD2727" w:rsidRPr="00410588" w:rsidRDefault="00FD2727" w:rsidP="00C752B3">
      <w:pPr>
        <w:pStyle w:val="FootnoteText"/>
        <w:keepNext/>
        <w:keepLines/>
        <w:rPr>
          <w:lang w:val="en-US"/>
        </w:rPr>
      </w:pPr>
      <w:r>
        <w:rPr>
          <w:rStyle w:val="FootnoteReference"/>
        </w:rPr>
        <w:footnoteRef/>
      </w:r>
      <w:r>
        <w:t xml:space="preserve"> Panel Report, </w:t>
      </w:r>
      <w:r w:rsidRPr="00AF3D63">
        <w:t>para. </w:t>
      </w:r>
      <w:r>
        <w:t xml:space="preserve">6.1726. </w:t>
      </w:r>
      <w:r w:rsidRPr="00AF3D63">
        <w:t>See </w:t>
      </w:r>
      <w:r>
        <w:t xml:space="preserve">also </w:t>
      </w:r>
      <w:r w:rsidRPr="00AF3D63">
        <w:t>paras. </w:t>
      </w:r>
      <w:r>
        <w:t>6.1745-6.1746.</w:t>
      </w:r>
    </w:p>
  </w:footnote>
  <w:footnote w:id="1583">
    <w:p w:rsidR="00FD2727" w:rsidRPr="00410588" w:rsidRDefault="00FD2727">
      <w:pPr>
        <w:pStyle w:val="FootnoteText"/>
        <w:rPr>
          <w:lang w:val="en-US"/>
        </w:rPr>
      </w:pPr>
      <w:r>
        <w:rPr>
          <w:rStyle w:val="FootnoteReference"/>
        </w:rPr>
        <w:footnoteRef/>
      </w:r>
      <w:r>
        <w:t xml:space="preserve"> Panel Report, </w:t>
      </w:r>
      <w:r w:rsidRPr="00AF3D63">
        <w:t>para. </w:t>
      </w:r>
      <w:r>
        <w:t>6.1747.</w:t>
      </w:r>
    </w:p>
  </w:footnote>
  <w:footnote w:id="1584">
    <w:p w:rsidR="00FD2727" w:rsidRPr="00410588" w:rsidRDefault="00FD2727">
      <w:pPr>
        <w:pStyle w:val="FootnoteText"/>
        <w:rPr>
          <w:lang w:val="en-US"/>
        </w:rPr>
      </w:pPr>
      <w:r>
        <w:rPr>
          <w:rStyle w:val="FootnoteReference"/>
        </w:rPr>
        <w:footnoteRef/>
      </w:r>
      <w:r>
        <w:t xml:space="preserve"> Panel Report, </w:t>
      </w:r>
      <w:r w:rsidRPr="00AF3D63">
        <w:t>para. </w:t>
      </w:r>
      <w:r>
        <w:t>6.1760. (fn omitted)</w:t>
      </w:r>
    </w:p>
  </w:footnote>
  <w:footnote w:id="1585">
    <w:p w:rsidR="00FD2727" w:rsidRPr="00410588" w:rsidRDefault="00FD2727">
      <w:pPr>
        <w:pStyle w:val="FootnoteText"/>
        <w:rPr>
          <w:lang w:val="en-US"/>
        </w:rPr>
      </w:pPr>
      <w:r>
        <w:rPr>
          <w:rStyle w:val="FootnoteReference"/>
        </w:rPr>
        <w:footnoteRef/>
      </w:r>
      <w:r>
        <w:t xml:space="preserve"> Panel Report, fn 3222 to </w:t>
      </w:r>
      <w:r w:rsidRPr="00AF3D63">
        <w:t>para. </w:t>
      </w:r>
      <w:r>
        <w:t>6.1760. The Panel explained in this regard that the specific A350XWB components and systems that it found to have benefitted from "learning effects" "generally appear{ed} to be derivations of similar components and systems used on more recent Airbus LCA programmes such as the A380". (Ibid.)</w:t>
      </w:r>
    </w:p>
  </w:footnote>
  <w:footnote w:id="1586">
    <w:p w:rsidR="00FD2727" w:rsidRPr="00410588" w:rsidRDefault="00FD2727">
      <w:pPr>
        <w:pStyle w:val="FootnoteText"/>
        <w:rPr>
          <w:lang w:val="en-US"/>
        </w:rPr>
      </w:pPr>
      <w:r>
        <w:rPr>
          <w:rStyle w:val="FootnoteReference"/>
        </w:rPr>
        <w:footnoteRef/>
      </w:r>
      <w:r>
        <w:t xml:space="preserve"> Before the Panel, the United States argued that "pre</w:t>
      </w:r>
      <w:r>
        <w:noBreakHyphen/>
        <w:t xml:space="preserve">A350XWB LA/MSF made EADS more attractive to investors by positively impacting EADS' enterprise value". (Panel Report, </w:t>
      </w:r>
      <w:r w:rsidRPr="00AF3D63">
        <w:t>para. </w:t>
      </w:r>
      <w:r>
        <w:t>6.1762)</w:t>
      </w:r>
    </w:p>
  </w:footnote>
  <w:footnote w:id="1587">
    <w:p w:rsidR="00FD2727" w:rsidRPr="00410588" w:rsidRDefault="00FD2727">
      <w:pPr>
        <w:pStyle w:val="FootnoteText"/>
        <w:rPr>
          <w:lang w:val="en-US"/>
        </w:rPr>
      </w:pPr>
      <w:r>
        <w:rPr>
          <w:rStyle w:val="FootnoteReference"/>
        </w:rPr>
        <w:footnoteRef/>
      </w:r>
      <w:r>
        <w:t xml:space="preserve"> ROCE is calculated by dividing a company's earnings by its invested capital. (See Panel Report, fn 3230 to </w:t>
      </w:r>
      <w:r w:rsidRPr="00AF3D63">
        <w:t>para. </w:t>
      </w:r>
      <w:r>
        <w:t>6.1764) Before the Panel, the United States argued that pre</w:t>
      </w:r>
      <w:r>
        <w:noBreakHyphen/>
        <w:t xml:space="preserve">A350XWB LA/MSF allowed EADS to "alter its ROCE to make itself appear more attractive to investors". (Ibid., </w:t>
      </w:r>
      <w:r w:rsidRPr="00AF3D63">
        <w:t>para. </w:t>
      </w:r>
      <w:r>
        <w:t>6.1764 (fn omitted))</w:t>
      </w:r>
    </w:p>
  </w:footnote>
  <w:footnote w:id="1588">
    <w:p w:rsidR="00FD2727" w:rsidRPr="00410588" w:rsidRDefault="00FD2727" w:rsidP="00AA339D">
      <w:pPr>
        <w:pStyle w:val="FootnoteText"/>
        <w:keepNext/>
        <w:keepLines/>
        <w:rPr>
          <w:lang w:val="en-US"/>
        </w:rPr>
      </w:pPr>
      <w:r>
        <w:rPr>
          <w:rStyle w:val="FootnoteReference"/>
        </w:rPr>
        <w:footnoteRef/>
      </w:r>
      <w:r>
        <w:t xml:space="preserve"> Before the Panel, the United States argued that the back-loaded and delivery-based repayment terms of Airbus' outstanding balances of pre</w:t>
      </w:r>
      <w:r>
        <w:noBreakHyphen/>
        <w:t xml:space="preserve">A350XWB LA/MSF "partially insulated Airbus from the financial fallout from the problems Airbus experienced with its A380 and A340 programmes, thereby making it easier for Airbus to launch the A350XWB". (Panel Report, </w:t>
      </w:r>
      <w:r w:rsidRPr="00AF3D63">
        <w:t>para. </w:t>
      </w:r>
      <w:r>
        <w:t xml:space="preserve">6.1767 (referring to United States' first written submission to the Panel, </w:t>
      </w:r>
      <w:r w:rsidRPr="00AF3D63">
        <w:t>para. </w:t>
      </w:r>
      <w:r>
        <w:t>372))</w:t>
      </w:r>
    </w:p>
  </w:footnote>
  <w:footnote w:id="1589">
    <w:p w:rsidR="00FD2727" w:rsidRPr="00410588" w:rsidRDefault="00FD2727">
      <w:pPr>
        <w:pStyle w:val="FootnoteText"/>
        <w:rPr>
          <w:lang w:val="en-US"/>
        </w:rPr>
      </w:pPr>
      <w:r>
        <w:rPr>
          <w:rStyle w:val="FootnoteReference"/>
        </w:rPr>
        <w:footnoteRef/>
      </w:r>
      <w:r>
        <w:t xml:space="preserve"> </w:t>
      </w:r>
      <w:r w:rsidRPr="002552BE">
        <w:t>Professor David Wessels, "Assessing Airbus' Capacity to Fund Large Scale Projects W</w:t>
      </w:r>
      <w:r>
        <w:t>ithout LA/MSF", 17 October 2012</w:t>
      </w:r>
      <w:r w:rsidRPr="002552BE">
        <w:t xml:space="preserve"> </w:t>
      </w:r>
      <w:r>
        <w:t xml:space="preserve">(Wessels Report) </w:t>
      </w:r>
      <w:r w:rsidRPr="002552BE">
        <w:t>(</w:t>
      </w:r>
      <w:r>
        <w:t xml:space="preserve">Panel </w:t>
      </w:r>
      <w:r w:rsidRPr="002552BE">
        <w:t xml:space="preserve">Exhibit </w:t>
      </w:r>
      <w:r>
        <w:t>USA</w:t>
      </w:r>
      <w:r>
        <w:noBreakHyphen/>
      </w:r>
      <w:r w:rsidRPr="002552BE">
        <w:t>364)</w:t>
      </w:r>
      <w:r>
        <w:t xml:space="preserve">. Before the Panel, the United States relied on the Wessels Report to argue that, if Airbus had launched its subsidized LCA programmes using market financing, the "resulting debt burden would have been so great as to prohibit the launch and development of the A350XWB at any relevant time". (Panel Report, </w:t>
      </w:r>
      <w:r w:rsidRPr="00AF3D63">
        <w:t>para. </w:t>
      </w:r>
      <w:r>
        <w:t>6.1768)</w:t>
      </w:r>
    </w:p>
  </w:footnote>
  <w:footnote w:id="1590">
    <w:p w:rsidR="00FD2727" w:rsidRPr="00410588" w:rsidRDefault="00FD2727">
      <w:pPr>
        <w:pStyle w:val="FootnoteText"/>
        <w:rPr>
          <w:lang w:val="en-US"/>
        </w:rPr>
      </w:pPr>
      <w:r>
        <w:rPr>
          <w:rStyle w:val="FootnoteReference"/>
        </w:rPr>
        <w:footnoteRef/>
      </w:r>
      <w:r>
        <w:t xml:space="preserve"> Panel Report, </w:t>
      </w:r>
      <w:r w:rsidRPr="00AF3D63">
        <w:t>para. </w:t>
      </w:r>
      <w:r>
        <w:t xml:space="preserve">6.1770. The United States argued that, insofar as Airbus used its own funds to finance the A350XWB programme, such funds were attributable to revenues generated from sales of previous LCA that most likely would not have existed but for the LA/MSF subsidies. (Ibid., </w:t>
      </w:r>
      <w:r w:rsidRPr="00AF3D63">
        <w:t>para. </w:t>
      </w:r>
      <w:r>
        <w:t xml:space="preserve">6.1761) The Panel also observed, generally, that certain of the financial effects alleged by the United States go beyond the financial effects that the original panel and the Appellate Body articulated in the original proceedings. (Ibid., fn 3223 to </w:t>
      </w:r>
      <w:r w:rsidRPr="00AF3D63">
        <w:t>para. </w:t>
      </w:r>
      <w:r>
        <w:t>6.1761)</w:t>
      </w:r>
    </w:p>
  </w:footnote>
  <w:footnote w:id="1591">
    <w:p w:rsidR="00FD2727" w:rsidRPr="00410588" w:rsidRDefault="00FD2727">
      <w:pPr>
        <w:pStyle w:val="FootnoteText"/>
        <w:rPr>
          <w:lang w:val="en-US"/>
        </w:rPr>
      </w:pPr>
      <w:r>
        <w:rPr>
          <w:rStyle w:val="FootnoteReference"/>
        </w:rPr>
        <w:footnoteRef/>
      </w:r>
      <w:r>
        <w:t xml:space="preserve"> Panel Report, </w:t>
      </w:r>
      <w:r w:rsidRPr="00AF3D63">
        <w:t>para. </w:t>
      </w:r>
      <w:r>
        <w:t>6.1771. (fn omitted)</w:t>
      </w:r>
    </w:p>
  </w:footnote>
  <w:footnote w:id="1592">
    <w:p w:rsidR="00FD2727" w:rsidRPr="00410588" w:rsidRDefault="00FD2727">
      <w:pPr>
        <w:pStyle w:val="FootnoteText"/>
        <w:rPr>
          <w:lang w:val="en-US"/>
        </w:rPr>
      </w:pPr>
      <w:r>
        <w:rPr>
          <w:rStyle w:val="FootnoteReference"/>
        </w:rPr>
        <w:footnoteRef/>
      </w:r>
      <w:r>
        <w:t xml:space="preserve"> Panel Report, fn 3248 to </w:t>
      </w:r>
      <w:r w:rsidRPr="00AF3D63">
        <w:t>para. </w:t>
      </w:r>
      <w:r>
        <w:t>6.1771.</w:t>
      </w:r>
    </w:p>
  </w:footnote>
  <w:footnote w:id="1593">
    <w:p w:rsidR="00FD2727" w:rsidRPr="00410588" w:rsidRDefault="00FD2727">
      <w:pPr>
        <w:pStyle w:val="FootnoteText"/>
        <w:rPr>
          <w:lang w:val="en-US"/>
        </w:rPr>
      </w:pPr>
      <w:r>
        <w:rPr>
          <w:rStyle w:val="FootnoteReference"/>
        </w:rPr>
        <w:footnoteRef/>
      </w:r>
      <w:r>
        <w:t xml:space="preserve"> Panel Report, </w:t>
      </w:r>
      <w:r w:rsidRPr="00AF3D63">
        <w:t>para. </w:t>
      </w:r>
      <w:r>
        <w:t>6.1773.</w:t>
      </w:r>
    </w:p>
  </w:footnote>
  <w:footnote w:id="1594">
    <w:p w:rsidR="00FD2727" w:rsidRPr="00410588" w:rsidRDefault="00FD2727">
      <w:pPr>
        <w:pStyle w:val="FootnoteText"/>
        <w:rPr>
          <w:lang w:val="en-US"/>
        </w:rPr>
      </w:pPr>
      <w:r>
        <w:rPr>
          <w:rStyle w:val="FootnoteReference"/>
        </w:rPr>
        <w:footnoteRef/>
      </w:r>
      <w:r>
        <w:t xml:space="preserve"> Panel Report, </w:t>
      </w:r>
      <w:r w:rsidRPr="00AF3D63">
        <w:t>para. </w:t>
      </w:r>
      <w:r>
        <w:t>6.1773.</w:t>
      </w:r>
    </w:p>
  </w:footnote>
  <w:footnote w:id="1595">
    <w:p w:rsidR="00FD2727" w:rsidRPr="00410588" w:rsidRDefault="00FD2727">
      <w:pPr>
        <w:pStyle w:val="FootnoteText"/>
        <w:rPr>
          <w:lang w:val="en-US"/>
        </w:rPr>
      </w:pPr>
      <w:r>
        <w:rPr>
          <w:rStyle w:val="FootnoteReference"/>
        </w:rPr>
        <w:footnoteRef/>
      </w:r>
      <w:r>
        <w:t xml:space="preserve"> Panel Report, </w:t>
      </w:r>
      <w:r w:rsidRPr="00AF3D63">
        <w:t>para. </w:t>
      </w:r>
      <w:r>
        <w:t>6.1774. (emphasis original)</w:t>
      </w:r>
    </w:p>
  </w:footnote>
  <w:footnote w:id="1596">
    <w:p w:rsidR="00FD2727" w:rsidRPr="00410588" w:rsidRDefault="00FD2727">
      <w:pPr>
        <w:pStyle w:val="FootnoteText"/>
        <w:rPr>
          <w:lang w:val="en-US"/>
        </w:rPr>
      </w:pPr>
      <w:r>
        <w:rPr>
          <w:rStyle w:val="FootnoteReference"/>
        </w:rPr>
        <w:footnoteRef/>
      </w:r>
      <w:r>
        <w:t xml:space="preserve"> Panel Report, </w:t>
      </w:r>
      <w:r w:rsidRPr="00AF3D63">
        <w:t>para. </w:t>
      </w:r>
      <w:r>
        <w:t>6.1775. (emphasis original)</w:t>
      </w:r>
    </w:p>
  </w:footnote>
  <w:footnote w:id="1597">
    <w:p w:rsidR="00FD2727" w:rsidRPr="00410588" w:rsidRDefault="00FD2727">
      <w:pPr>
        <w:pStyle w:val="FootnoteText"/>
        <w:rPr>
          <w:lang w:val="en-US"/>
        </w:rPr>
      </w:pPr>
      <w:r>
        <w:rPr>
          <w:rStyle w:val="FootnoteReference"/>
        </w:rPr>
        <w:footnoteRef/>
      </w:r>
      <w:r>
        <w:t xml:space="preserve"> Panel Report, </w:t>
      </w:r>
      <w:r w:rsidRPr="00AF3D63">
        <w:t>para. </w:t>
      </w:r>
      <w:r>
        <w:t>6.1775. (emphasis original)</w:t>
      </w:r>
    </w:p>
  </w:footnote>
  <w:footnote w:id="1598">
    <w:p w:rsidR="00FD2727" w:rsidRPr="00410588" w:rsidRDefault="00FD2727">
      <w:pPr>
        <w:pStyle w:val="FootnoteText"/>
        <w:rPr>
          <w:lang w:val="en-US"/>
        </w:rPr>
      </w:pPr>
      <w:r>
        <w:rPr>
          <w:rStyle w:val="FootnoteReference"/>
        </w:rPr>
        <w:footnoteRef/>
      </w:r>
      <w:r>
        <w:t xml:space="preserve"> Panel Report, </w:t>
      </w:r>
      <w:r w:rsidRPr="00AF3D63">
        <w:t>para. </w:t>
      </w:r>
      <w:r>
        <w:t>6.1778.</w:t>
      </w:r>
    </w:p>
  </w:footnote>
  <w:footnote w:id="1599">
    <w:p w:rsidR="00FD2727" w:rsidRPr="00410588" w:rsidRDefault="00FD2727">
      <w:pPr>
        <w:pStyle w:val="FootnoteText"/>
        <w:rPr>
          <w:lang w:val="en-US"/>
        </w:rPr>
      </w:pPr>
      <w:r>
        <w:rPr>
          <w:rStyle w:val="FootnoteReference"/>
        </w:rPr>
        <w:footnoteRef/>
      </w:r>
      <w:r>
        <w:t xml:space="preserve"> Panel Report, </w:t>
      </w:r>
      <w:r w:rsidRPr="00AF3D63">
        <w:t>para. </w:t>
      </w:r>
      <w:r>
        <w:t>7.1.d.xiii.</w:t>
      </w:r>
    </w:p>
  </w:footnote>
  <w:footnote w:id="1600">
    <w:p w:rsidR="00FD2727" w:rsidRPr="00410588" w:rsidRDefault="00FD2727">
      <w:pPr>
        <w:pStyle w:val="FootnoteText"/>
        <w:rPr>
          <w:lang w:val="en-US"/>
        </w:rPr>
      </w:pPr>
      <w:r>
        <w:rPr>
          <w:rStyle w:val="FootnoteReference"/>
        </w:rPr>
        <w:footnoteRef/>
      </w:r>
      <w:r>
        <w:t xml:space="preserve"> </w:t>
      </w:r>
      <w:r w:rsidRPr="00AF3D63">
        <w:rPr>
          <w:iCs/>
          <w:szCs w:val="22"/>
        </w:rPr>
        <w:t>See </w:t>
      </w:r>
      <w:r>
        <w:rPr>
          <w:iCs/>
          <w:szCs w:val="22"/>
        </w:rPr>
        <w:t xml:space="preserve">Appellate Body Report, </w:t>
      </w:r>
      <w:r w:rsidRPr="00F61412">
        <w:rPr>
          <w:i/>
          <w:iCs/>
          <w:szCs w:val="22"/>
        </w:rPr>
        <w:t>US – Large Civil Aircraft (2</w:t>
      </w:r>
      <w:r w:rsidRPr="009B55F9">
        <w:rPr>
          <w:i/>
          <w:szCs w:val="22"/>
          <w:vertAlign w:val="superscript"/>
        </w:rPr>
        <w:t>nd</w:t>
      </w:r>
      <w:r w:rsidRPr="00F61412">
        <w:rPr>
          <w:i/>
          <w:szCs w:val="22"/>
        </w:rPr>
        <w:t xml:space="preserve"> complaint)</w:t>
      </w:r>
      <w:r>
        <w:rPr>
          <w:szCs w:val="22"/>
        </w:rPr>
        <w:t xml:space="preserve">, </w:t>
      </w:r>
      <w:r w:rsidRPr="00AF3D63">
        <w:rPr>
          <w:szCs w:val="22"/>
        </w:rPr>
        <w:t>para. </w:t>
      </w:r>
      <w:r>
        <w:rPr>
          <w:szCs w:val="22"/>
        </w:rPr>
        <w:t>913.</w:t>
      </w:r>
    </w:p>
  </w:footnote>
  <w:footnote w:id="1601">
    <w:p w:rsidR="00FD2727" w:rsidRPr="00410588" w:rsidRDefault="00FD2727">
      <w:pPr>
        <w:pStyle w:val="FootnoteText"/>
        <w:rPr>
          <w:lang w:val="en-US"/>
        </w:rPr>
      </w:pPr>
      <w:r>
        <w:rPr>
          <w:rStyle w:val="FootnoteReference"/>
        </w:rPr>
        <w:footnoteRef/>
      </w:r>
      <w:r>
        <w:t xml:space="preserve"> </w:t>
      </w:r>
      <w:r>
        <w:rPr>
          <w:szCs w:val="22"/>
        </w:rPr>
        <w:t>Appellate Body</w:t>
      </w:r>
      <w:r w:rsidRPr="007E3DF1">
        <w:rPr>
          <w:szCs w:val="22"/>
        </w:rPr>
        <w:t xml:space="preserve"> Report</w:t>
      </w:r>
      <w:r>
        <w:rPr>
          <w:szCs w:val="22"/>
        </w:rPr>
        <w:t>s</w:t>
      </w:r>
      <w:r w:rsidRPr="007E3DF1">
        <w:rPr>
          <w:szCs w:val="22"/>
        </w:rPr>
        <w:t xml:space="preserve">, </w:t>
      </w:r>
      <w:r w:rsidRPr="007E3DF1">
        <w:rPr>
          <w:i/>
          <w:szCs w:val="22"/>
        </w:rPr>
        <w:t>US – Upland Cotton</w:t>
      </w:r>
      <w:r>
        <w:rPr>
          <w:szCs w:val="22"/>
        </w:rPr>
        <w:t xml:space="preserve">, </w:t>
      </w:r>
      <w:r w:rsidRPr="00AF3D63">
        <w:rPr>
          <w:szCs w:val="22"/>
        </w:rPr>
        <w:t>para. </w:t>
      </w:r>
      <w:r>
        <w:rPr>
          <w:szCs w:val="22"/>
        </w:rPr>
        <w:t xml:space="preserve">438; </w:t>
      </w:r>
      <w:r w:rsidRPr="007E3DF1">
        <w:rPr>
          <w:i/>
          <w:szCs w:val="22"/>
        </w:rPr>
        <w:t>US – Upland Cotton (</w:t>
      </w:r>
      <w:r>
        <w:rPr>
          <w:i/>
          <w:szCs w:val="22"/>
        </w:rPr>
        <w:t>Article </w:t>
      </w:r>
      <w:r w:rsidRPr="007E3DF1">
        <w:rPr>
          <w:i/>
          <w:szCs w:val="22"/>
        </w:rPr>
        <w:t>21.5 – Brazil)</w:t>
      </w:r>
      <w:r>
        <w:rPr>
          <w:szCs w:val="22"/>
        </w:rPr>
        <w:t xml:space="preserve">, </w:t>
      </w:r>
      <w:r w:rsidRPr="00AF3D63">
        <w:rPr>
          <w:szCs w:val="22"/>
        </w:rPr>
        <w:t>para. </w:t>
      </w:r>
      <w:r>
        <w:rPr>
          <w:szCs w:val="22"/>
        </w:rPr>
        <w:t xml:space="preserve">374; </w:t>
      </w:r>
      <w:r w:rsidRPr="007E3DF1">
        <w:rPr>
          <w:i/>
        </w:rPr>
        <w:t>EC and certain member States – Large Civil Aircraft</w:t>
      </w:r>
      <w:r w:rsidRPr="007E3DF1">
        <w:rPr>
          <w:szCs w:val="22"/>
        </w:rPr>
        <w:t xml:space="preserve">, </w:t>
      </w:r>
      <w:r w:rsidRPr="00AF3D63">
        <w:rPr>
          <w:szCs w:val="22"/>
        </w:rPr>
        <w:t>para. </w:t>
      </w:r>
      <w:r w:rsidRPr="007E3DF1">
        <w:rPr>
          <w:szCs w:val="22"/>
        </w:rPr>
        <w:t>1</w:t>
      </w:r>
      <w:r>
        <w:rPr>
          <w:szCs w:val="22"/>
        </w:rPr>
        <w:t xml:space="preserve">232; </w:t>
      </w:r>
      <w:r w:rsidRPr="00F61412">
        <w:rPr>
          <w:i/>
          <w:iCs/>
          <w:szCs w:val="22"/>
        </w:rPr>
        <w:t>US – Large Civil Aircraft (2</w:t>
      </w:r>
      <w:r w:rsidRPr="009B55F9">
        <w:rPr>
          <w:i/>
          <w:szCs w:val="22"/>
          <w:vertAlign w:val="superscript"/>
        </w:rPr>
        <w:t>nd</w:t>
      </w:r>
      <w:r>
        <w:rPr>
          <w:i/>
          <w:szCs w:val="22"/>
        </w:rPr>
        <w:t> </w:t>
      </w:r>
      <w:r w:rsidRPr="00F61412">
        <w:rPr>
          <w:i/>
          <w:szCs w:val="22"/>
        </w:rPr>
        <w:t>complaint)</w:t>
      </w:r>
      <w:r>
        <w:rPr>
          <w:szCs w:val="22"/>
        </w:rPr>
        <w:t xml:space="preserve">, </w:t>
      </w:r>
      <w:r w:rsidRPr="00AF3D63">
        <w:rPr>
          <w:szCs w:val="22"/>
        </w:rPr>
        <w:t>para. </w:t>
      </w:r>
      <w:r>
        <w:rPr>
          <w:szCs w:val="22"/>
        </w:rPr>
        <w:t>913</w:t>
      </w:r>
      <w:r w:rsidRPr="007E3DF1">
        <w:rPr>
          <w:szCs w:val="22"/>
        </w:rPr>
        <w:t>.</w:t>
      </w:r>
    </w:p>
  </w:footnote>
  <w:footnote w:id="1602">
    <w:p w:rsidR="00FD2727" w:rsidRPr="00410588" w:rsidRDefault="00FD2727">
      <w:pPr>
        <w:pStyle w:val="FootnoteText"/>
        <w:rPr>
          <w:lang w:val="en-US"/>
        </w:rPr>
      </w:pPr>
      <w:r>
        <w:rPr>
          <w:rStyle w:val="FootnoteReference"/>
        </w:rPr>
        <w:footnoteRef/>
      </w:r>
      <w:r>
        <w:t xml:space="preserve"> </w:t>
      </w:r>
      <w:r>
        <w:rPr>
          <w:iCs/>
          <w:szCs w:val="22"/>
        </w:rPr>
        <w:t xml:space="preserve">Appellate Body Report, </w:t>
      </w:r>
      <w:r w:rsidRPr="00F61412">
        <w:rPr>
          <w:i/>
          <w:iCs/>
          <w:szCs w:val="22"/>
        </w:rPr>
        <w:t>US – Large Civil Aircraft (2</w:t>
      </w:r>
      <w:r w:rsidRPr="009B55F9">
        <w:rPr>
          <w:i/>
          <w:szCs w:val="22"/>
          <w:vertAlign w:val="superscript"/>
        </w:rPr>
        <w:t>nd</w:t>
      </w:r>
      <w:r w:rsidRPr="00F61412">
        <w:rPr>
          <w:i/>
          <w:szCs w:val="22"/>
        </w:rPr>
        <w:t xml:space="preserve"> complaint)</w:t>
      </w:r>
      <w:r>
        <w:rPr>
          <w:szCs w:val="22"/>
        </w:rPr>
        <w:t xml:space="preserve">, </w:t>
      </w:r>
      <w:r w:rsidRPr="00AF3D63">
        <w:rPr>
          <w:szCs w:val="22"/>
        </w:rPr>
        <w:t>para. </w:t>
      </w:r>
      <w:r>
        <w:rPr>
          <w:szCs w:val="22"/>
        </w:rPr>
        <w:t>913.</w:t>
      </w:r>
    </w:p>
  </w:footnote>
  <w:footnote w:id="1603">
    <w:p w:rsidR="00FD2727" w:rsidRPr="00410588" w:rsidRDefault="00FD2727">
      <w:pPr>
        <w:pStyle w:val="FootnoteText"/>
        <w:rPr>
          <w:lang w:val="en-US"/>
        </w:rPr>
      </w:pPr>
      <w:r>
        <w:rPr>
          <w:rStyle w:val="FootnoteReference"/>
        </w:rPr>
        <w:footnoteRef/>
      </w:r>
      <w:r>
        <w:t xml:space="preserve"> </w:t>
      </w:r>
      <w:r>
        <w:rPr>
          <w:iCs/>
          <w:szCs w:val="22"/>
        </w:rPr>
        <w:t xml:space="preserve">Appellate Body Report, </w:t>
      </w:r>
      <w:r w:rsidRPr="00F61412">
        <w:rPr>
          <w:i/>
          <w:iCs/>
          <w:szCs w:val="22"/>
        </w:rPr>
        <w:t>US – Large Civil Aircraft (2</w:t>
      </w:r>
      <w:r w:rsidRPr="009B55F9">
        <w:rPr>
          <w:i/>
          <w:szCs w:val="22"/>
          <w:vertAlign w:val="superscript"/>
        </w:rPr>
        <w:t>nd</w:t>
      </w:r>
      <w:r w:rsidRPr="00F61412">
        <w:rPr>
          <w:i/>
          <w:szCs w:val="22"/>
        </w:rPr>
        <w:t xml:space="preserve"> complaint)</w:t>
      </w:r>
      <w:r>
        <w:rPr>
          <w:szCs w:val="22"/>
        </w:rPr>
        <w:t xml:space="preserve">, fn 1865 to </w:t>
      </w:r>
      <w:r w:rsidRPr="00AF3D63">
        <w:rPr>
          <w:szCs w:val="22"/>
        </w:rPr>
        <w:t>para. </w:t>
      </w:r>
      <w:r>
        <w:rPr>
          <w:szCs w:val="22"/>
        </w:rPr>
        <w:t>913. The Appellate Body noted that the d</w:t>
      </w:r>
      <w:r w:rsidRPr="007E3DF1">
        <w:rPr>
          <w:szCs w:val="22"/>
        </w:rPr>
        <w:t>ictionary definitions of "genuine" include "{h}aving the character claimed for it: real, true, not counterfeit", and "{n}atural or proper to a person or thing". (</w:t>
      </w:r>
      <w:r>
        <w:rPr>
          <w:szCs w:val="22"/>
        </w:rPr>
        <w:t xml:space="preserve">Ibid. (quoting </w:t>
      </w:r>
      <w:r w:rsidRPr="007E3DF1">
        <w:rPr>
          <w:i/>
          <w:szCs w:val="22"/>
        </w:rPr>
        <w:t>Shorter Oxford English Dictionary</w:t>
      </w:r>
      <w:r w:rsidRPr="007E3DF1">
        <w:rPr>
          <w:szCs w:val="22"/>
        </w:rPr>
        <w:t>, 6th edn, A. Stevenson (ed.) (Oxford University Press, 2007), Vol.</w:t>
      </w:r>
      <w:r>
        <w:rPr>
          <w:szCs w:val="22"/>
        </w:rPr>
        <w:t> </w:t>
      </w:r>
      <w:r w:rsidRPr="007E3DF1">
        <w:rPr>
          <w:szCs w:val="22"/>
        </w:rPr>
        <w:t>1, p.</w:t>
      </w:r>
      <w:r>
        <w:rPr>
          <w:szCs w:val="22"/>
        </w:rPr>
        <w:t> </w:t>
      </w:r>
      <w:r w:rsidRPr="007E3DF1">
        <w:rPr>
          <w:szCs w:val="22"/>
        </w:rPr>
        <w:t>1094)</w:t>
      </w:r>
      <w:r>
        <w:rPr>
          <w:szCs w:val="22"/>
        </w:rPr>
        <w:t>)</w:t>
      </w:r>
    </w:p>
  </w:footnote>
  <w:footnote w:id="1604">
    <w:p w:rsidR="00FD2727" w:rsidRPr="00410588" w:rsidRDefault="00FD2727">
      <w:pPr>
        <w:pStyle w:val="FootnoteText"/>
        <w:rPr>
          <w:lang w:val="en-US"/>
        </w:rPr>
      </w:pPr>
      <w:r>
        <w:rPr>
          <w:rStyle w:val="FootnoteReference"/>
        </w:rPr>
        <w:footnoteRef/>
      </w:r>
      <w:r>
        <w:t xml:space="preserve"> </w:t>
      </w:r>
      <w:r>
        <w:rPr>
          <w:iCs/>
          <w:szCs w:val="22"/>
        </w:rPr>
        <w:t xml:space="preserve">Appellate Body Report, </w:t>
      </w:r>
      <w:r w:rsidRPr="00F61412">
        <w:rPr>
          <w:i/>
          <w:iCs/>
          <w:szCs w:val="22"/>
        </w:rPr>
        <w:t>US – Large Civil Aircraft (2</w:t>
      </w:r>
      <w:r w:rsidRPr="009B55F9">
        <w:rPr>
          <w:i/>
          <w:szCs w:val="22"/>
          <w:vertAlign w:val="superscript"/>
        </w:rPr>
        <w:t>nd</w:t>
      </w:r>
      <w:r w:rsidRPr="00F61412">
        <w:rPr>
          <w:i/>
          <w:szCs w:val="22"/>
        </w:rPr>
        <w:t xml:space="preserve"> complaint)</w:t>
      </w:r>
      <w:r>
        <w:rPr>
          <w:szCs w:val="22"/>
        </w:rPr>
        <w:t xml:space="preserve">, fn 1866 to </w:t>
      </w:r>
      <w:r w:rsidRPr="00AF3D63">
        <w:rPr>
          <w:szCs w:val="22"/>
        </w:rPr>
        <w:t>para. </w:t>
      </w:r>
      <w:r>
        <w:rPr>
          <w:szCs w:val="22"/>
        </w:rPr>
        <w:t>913. The Appellate Body noted that the d</w:t>
      </w:r>
      <w:r w:rsidRPr="007E3DF1">
        <w:rPr>
          <w:szCs w:val="22"/>
        </w:rPr>
        <w:t>ictionary definitions of "substantial" include "{h}aving solid worth or value, of real significance; solid; weighty; important, worthwhile" and "{o}f ample or considerable amount or s</w:t>
      </w:r>
      <w:r>
        <w:rPr>
          <w:szCs w:val="22"/>
        </w:rPr>
        <w:t xml:space="preserve">ize; sizeable, fairly large". </w:t>
      </w:r>
      <w:r w:rsidRPr="007E3DF1">
        <w:rPr>
          <w:szCs w:val="22"/>
        </w:rPr>
        <w:t>(</w:t>
      </w:r>
      <w:r>
        <w:rPr>
          <w:szCs w:val="22"/>
        </w:rPr>
        <w:t xml:space="preserve">Ibid. (quoting </w:t>
      </w:r>
      <w:r w:rsidRPr="007E3DF1">
        <w:rPr>
          <w:i/>
          <w:szCs w:val="22"/>
        </w:rPr>
        <w:t>Shorter Oxford English Dictionary</w:t>
      </w:r>
      <w:r w:rsidRPr="007E3DF1">
        <w:rPr>
          <w:szCs w:val="22"/>
        </w:rPr>
        <w:t>, 6th edn, A.</w:t>
      </w:r>
      <w:r>
        <w:rPr>
          <w:szCs w:val="22"/>
        </w:rPr>
        <w:t> </w:t>
      </w:r>
      <w:r w:rsidRPr="007E3DF1">
        <w:rPr>
          <w:szCs w:val="22"/>
        </w:rPr>
        <w:t>Stevenson (ed.) (Oxford University Press, 2007), Vol. 2, p. 3088)</w:t>
      </w:r>
      <w:r>
        <w:rPr>
          <w:szCs w:val="22"/>
        </w:rPr>
        <w:t>)</w:t>
      </w:r>
    </w:p>
  </w:footnote>
  <w:footnote w:id="1605">
    <w:p w:rsidR="00FD2727" w:rsidRPr="00410588" w:rsidRDefault="00FD2727">
      <w:pPr>
        <w:pStyle w:val="FootnoteText"/>
        <w:rPr>
          <w:lang w:val="en-US"/>
        </w:rPr>
      </w:pPr>
      <w:r>
        <w:rPr>
          <w:rStyle w:val="FootnoteReference"/>
        </w:rPr>
        <w:footnoteRef/>
      </w:r>
      <w:r>
        <w:t xml:space="preserve"> </w:t>
      </w:r>
      <w:r>
        <w:rPr>
          <w:szCs w:val="22"/>
        </w:rPr>
        <w:t>Appellate Body</w:t>
      </w:r>
      <w:r w:rsidRPr="007E3DF1">
        <w:rPr>
          <w:szCs w:val="22"/>
        </w:rPr>
        <w:t xml:space="preserve"> Report,</w:t>
      </w:r>
      <w:r>
        <w:rPr>
          <w:szCs w:val="22"/>
        </w:rPr>
        <w:t xml:space="preserve"> </w:t>
      </w:r>
      <w:r w:rsidRPr="00F61412">
        <w:rPr>
          <w:i/>
          <w:iCs/>
          <w:szCs w:val="22"/>
        </w:rPr>
        <w:t>US – Large Civil Aircraft (2</w:t>
      </w:r>
      <w:r w:rsidRPr="001B651A">
        <w:rPr>
          <w:i/>
          <w:szCs w:val="22"/>
          <w:vertAlign w:val="superscript"/>
        </w:rPr>
        <w:t>nd</w:t>
      </w:r>
      <w:r w:rsidRPr="00F61412">
        <w:rPr>
          <w:i/>
          <w:szCs w:val="22"/>
        </w:rPr>
        <w:t xml:space="preserve"> complaint)</w:t>
      </w:r>
      <w:r>
        <w:rPr>
          <w:szCs w:val="22"/>
        </w:rPr>
        <w:t xml:space="preserve">, </w:t>
      </w:r>
      <w:r w:rsidRPr="00AF3D63">
        <w:rPr>
          <w:szCs w:val="22"/>
        </w:rPr>
        <w:t>para. </w:t>
      </w:r>
      <w:r>
        <w:rPr>
          <w:szCs w:val="22"/>
        </w:rPr>
        <w:t>914. (emphasis original)</w:t>
      </w:r>
    </w:p>
  </w:footnote>
  <w:footnote w:id="1606">
    <w:p w:rsidR="00FD2727" w:rsidRPr="00410588" w:rsidRDefault="00FD2727">
      <w:pPr>
        <w:pStyle w:val="FootnoteText"/>
        <w:rPr>
          <w:lang w:val="en-US"/>
        </w:rPr>
      </w:pPr>
      <w:r>
        <w:rPr>
          <w:rStyle w:val="FootnoteReference"/>
        </w:rPr>
        <w:footnoteRef/>
      </w:r>
      <w:r>
        <w:t xml:space="preserve"> </w:t>
      </w:r>
      <w:r>
        <w:rPr>
          <w:szCs w:val="22"/>
        </w:rPr>
        <w:t>Appellate Body</w:t>
      </w:r>
      <w:r w:rsidRPr="007E3DF1">
        <w:rPr>
          <w:szCs w:val="22"/>
        </w:rPr>
        <w:t xml:space="preserve"> Report,</w:t>
      </w:r>
      <w:r>
        <w:rPr>
          <w:szCs w:val="22"/>
        </w:rPr>
        <w:t xml:space="preserve"> </w:t>
      </w:r>
      <w:r w:rsidRPr="00F61412">
        <w:rPr>
          <w:i/>
          <w:iCs/>
          <w:szCs w:val="22"/>
        </w:rPr>
        <w:t>US – Large Civil Aircraft (2</w:t>
      </w:r>
      <w:r w:rsidRPr="001B651A">
        <w:rPr>
          <w:i/>
          <w:szCs w:val="22"/>
          <w:vertAlign w:val="superscript"/>
        </w:rPr>
        <w:t>nd</w:t>
      </w:r>
      <w:r w:rsidRPr="00F61412">
        <w:rPr>
          <w:i/>
          <w:szCs w:val="22"/>
        </w:rPr>
        <w:t xml:space="preserve"> complaint)</w:t>
      </w:r>
      <w:r>
        <w:rPr>
          <w:szCs w:val="22"/>
        </w:rPr>
        <w:t xml:space="preserve">, </w:t>
      </w:r>
      <w:r w:rsidRPr="00AF3D63">
        <w:rPr>
          <w:szCs w:val="22"/>
        </w:rPr>
        <w:t>para. </w:t>
      </w:r>
      <w:r>
        <w:rPr>
          <w:szCs w:val="22"/>
        </w:rPr>
        <w:t>914. (fns omitted)</w:t>
      </w:r>
      <w:r w:rsidRPr="007E3DF1">
        <w:rPr>
          <w:szCs w:val="22"/>
        </w:rPr>
        <w:t xml:space="preserve"> </w:t>
      </w:r>
      <w:r w:rsidRPr="00AF3D63">
        <w:rPr>
          <w:szCs w:val="22"/>
        </w:rPr>
        <w:t>See </w:t>
      </w:r>
      <w:r>
        <w:rPr>
          <w:szCs w:val="22"/>
        </w:rPr>
        <w:t xml:space="preserve">also Appellate Body Reports, </w:t>
      </w:r>
      <w:r w:rsidRPr="007E3DF1">
        <w:rPr>
          <w:i/>
          <w:szCs w:val="22"/>
        </w:rPr>
        <w:t>US – Upland Cotton</w:t>
      </w:r>
      <w:r w:rsidRPr="007E3DF1">
        <w:rPr>
          <w:szCs w:val="22"/>
        </w:rPr>
        <w:t xml:space="preserve">, </w:t>
      </w:r>
      <w:r w:rsidRPr="00AF3D63">
        <w:rPr>
          <w:szCs w:val="22"/>
        </w:rPr>
        <w:t>para. </w:t>
      </w:r>
      <w:r w:rsidRPr="007E3DF1">
        <w:rPr>
          <w:szCs w:val="22"/>
        </w:rPr>
        <w:t xml:space="preserve">437; </w:t>
      </w:r>
      <w:r w:rsidRPr="007E3DF1">
        <w:rPr>
          <w:i/>
        </w:rPr>
        <w:t>EC and certain member States – Large Civil Aircraft</w:t>
      </w:r>
      <w:r w:rsidRPr="007E3DF1">
        <w:rPr>
          <w:szCs w:val="22"/>
        </w:rPr>
        <w:t xml:space="preserve">, </w:t>
      </w:r>
      <w:r w:rsidRPr="00AF3D63">
        <w:rPr>
          <w:szCs w:val="22"/>
        </w:rPr>
        <w:t>para. </w:t>
      </w:r>
      <w:r w:rsidRPr="007E3DF1">
        <w:rPr>
          <w:szCs w:val="22"/>
        </w:rPr>
        <w:t>1232.</w:t>
      </w:r>
    </w:p>
  </w:footnote>
  <w:footnote w:id="1607">
    <w:p w:rsidR="00FD2727" w:rsidRPr="00410588" w:rsidRDefault="00FD2727">
      <w:pPr>
        <w:pStyle w:val="FootnoteText"/>
        <w:rPr>
          <w:lang w:val="en-US"/>
        </w:rPr>
      </w:pPr>
      <w:r>
        <w:rPr>
          <w:rStyle w:val="FootnoteReference"/>
        </w:rPr>
        <w:footnoteRef/>
      </w:r>
      <w:r>
        <w:t xml:space="preserve"> Appellate Body Report, </w:t>
      </w:r>
      <w:r w:rsidRPr="007F3E82">
        <w:rPr>
          <w:i/>
        </w:rPr>
        <w:t>US – Large Civil Aircraft (2</w:t>
      </w:r>
      <w:r w:rsidRPr="009B55F9">
        <w:rPr>
          <w:i/>
          <w:vertAlign w:val="superscript"/>
        </w:rPr>
        <w:t>nd</w:t>
      </w:r>
      <w:r w:rsidRPr="007F3E82">
        <w:rPr>
          <w:i/>
        </w:rPr>
        <w:t xml:space="preserve"> complaint)</w:t>
      </w:r>
      <w:r>
        <w:t xml:space="preserve">, </w:t>
      </w:r>
      <w:r w:rsidRPr="00AF3D63">
        <w:t>para. </w:t>
      </w:r>
      <w:r>
        <w:t>914</w:t>
      </w:r>
      <w:r>
        <w:rPr>
          <w:szCs w:val="22"/>
        </w:rPr>
        <w:t>.</w:t>
      </w:r>
    </w:p>
  </w:footnote>
  <w:footnote w:id="1608">
    <w:p w:rsidR="00FD2727" w:rsidRPr="00AD03FA" w:rsidRDefault="00FD2727">
      <w:pPr>
        <w:pStyle w:val="FootnoteText"/>
      </w:pPr>
      <w:r>
        <w:rPr>
          <w:rStyle w:val="FootnoteReference"/>
        </w:rPr>
        <w:footnoteRef/>
      </w:r>
      <w:r>
        <w:t xml:space="preserve"> Appellate Body Reports, </w:t>
      </w:r>
      <w:r>
        <w:rPr>
          <w:i/>
        </w:rPr>
        <w:t>US – Upland Cotton</w:t>
      </w:r>
      <w:r>
        <w:t xml:space="preserve">, para. 436; </w:t>
      </w:r>
      <w:r>
        <w:rPr>
          <w:i/>
        </w:rPr>
        <w:t>EC and certain member States – Large Civil Aircraft</w:t>
      </w:r>
      <w:r>
        <w:t>, para. 1376.</w:t>
      </w:r>
    </w:p>
  </w:footnote>
  <w:footnote w:id="1609">
    <w:p w:rsidR="00FD2727" w:rsidRPr="00410588" w:rsidRDefault="00FD2727">
      <w:pPr>
        <w:pStyle w:val="FootnoteText"/>
        <w:rPr>
          <w:lang w:val="en-US"/>
        </w:rPr>
      </w:pPr>
      <w:r>
        <w:rPr>
          <w:rStyle w:val="FootnoteReference"/>
        </w:rPr>
        <w:footnoteRef/>
      </w:r>
      <w:r>
        <w:t xml:space="preserve"> Appellate Body</w:t>
      </w:r>
      <w:r w:rsidRPr="00E46376">
        <w:t xml:space="preserve"> Report, </w:t>
      </w:r>
      <w:r w:rsidRPr="00E46376">
        <w:rPr>
          <w:i/>
        </w:rPr>
        <w:t>EC and certain member States – Large Civil Aircraft</w:t>
      </w:r>
      <w:r w:rsidRPr="00E46376">
        <w:t xml:space="preserve">, </w:t>
      </w:r>
      <w:r w:rsidRPr="00AF3D63">
        <w:t>para. </w:t>
      </w:r>
      <w:r w:rsidRPr="00E46376">
        <w:t>1110.</w:t>
      </w:r>
    </w:p>
  </w:footnote>
  <w:footnote w:id="1610">
    <w:p w:rsidR="00FD2727" w:rsidRPr="00410588" w:rsidRDefault="00FD2727">
      <w:pPr>
        <w:pStyle w:val="FootnoteText"/>
        <w:rPr>
          <w:lang w:val="en-US"/>
        </w:rPr>
      </w:pPr>
      <w:r>
        <w:rPr>
          <w:rStyle w:val="FootnoteReference"/>
        </w:rPr>
        <w:footnoteRef/>
      </w:r>
      <w:r>
        <w:t xml:space="preserve"> </w:t>
      </w:r>
      <w:r>
        <w:rPr>
          <w:color w:val="000000"/>
        </w:rPr>
        <w:t>Appellate Body</w:t>
      </w:r>
      <w:r w:rsidRPr="00E46376">
        <w:rPr>
          <w:color w:val="000000"/>
        </w:rPr>
        <w:t xml:space="preserve"> Report, </w:t>
      </w:r>
      <w:r w:rsidRPr="00E46376">
        <w:rPr>
          <w:i/>
          <w:color w:val="000000"/>
        </w:rPr>
        <w:t>US – Upland Cotton (</w:t>
      </w:r>
      <w:r>
        <w:rPr>
          <w:i/>
          <w:color w:val="000000"/>
        </w:rPr>
        <w:t>Article </w:t>
      </w:r>
      <w:r w:rsidRPr="00E46376">
        <w:rPr>
          <w:i/>
          <w:color w:val="000000"/>
        </w:rPr>
        <w:t>21.5 – Brazil)</w:t>
      </w:r>
      <w:r w:rsidRPr="00E46376">
        <w:rPr>
          <w:color w:val="000000"/>
        </w:rPr>
        <w:t xml:space="preserve">, </w:t>
      </w:r>
      <w:r w:rsidRPr="00AF3D63">
        <w:rPr>
          <w:color w:val="000000"/>
        </w:rPr>
        <w:t>para. </w:t>
      </w:r>
      <w:r w:rsidRPr="00E46376">
        <w:rPr>
          <w:color w:val="000000"/>
        </w:rPr>
        <w:t>37</w:t>
      </w:r>
      <w:r>
        <w:rPr>
          <w:color w:val="000000"/>
        </w:rPr>
        <w:t>5</w:t>
      </w:r>
      <w:r w:rsidRPr="00E46376">
        <w:rPr>
          <w:color w:val="000000"/>
        </w:rPr>
        <w:t>.</w:t>
      </w:r>
    </w:p>
  </w:footnote>
  <w:footnote w:id="1611">
    <w:p w:rsidR="00FD2727" w:rsidRPr="00410588" w:rsidRDefault="00FD2727" w:rsidP="00CC075D">
      <w:pPr>
        <w:pStyle w:val="FootnoteText"/>
        <w:keepNext/>
        <w:keepLines/>
        <w:rPr>
          <w:lang w:val="en-US"/>
        </w:rPr>
      </w:pPr>
      <w:r>
        <w:rPr>
          <w:rStyle w:val="FootnoteReference"/>
        </w:rPr>
        <w:footnoteRef/>
      </w:r>
      <w:r>
        <w:t xml:space="preserve"> Appellate Body</w:t>
      </w:r>
      <w:r w:rsidRPr="00E46376">
        <w:t xml:space="preserve"> Report, </w:t>
      </w:r>
      <w:r w:rsidRPr="00E46376">
        <w:rPr>
          <w:i/>
        </w:rPr>
        <w:t>EC and certain member States – Large Civil Aircraft</w:t>
      </w:r>
      <w:r w:rsidRPr="00E46376">
        <w:t xml:space="preserve">, </w:t>
      </w:r>
      <w:r w:rsidRPr="00AF3D63">
        <w:t>para. </w:t>
      </w:r>
      <w:r w:rsidRPr="00E46376">
        <w:t>1233</w:t>
      </w:r>
      <w:r>
        <w:t>. (emphasis original)</w:t>
      </w:r>
      <w:r w:rsidRPr="002871EE">
        <w:t xml:space="preserve"> </w:t>
      </w:r>
      <w:r>
        <w:t>In particular</w:t>
      </w:r>
      <w:r w:rsidRPr="00B77B2C">
        <w:t xml:space="preserve">, in situations where the subsidy at issue is shown to be a necessary cause, </w:t>
      </w:r>
      <w:r w:rsidRPr="00B01446">
        <w:t>but is very</w:t>
      </w:r>
      <w:r w:rsidRPr="00B80CFD">
        <w:rPr>
          <w:i/>
        </w:rPr>
        <w:t xml:space="preserve"> remote</w:t>
      </w:r>
      <w:r w:rsidRPr="00B77B2C">
        <w:t xml:space="preserve">, and other </w:t>
      </w:r>
      <w:r>
        <w:t xml:space="preserve">factors or </w:t>
      </w:r>
      <w:r w:rsidRPr="00B77B2C">
        <w:t>intervening causes contribute to the occurrence of the market phenomenon in question, then a "but for" approach may not be sufficient to establish the requisite causal link.</w:t>
      </w:r>
      <w:r>
        <w:t xml:space="preserve"> (Ibid.)</w:t>
      </w:r>
    </w:p>
  </w:footnote>
  <w:footnote w:id="1612">
    <w:p w:rsidR="00FD2727" w:rsidRPr="00410588" w:rsidRDefault="00FD2727">
      <w:pPr>
        <w:pStyle w:val="FootnoteText"/>
        <w:rPr>
          <w:lang w:val="en-US"/>
        </w:rPr>
      </w:pPr>
      <w:r>
        <w:rPr>
          <w:rStyle w:val="FootnoteReference"/>
        </w:rPr>
        <w:footnoteRef/>
      </w:r>
      <w:r>
        <w:t xml:space="preserve"> Appellate Body Report, </w:t>
      </w:r>
      <w:r w:rsidRPr="001A0C28">
        <w:rPr>
          <w:i/>
        </w:rPr>
        <w:t>US – Large Civil Aircraft (2</w:t>
      </w:r>
      <w:r w:rsidRPr="0008046D">
        <w:rPr>
          <w:i/>
          <w:vertAlign w:val="superscript"/>
        </w:rPr>
        <w:t>nd</w:t>
      </w:r>
      <w:r w:rsidRPr="001A0C28">
        <w:rPr>
          <w:i/>
        </w:rPr>
        <w:t xml:space="preserve"> complaint)</w:t>
      </w:r>
      <w:r>
        <w:t xml:space="preserve">, </w:t>
      </w:r>
      <w:r w:rsidRPr="00AF3D63">
        <w:t>para. </w:t>
      </w:r>
      <w:r>
        <w:t>1285. Another approach to collective assessment is "</w:t>
      </w:r>
      <w:r w:rsidRPr="00A44E7A">
        <w:t>cumulation", whereby a</w:t>
      </w:r>
      <w:r w:rsidRPr="00E30EE5">
        <w:t xml:space="preserve"> panel may begin by analy</w:t>
      </w:r>
      <w:r>
        <w:t>s</w:t>
      </w:r>
      <w:r w:rsidRPr="00E30EE5">
        <w:t xml:space="preserve">ing the effects of a </w:t>
      </w:r>
      <w:r w:rsidRPr="00E30EE5">
        <w:rPr>
          <w:i/>
        </w:rPr>
        <w:t>single</w:t>
      </w:r>
      <w:r w:rsidRPr="00E30EE5">
        <w:t xml:space="preserve"> subsidy, or an </w:t>
      </w:r>
      <w:r w:rsidRPr="00E30EE5">
        <w:rPr>
          <w:i/>
        </w:rPr>
        <w:t>aggregated</w:t>
      </w:r>
      <w:r w:rsidRPr="00E30EE5">
        <w:t xml:space="preserve"> group of subsidies, to determine whether it constitutes a genuine and substantial cause of adverse effects. Having reached that conclusion, a panel may then assess whether </w:t>
      </w:r>
      <w:r w:rsidRPr="00E30EE5">
        <w:rPr>
          <w:i/>
        </w:rPr>
        <w:t>other</w:t>
      </w:r>
      <w:r w:rsidRPr="00E30EE5">
        <w:t xml:space="preserve"> subsidies</w:t>
      </w:r>
      <w:r>
        <w:t xml:space="preserve"> – </w:t>
      </w:r>
      <w:r w:rsidRPr="00E30EE5">
        <w:t>either individually or in aggregated groups</w:t>
      </w:r>
      <w:r>
        <w:t xml:space="preserve"> – </w:t>
      </w:r>
      <w:r w:rsidRPr="00E30EE5">
        <w:t xml:space="preserve">have a </w:t>
      </w:r>
      <w:r w:rsidRPr="00E30EE5">
        <w:rPr>
          <w:i/>
        </w:rPr>
        <w:t>genuine</w:t>
      </w:r>
      <w:r w:rsidRPr="00E30EE5">
        <w:t xml:space="preserve"> causal connection to the same effects, and complement and supplement the effects of the </w:t>
      </w:r>
      <w:r w:rsidRPr="00E30EE5">
        <w:rPr>
          <w:i/>
        </w:rPr>
        <w:t>first</w:t>
      </w:r>
      <w:r w:rsidRPr="00E30EE5">
        <w:t xml:space="preserve"> subsidy (or group of subsidies) that was found, alone, to be a </w:t>
      </w:r>
      <w:r w:rsidRPr="00E30EE5">
        <w:rPr>
          <w:i/>
        </w:rPr>
        <w:t xml:space="preserve">genuine </w:t>
      </w:r>
      <w:r w:rsidRPr="00E30EE5">
        <w:t xml:space="preserve">and </w:t>
      </w:r>
      <w:r w:rsidRPr="00E30EE5">
        <w:rPr>
          <w:i/>
        </w:rPr>
        <w:t>substantial</w:t>
      </w:r>
      <w:r w:rsidRPr="00E30EE5">
        <w:t xml:space="preserve"> cause of the alleged market phenomena.</w:t>
      </w:r>
      <w:r>
        <w:t xml:space="preserve"> (</w:t>
      </w:r>
      <w:r w:rsidRPr="00AF3D63">
        <w:t>See </w:t>
      </w:r>
      <w:r>
        <w:t xml:space="preserve">ibid., </w:t>
      </w:r>
      <w:r w:rsidRPr="00AF3D63">
        <w:t>para. </w:t>
      </w:r>
      <w:r>
        <w:t>1287)</w:t>
      </w:r>
    </w:p>
  </w:footnote>
  <w:footnote w:id="1613">
    <w:p w:rsidR="00FD2727" w:rsidRPr="00410588" w:rsidRDefault="00FD2727">
      <w:pPr>
        <w:pStyle w:val="FootnoteText"/>
        <w:rPr>
          <w:lang w:val="en-US"/>
        </w:rPr>
      </w:pPr>
      <w:r>
        <w:rPr>
          <w:rStyle w:val="FootnoteReference"/>
        </w:rPr>
        <w:footnoteRef/>
      </w:r>
      <w:r>
        <w:t xml:space="preserve"> Appellate Body Report, </w:t>
      </w:r>
      <w:r w:rsidRPr="009E0E2B">
        <w:rPr>
          <w:i/>
        </w:rPr>
        <w:t>US – Large Civil Aircraft (2</w:t>
      </w:r>
      <w:r w:rsidRPr="0008046D">
        <w:rPr>
          <w:i/>
          <w:vertAlign w:val="superscript"/>
        </w:rPr>
        <w:t>nd</w:t>
      </w:r>
      <w:r w:rsidRPr="009E0E2B">
        <w:rPr>
          <w:i/>
        </w:rPr>
        <w:t xml:space="preserve"> complaint)</w:t>
      </w:r>
      <w:r>
        <w:t xml:space="preserve">, </w:t>
      </w:r>
      <w:r w:rsidRPr="00AF3D63">
        <w:t>para. </w:t>
      </w:r>
      <w:r>
        <w:t>1290. (emphasis added)</w:t>
      </w:r>
    </w:p>
  </w:footnote>
  <w:footnote w:id="1614">
    <w:p w:rsidR="00FD2727" w:rsidRPr="00410588" w:rsidRDefault="00FD2727">
      <w:pPr>
        <w:pStyle w:val="FootnoteText"/>
        <w:rPr>
          <w:lang w:val="en-US"/>
        </w:rPr>
      </w:pPr>
      <w:r>
        <w:rPr>
          <w:rStyle w:val="FootnoteReference"/>
        </w:rPr>
        <w:footnoteRef/>
      </w:r>
      <w:r>
        <w:t xml:space="preserve"> Appellate Body</w:t>
      </w:r>
      <w:r w:rsidRPr="00E46376">
        <w:t xml:space="preserve"> Report, </w:t>
      </w:r>
      <w:r w:rsidRPr="00E46376">
        <w:rPr>
          <w:i/>
          <w:iCs/>
          <w:kern w:val="28"/>
        </w:rPr>
        <w:t>EC and certain member States – Large Civil Aircraft</w:t>
      </w:r>
      <w:r>
        <w:rPr>
          <w:iCs/>
          <w:kern w:val="28"/>
        </w:rPr>
        <w:t xml:space="preserve">, </w:t>
      </w:r>
      <w:r w:rsidRPr="00AF3D63">
        <w:rPr>
          <w:iCs/>
          <w:kern w:val="28"/>
        </w:rPr>
        <w:t>para. </w:t>
      </w:r>
      <w:r>
        <w:rPr>
          <w:iCs/>
          <w:kern w:val="28"/>
        </w:rPr>
        <w:t>1106.</w:t>
      </w:r>
    </w:p>
  </w:footnote>
  <w:footnote w:id="1615">
    <w:p w:rsidR="00FD2727" w:rsidRPr="00410588" w:rsidRDefault="00FD2727">
      <w:pPr>
        <w:pStyle w:val="FootnoteText"/>
        <w:rPr>
          <w:lang w:val="en-US"/>
        </w:rPr>
      </w:pPr>
      <w:r>
        <w:rPr>
          <w:rStyle w:val="FootnoteReference"/>
        </w:rPr>
        <w:footnoteRef/>
      </w:r>
      <w:r>
        <w:t xml:space="preserve"> Appellate Body</w:t>
      </w:r>
      <w:r w:rsidRPr="005A305E">
        <w:t xml:space="preserve"> Report, </w:t>
      </w:r>
      <w:r w:rsidRPr="005A305E">
        <w:rPr>
          <w:i/>
          <w:iCs/>
          <w:kern w:val="28"/>
        </w:rPr>
        <w:t>EC and certain member States – Large Civil Aircraft</w:t>
      </w:r>
      <w:r w:rsidRPr="005A305E">
        <w:rPr>
          <w:iCs/>
          <w:kern w:val="28"/>
        </w:rPr>
        <w:t>,</w:t>
      </w:r>
      <w:r>
        <w:rPr>
          <w:iCs/>
          <w:kern w:val="28"/>
        </w:rPr>
        <w:t xml:space="preserve"> </w:t>
      </w:r>
      <w:r w:rsidRPr="00AF3D63">
        <w:rPr>
          <w:iCs/>
          <w:kern w:val="28"/>
        </w:rPr>
        <w:t>para. </w:t>
      </w:r>
      <w:r>
        <w:rPr>
          <w:iCs/>
          <w:kern w:val="28"/>
        </w:rPr>
        <w:t>1109.</w:t>
      </w:r>
    </w:p>
  </w:footnote>
  <w:footnote w:id="1616">
    <w:p w:rsidR="00FD2727" w:rsidRPr="00410588" w:rsidRDefault="00FD2727" w:rsidP="00C94315">
      <w:pPr>
        <w:pStyle w:val="FootnoteText"/>
        <w:keepNext/>
        <w:keepLines/>
        <w:rPr>
          <w:lang w:val="en-US"/>
        </w:rPr>
      </w:pPr>
      <w:r>
        <w:rPr>
          <w:rStyle w:val="FootnoteReference"/>
        </w:rPr>
        <w:footnoteRef/>
      </w:r>
      <w:r>
        <w:t xml:space="preserve"> </w:t>
      </w:r>
      <w:r w:rsidRPr="006F4836">
        <w:t xml:space="preserve">Under a unitary approach, the analysis of the particular market phenomena identified in the subparagraphs of Article 6.3 is not conducted separately from the analysis of whether there is a causal relationship between those market phenomena and the challenged subsidies. </w:t>
      </w:r>
      <w:r>
        <w:t>In</w:t>
      </w:r>
      <w:r w:rsidRPr="006F4836">
        <w:t xml:space="preserve"> contrast, under a two-step approach, the analysis first seeks to identify the market phenomena and then, as a second step, examines whether there is a causal relationship.</w:t>
      </w:r>
      <w:r>
        <w:t xml:space="preserve"> (Appellate Body Report, </w:t>
      </w:r>
      <w:r w:rsidRPr="001B651A">
        <w:rPr>
          <w:i/>
        </w:rPr>
        <w:t>EC and certain member States – Large Civil Aircraft</w:t>
      </w:r>
      <w:r>
        <w:t xml:space="preserve">, </w:t>
      </w:r>
      <w:r w:rsidRPr="00AF3D63">
        <w:t>para. </w:t>
      </w:r>
      <w:r>
        <w:t xml:space="preserve">1107. See also Appellate Body Reports, </w:t>
      </w:r>
      <w:r w:rsidRPr="009E0E2B">
        <w:rPr>
          <w:i/>
        </w:rPr>
        <w:t>US – Large Civil Aircraft (2</w:t>
      </w:r>
      <w:r w:rsidRPr="0008046D">
        <w:rPr>
          <w:i/>
          <w:vertAlign w:val="superscript"/>
        </w:rPr>
        <w:t>nd</w:t>
      </w:r>
      <w:r w:rsidRPr="009E0E2B">
        <w:rPr>
          <w:i/>
        </w:rPr>
        <w:t xml:space="preserve"> complaint)</w:t>
      </w:r>
      <w:r>
        <w:t xml:space="preserve">, fn 1855 to </w:t>
      </w:r>
      <w:r w:rsidRPr="00AF3D63">
        <w:t>para. </w:t>
      </w:r>
      <w:r>
        <w:t xml:space="preserve">910; </w:t>
      </w:r>
      <w:r w:rsidRPr="001B651A">
        <w:rPr>
          <w:i/>
        </w:rPr>
        <w:t>US – Upland Cotton</w:t>
      </w:r>
      <w:r>
        <w:t xml:space="preserve">, </w:t>
      </w:r>
      <w:r w:rsidRPr="00AF3D63">
        <w:t>para. </w:t>
      </w:r>
      <w:r>
        <w:t xml:space="preserve">431; </w:t>
      </w:r>
      <w:r w:rsidRPr="001B651A">
        <w:rPr>
          <w:i/>
        </w:rPr>
        <w:t>US – Upland Cotton (</w:t>
      </w:r>
      <w:r>
        <w:rPr>
          <w:i/>
        </w:rPr>
        <w:t>Article </w:t>
      </w:r>
      <w:r w:rsidRPr="001B651A">
        <w:rPr>
          <w:i/>
        </w:rPr>
        <w:t>21.5 – Brazil)</w:t>
      </w:r>
      <w:r>
        <w:t xml:space="preserve">, </w:t>
      </w:r>
      <w:r w:rsidRPr="00AF3D63">
        <w:t>para. </w:t>
      </w:r>
      <w:r>
        <w:t>354)</w:t>
      </w:r>
    </w:p>
  </w:footnote>
  <w:footnote w:id="1617">
    <w:p w:rsidR="00FD2727" w:rsidRPr="00410588" w:rsidRDefault="00FD2727" w:rsidP="00C752B3">
      <w:pPr>
        <w:pStyle w:val="FootnoteText"/>
        <w:rPr>
          <w:lang w:val="en-US"/>
        </w:rPr>
      </w:pPr>
      <w:r>
        <w:rPr>
          <w:rStyle w:val="FootnoteReference"/>
        </w:rPr>
        <w:footnoteRef/>
      </w:r>
      <w:r>
        <w:t xml:space="preserve"> Appellate Body Report, </w:t>
      </w:r>
      <w:r>
        <w:rPr>
          <w:i/>
        </w:rPr>
        <w:t>EC and certain member States – Large Civil Aircraft</w:t>
      </w:r>
      <w:r>
        <w:t xml:space="preserve">, </w:t>
      </w:r>
      <w:r w:rsidRPr="00AF3D63">
        <w:t>para. </w:t>
      </w:r>
      <w:r>
        <w:t>1109.</w:t>
      </w:r>
    </w:p>
  </w:footnote>
  <w:footnote w:id="1618">
    <w:p w:rsidR="00FD2727" w:rsidRPr="00410588" w:rsidRDefault="00FD2727">
      <w:pPr>
        <w:pStyle w:val="FootnoteText"/>
        <w:rPr>
          <w:lang w:val="en-US"/>
        </w:rPr>
      </w:pPr>
      <w:r>
        <w:rPr>
          <w:rStyle w:val="FootnoteReference"/>
        </w:rPr>
        <w:footnoteRef/>
      </w:r>
      <w:r>
        <w:t xml:space="preserve"> Panel Report, </w:t>
      </w:r>
      <w:r w:rsidRPr="00AF3D63">
        <w:t>para. </w:t>
      </w:r>
      <w:r>
        <w:t>6.1461.</w:t>
      </w:r>
    </w:p>
  </w:footnote>
  <w:footnote w:id="1619">
    <w:p w:rsidR="00FD2727" w:rsidRPr="00410588" w:rsidRDefault="00FD2727">
      <w:pPr>
        <w:pStyle w:val="FootnoteText"/>
        <w:rPr>
          <w:lang w:val="en-US"/>
        </w:rPr>
      </w:pPr>
      <w:r>
        <w:rPr>
          <w:rStyle w:val="FootnoteReference"/>
        </w:rPr>
        <w:footnoteRef/>
      </w:r>
      <w:r>
        <w:t xml:space="preserve"> Appellate Body Report,</w:t>
      </w:r>
      <w:r w:rsidRPr="00625EF6">
        <w:rPr>
          <w:i/>
          <w:szCs w:val="22"/>
        </w:rPr>
        <w:t xml:space="preserve"> </w:t>
      </w:r>
      <w:r w:rsidRPr="005F5E8B">
        <w:rPr>
          <w:i/>
          <w:szCs w:val="22"/>
        </w:rPr>
        <w:t>EC and certain member States – Large Civil Aircraft</w:t>
      </w:r>
      <w:r w:rsidRPr="005F5E8B">
        <w:rPr>
          <w:szCs w:val="22"/>
        </w:rPr>
        <w:t>,</w:t>
      </w:r>
      <w:r>
        <w:t xml:space="preserve"> </w:t>
      </w:r>
      <w:r w:rsidRPr="00AF3D63">
        <w:t>para. </w:t>
      </w:r>
      <w:r>
        <w:t>1243 (quoting Original Panel Report</w:t>
      </w:r>
      <w:r w:rsidRPr="005F5E8B">
        <w:rPr>
          <w:szCs w:val="22"/>
        </w:rPr>
        <w:t xml:space="preserve">, </w:t>
      </w:r>
      <w:r w:rsidRPr="00AF3D63">
        <w:rPr>
          <w:szCs w:val="22"/>
        </w:rPr>
        <w:t>para. </w:t>
      </w:r>
      <w:r w:rsidRPr="005F5E8B">
        <w:rPr>
          <w:szCs w:val="22"/>
        </w:rPr>
        <w:t>7.18</w:t>
      </w:r>
      <w:r>
        <w:rPr>
          <w:szCs w:val="22"/>
        </w:rPr>
        <w:t>77).</w:t>
      </w:r>
      <w:r w:rsidRPr="00234574">
        <w:rPr>
          <w:rFonts w:ascii="Times New Roman" w:hAnsi="Times New Roman"/>
          <w:sz w:val="22"/>
        </w:rPr>
        <w:t xml:space="preserve"> </w:t>
      </w:r>
      <w:r>
        <w:t>In the original proceedings, t</w:t>
      </w:r>
      <w:r w:rsidRPr="00234574">
        <w:t xml:space="preserve">he </w:t>
      </w:r>
      <w:r>
        <w:t>United States</w:t>
      </w:r>
      <w:r w:rsidRPr="00234574">
        <w:t xml:space="preserve"> advanced two theories of causation, referred to by the </w:t>
      </w:r>
      <w:r>
        <w:t>original p</w:t>
      </w:r>
      <w:r w:rsidRPr="00234574">
        <w:t>anel as the</w:t>
      </w:r>
      <w:r>
        <w:t xml:space="preserve"> </w:t>
      </w:r>
      <w:r w:rsidRPr="00234574">
        <w:rPr>
          <w:szCs w:val="22"/>
        </w:rPr>
        <w:t>"product" and "pric</w:t>
      </w:r>
      <w:r>
        <w:rPr>
          <w:szCs w:val="22"/>
        </w:rPr>
        <w:t>e</w:t>
      </w:r>
      <w:r w:rsidRPr="00234574">
        <w:rPr>
          <w:szCs w:val="22"/>
        </w:rPr>
        <w:t>" theories of causation.</w:t>
      </w:r>
      <w:r>
        <w:rPr>
          <w:szCs w:val="22"/>
        </w:rPr>
        <w:t xml:space="preserve"> </w:t>
      </w:r>
      <w:r>
        <w:t>The principal focus of the United States' "price" theory of causation was the argument that the challenged subsidies, and in particular LA/MSF, provided Airbus with the financial means to be flexible with its pricing of LCA in competitions against Boeing, thereby enabling it to win sales, capture market share, and significantly depress and suppress the prices of LCA between the years 2001 and 2006. (Original Panel Report</w:t>
      </w:r>
      <w:r w:rsidRPr="005F5E8B">
        <w:rPr>
          <w:szCs w:val="22"/>
        </w:rPr>
        <w:t>,</w:t>
      </w:r>
      <w:r>
        <w:rPr>
          <w:szCs w:val="22"/>
        </w:rPr>
        <w:t xml:space="preserve"> </w:t>
      </w:r>
      <w:r w:rsidRPr="00AF3D63">
        <w:t>para. </w:t>
      </w:r>
      <w:r>
        <w:t xml:space="preserve">7.1997) </w:t>
      </w:r>
      <w:r>
        <w:rPr>
          <w:szCs w:val="22"/>
        </w:rPr>
        <w:t xml:space="preserve">The original </w:t>
      </w:r>
      <w:r>
        <w:t>p</w:t>
      </w:r>
      <w:r w:rsidRPr="00234574">
        <w:t xml:space="preserve">anel rejected the </w:t>
      </w:r>
      <w:r>
        <w:t>United States</w:t>
      </w:r>
      <w:r w:rsidRPr="00234574">
        <w:t>' "pric</w:t>
      </w:r>
      <w:r>
        <w:t>e</w:t>
      </w:r>
      <w:r w:rsidRPr="00234574">
        <w:t xml:space="preserve">" theory of causation. </w:t>
      </w:r>
      <w:r>
        <w:t xml:space="preserve">The United States did not appeal this aspect of the original panel's analysis. </w:t>
      </w:r>
      <w:r w:rsidRPr="00234574">
        <w:t>(</w:t>
      </w:r>
      <w:r w:rsidRPr="00AF3D63">
        <w:t>See </w:t>
      </w:r>
      <w:r>
        <w:t xml:space="preserve">Appellate Body Report, </w:t>
      </w:r>
      <w:r w:rsidRPr="005F5E8B">
        <w:rPr>
          <w:i/>
          <w:szCs w:val="22"/>
        </w:rPr>
        <w:t>EC and certain member States – Large Civil Aircraft</w:t>
      </w:r>
      <w:r w:rsidRPr="005F5E8B">
        <w:rPr>
          <w:szCs w:val="22"/>
        </w:rPr>
        <w:t xml:space="preserve">, </w:t>
      </w:r>
      <w:r w:rsidRPr="00AF3D63">
        <w:rPr>
          <w:szCs w:val="22"/>
        </w:rPr>
        <w:t>para. </w:t>
      </w:r>
      <w:r>
        <w:rPr>
          <w:szCs w:val="22"/>
        </w:rPr>
        <w:t>1243 and fn 2670 thereto)</w:t>
      </w:r>
    </w:p>
  </w:footnote>
  <w:footnote w:id="1620">
    <w:p w:rsidR="00FD2727" w:rsidRPr="00410588" w:rsidRDefault="00FD2727">
      <w:pPr>
        <w:pStyle w:val="FootnoteText"/>
        <w:rPr>
          <w:lang w:val="en-US"/>
        </w:rPr>
      </w:pPr>
      <w:r>
        <w:rPr>
          <w:rStyle w:val="FootnoteReference"/>
        </w:rPr>
        <w:footnoteRef/>
      </w:r>
      <w:r>
        <w:t xml:space="preserve"> Appellate Body Report, </w:t>
      </w:r>
      <w:r w:rsidRPr="005F5E8B">
        <w:rPr>
          <w:i/>
          <w:szCs w:val="22"/>
        </w:rPr>
        <w:t>EC and certain member States – Large Civil Aircraft</w:t>
      </w:r>
      <w:r w:rsidRPr="005F5E8B">
        <w:rPr>
          <w:szCs w:val="22"/>
        </w:rPr>
        <w:t>,</w:t>
      </w:r>
      <w:r>
        <w:t xml:space="preserve"> </w:t>
      </w:r>
      <w:r w:rsidRPr="00AF3D63">
        <w:t>para. </w:t>
      </w:r>
      <w:r>
        <w:t xml:space="preserve">1243 (quoting Original </w:t>
      </w:r>
      <w:r w:rsidRPr="00E20560">
        <w:t>Panel Report</w:t>
      </w:r>
      <w:r w:rsidRPr="005F5E8B">
        <w:rPr>
          <w:szCs w:val="22"/>
        </w:rPr>
        <w:t>,</w:t>
      </w:r>
      <w:r w:rsidRPr="00E20560">
        <w:t xml:space="preserve"> </w:t>
      </w:r>
      <w:r w:rsidRPr="00AF3D63">
        <w:t>para. </w:t>
      </w:r>
      <w:r w:rsidRPr="00E20560">
        <w:t>7.1879</w:t>
      </w:r>
      <w:r>
        <w:t xml:space="preserve"> (fn omitted)</w:t>
      </w:r>
      <w:r w:rsidRPr="00E20560">
        <w:t>).</w:t>
      </w:r>
      <w:r>
        <w:t xml:space="preserve"> (emphasis added)</w:t>
      </w:r>
    </w:p>
  </w:footnote>
  <w:footnote w:id="1621">
    <w:p w:rsidR="00FD2727" w:rsidRPr="00A06FE9" w:rsidRDefault="00FD2727">
      <w:pPr>
        <w:pStyle w:val="FootnoteText"/>
      </w:pPr>
      <w:r>
        <w:rPr>
          <w:rStyle w:val="FootnoteReference"/>
        </w:rPr>
        <w:footnoteRef/>
      </w:r>
      <w:r>
        <w:t xml:space="preserve"> Gary J. Dorman, NERA, </w:t>
      </w:r>
      <w:r>
        <w:rPr>
          <w:i/>
        </w:rPr>
        <w:t>The Effect of Launch Aid on the Economics of Commercial Airline Programs</w:t>
      </w:r>
      <w:r>
        <w:t>, 6 November 2006 (Original Panel Exhibit US-70 (BCI)).</w:t>
      </w:r>
    </w:p>
  </w:footnote>
  <w:footnote w:id="1622">
    <w:p w:rsidR="00FD2727" w:rsidRPr="00410588" w:rsidRDefault="00FD2727">
      <w:pPr>
        <w:pStyle w:val="FootnoteText"/>
        <w:rPr>
          <w:lang w:val="en-US"/>
        </w:rPr>
      </w:pPr>
      <w:r>
        <w:rPr>
          <w:rStyle w:val="FootnoteReference"/>
        </w:rPr>
        <w:footnoteRef/>
      </w:r>
      <w:r>
        <w:t xml:space="preserve"> Appellate Body Report, </w:t>
      </w:r>
      <w:r w:rsidRPr="005F5E8B">
        <w:rPr>
          <w:i/>
          <w:szCs w:val="22"/>
        </w:rPr>
        <w:t>EC and certain member States – Large Civil Aircraft</w:t>
      </w:r>
      <w:r w:rsidRPr="005F5E8B">
        <w:rPr>
          <w:szCs w:val="22"/>
        </w:rPr>
        <w:t xml:space="preserve">, </w:t>
      </w:r>
      <w:r w:rsidRPr="00AF3D63">
        <w:rPr>
          <w:szCs w:val="22"/>
        </w:rPr>
        <w:t>para</w:t>
      </w:r>
      <w:r>
        <w:rPr>
          <w:szCs w:val="22"/>
        </w:rPr>
        <w:t>s</w:t>
      </w:r>
      <w:r w:rsidRPr="00AF3D63">
        <w:rPr>
          <w:szCs w:val="22"/>
        </w:rPr>
        <w:t>. </w:t>
      </w:r>
      <w:r>
        <w:rPr>
          <w:szCs w:val="22"/>
        </w:rPr>
        <w:t xml:space="preserve">1244-1245. </w:t>
      </w:r>
      <w:r w:rsidRPr="00B77B2C">
        <w:t>The European Communities submitted a critique of the Dorman Report</w:t>
      </w:r>
      <w:r>
        <w:t xml:space="preserve"> by its own economic expert, Dr</w:t>
      </w:r>
      <w:r w:rsidRPr="00B77B2C">
        <w:t xml:space="preserve"> </w:t>
      </w:r>
      <w:r>
        <w:t xml:space="preserve">Paul </w:t>
      </w:r>
      <w:r w:rsidRPr="00B77B2C">
        <w:t>Wa</w:t>
      </w:r>
      <w:r>
        <w:t>t</w:t>
      </w:r>
      <w:r w:rsidRPr="00B77B2C">
        <w:t>chel.</w:t>
      </w:r>
      <w:r>
        <w:t xml:space="preserve"> (Ibid.,</w:t>
      </w:r>
      <w:r w:rsidRPr="005F5E8B">
        <w:rPr>
          <w:szCs w:val="22"/>
        </w:rPr>
        <w:t xml:space="preserve"> </w:t>
      </w:r>
      <w:r w:rsidRPr="00AF3D63">
        <w:rPr>
          <w:szCs w:val="22"/>
        </w:rPr>
        <w:t>para. </w:t>
      </w:r>
      <w:r>
        <w:rPr>
          <w:szCs w:val="22"/>
        </w:rPr>
        <w:t xml:space="preserve">1246 (referring to Paul Watchel, </w:t>
      </w:r>
      <w:r>
        <w:rPr>
          <w:i/>
          <w:szCs w:val="22"/>
        </w:rPr>
        <w:t>Critique of "The Effect of Launch Aid on the Economics of Commercial Airline Programs" by Dr. Gary J. Dorman</w:t>
      </w:r>
      <w:r>
        <w:rPr>
          <w:szCs w:val="22"/>
        </w:rPr>
        <w:t>, 31 January 2007 (Original Panel Exhibit EC-12) and clarification, 20 May 2007 (Original Panel Exhibit EC-659))</w:t>
      </w:r>
      <w:r>
        <w:t>)</w:t>
      </w:r>
    </w:p>
  </w:footnote>
  <w:footnote w:id="1623">
    <w:p w:rsidR="00FD2727" w:rsidRPr="00410588" w:rsidRDefault="00FD2727">
      <w:pPr>
        <w:pStyle w:val="FootnoteText"/>
        <w:rPr>
          <w:lang w:val="en-US"/>
        </w:rPr>
      </w:pPr>
      <w:r>
        <w:rPr>
          <w:rStyle w:val="FootnoteReference"/>
        </w:rPr>
        <w:footnoteRef/>
      </w:r>
      <w:r>
        <w:t xml:space="preserve"> Original Panel Report</w:t>
      </w:r>
      <w:r w:rsidRPr="005F5E8B">
        <w:rPr>
          <w:szCs w:val="22"/>
        </w:rPr>
        <w:t xml:space="preserve">, </w:t>
      </w:r>
      <w:r w:rsidRPr="00AF3D63">
        <w:t>para. </w:t>
      </w:r>
      <w:r>
        <w:t>7.1887.</w:t>
      </w:r>
    </w:p>
  </w:footnote>
  <w:footnote w:id="1624">
    <w:p w:rsidR="00FD2727" w:rsidRPr="00410588" w:rsidRDefault="00FD2727">
      <w:pPr>
        <w:pStyle w:val="FootnoteText"/>
        <w:rPr>
          <w:lang w:val="en-US"/>
        </w:rPr>
      </w:pPr>
      <w:r>
        <w:rPr>
          <w:rStyle w:val="FootnoteReference"/>
        </w:rPr>
        <w:footnoteRef/>
      </w:r>
      <w:r>
        <w:t xml:space="preserve"> Original Panel Report</w:t>
      </w:r>
      <w:r w:rsidRPr="005F5E8B">
        <w:rPr>
          <w:szCs w:val="22"/>
        </w:rPr>
        <w:t xml:space="preserve">, </w:t>
      </w:r>
      <w:r w:rsidRPr="00AF3D63">
        <w:t>para. </w:t>
      </w:r>
      <w:r>
        <w:t>7.1912.</w:t>
      </w:r>
    </w:p>
  </w:footnote>
  <w:footnote w:id="1625">
    <w:p w:rsidR="00FD2727" w:rsidRPr="00410588" w:rsidRDefault="00FD2727">
      <w:pPr>
        <w:pStyle w:val="FootnoteText"/>
        <w:rPr>
          <w:lang w:val="en-US"/>
        </w:rPr>
      </w:pPr>
      <w:r>
        <w:rPr>
          <w:rStyle w:val="FootnoteReference"/>
        </w:rPr>
        <w:footnoteRef/>
      </w:r>
      <w:r>
        <w:t xml:space="preserve"> Appellate Body Report, </w:t>
      </w:r>
      <w:r w:rsidRPr="005F5E8B">
        <w:rPr>
          <w:i/>
          <w:szCs w:val="22"/>
        </w:rPr>
        <w:t>EC and certain member States – Large Civil Aircraft</w:t>
      </w:r>
      <w:r w:rsidRPr="005F5E8B">
        <w:rPr>
          <w:szCs w:val="22"/>
        </w:rPr>
        <w:t xml:space="preserve">, </w:t>
      </w:r>
      <w:r w:rsidRPr="00AF3D63">
        <w:t>para. </w:t>
      </w:r>
      <w:r>
        <w:t>1255 (referring to Original Panel Report</w:t>
      </w:r>
      <w:r w:rsidRPr="005F5E8B">
        <w:rPr>
          <w:szCs w:val="22"/>
        </w:rPr>
        <w:t xml:space="preserve">, </w:t>
      </w:r>
      <w:r w:rsidRPr="00AF3D63">
        <w:t>paras. </w:t>
      </w:r>
      <w:r>
        <w:t>7.1934, 7.1936, and 7.1938-7.1939).</w:t>
      </w:r>
    </w:p>
  </w:footnote>
  <w:footnote w:id="1626">
    <w:p w:rsidR="00FD2727" w:rsidRPr="00410588" w:rsidRDefault="00FD2727">
      <w:pPr>
        <w:pStyle w:val="FootnoteText"/>
        <w:rPr>
          <w:lang w:val="en-US"/>
        </w:rPr>
      </w:pPr>
      <w:r>
        <w:rPr>
          <w:rStyle w:val="FootnoteReference"/>
        </w:rPr>
        <w:footnoteRef/>
      </w:r>
      <w:r>
        <w:t xml:space="preserve"> The original panel observed that the parties</w:t>
      </w:r>
      <w:r w:rsidRPr="00847A0F">
        <w:t xml:space="preserve"> </w:t>
      </w:r>
      <w:r>
        <w:t>had</w:t>
      </w:r>
      <w:r w:rsidRPr="00600551">
        <w:t xml:space="preserve"> described the development of LCA as an endeavour that requires huge up-front investments</w:t>
      </w:r>
      <w:r>
        <w:t xml:space="preserve"> </w:t>
      </w:r>
      <w:r w:rsidRPr="00600551">
        <w:t>and a commitment of tremendous resources</w:t>
      </w:r>
      <w:r w:rsidRPr="00847A0F">
        <w:t xml:space="preserve"> </w:t>
      </w:r>
      <w:r w:rsidRPr="00600551">
        <w:t>in the face of a business environment that is shaped by factors whose very foreseeability is impossible by definition</w:t>
      </w:r>
      <w:r>
        <w:t xml:space="preserve">. (Original Panel Report, </w:t>
      </w:r>
      <w:r w:rsidRPr="00AF3D63">
        <w:t>para. </w:t>
      </w:r>
      <w:r>
        <w:t>7.1933)</w:t>
      </w:r>
    </w:p>
  </w:footnote>
  <w:footnote w:id="1627">
    <w:p w:rsidR="00FD2727" w:rsidRPr="00410588" w:rsidRDefault="00FD2727">
      <w:pPr>
        <w:pStyle w:val="FootnoteText"/>
        <w:rPr>
          <w:lang w:val="en-US"/>
        </w:rPr>
      </w:pPr>
      <w:r>
        <w:rPr>
          <w:rStyle w:val="FootnoteReference"/>
        </w:rPr>
        <w:footnoteRef/>
      </w:r>
      <w:r>
        <w:t xml:space="preserve"> As the original panel found, LA/MSF subsidies accounted for 90% to 100% of the development costs for the A300 and A310, up to 90% for the A320, and between 60% and 90% for the A330 and A340. (Original Panel Report, </w:t>
      </w:r>
      <w:r w:rsidRPr="00AF3D63">
        <w:t>paras. </w:t>
      </w:r>
      <w:r>
        <w:t>7.1934-7.1939)</w:t>
      </w:r>
    </w:p>
  </w:footnote>
  <w:footnote w:id="1628">
    <w:p w:rsidR="00FD2727" w:rsidRPr="00410588" w:rsidRDefault="00FD2727">
      <w:pPr>
        <w:pStyle w:val="FootnoteText"/>
        <w:rPr>
          <w:lang w:val="en-US"/>
        </w:rPr>
      </w:pPr>
      <w:r>
        <w:rPr>
          <w:rStyle w:val="FootnoteReference"/>
        </w:rPr>
        <w:footnoteRef/>
      </w:r>
      <w:r>
        <w:t xml:space="preserve"> Original Panel Report, </w:t>
      </w:r>
      <w:r w:rsidRPr="00AF3D63">
        <w:t>para. </w:t>
      </w:r>
      <w:r>
        <w:t>7.1936. (fn omitted)</w:t>
      </w:r>
    </w:p>
  </w:footnote>
  <w:footnote w:id="1629">
    <w:p w:rsidR="00FD2727" w:rsidRPr="00410588" w:rsidRDefault="00FD2727">
      <w:pPr>
        <w:pStyle w:val="FootnoteText"/>
        <w:rPr>
          <w:lang w:val="en-US"/>
        </w:rPr>
      </w:pPr>
      <w:r>
        <w:rPr>
          <w:rStyle w:val="FootnoteReference"/>
        </w:rPr>
        <w:footnoteRef/>
      </w:r>
      <w:r>
        <w:t xml:space="preserve"> Original Panel Report, </w:t>
      </w:r>
      <w:r w:rsidRPr="00AF3D63">
        <w:t>para. </w:t>
      </w:r>
      <w:r>
        <w:t>7.1938.</w:t>
      </w:r>
    </w:p>
  </w:footnote>
  <w:footnote w:id="1630">
    <w:p w:rsidR="00FD2727" w:rsidRPr="00410588" w:rsidRDefault="00FD2727">
      <w:pPr>
        <w:pStyle w:val="FootnoteText"/>
        <w:rPr>
          <w:lang w:val="en-US"/>
        </w:rPr>
      </w:pPr>
      <w:r>
        <w:rPr>
          <w:rStyle w:val="FootnoteReference"/>
        </w:rPr>
        <w:footnoteRef/>
      </w:r>
      <w:r>
        <w:t xml:space="preserve"> Original Panel Report, </w:t>
      </w:r>
      <w:r w:rsidRPr="00AF3D63">
        <w:t>paras. </w:t>
      </w:r>
      <w:r>
        <w:t>7.1940-7.1941.</w:t>
      </w:r>
    </w:p>
  </w:footnote>
  <w:footnote w:id="1631">
    <w:p w:rsidR="00FD2727" w:rsidRPr="00410588" w:rsidRDefault="00FD2727">
      <w:pPr>
        <w:pStyle w:val="FootnoteText"/>
        <w:rPr>
          <w:lang w:val="en-US"/>
        </w:rPr>
      </w:pPr>
      <w:r>
        <w:rPr>
          <w:rStyle w:val="FootnoteReference"/>
        </w:rPr>
        <w:footnoteRef/>
      </w:r>
      <w:r>
        <w:t xml:space="preserve"> Original Panel Report, </w:t>
      </w:r>
      <w:r w:rsidRPr="00AF3D63">
        <w:t>para. </w:t>
      </w:r>
      <w:r>
        <w:t>7.1940.</w:t>
      </w:r>
    </w:p>
  </w:footnote>
  <w:footnote w:id="1632">
    <w:p w:rsidR="00FD2727" w:rsidRPr="00410588" w:rsidRDefault="00FD2727">
      <w:pPr>
        <w:pStyle w:val="FootnoteText"/>
        <w:rPr>
          <w:lang w:val="en-US"/>
        </w:rPr>
      </w:pPr>
      <w:r>
        <w:rPr>
          <w:rStyle w:val="FootnoteReference"/>
        </w:rPr>
        <w:footnoteRef/>
      </w:r>
      <w:r>
        <w:t xml:space="preserve"> Original Panel Report, </w:t>
      </w:r>
      <w:r w:rsidRPr="00AF3D63">
        <w:t>para. </w:t>
      </w:r>
      <w:r>
        <w:t>7.1941. (emphasis added)</w:t>
      </w:r>
    </w:p>
  </w:footnote>
  <w:footnote w:id="1633">
    <w:p w:rsidR="00FD2727" w:rsidRPr="00410588" w:rsidRDefault="00FD2727">
      <w:pPr>
        <w:pStyle w:val="FootnoteText"/>
        <w:rPr>
          <w:lang w:val="en-US"/>
        </w:rPr>
      </w:pPr>
      <w:r>
        <w:rPr>
          <w:rStyle w:val="FootnoteReference"/>
        </w:rPr>
        <w:footnoteRef/>
      </w:r>
      <w:r>
        <w:t xml:space="preserve"> Original Panel Report, </w:t>
      </w:r>
      <w:r w:rsidRPr="00AF3D63">
        <w:t>para. </w:t>
      </w:r>
      <w:r>
        <w:t>7.1948.</w:t>
      </w:r>
    </w:p>
  </w:footnote>
  <w:footnote w:id="1634">
    <w:p w:rsidR="00FD2727" w:rsidRPr="00410588" w:rsidRDefault="00FD2727">
      <w:pPr>
        <w:pStyle w:val="FootnoteText"/>
        <w:rPr>
          <w:lang w:val="en-US"/>
        </w:rPr>
      </w:pPr>
      <w:r>
        <w:rPr>
          <w:rStyle w:val="FootnoteReference"/>
        </w:rPr>
        <w:footnoteRef/>
      </w:r>
      <w:r>
        <w:t xml:space="preserve"> Original Panel Report, </w:t>
      </w:r>
      <w:r w:rsidRPr="00AF3D63">
        <w:t>para. </w:t>
      </w:r>
      <w:r>
        <w:t>7.1948. (emphasis added)</w:t>
      </w:r>
    </w:p>
  </w:footnote>
  <w:footnote w:id="1635">
    <w:p w:rsidR="00FD2727" w:rsidRPr="00410588" w:rsidRDefault="00FD2727">
      <w:pPr>
        <w:pStyle w:val="FootnoteText"/>
        <w:rPr>
          <w:lang w:val="en-US"/>
        </w:rPr>
      </w:pPr>
      <w:r>
        <w:rPr>
          <w:rStyle w:val="FootnoteReference"/>
        </w:rPr>
        <w:footnoteRef/>
      </w:r>
      <w:r>
        <w:t xml:space="preserve"> Original Panel Report, </w:t>
      </w:r>
      <w:r w:rsidRPr="00AF3D63">
        <w:t>para. </w:t>
      </w:r>
      <w:r>
        <w:t>7.1949.</w:t>
      </w:r>
    </w:p>
  </w:footnote>
  <w:footnote w:id="1636">
    <w:p w:rsidR="00FD2727" w:rsidRPr="00410588" w:rsidRDefault="00FD2727">
      <w:pPr>
        <w:pStyle w:val="FootnoteText"/>
        <w:rPr>
          <w:lang w:val="en-US"/>
        </w:rPr>
      </w:pPr>
      <w:r>
        <w:rPr>
          <w:rStyle w:val="FootnoteReference"/>
        </w:rPr>
        <w:footnoteRef/>
      </w:r>
      <w:r>
        <w:t xml:space="preserve"> Original Panel Report, </w:t>
      </w:r>
      <w:r w:rsidRPr="00AF3D63">
        <w:t>para. </w:t>
      </w:r>
      <w:r>
        <w:t>7.1984.</w:t>
      </w:r>
    </w:p>
  </w:footnote>
  <w:footnote w:id="1637">
    <w:p w:rsidR="00FD2727" w:rsidRPr="00410588" w:rsidRDefault="00FD2727">
      <w:pPr>
        <w:pStyle w:val="FootnoteText"/>
        <w:rPr>
          <w:lang w:val="en-US"/>
        </w:rPr>
      </w:pPr>
      <w:r>
        <w:rPr>
          <w:rStyle w:val="FootnoteReference"/>
        </w:rPr>
        <w:footnoteRef/>
      </w:r>
      <w:r>
        <w:t xml:space="preserve"> Original Panel Report, </w:t>
      </w:r>
      <w:r w:rsidRPr="00AF3D63">
        <w:t>para. </w:t>
      </w:r>
      <w:r>
        <w:t>7.1984. The original panel noted that, under these "plausible" counterfactual scenarios, the LCA industry would have been characterized by the existence of either a Boeing monopoly, or a duopoly involving Boeing and another US LCA producer (possibly, McDonnell Douglas). (Ibid.)</w:t>
      </w:r>
    </w:p>
  </w:footnote>
  <w:footnote w:id="1638">
    <w:p w:rsidR="00FD2727" w:rsidRPr="00410588" w:rsidRDefault="00FD2727">
      <w:pPr>
        <w:pStyle w:val="FootnoteText"/>
        <w:rPr>
          <w:lang w:val="en-US"/>
        </w:rPr>
      </w:pPr>
      <w:r>
        <w:rPr>
          <w:rStyle w:val="FootnoteReference"/>
        </w:rPr>
        <w:footnoteRef/>
      </w:r>
      <w:r>
        <w:t xml:space="preserve"> Original Panel Report, </w:t>
      </w:r>
      <w:r w:rsidRPr="00AF3D63">
        <w:t>para. </w:t>
      </w:r>
      <w:r>
        <w:t>7.1993.</w:t>
      </w:r>
    </w:p>
  </w:footnote>
  <w:footnote w:id="1639">
    <w:p w:rsidR="00FD2727" w:rsidRPr="00410588" w:rsidRDefault="00FD2727">
      <w:pPr>
        <w:pStyle w:val="FootnoteText"/>
        <w:rPr>
          <w:lang w:val="en-US"/>
        </w:rPr>
      </w:pPr>
      <w:r>
        <w:rPr>
          <w:rStyle w:val="FootnoteReference"/>
        </w:rPr>
        <w:footnoteRef/>
      </w:r>
      <w:r>
        <w:t xml:space="preserve"> Original Panel Report, </w:t>
      </w:r>
      <w:r w:rsidRPr="00AF3D63">
        <w:t>para. </w:t>
      </w:r>
      <w:r>
        <w:t>7.1993. See also para. 7.2025.</w:t>
      </w:r>
    </w:p>
  </w:footnote>
  <w:footnote w:id="1640">
    <w:p w:rsidR="00FD2727" w:rsidRPr="00410588" w:rsidRDefault="00FD2727">
      <w:pPr>
        <w:pStyle w:val="FootnoteText"/>
        <w:rPr>
          <w:lang w:val="en-US"/>
        </w:rPr>
      </w:pPr>
      <w:r>
        <w:rPr>
          <w:rStyle w:val="FootnoteReference"/>
        </w:rPr>
        <w:footnoteRef/>
      </w:r>
      <w:r>
        <w:t xml:space="preserve"> Appellate Body Report, </w:t>
      </w:r>
      <w:r w:rsidRPr="005F5E8B">
        <w:rPr>
          <w:i/>
          <w:szCs w:val="22"/>
        </w:rPr>
        <w:t>EC and certain member States – Large Civil Aircraft</w:t>
      </w:r>
      <w:r w:rsidRPr="005F5E8B">
        <w:rPr>
          <w:szCs w:val="22"/>
        </w:rPr>
        <w:t>,</w:t>
      </w:r>
      <w:r>
        <w:rPr>
          <w:szCs w:val="22"/>
        </w:rPr>
        <w:t xml:space="preserve"> </w:t>
      </w:r>
      <w:r w:rsidRPr="00AF3D63">
        <w:t>para</w:t>
      </w:r>
      <w:r>
        <w:t>s</w:t>
      </w:r>
      <w:r w:rsidRPr="00AF3D63">
        <w:t>. </w:t>
      </w:r>
      <w:r>
        <w:t xml:space="preserve">1312-1356. Specifically, the European Union argued that the original panel erred: </w:t>
      </w:r>
      <w:r w:rsidRPr="00E20560">
        <w:t>(i) in its assessment of the A380 business case; (ii)</w:t>
      </w:r>
      <w:r>
        <w:t> in </w:t>
      </w:r>
      <w:r w:rsidRPr="00E20560">
        <w:t xml:space="preserve">its evaluation of Airbus' ability to fund the A380 without LA/MSF; and (iii) in its analysis of Airbus' technological capabilities </w:t>
      </w:r>
      <w:r>
        <w:t>without</w:t>
      </w:r>
      <w:r w:rsidRPr="00E20560">
        <w:t xml:space="preserve"> LA/MSF</w:t>
      </w:r>
      <w:r>
        <w:t>. (Ibid., para. 1312)</w:t>
      </w:r>
    </w:p>
  </w:footnote>
  <w:footnote w:id="1641">
    <w:p w:rsidR="00FD2727" w:rsidRPr="00145239" w:rsidRDefault="00FD2727">
      <w:pPr>
        <w:pStyle w:val="FootnoteText"/>
        <w:rPr>
          <w:lang w:val="en-US"/>
        </w:rPr>
      </w:pPr>
      <w:r>
        <w:rPr>
          <w:rStyle w:val="FootnoteReference"/>
        </w:rPr>
        <w:footnoteRef/>
      </w:r>
      <w:r>
        <w:t xml:space="preserve"> Appellate Body</w:t>
      </w:r>
      <w:r w:rsidRPr="00402EAF">
        <w:t xml:space="preserve"> </w:t>
      </w:r>
      <w:r w:rsidRPr="005A305E">
        <w:t xml:space="preserve">Report, </w:t>
      </w:r>
      <w:r w:rsidRPr="005A305E">
        <w:rPr>
          <w:i/>
          <w:szCs w:val="22"/>
        </w:rPr>
        <w:t xml:space="preserve">EC </w:t>
      </w:r>
      <w:r w:rsidRPr="00145239">
        <w:rPr>
          <w:i/>
          <w:szCs w:val="22"/>
        </w:rPr>
        <w:t>and certain member States – Large Civil Aircraft</w:t>
      </w:r>
      <w:r w:rsidRPr="00145239">
        <w:rPr>
          <w:szCs w:val="22"/>
        </w:rPr>
        <w:t xml:space="preserve">, </w:t>
      </w:r>
      <w:r w:rsidRPr="00145239">
        <w:t>para. 1356. Further details of the Appellate Body's findings in the original proceedings on the A380 are discussed in section 5.6.3.5.1 below.</w:t>
      </w:r>
    </w:p>
  </w:footnote>
  <w:footnote w:id="1642">
    <w:p w:rsidR="00FD2727" w:rsidRPr="00145239" w:rsidRDefault="00FD2727">
      <w:pPr>
        <w:pStyle w:val="FootnoteText"/>
        <w:rPr>
          <w:lang w:val="en-US"/>
        </w:rPr>
      </w:pPr>
      <w:r w:rsidRPr="00145239">
        <w:rPr>
          <w:rStyle w:val="FootnoteReference"/>
        </w:rPr>
        <w:footnoteRef/>
      </w:r>
      <w:r w:rsidRPr="00145239">
        <w:t xml:space="preserve"> Appellate Body Report, </w:t>
      </w:r>
      <w:r w:rsidRPr="00145239">
        <w:rPr>
          <w:i/>
          <w:szCs w:val="22"/>
        </w:rPr>
        <w:t>EC and certain member States – Large Civil Aircraft</w:t>
      </w:r>
      <w:r w:rsidRPr="00145239">
        <w:rPr>
          <w:szCs w:val="22"/>
        </w:rPr>
        <w:t xml:space="preserve">, </w:t>
      </w:r>
      <w:r w:rsidRPr="00145239">
        <w:t>para. 1352.</w:t>
      </w:r>
    </w:p>
  </w:footnote>
  <w:footnote w:id="1643">
    <w:p w:rsidR="00FD2727" w:rsidRPr="00410588" w:rsidRDefault="00FD2727">
      <w:pPr>
        <w:pStyle w:val="FootnoteText"/>
        <w:rPr>
          <w:lang w:val="en-US"/>
        </w:rPr>
      </w:pPr>
      <w:r w:rsidRPr="00145239">
        <w:rPr>
          <w:rStyle w:val="FootnoteReference"/>
        </w:rPr>
        <w:footnoteRef/>
      </w:r>
      <w:r w:rsidRPr="00145239">
        <w:t xml:space="preserve"> Appellate Body Report, </w:t>
      </w:r>
      <w:r w:rsidRPr="00145239">
        <w:rPr>
          <w:i/>
          <w:szCs w:val="22"/>
        </w:rPr>
        <w:t>EC and certain</w:t>
      </w:r>
      <w:r w:rsidRPr="005F5E8B">
        <w:rPr>
          <w:i/>
          <w:szCs w:val="22"/>
        </w:rPr>
        <w:t xml:space="preserve"> member States – Large Civil Aircraft</w:t>
      </w:r>
      <w:r w:rsidRPr="005F5E8B">
        <w:rPr>
          <w:szCs w:val="22"/>
        </w:rPr>
        <w:t>,</w:t>
      </w:r>
      <w:r>
        <w:rPr>
          <w:szCs w:val="22"/>
        </w:rPr>
        <w:t xml:space="preserve"> </w:t>
      </w:r>
      <w:r w:rsidRPr="00AF3D63">
        <w:t>para. </w:t>
      </w:r>
      <w:r>
        <w:t>1355.</w:t>
      </w:r>
    </w:p>
  </w:footnote>
  <w:footnote w:id="1644">
    <w:p w:rsidR="00FD2727" w:rsidRPr="00410588" w:rsidRDefault="00FD2727">
      <w:pPr>
        <w:pStyle w:val="FootnoteText"/>
        <w:rPr>
          <w:lang w:val="en-US"/>
        </w:rPr>
      </w:pPr>
      <w:r>
        <w:rPr>
          <w:rStyle w:val="FootnoteReference"/>
        </w:rPr>
        <w:footnoteRef/>
      </w:r>
      <w:r>
        <w:t xml:space="preserve"> Appellate Body Report, </w:t>
      </w:r>
      <w:r w:rsidRPr="005F5E8B">
        <w:rPr>
          <w:i/>
          <w:szCs w:val="22"/>
        </w:rPr>
        <w:t>EC and certain member States – Large Civil Aircraft</w:t>
      </w:r>
      <w:r w:rsidRPr="005F5E8B">
        <w:rPr>
          <w:szCs w:val="22"/>
        </w:rPr>
        <w:t>,</w:t>
      </w:r>
      <w:r>
        <w:rPr>
          <w:szCs w:val="22"/>
        </w:rPr>
        <w:t xml:space="preserve"> </w:t>
      </w:r>
      <w:r w:rsidRPr="00AF3D63">
        <w:t>para. </w:t>
      </w:r>
      <w:r>
        <w:t xml:space="preserve">1356 (quoting Original Panel Report, </w:t>
      </w:r>
      <w:r w:rsidRPr="00AF3D63">
        <w:t>para. </w:t>
      </w:r>
      <w:r>
        <w:t>7.1948).</w:t>
      </w:r>
    </w:p>
  </w:footnote>
  <w:footnote w:id="1645">
    <w:p w:rsidR="00FD2727" w:rsidRPr="00410588" w:rsidRDefault="00FD2727">
      <w:pPr>
        <w:pStyle w:val="FootnoteText"/>
        <w:rPr>
          <w:lang w:val="en-US"/>
        </w:rPr>
      </w:pPr>
      <w:r>
        <w:rPr>
          <w:rStyle w:val="FootnoteReference"/>
        </w:rPr>
        <w:footnoteRef/>
      </w:r>
      <w:r>
        <w:t xml:space="preserve"> Panel Report, </w:t>
      </w:r>
      <w:r w:rsidRPr="00AF3D63">
        <w:t>para. </w:t>
      </w:r>
      <w:r>
        <w:t>6.1448.</w:t>
      </w:r>
    </w:p>
  </w:footnote>
  <w:footnote w:id="1646">
    <w:p w:rsidR="00FD2727" w:rsidRPr="00410588" w:rsidRDefault="00FD2727">
      <w:pPr>
        <w:pStyle w:val="FootnoteText"/>
        <w:rPr>
          <w:lang w:val="en-US"/>
        </w:rPr>
      </w:pPr>
      <w:r>
        <w:rPr>
          <w:rStyle w:val="FootnoteReference"/>
        </w:rPr>
        <w:footnoteRef/>
      </w:r>
      <w:r>
        <w:t xml:space="preserve"> Panel Report, </w:t>
      </w:r>
      <w:r w:rsidRPr="00AF3D63">
        <w:t>para. </w:t>
      </w:r>
      <w:r>
        <w:t xml:space="preserve">6.1446 (referring to Original Panel Report, </w:t>
      </w:r>
      <w:r w:rsidRPr="00AF3D63">
        <w:t>paras. </w:t>
      </w:r>
      <w:r>
        <w:t>7.1935</w:t>
      </w:r>
      <w:r>
        <w:noBreakHyphen/>
        <w:t xml:space="preserve">7.1948; Appellate Body Report, </w:t>
      </w:r>
      <w:r>
        <w:rPr>
          <w:i/>
        </w:rPr>
        <w:t>EC and certain member States – Large Civil Aircraft</w:t>
      </w:r>
      <w:r>
        <w:t xml:space="preserve">, </w:t>
      </w:r>
      <w:r w:rsidRPr="00AF3D63">
        <w:t>paras. </w:t>
      </w:r>
      <w:r>
        <w:t>1269, 1281, 1352, 1355, and 1356) and para. 6.1492.</w:t>
      </w:r>
    </w:p>
  </w:footnote>
  <w:footnote w:id="1647">
    <w:p w:rsidR="00FD2727" w:rsidRPr="00410588" w:rsidRDefault="00FD2727">
      <w:pPr>
        <w:pStyle w:val="FootnoteText"/>
        <w:rPr>
          <w:lang w:val="en-US"/>
        </w:rPr>
      </w:pPr>
      <w:r>
        <w:rPr>
          <w:rStyle w:val="FootnoteReference"/>
        </w:rPr>
        <w:footnoteRef/>
      </w:r>
      <w:r>
        <w:t xml:space="preserve"> Panel Report, </w:t>
      </w:r>
      <w:r w:rsidRPr="00AF3D63">
        <w:t>para. </w:t>
      </w:r>
      <w:r>
        <w:t>6.1492. (emphasis added)</w:t>
      </w:r>
    </w:p>
  </w:footnote>
  <w:footnote w:id="1648">
    <w:p w:rsidR="00FD2727" w:rsidRPr="00410588" w:rsidRDefault="00FD2727">
      <w:pPr>
        <w:pStyle w:val="FootnoteText"/>
        <w:rPr>
          <w:lang w:val="en-US"/>
        </w:rPr>
      </w:pPr>
      <w:r>
        <w:rPr>
          <w:rStyle w:val="FootnoteReference"/>
        </w:rPr>
        <w:footnoteRef/>
      </w:r>
      <w:r>
        <w:t xml:space="preserve"> Panel Report, </w:t>
      </w:r>
      <w:r w:rsidRPr="00AF3D63">
        <w:t>para. </w:t>
      </w:r>
      <w:r>
        <w:t>6.1492. (emphasis added; fn omitted)</w:t>
      </w:r>
    </w:p>
  </w:footnote>
  <w:footnote w:id="1649">
    <w:p w:rsidR="00FD2727" w:rsidRPr="00410588" w:rsidRDefault="00FD2727">
      <w:pPr>
        <w:pStyle w:val="FootnoteText"/>
        <w:rPr>
          <w:lang w:val="en-US"/>
        </w:rPr>
      </w:pPr>
      <w:r>
        <w:rPr>
          <w:rStyle w:val="FootnoteReference"/>
        </w:rPr>
        <w:footnoteRef/>
      </w:r>
      <w:r>
        <w:t xml:space="preserve"> Panel Report, </w:t>
      </w:r>
      <w:r w:rsidRPr="00AF3D63">
        <w:t>para. </w:t>
      </w:r>
      <w:r>
        <w:t>6.1510.</w:t>
      </w:r>
    </w:p>
  </w:footnote>
  <w:footnote w:id="1650">
    <w:p w:rsidR="00FD2727" w:rsidRPr="00410588" w:rsidRDefault="00FD2727">
      <w:pPr>
        <w:pStyle w:val="FootnoteText"/>
        <w:rPr>
          <w:lang w:val="en-US"/>
        </w:rPr>
      </w:pPr>
      <w:r>
        <w:rPr>
          <w:rStyle w:val="FootnoteReference"/>
        </w:rPr>
        <w:footnoteRef/>
      </w:r>
      <w:r>
        <w:t xml:space="preserve"> Panel Report, </w:t>
      </w:r>
      <w:r w:rsidRPr="00AF3D63">
        <w:t>para. </w:t>
      </w:r>
      <w:r>
        <w:t>6.1510. (fn omitted)</w:t>
      </w:r>
    </w:p>
  </w:footnote>
  <w:footnote w:id="1651">
    <w:p w:rsidR="00FD2727" w:rsidRPr="00410588" w:rsidRDefault="00FD2727">
      <w:pPr>
        <w:pStyle w:val="FootnoteText"/>
        <w:rPr>
          <w:lang w:val="en-US"/>
        </w:rPr>
      </w:pPr>
      <w:r>
        <w:rPr>
          <w:rStyle w:val="FootnoteReference"/>
        </w:rPr>
        <w:footnoteRef/>
      </w:r>
      <w:r>
        <w:t xml:space="preserve"> Panel Report, </w:t>
      </w:r>
      <w:r w:rsidRPr="00AF3D63">
        <w:t>para. </w:t>
      </w:r>
      <w:r>
        <w:t>6.1511.</w:t>
      </w:r>
      <w:r w:rsidRPr="00CE1AB8">
        <w:t xml:space="preserve"> </w:t>
      </w:r>
      <w:r>
        <w:t>The Panel noted that the original panel did not specifically refer to "direct effects" and "indirect effects" in its findings. Nonetheless, the Panel considered that "the 'direct' and 'indirect' effects nomenclature provides a useful way of understanding the {original} panel's evaluation of the effects of the LA/MSF subsidies."</w:t>
      </w:r>
      <w:r w:rsidRPr="00CE1AB8">
        <w:t xml:space="preserve"> </w:t>
      </w:r>
      <w:r>
        <w:t xml:space="preserve">(Ibid., fn 2470 to </w:t>
      </w:r>
      <w:r w:rsidRPr="00AF3D63">
        <w:t>para. </w:t>
      </w:r>
      <w:r w:rsidRPr="00443F6F">
        <w:t>6.1446</w:t>
      </w:r>
      <w:r>
        <w:t>)</w:t>
      </w:r>
    </w:p>
  </w:footnote>
  <w:footnote w:id="1652">
    <w:p w:rsidR="00FD2727" w:rsidRPr="00410588" w:rsidRDefault="00FD2727">
      <w:pPr>
        <w:pStyle w:val="FootnoteText"/>
        <w:rPr>
          <w:lang w:val="en-US"/>
        </w:rPr>
      </w:pPr>
      <w:r>
        <w:rPr>
          <w:rStyle w:val="FootnoteReference"/>
        </w:rPr>
        <w:footnoteRef/>
      </w:r>
      <w:r>
        <w:t xml:space="preserve"> </w:t>
      </w:r>
      <w:r w:rsidRPr="00AC6538">
        <w:t xml:space="preserve">Panel Report, </w:t>
      </w:r>
      <w:r w:rsidRPr="00AF3D63">
        <w:t>para. </w:t>
      </w:r>
      <w:r w:rsidRPr="00AC6538">
        <w:t>6.1509. (emphasis added)</w:t>
      </w:r>
    </w:p>
  </w:footnote>
  <w:footnote w:id="1653">
    <w:p w:rsidR="00FD2727" w:rsidRPr="00410588" w:rsidRDefault="00FD2727">
      <w:pPr>
        <w:pStyle w:val="FootnoteText"/>
        <w:rPr>
          <w:lang w:val="en-US"/>
        </w:rPr>
      </w:pPr>
      <w:r>
        <w:rPr>
          <w:rStyle w:val="FootnoteReference"/>
        </w:rPr>
        <w:footnoteRef/>
      </w:r>
      <w:r>
        <w:t xml:space="preserve"> </w:t>
      </w:r>
      <w:r w:rsidRPr="00AC6538">
        <w:t xml:space="preserve">Original Panel Report, </w:t>
      </w:r>
      <w:r w:rsidRPr="00AF3D63">
        <w:t>para. </w:t>
      </w:r>
      <w:r w:rsidRPr="00AC6538">
        <w:t>7.1948.</w:t>
      </w:r>
    </w:p>
  </w:footnote>
  <w:footnote w:id="1654">
    <w:p w:rsidR="00FD2727" w:rsidRPr="00410588" w:rsidRDefault="00FD2727">
      <w:pPr>
        <w:pStyle w:val="FootnoteText"/>
        <w:rPr>
          <w:lang w:val="en-US"/>
        </w:rPr>
      </w:pPr>
      <w:r>
        <w:rPr>
          <w:rStyle w:val="FootnoteReference"/>
        </w:rPr>
        <w:footnoteRef/>
      </w:r>
      <w:r>
        <w:t xml:space="preserve"> Panel Report, para. 6.794. See also paras. 6.869 and 6.1069.</w:t>
      </w:r>
    </w:p>
  </w:footnote>
  <w:footnote w:id="1655">
    <w:p w:rsidR="00FD2727" w:rsidRPr="00410588" w:rsidRDefault="00FD2727">
      <w:pPr>
        <w:pStyle w:val="FootnoteText"/>
        <w:rPr>
          <w:lang w:val="en-US"/>
        </w:rPr>
      </w:pPr>
      <w:r>
        <w:rPr>
          <w:rStyle w:val="FootnoteReference"/>
        </w:rPr>
        <w:footnoteRef/>
      </w:r>
      <w:r>
        <w:t xml:space="preserve"> Panel Report, </w:t>
      </w:r>
      <w:r w:rsidRPr="00AF3D63">
        <w:t>para. </w:t>
      </w:r>
      <w:r>
        <w:t>6.14.</w:t>
      </w:r>
    </w:p>
  </w:footnote>
  <w:footnote w:id="1656">
    <w:p w:rsidR="00FD2727" w:rsidRPr="00410588" w:rsidRDefault="00FD2727">
      <w:pPr>
        <w:pStyle w:val="FootnoteText"/>
        <w:rPr>
          <w:lang w:val="en-US"/>
        </w:rPr>
      </w:pPr>
      <w:r>
        <w:rPr>
          <w:rStyle w:val="FootnoteReference"/>
        </w:rPr>
        <w:footnoteRef/>
      </w:r>
      <w:r>
        <w:t xml:space="preserve"> Panel Report, </w:t>
      </w:r>
      <w:r w:rsidRPr="00AF3D63">
        <w:t>para. </w:t>
      </w:r>
      <w:r>
        <w:t>6.150.</w:t>
      </w:r>
    </w:p>
  </w:footnote>
  <w:footnote w:id="1657">
    <w:p w:rsidR="00FD2727" w:rsidRPr="00410588" w:rsidRDefault="00FD2727">
      <w:pPr>
        <w:pStyle w:val="FootnoteText"/>
        <w:rPr>
          <w:lang w:val="en-US"/>
        </w:rPr>
      </w:pPr>
      <w:r>
        <w:rPr>
          <w:rStyle w:val="FootnoteReference"/>
        </w:rPr>
        <w:footnoteRef/>
      </w:r>
      <w:r>
        <w:t xml:space="preserve"> Panel Report, </w:t>
      </w:r>
      <w:r w:rsidRPr="00AF3D63">
        <w:t>para. </w:t>
      </w:r>
      <w:r>
        <w:t>6.149. (emphasis</w:t>
      </w:r>
      <w:r w:rsidRPr="0024351F">
        <w:t xml:space="preserve"> </w:t>
      </w:r>
      <w:r>
        <w:t>original)</w:t>
      </w:r>
    </w:p>
  </w:footnote>
  <w:footnote w:id="1658">
    <w:p w:rsidR="00FD2727" w:rsidRPr="00410588" w:rsidRDefault="00FD2727">
      <w:pPr>
        <w:pStyle w:val="FootnoteText"/>
        <w:rPr>
          <w:lang w:val="en-US"/>
        </w:rPr>
      </w:pPr>
      <w:r>
        <w:rPr>
          <w:rStyle w:val="FootnoteReference"/>
        </w:rPr>
        <w:footnoteRef/>
      </w:r>
      <w:r>
        <w:t xml:space="preserve"> Panel Report, </w:t>
      </w:r>
      <w:r w:rsidRPr="00AF3D63">
        <w:t>para. </w:t>
      </w:r>
      <w:r>
        <w:t>6.286.</w:t>
      </w:r>
    </w:p>
  </w:footnote>
  <w:footnote w:id="1659">
    <w:p w:rsidR="00FD2727" w:rsidRPr="00410588" w:rsidRDefault="00FD2727">
      <w:pPr>
        <w:pStyle w:val="FootnoteText"/>
        <w:rPr>
          <w:lang w:val="en-US"/>
        </w:rPr>
      </w:pPr>
      <w:r>
        <w:rPr>
          <w:rStyle w:val="FootnoteReference"/>
        </w:rPr>
        <w:footnoteRef/>
      </w:r>
      <w:r>
        <w:t xml:space="preserve"> Panel Report, </w:t>
      </w:r>
      <w:r w:rsidRPr="00AF3D63">
        <w:t>para. </w:t>
      </w:r>
      <w:r>
        <w:t>6.286.</w:t>
      </w:r>
    </w:p>
  </w:footnote>
  <w:footnote w:id="1660">
    <w:p w:rsidR="00FD2727" w:rsidRPr="00410588" w:rsidRDefault="00FD2727">
      <w:pPr>
        <w:pStyle w:val="FootnoteText"/>
        <w:rPr>
          <w:lang w:val="en-US"/>
        </w:rPr>
      </w:pPr>
      <w:r w:rsidRPr="008D04C9">
        <w:rPr>
          <w:rStyle w:val="FootnoteReference"/>
        </w:rPr>
        <w:footnoteRef/>
      </w:r>
      <w:r w:rsidRPr="008D04C9">
        <w:t xml:space="preserve"> Panel Report, para. 6.1451. </w:t>
      </w:r>
    </w:p>
  </w:footnote>
  <w:footnote w:id="1661">
    <w:p w:rsidR="00FD2727" w:rsidRPr="00410588" w:rsidRDefault="00FD2727">
      <w:pPr>
        <w:pStyle w:val="FootnoteText"/>
        <w:rPr>
          <w:lang w:val="en-US"/>
        </w:rPr>
      </w:pPr>
      <w:r>
        <w:rPr>
          <w:rStyle w:val="FootnoteReference"/>
        </w:rPr>
        <w:footnoteRef/>
      </w:r>
      <w:r>
        <w:t xml:space="preserve"> Appellate Body Report, </w:t>
      </w:r>
      <w:r>
        <w:rPr>
          <w:i/>
        </w:rPr>
        <w:t>US – Large Civil Aircraft (2</w:t>
      </w:r>
      <w:r>
        <w:rPr>
          <w:i/>
          <w:vertAlign w:val="superscript"/>
        </w:rPr>
        <w:t>nd</w:t>
      </w:r>
      <w:r>
        <w:rPr>
          <w:i/>
        </w:rPr>
        <w:t xml:space="preserve"> complaint)</w:t>
      </w:r>
      <w:r>
        <w:t xml:space="preserve">, </w:t>
      </w:r>
      <w:r w:rsidRPr="00AF3D63">
        <w:t>para. </w:t>
      </w:r>
      <w:r>
        <w:t>1285.</w:t>
      </w:r>
    </w:p>
  </w:footnote>
  <w:footnote w:id="1662">
    <w:p w:rsidR="00FD2727" w:rsidRDefault="00FD2727">
      <w:pPr>
        <w:pStyle w:val="FootnoteText"/>
      </w:pPr>
      <w:r>
        <w:rPr>
          <w:rStyle w:val="FootnoteReference"/>
        </w:rPr>
        <w:footnoteRef/>
      </w:r>
      <w:r>
        <w:t xml:space="preserve"> Panel Report, para. 6.152. See also para. 6.1651.</w:t>
      </w:r>
    </w:p>
  </w:footnote>
  <w:footnote w:id="1663">
    <w:p w:rsidR="00FD2727" w:rsidRPr="00410588" w:rsidRDefault="00FD2727" w:rsidP="00226496">
      <w:pPr>
        <w:pStyle w:val="FootnoteText"/>
        <w:keepNext/>
        <w:keepLines/>
        <w:rPr>
          <w:lang w:val="en-US"/>
        </w:rPr>
      </w:pPr>
      <w:r>
        <w:rPr>
          <w:rStyle w:val="FootnoteReference"/>
        </w:rPr>
        <w:footnoteRef/>
      </w:r>
      <w:r>
        <w:t xml:space="preserve"> As </w:t>
      </w:r>
      <w:r w:rsidRPr="00145239">
        <w:t>noted in paragraphs 5.389-5.390 and footnote 978 above, t</w:t>
      </w:r>
      <w:r>
        <w:t>he European Union submitted two </w:t>
      </w:r>
      <w:r w:rsidRPr="00145239">
        <w:t>approaches for estimating the "</w:t>
      </w:r>
      <w:r w:rsidRPr="00145239">
        <w:rPr>
          <w:i/>
        </w:rPr>
        <w:t>ex ante</w:t>
      </w:r>
      <w:r w:rsidRPr="00145239">
        <w:t xml:space="preserve">" lives of the LA/MSF subsidies – the "Loan Life" approach and the "Marketing Life" approach. The Panel expressed doubt as to whether the Loan Life approach would be the most appropriate methodology for determining the </w:t>
      </w:r>
      <w:r w:rsidRPr="00145239">
        <w:rPr>
          <w:i/>
        </w:rPr>
        <w:t>ex ante</w:t>
      </w:r>
      <w:r w:rsidRPr="00145239">
        <w:t xml:space="preserve"> "lives", and noted that "it would be at least equally appropriate" to utilize the Marketing Life approach. (Ibid., para. 6.878) The Panel, however, did not find it necessary to express a definitive view on which of the two approaches should be accepted. (Ibid., para. 6.879) Ultimately, the Panel found that the LA/MSF subsidies for the A330-200 and the A340</w:t>
      </w:r>
      <w:r w:rsidRPr="00145239">
        <w:noBreakHyphen/>
        <w:t xml:space="preserve">500/600 expired, respectively, in </w:t>
      </w:r>
      <w:r w:rsidRPr="00145239">
        <w:rPr>
          <w:b/>
        </w:rPr>
        <w:t>[</w:t>
      </w:r>
      <w:r w:rsidRPr="00C8434D">
        <w:rPr>
          <w:b/>
          <w:szCs w:val="16"/>
        </w:rPr>
        <w:t>BCI</w:t>
      </w:r>
      <w:r w:rsidRPr="00145239">
        <w:rPr>
          <w:b/>
        </w:rPr>
        <w:t xml:space="preserve">] </w:t>
      </w:r>
      <w:r w:rsidRPr="00145239">
        <w:t xml:space="preserve">– that is, after the end of the implementation period – on the basis of the Loan Life approach for assessing the </w:t>
      </w:r>
      <w:r w:rsidRPr="00145239">
        <w:rPr>
          <w:i/>
        </w:rPr>
        <w:t>ex ante</w:t>
      </w:r>
      <w:r w:rsidRPr="00145239">
        <w:t xml:space="preserve"> "lives" of subsidies. (Panel Report, fn 1547 to para. 6.879). We note that, under the Marketing Life approach, the LA/MSF subsidy for the A330-200 would have expired by </w:t>
      </w:r>
      <w:r w:rsidRPr="00145239">
        <w:rPr>
          <w:b/>
        </w:rPr>
        <w:t>[</w:t>
      </w:r>
      <w:r w:rsidRPr="00C8434D">
        <w:rPr>
          <w:b/>
          <w:szCs w:val="16"/>
        </w:rPr>
        <w:t>BCI</w:t>
      </w:r>
      <w:r w:rsidRPr="00145239">
        <w:rPr>
          <w:b/>
        </w:rPr>
        <w:t>]</w:t>
      </w:r>
      <w:r w:rsidRPr="00145239">
        <w:t xml:space="preserve"> – that is, before the end of the implementation period – and the LA/MSF subsidy for the A340-500/600 would have expired by </w:t>
      </w:r>
      <w:r w:rsidRPr="00145239">
        <w:rPr>
          <w:b/>
        </w:rPr>
        <w:t>[</w:t>
      </w:r>
      <w:r w:rsidRPr="00C8434D">
        <w:rPr>
          <w:b/>
          <w:szCs w:val="16"/>
        </w:rPr>
        <w:t>BCI</w:t>
      </w:r>
      <w:r w:rsidRPr="00145239">
        <w:rPr>
          <w:b/>
        </w:rPr>
        <w:t>]</w:t>
      </w:r>
      <w:r w:rsidRPr="00145239">
        <w:t xml:space="preserve">. (Ibid., Table 11: PwC </w:t>
      </w:r>
      <w:r w:rsidRPr="00145239">
        <w:rPr>
          <w:i/>
        </w:rPr>
        <w:t>ex ante</w:t>
      </w:r>
      <w:r w:rsidRPr="00145239">
        <w:t xml:space="preserve"> "lives" analysis for LA/MSF) As further discussed in footnote 2030 and paragraph 5.719 below, we do</w:t>
      </w:r>
      <w:r>
        <w:t xml:space="preserve"> not find </w:t>
      </w:r>
      <w:r w:rsidRPr="00197B0E">
        <w:rPr>
          <w:i/>
        </w:rPr>
        <w:t xml:space="preserve">specific </w:t>
      </w:r>
      <w:r>
        <w:t>findings and supporting analysis from the original proceedings or in the Panel Report regarding how the "product effects" of these two subsidies contributed to the alleged serious prejudice in the post-implementation period.</w:t>
      </w:r>
    </w:p>
  </w:footnote>
  <w:footnote w:id="1664">
    <w:p w:rsidR="00FD2727" w:rsidRPr="00410588" w:rsidRDefault="00FD2727">
      <w:pPr>
        <w:pStyle w:val="FootnoteText"/>
        <w:rPr>
          <w:lang w:val="en-US"/>
        </w:rPr>
      </w:pPr>
      <w:r>
        <w:rPr>
          <w:rStyle w:val="FootnoteReference"/>
        </w:rPr>
        <w:footnoteRef/>
      </w:r>
      <w:r>
        <w:t xml:space="preserve"> Appellate Body Report, </w:t>
      </w:r>
      <w:r>
        <w:rPr>
          <w:i/>
        </w:rPr>
        <w:t>US – Large Civil Aircraft (2</w:t>
      </w:r>
      <w:r>
        <w:rPr>
          <w:i/>
          <w:vertAlign w:val="superscript"/>
        </w:rPr>
        <w:t>nd</w:t>
      </w:r>
      <w:r>
        <w:rPr>
          <w:i/>
        </w:rPr>
        <w:t xml:space="preserve"> complaint)</w:t>
      </w:r>
      <w:r>
        <w:t xml:space="preserve">, </w:t>
      </w:r>
      <w:r w:rsidRPr="00AF3D63">
        <w:t>para. </w:t>
      </w:r>
      <w:r>
        <w:t>1285.</w:t>
      </w:r>
    </w:p>
  </w:footnote>
  <w:footnote w:id="1665">
    <w:p w:rsidR="00FD2727" w:rsidRPr="00410588" w:rsidRDefault="00FD2727">
      <w:pPr>
        <w:pStyle w:val="FootnoteText"/>
        <w:rPr>
          <w:lang w:val="en-US"/>
        </w:rPr>
      </w:pPr>
      <w:r>
        <w:rPr>
          <w:rStyle w:val="FootnoteReference"/>
        </w:rPr>
        <w:footnoteRef/>
      </w:r>
      <w:r>
        <w:t xml:space="preserve"> European Union's appellant's submission, </w:t>
      </w:r>
      <w:r w:rsidRPr="00AF3D63">
        <w:t>para. </w:t>
      </w:r>
      <w:r>
        <w:t>884.</w:t>
      </w:r>
    </w:p>
  </w:footnote>
  <w:footnote w:id="1666">
    <w:p w:rsidR="00FD2727" w:rsidRPr="00410588" w:rsidRDefault="00FD2727">
      <w:pPr>
        <w:pStyle w:val="FootnoteText"/>
        <w:rPr>
          <w:lang w:val="en-US"/>
        </w:rPr>
      </w:pPr>
      <w:r>
        <w:rPr>
          <w:rStyle w:val="FootnoteReference"/>
        </w:rPr>
        <w:footnoteRef/>
      </w:r>
      <w:r>
        <w:t xml:space="preserve"> European Union's appellant's submission, </w:t>
      </w:r>
      <w:r w:rsidRPr="00AF3D63">
        <w:t>para. </w:t>
      </w:r>
      <w:r>
        <w:t xml:space="preserve">880 (quoting Panel Report, </w:t>
      </w:r>
      <w:r w:rsidRPr="00AF3D63">
        <w:t>para. </w:t>
      </w:r>
      <w:r>
        <w:t>6.1507 and referring to fn 2597 thereto).</w:t>
      </w:r>
    </w:p>
  </w:footnote>
  <w:footnote w:id="1667">
    <w:p w:rsidR="00FD2727" w:rsidRPr="00410588" w:rsidRDefault="00FD2727">
      <w:pPr>
        <w:pStyle w:val="FootnoteText"/>
        <w:rPr>
          <w:lang w:val="en-US"/>
        </w:rPr>
      </w:pPr>
      <w:r>
        <w:rPr>
          <w:rStyle w:val="FootnoteReference"/>
        </w:rPr>
        <w:footnoteRef/>
      </w:r>
      <w:r>
        <w:t xml:space="preserve"> European Union's appellant's submission, </w:t>
      </w:r>
      <w:r w:rsidRPr="00AF3D63">
        <w:t>para. </w:t>
      </w:r>
      <w:r>
        <w:t>881.</w:t>
      </w:r>
    </w:p>
  </w:footnote>
  <w:footnote w:id="1668">
    <w:p w:rsidR="00FD2727" w:rsidRPr="00410588" w:rsidRDefault="00FD2727">
      <w:pPr>
        <w:pStyle w:val="FootnoteText"/>
        <w:rPr>
          <w:lang w:val="en-US"/>
        </w:rPr>
      </w:pPr>
      <w:r>
        <w:rPr>
          <w:rStyle w:val="FootnoteReference"/>
        </w:rPr>
        <w:footnoteRef/>
      </w:r>
      <w:r>
        <w:t xml:space="preserve"> European Union's appellant's submission, </w:t>
      </w:r>
      <w:r w:rsidRPr="00AF3D63">
        <w:t>para. </w:t>
      </w:r>
      <w:r>
        <w:t>883. (emphasis original)</w:t>
      </w:r>
    </w:p>
  </w:footnote>
  <w:footnote w:id="1669">
    <w:p w:rsidR="00FD2727" w:rsidRPr="00410588" w:rsidRDefault="00FD2727">
      <w:pPr>
        <w:pStyle w:val="FootnoteText"/>
        <w:rPr>
          <w:lang w:val="en-US"/>
        </w:rPr>
      </w:pPr>
      <w:r>
        <w:rPr>
          <w:rStyle w:val="FootnoteReference"/>
        </w:rPr>
        <w:footnoteRef/>
      </w:r>
      <w:r>
        <w:t xml:space="preserve"> European Union's appellant's submission, </w:t>
      </w:r>
      <w:r w:rsidRPr="00AF3D63">
        <w:t>para. </w:t>
      </w:r>
      <w:r>
        <w:t xml:space="preserve">883 (quoting Panel Report, </w:t>
      </w:r>
      <w:r w:rsidRPr="00AF3D63">
        <w:t>para. </w:t>
      </w:r>
      <w:r>
        <w:t>6.1507 and referring to fn 2597 thereto).</w:t>
      </w:r>
    </w:p>
  </w:footnote>
  <w:footnote w:id="1670">
    <w:p w:rsidR="00FD2727" w:rsidRPr="00410588" w:rsidRDefault="00FD2727">
      <w:pPr>
        <w:pStyle w:val="FootnoteText"/>
        <w:rPr>
          <w:lang w:val="en-US"/>
        </w:rPr>
      </w:pPr>
      <w:r>
        <w:rPr>
          <w:rStyle w:val="FootnoteReference"/>
        </w:rPr>
        <w:footnoteRef/>
      </w:r>
      <w:r>
        <w:t xml:space="preserve"> European Union's appellant's submission, </w:t>
      </w:r>
      <w:r w:rsidRPr="00AF3D63">
        <w:t>para. </w:t>
      </w:r>
      <w:r>
        <w:t xml:space="preserve">883 (quoting Panel Report, </w:t>
      </w:r>
      <w:r w:rsidRPr="00AF3D63">
        <w:t>para. </w:t>
      </w:r>
      <w:r>
        <w:t>6.1492).</w:t>
      </w:r>
    </w:p>
  </w:footnote>
  <w:footnote w:id="1671">
    <w:p w:rsidR="00FD2727" w:rsidRPr="00410588" w:rsidRDefault="00FD2727">
      <w:pPr>
        <w:pStyle w:val="FootnoteText"/>
        <w:rPr>
          <w:lang w:val="en-US"/>
        </w:rPr>
      </w:pPr>
      <w:r>
        <w:rPr>
          <w:rStyle w:val="FootnoteReference"/>
        </w:rPr>
        <w:footnoteRef/>
      </w:r>
      <w:r>
        <w:t xml:space="preserve"> United States' appellee's submission, </w:t>
      </w:r>
      <w:r w:rsidRPr="00AF3D63">
        <w:t>para. </w:t>
      </w:r>
      <w:r>
        <w:t>479.</w:t>
      </w:r>
    </w:p>
  </w:footnote>
  <w:footnote w:id="1672">
    <w:p w:rsidR="00FD2727" w:rsidRPr="00E32A9C" w:rsidRDefault="00FD2727">
      <w:pPr>
        <w:pStyle w:val="FootnoteText"/>
      </w:pPr>
      <w:r>
        <w:rPr>
          <w:rStyle w:val="FootnoteReference"/>
        </w:rPr>
        <w:footnoteRef/>
      </w:r>
      <w:r>
        <w:t xml:space="preserve"> United States' appellee's submission, para. 477 (referring to Panel Report, para. 6.1528).</w:t>
      </w:r>
    </w:p>
  </w:footnote>
  <w:footnote w:id="1673">
    <w:p w:rsidR="00FD2727" w:rsidRPr="00410588" w:rsidRDefault="00FD2727">
      <w:pPr>
        <w:pStyle w:val="FootnoteText"/>
        <w:rPr>
          <w:lang w:val="en-US"/>
        </w:rPr>
      </w:pPr>
      <w:r>
        <w:rPr>
          <w:rStyle w:val="FootnoteReference"/>
        </w:rPr>
        <w:footnoteRef/>
      </w:r>
      <w:r>
        <w:t xml:space="preserve"> European Union's response to questioning at the oral hearing.</w:t>
      </w:r>
    </w:p>
  </w:footnote>
  <w:footnote w:id="1674">
    <w:p w:rsidR="00FD2727" w:rsidRPr="00410588" w:rsidRDefault="00FD2727">
      <w:pPr>
        <w:pStyle w:val="FootnoteText"/>
        <w:rPr>
          <w:lang w:val="en-US"/>
        </w:rPr>
      </w:pPr>
      <w:r>
        <w:rPr>
          <w:rStyle w:val="FootnoteReference"/>
        </w:rPr>
        <w:footnoteRef/>
      </w:r>
      <w:r>
        <w:t xml:space="preserve"> European Union's first written submission to the Panel, </w:t>
      </w:r>
      <w:r w:rsidRPr="00AF3D63">
        <w:t>para. </w:t>
      </w:r>
      <w:r>
        <w:t>981. (emphases original)</w:t>
      </w:r>
    </w:p>
  </w:footnote>
  <w:footnote w:id="1675">
    <w:p w:rsidR="00FD2727" w:rsidRPr="00410588" w:rsidRDefault="00FD2727">
      <w:pPr>
        <w:pStyle w:val="FootnoteText"/>
        <w:rPr>
          <w:lang w:val="en-US"/>
        </w:rPr>
      </w:pPr>
      <w:r>
        <w:rPr>
          <w:rStyle w:val="FootnoteReference"/>
        </w:rPr>
        <w:footnoteRef/>
      </w:r>
      <w:r>
        <w:t xml:space="preserve"> Panel Report, </w:t>
      </w:r>
      <w:r w:rsidRPr="00AF3D63">
        <w:t>para. </w:t>
      </w:r>
      <w:r>
        <w:t>6.1507. (emphasis original; fn omitted)</w:t>
      </w:r>
    </w:p>
  </w:footnote>
  <w:footnote w:id="1676">
    <w:p w:rsidR="00FD2727" w:rsidRPr="00410588" w:rsidRDefault="00FD2727">
      <w:pPr>
        <w:pStyle w:val="FootnoteText"/>
        <w:rPr>
          <w:lang w:val="en-US"/>
        </w:rPr>
      </w:pPr>
      <w:r>
        <w:rPr>
          <w:rStyle w:val="FootnoteReference"/>
        </w:rPr>
        <w:footnoteRef/>
      </w:r>
      <w:r>
        <w:t xml:space="preserve"> Panel Report, fn 2597 to </w:t>
      </w:r>
      <w:r w:rsidRPr="00AF3D63">
        <w:t>para. </w:t>
      </w:r>
      <w:r>
        <w:t>6.1507 (quoting and referring to Original Panel R</w:t>
      </w:r>
      <w:r w:rsidRPr="00E20560">
        <w:t>eport</w:t>
      </w:r>
      <w:r>
        <w:t xml:space="preserve">, </w:t>
      </w:r>
      <w:r w:rsidRPr="00AF3D63">
        <w:t>paras. </w:t>
      </w:r>
      <w:r>
        <w:t>7.1940 and 7.1948). (emphasis original)</w:t>
      </w:r>
    </w:p>
  </w:footnote>
  <w:footnote w:id="1677">
    <w:p w:rsidR="00FD2727" w:rsidRPr="00410588" w:rsidRDefault="00FD2727">
      <w:pPr>
        <w:pStyle w:val="FootnoteText"/>
        <w:rPr>
          <w:lang w:val="en-US"/>
        </w:rPr>
      </w:pPr>
      <w:r>
        <w:rPr>
          <w:rStyle w:val="FootnoteReference"/>
        </w:rPr>
        <w:footnoteRef/>
      </w:r>
      <w:r>
        <w:t xml:space="preserve"> European Union's appellant's submission, </w:t>
      </w:r>
      <w:r w:rsidRPr="00AF3D63">
        <w:t>para. </w:t>
      </w:r>
      <w:r>
        <w:t xml:space="preserve">880 (quoting Panel Report, </w:t>
      </w:r>
      <w:r w:rsidRPr="00AF3D63">
        <w:t>para. </w:t>
      </w:r>
      <w:r>
        <w:t>6.1507 and referring to fn 2597 thereto).</w:t>
      </w:r>
    </w:p>
  </w:footnote>
  <w:footnote w:id="1678">
    <w:p w:rsidR="00FD2727" w:rsidRPr="00410588" w:rsidRDefault="00FD2727">
      <w:pPr>
        <w:pStyle w:val="FootnoteText"/>
        <w:rPr>
          <w:lang w:val="en-US"/>
        </w:rPr>
      </w:pPr>
      <w:r>
        <w:rPr>
          <w:rStyle w:val="FootnoteReference"/>
        </w:rPr>
        <w:footnoteRef/>
      </w:r>
      <w:r>
        <w:t xml:space="preserve"> European Union's appellant's submission, </w:t>
      </w:r>
      <w:r w:rsidRPr="00AF3D63">
        <w:t>para. </w:t>
      </w:r>
      <w:r>
        <w:t>883. See also European Union's first written submission to the Panel, para. 981.</w:t>
      </w:r>
    </w:p>
  </w:footnote>
  <w:footnote w:id="1679">
    <w:p w:rsidR="00FD2727" w:rsidRPr="00226496" w:rsidRDefault="00FD2727">
      <w:pPr>
        <w:pStyle w:val="FootnoteText"/>
      </w:pPr>
      <w:r>
        <w:rPr>
          <w:rStyle w:val="FootnoteReference"/>
        </w:rPr>
        <w:footnoteRef/>
      </w:r>
      <w:r>
        <w:t xml:space="preserve"> Panel Report, </w:t>
      </w:r>
      <w:r w:rsidRPr="00AF3D63">
        <w:t>para. </w:t>
      </w:r>
      <w:r>
        <w:t>6.1507.</w:t>
      </w:r>
    </w:p>
  </w:footnote>
  <w:footnote w:id="1680">
    <w:p w:rsidR="00FD2727" w:rsidRPr="00410588" w:rsidRDefault="00FD2727" w:rsidP="00C752B3">
      <w:pPr>
        <w:pStyle w:val="FootnoteText"/>
        <w:keepLines/>
        <w:rPr>
          <w:lang w:val="en-US"/>
        </w:rPr>
      </w:pPr>
      <w:r>
        <w:rPr>
          <w:rStyle w:val="FootnoteReference"/>
        </w:rPr>
        <w:footnoteRef/>
      </w:r>
      <w:r>
        <w:t xml:space="preserve"> Panel Report, fn 2597 to </w:t>
      </w:r>
      <w:r w:rsidRPr="00AF3D63">
        <w:t>para. </w:t>
      </w:r>
      <w:r>
        <w:t>6.1507 (quoting and referring to Original Panel R</w:t>
      </w:r>
      <w:r w:rsidRPr="00E20560">
        <w:t>eport</w:t>
      </w:r>
      <w:r>
        <w:t xml:space="preserve">, </w:t>
      </w:r>
      <w:r w:rsidRPr="00AF3D63">
        <w:t>paras. </w:t>
      </w:r>
      <w:r w:rsidRPr="007D5972">
        <w:t>7.1940 and 7.1948).</w:t>
      </w:r>
      <w:r w:rsidRPr="00ED4FEC">
        <w:t xml:space="preserve"> </w:t>
      </w:r>
      <w:r>
        <w:t>In fact, although the original panel acknowledged</w:t>
      </w:r>
      <w:r w:rsidRPr="00A25F36">
        <w:t xml:space="preserve"> that th</w:t>
      </w:r>
      <w:r>
        <w:t>e A380 business case predicted</w:t>
      </w:r>
      <w:r w:rsidRPr="00A25F36">
        <w:t xml:space="preserve"> a positive NPV in the absence of LA/MSF,</w:t>
      </w:r>
      <w:r>
        <w:t xml:space="preserve"> it was </w:t>
      </w:r>
      <w:r w:rsidRPr="00A25F36">
        <w:t>"not persuaded that the A380 business case alone demonstrates that Airbus would have launched the A380 even in the absence of LA/MSF".</w:t>
      </w:r>
      <w:r>
        <w:t xml:space="preserve"> (Original Panel R</w:t>
      </w:r>
      <w:r w:rsidRPr="00E20560">
        <w:t xml:space="preserve">eport, </w:t>
      </w:r>
      <w:r w:rsidRPr="00AF3D63">
        <w:t>para. </w:t>
      </w:r>
      <w:r w:rsidRPr="00E20560">
        <w:t>7.1944</w:t>
      </w:r>
      <w:r>
        <w:t>)</w:t>
      </w:r>
    </w:p>
  </w:footnote>
  <w:footnote w:id="1681">
    <w:p w:rsidR="00FD2727" w:rsidRPr="00410588" w:rsidRDefault="00FD2727">
      <w:pPr>
        <w:pStyle w:val="FootnoteText"/>
        <w:rPr>
          <w:lang w:val="en-US"/>
        </w:rPr>
      </w:pPr>
      <w:r>
        <w:rPr>
          <w:rStyle w:val="FootnoteReference"/>
        </w:rPr>
        <w:footnoteRef/>
      </w:r>
      <w:r>
        <w:t xml:space="preserve"> Original Panel R</w:t>
      </w:r>
      <w:r w:rsidRPr="00E20560">
        <w:t xml:space="preserve">eport, </w:t>
      </w:r>
      <w:r w:rsidRPr="00AF3D63">
        <w:t>para</w:t>
      </w:r>
      <w:r>
        <w:t>s</w:t>
      </w:r>
      <w:r w:rsidRPr="00AF3D63">
        <w:t>. </w:t>
      </w:r>
      <w:r w:rsidRPr="00E20560">
        <w:t>7.1945</w:t>
      </w:r>
      <w:r>
        <w:t>-7.1947</w:t>
      </w:r>
      <w:r w:rsidRPr="00E20560">
        <w:t>.</w:t>
      </w:r>
      <w:r>
        <w:t xml:space="preserve"> The original panel's analysis of "outside financing" available to Airbus included an assessment of the extent to which Airbus could increase its use of risk-sharing supplier arrangements to fund the launch of the A380. (Ibid., paras. 7.1945-7.1947)</w:t>
      </w:r>
    </w:p>
  </w:footnote>
  <w:footnote w:id="1682">
    <w:p w:rsidR="00FD2727" w:rsidRPr="00410588" w:rsidRDefault="00FD2727">
      <w:pPr>
        <w:pStyle w:val="FootnoteText"/>
        <w:rPr>
          <w:lang w:val="en-US"/>
        </w:rPr>
      </w:pPr>
      <w:r>
        <w:rPr>
          <w:rStyle w:val="FootnoteReference"/>
        </w:rPr>
        <w:footnoteRef/>
      </w:r>
      <w:r>
        <w:t xml:space="preserve"> Original Panel R</w:t>
      </w:r>
      <w:r w:rsidRPr="00E20560">
        <w:t xml:space="preserve">eport, </w:t>
      </w:r>
      <w:r w:rsidRPr="00AF3D63">
        <w:t>para. </w:t>
      </w:r>
      <w:r w:rsidRPr="00E20560">
        <w:t>7.1947.</w:t>
      </w:r>
    </w:p>
  </w:footnote>
  <w:footnote w:id="1683">
    <w:p w:rsidR="00FD2727" w:rsidRPr="00410588" w:rsidRDefault="00FD2727" w:rsidP="00226496">
      <w:pPr>
        <w:pStyle w:val="FootnoteText"/>
        <w:keepNext/>
        <w:keepLines/>
        <w:rPr>
          <w:lang w:val="en-US"/>
        </w:rPr>
      </w:pPr>
      <w:r>
        <w:rPr>
          <w:rStyle w:val="FootnoteReference"/>
        </w:rPr>
        <w:footnoteRef/>
      </w:r>
      <w:r>
        <w:t xml:space="preserve"> Original Panel R</w:t>
      </w:r>
      <w:r w:rsidRPr="00E20560">
        <w:t>eport</w:t>
      </w:r>
      <w:r>
        <w:t xml:space="preserve">, </w:t>
      </w:r>
      <w:r w:rsidRPr="00AF3D63">
        <w:t>para. </w:t>
      </w:r>
      <w:r>
        <w:t xml:space="preserve">7.1947. </w:t>
      </w:r>
      <w:r w:rsidRPr="00E20560">
        <w:t xml:space="preserve">The </w:t>
      </w:r>
      <w:r>
        <w:t>original p</w:t>
      </w:r>
      <w:r w:rsidRPr="00E20560">
        <w:t xml:space="preserve">anel acknowledged that Airbus used risk-sharing supplier arrangements, but </w:t>
      </w:r>
      <w:r>
        <w:t xml:space="preserve">did not see any </w:t>
      </w:r>
      <w:r w:rsidRPr="00E20560">
        <w:t xml:space="preserve">indication that it could have increased its use of such arrangements so as to replace the entire amount of financing provided by LA/MSF, which was up to 33% of the </w:t>
      </w:r>
      <w:r>
        <w:t xml:space="preserve">development costs of the A380. </w:t>
      </w:r>
      <w:r w:rsidRPr="00E20560">
        <w:t xml:space="preserve">Furthermore, the </w:t>
      </w:r>
      <w:r>
        <w:t>original panel</w:t>
      </w:r>
      <w:r w:rsidRPr="00E20560">
        <w:t xml:space="preserve"> did not consider the availability of risk-sharing supplier arrangements in respect of the A340-500/600 to be persuasive in this regard, because those were derivative aircraft </w:t>
      </w:r>
      <w:r>
        <w:t>that</w:t>
      </w:r>
      <w:r w:rsidRPr="00E20560">
        <w:t xml:space="preserve"> entailed much smaller development costs and a much lower level of risk </w:t>
      </w:r>
      <w:r>
        <w:t>to Airbus' overall operations. In the original panel's view, the</w:t>
      </w:r>
      <w:r w:rsidRPr="00E20560">
        <w:t xml:space="preserve"> willingness of suppliers to take on some of the risk of that much smaller programme did not demonstrate that any supplier or suppliers would be prepared to do so in respect of up to 33% of the m</w:t>
      </w:r>
      <w:r>
        <w:t xml:space="preserve">uch greater costs of the A380. </w:t>
      </w:r>
      <w:r w:rsidRPr="00E20560">
        <w:t xml:space="preserve">Finally, the </w:t>
      </w:r>
      <w:r>
        <w:t>original panel</w:t>
      </w:r>
      <w:r w:rsidRPr="00E20560">
        <w:t xml:space="preserve"> noted that </w:t>
      </w:r>
      <w:r>
        <w:t xml:space="preserve">the </w:t>
      </w:r>
      <w:r w:rsidRPr="00E20560">
        <w:t xml:space="preserve">information in the Airbus A380 business case suggested that the </w:t>
      </w:r>
      <w:r>
        <w:t>RSPs'</w:t>
      </w:r>
      <w:r w:rsidRPr="00E20560">
        <w:t xml:space="preserve"> involvement in the A380 </w:t>
      </w:r>
      <w:r>
        <w:t>programme</w:t>
      </w:r>
      <w:r w:rsidRPr="00E20560">
        <w:t> may not have been on strictly market terms for all participants.</w:t>
      </w:r>
      <w:r>
        <w:t xml:space="preserve"> (Ibid.)</w:t>
      </w:r>
    </w:p>
  </w:footnote>
  <w:footnote w:id="1684">
    <w:p w:rsidR="00FD2727" w:rsidRPr="00410588" w:rsidRDefault="00FD2727">
      <w:pPr>
        <w:pStyle w:val="FootnoteText"/>
        <w:rPr>
          <w:lang w:val="en-US"/>
        </w:rPr>
      </w:pPr>
      <w:r>
        <w:rPr>
          <w:rStyle w:val="FootnoteReference"/>
        </w:rPr>
        <w:footnoteRef/>
      </w:r>
      <w:r>
        <w:t xml:space="preserve"> Original Panel Report, </w:t>
      </w:r>
      <w:r w:rsidRPr="00AF3D63">
        <w:t>para. </w:t>
      </w:r>
      <w:r>
        <w:t xml:space="preserve">7.1948; Appellate Body Report, </w:t>
      </w:r>
      <w:r w:rsidRPr="0027490A">
        <w:rPr>
          <w:i/>
        </w:rPr>
        <w:t>EC and certain member States – Large Civil Aircraft</w:t>
      </w:r>
      <w:r>
        <w:t xml:space="preserve">, </w:t>
      </w:r>
      <w:r w:rsidRPr="00AF3D63">
        <w:t>para. </w:t>
      </w:r>
      <w:r>
        <w:t>1356.</w:t>
      </w:r>
    </w:p>
  </w:footnote>
  <w:footnote w:id="1685">
    <w:p w:rsidR="00FD2727" w:rsidRPr="00410588" w:rsidRDefault="00FD2727">
      <w:pPr>
        <w:pStyle w:val="FootnoteText"/>
        <w:rPr>
          <w:lang w:val="en-US"/>
        </w:rPr>
      </w:pPr>
      <w:r>
        <w:rPr>
          <w:rStyle w:val="FootnoteReference"/>
        </w:rPr>
        <w:footnoteRef/>
      </w:r>
      <w:r>
        <w:t xml:space="preserve"> United States' appellee's submission, </w:t>
      </w:r>
      <w:r w:rsidRPr="00AF3D63">
        <w:t>para. </w:t>
      </w:r>
      <w:r>
        <w:t xml:space="preserve">479 (referring to Appellate Body Report, </w:t>
      </w:r>
      <w:r w:rsidRPr="0027490A">
        <w:rPr>
          <w:i/>
        </w:rPr>
        <w:t>EC and certain member States – Large Civil Aircraft</w:t>
      </w:r>
      <w:r>
        <w:t xml:space="preserve">, </w:t>
      </w:r>
      <w:r w:rsidRPr="00AF3D63">
        <w:t>para. </w:t>
      </w:r>
      <w:r>
        <w:t>1256).</w:t>
      </w:r>
    </w:p>
  </w:footnote>
  <w:footnote w:id="1686">
    <w:p w:rsidR="00FD2727" w:rsidRPr="00145239" w:rsidRDefault="00FD2727">
      <w:pPr>
        <w:pStyle w:val="FootnoteText"/>
        <w:rPr>
          <w:lang w:val="en-US"/>
        </w:rPr>
      </w:pPr>
      <w:r>
        <w:rPr>
          <w:rStyle w:val="FootnoteReference"/>
        </w:rPr>
        <w:footnoteRef/>
      </w:r>
      <w:r>
        <w:t xml:space="preserve"> </w:t>
      </w:r>
      <w:r w:rsidRPr="00145239">
        <w:t>United States' first written submission to the Panel, para. 354.</w:t>
      </w:r>
    </w:p>
  </w:footnote>
  <w:footnote w:id="1687">
    <w:p w:rsidR="00FD2727" w:rsidRPr="00145239" w:rsidRDefault="00FD2727">
      <w:pPr>
        <w:pStyle w:val="FootnoteText"/>
        <w:rPr>
          <w:lang w:val="en-US"/>
        </w:rPr>
      </w:pPr>
      <w:r w:rsidRPr="00145239">
        <w:rPr>
          <w:rStyle w:val="FootnoteReference"/>
        </w:rPr>
        <w:footnoteRef/>
      </w:r>
      <w:r w:rsidRPr="00145239">
        <w:t xml:space="preserve"> See paras. 5.643-5.647 below.</w:t>
      </w:r>
    </w:p>
  </w:footnote>
  <w:footnote w:id="1688">
    <w:p w:rsidR="00FD2727" w:rsidRPr="00410588" w:rsidRDefault="00FD2727" w:rsidP="00C752B3">
      <w:pPr>
        <w:pStyle w:val="FootnoteText"/>
        <w:keepNext/>
        <w:keepLines/>
        <w:rPr>
          <w:lang w:val="en-US"/>
        </w:rPr>
      </w:pPr>
      <w:r w:rsidRPr="00145239">
        <w:rPr>
          <w:rStyle w:val="FootnoteReference"/>
        </w:rPr>
        <w:footnoteRef/>
      </w:r>
      <w:r w:rsidRPr="00145239">
        <w:t xml:space="preserve"> See Panel Report, para. 6.872, Table 11: PwC </w:t>
      </w:r>
      <w:r w:rsidRPr="00145239">
        <w:rPr>
          <w:i/>
        </w:rPr>
        <w:t>ex ante</w:t>
      </w:r>
      <w:r w:rsidRPr="00145239">
        <w:t xml:space="preserve"> "lives" analysis for LA/MSF. We also note the Panel's statement that, "{a}ccording to the European Union, the conclusions reached by PwC demonstrate that the benefit conferred through</w:t>
      </w:r>
      <w:r>
        <w:t xml:space="preserve"> all of the challenged subsidies </w:t>
      </w:r>
      <w:r>
        <w:rPr>
          <w:i/>
        </w:rPr>
        <w:t>with the exception of</w:t>
      </w:r>
      <w:r>
        <w:t xml:space="preserve"> the French and Spanish A340-500/600 LA/MSF measures, the French, German, Spanish, and UK A380 LA/MSF measures, and a number of the Spanish Government regional development grants, was fully amortized </w:t>
      </w:r>
      <w:r>
        <w:rPr>
          <w:i/>
        </w:rPr>
        <w:t>prior to the end of the implementation period</w:t>
      </w:r>
      <w:r>
        <w:t xml:space="preserve">." (Ibid., </w:t>
      </w:r>
      <w:r w:rsidRPr="00AF3D63">
        <w:t>para. </w:t>
      </w:r>
      <w:r>
        <w:t xml:space="preserve">6.16 (referring to European Union's first written submission to the Panel, </w:t>
      </w:r>
      <w:r w:rsidRPr="00AF3D63">
        <w:t>paras. </w:t>
      </w:r>
      <w:r>
        <w:t>205-223) (emphasis original))</w:t>
      </w:r>
    </w:p>
  </w:footnote>
  <w:footnote w:id="1689">
    <w:p w:rsidR="00FD2727" w:rsidRPr="00410588" w:rsidRDefault="00FD2727">
      <w:pPr>
        <w:pStyle w:val="FootnoteText"/>
        <w:rPr>
          <w:lang w:val="en-US"/>
        </w:rPr>
      </w:pPr>
      <w:r>
        <w:rPr>
          <w:rStyle w:val="FootnoteReference"/>
        </w:rPr>
        <w:footnoteRef/>
      </w:r>
      <w:r>
        <w:t xml:space="preserve"> Panel Report, </w:t>
      </w:r>
      <w:r w:rsidRPr="00AF3D63">
        <w:t>para. </w:t>
      </w:r>
      <w:r>
        <w:t>6.14. (emphasis added)</w:t>
      </w:r>
    </w:p>
  </w:footnote>
  <w:footnote w:id="1690">
    <w:p w:rsidR="00FD2727" w:rsidRPr="00410588" w:rsidRDefault="00FD2727">
      <w:pPr>
        <w:pStyle w:val="FootnoteText"/>
        <w:rPr>
          <w:lang w:val="en-US"/>
        </w:rPr>
      </w:pPr>
      <w:r>
        <w:rPr>
          <w:rStyle w:val="FootnoteReference"/>
        </w:rPr>
        <w:footnoteRef/>
      </w:r>
      <w:r>
        <w:t xml:space="preserve"> Original Panel Report, </w:t>
      </w:r>
      <w:r w:rsidRPr="00AF3D63">
        <w:t>para. </w:t>
      </w:r>
      <w:r>
        <w:t>7.380, Table 1: Approximate amount of funding provided for under the challenged LA/MSF measures.</w:t>
      </w:r>
    </w:p>
  </w:footnote>
  <w:footnote w:id="1691">
    <w:p w:rsidR="00FD2727" w:rsidRPr="00410588" w:rsidRDefault="00FD2727">
      <w:pPr>
        <w:pStyle w:val="FootnoteText"/>
        <w:rPr>
          <w:lang w:val="en-US"/>
        </w:rPr>
      </w:pPr>
      <w:r>
        <w:rPr>
          <w:rStyle w:val="FootnoteReference"/>
        </w:rPr>
        <w:footnoteRef/>
      </w:r>
      <w:r>
        <w:t xml:space="preserve"> Original </w:t>
      </w:r>
      <w:r w:rsidRPr="00E20560">
        <w:t xml:space="preserve">Panel Report, </w:t>
      </w:r>
      <w:r w:rsidRPr="00AF3D63">
        <w:t>para. </w:t>
      </w:r>
      <w:r w:rsidRPr="00E20560">
        <w:t>7.490.</w:t>
      </w:r>
      <w:r>
        <w:t xml:space="preserve"> The original panel found that the differences between the interest rates under </w:t>
      </w:r>
      <w:r w:rsidRPr="0027490A">
        <w:rPr>
          <w:szCs w:val="16"/>
        </w:rPr>
        <w:t xml:space="preserve">the </w:t>
      </w:r>
      <w:r>
        <w:rPr>
          <w:szCs w:val="16"/>
        </w:rPr>
        <w:t xml:space="preserve">French, German, Spanish, and UK </w:t>
      </w:r>
      <w:r w:rsidRPr="0027490A">
        <w:rPr>
          <w:szCs w:val="16"/>
        </w:rPr>
        <w:t xml:space="preserve">A380 LA/MSF subsidies and the relevant market benchmark ranged </w:t>
      </w:r>
      <w:r>
        <w:rPr>
          <w:szCs w:val="16"/>
        </w:rPr>
        <w:t xml:space="preserve">from a number that is HSBI to </w:t>
      </w:r>
      <w:r w:rsidRPr="0027490A">
        <w:rPr>
          <w:b/>
          <w:szCs w:val="16"/>
        </w:rPr>
        <w:t>[</w:t>
      </w:r>
      <w:r w:rsidRPr="00C8434D">
        <w:rPr>
          <w:b/>
          <w:szCs w:val="16"/>
        </w:rPr>
        <w:t>BCI</w:t>
      </w:r>
      <w:r w:rsidRPr="0027490A">
        <w:rPr>
          <w:b/>
          <w:szCs w:val="16"/>
        </w:rPr>
        <w:t>]</w:t>
      </w:r>
      <w:r>
        <w:rPr>
          <w:szCs w:val="16"/>
        </w:rPr>
        <w:t xml:space="preserve">, respectively. (Original Panel Report, </w:t>
      </w:r>
      <w:r w:rsidRPr="00AF3D63">
        <w:rPr>
          <w:szCs w:val="16"/>
        </w:rPr>
        <w:t>para. </w:t>
      </w:r>
      <w:r>
        <w:rPr>
          <w:szCs w:val="16"/>
        </w:rPr>
        <w:t xml:space="preserve">7.488, Table 7: </w:t>
      </w:r>
      <w:r w:rsidRPr="00031CF2">
        <w:rPr>
          <w:szCs w:val="16"/>
        </w:rPr>
        <w:t>LA/MSF Rates of Return Compared with Market Rates of Return</w:t>
      </w:r>
      <w:r>
        <w:rPr>
          <w:szCs w:val="16"/>
        </w:rPr>
        <w:t>) The Appellate Body, having found several errors in the original panel's analysis and noted that those differences should be lower, nonetheless upheld the original panel's final conclusion that those subsidies conferred a benefit. (</w:t>
      </w:r>
      <w:r w:rsidRPr="00AF3D63">
        <w:rPr>
          <w:szCs w:val="16"/>
        </w:rPr>
        <w:t>See </w:t>
      </w:r>
      <w:r>
        <w:t xml:space="preserve">Appellate Body Report, </w:t>
      </w:r>
      <w:r w:rsidRPr="0027490A">
        <w:rPr>
          <w:i/>
        </w:rPr>
        <w:t>EC and certain member States – Large Civil Aircraft</w:t>
      </w:r>
      <w:r>
        <w:t xml:space="preserve">, </w:t>
      </w:r>
      <w:r w:rsidRPr="00AF3D63">
        <w:t>paras. </w:t>
      </w:r>
      <w:r>
        <w:t>923-929)</w:t>
      </w:r>
    </w:p>
  </w:footnote>
  <w:footnote w:id="1692">
    <w:p w:rsidR="00FD2727" w:rsidRPr="00410588" w:rsidRDefault="00FD2727">
      <w:pPr>
        <w:pStyle w:val="FootnoteText"/>
        <w:rPr>
          <w:lang w:val="en-US"/>
        </w:rPr>
      </w:pPr>
      <w:r>
        <w:rPr>
          <w:rStyle w:val="FootnoteReference"/>
        </w:rPr>
        <w:footnoteRef/>
      </w:r>
      <w:r>
        <w:t xml:space="preserve"> Original Panel Report, </w:t>
      </w:r>
      <w:r w:rsidRPr="00AF3D63">
        <w:t>para. </w:t>
      </w:r>
      <w:r>
        <w:t>7.378 (referring to French A380 LA/MSF contract (Original Panel Exhibit US</w:t>
      </w:r>
      <w:r>
        <w:noBreakHyphen/>
        <w:t>116 (BCI)), Annexe 3).</w:t>
      </w:r>
    </w:p>
  </w:footnote>
  <w:footnote w:id="1693">
    <w:p w:rsidR="00FD2727" w:rsidRPr="00410588" w:rsidRDefault="00FD2727" w:rsidP="00C752B3">
      <w:pPr>
        <w:pStyle w:val="FootnoteText"/>
        <w:keepLines/>
        <w:rPr>
          <w:lang w:val="en-US"/>
        </w:rPr>
      </w:pPr>
      <w:r>
        <w:rPr>
          <w:rStyle w:val="FootnoteReference"/>
        </w:rPr>
        <w:footnoteRef/>
      </w:r>
      <w:r>
        <w:t xml:space="preserve"> Original Panel Report, </w:t>
      </w:r>
      <w:r w:rsidRPr="00AF3D63">
        <w:t>para. </w:t>
      </w:r>
      <w:r>
        <w:t xml:space="preserve">7.378 (referring to </w:t>
      </w:r>
      <w:r w:rsidRPr="00896214">
        <w:t>German A380</w:t>
      </w:r>
      <w:r>
        <w:t xml:space="preserve"> LA/MSF</w:t>
      </w:r>
      <w:r w:rsidRPr="00896214">
        <w:t xml:space="preserve"> contract</w:t>
      </w:r>
      <w:r w:rsidRPr="00876DFE">
        <w:t xml:space="preserve"> </w:t>
      </w:r>
      <w:r>
        <w:t>(Original Panel Exhibit</w:t>
      </w:r>
      <w:r w:rsidRPr="00896214">
        <w:t xml:space="preserve"> US</w:t>
      </w:r>
      <w:r>
        <w:noBreakHyphen/>
      </w:r>
      <w:r w:rsidRPr="00896214">
        <w:t>72 (BCI)</w:t>
      </w:r>
      <w:r>
        <w:t xml:space="preserve"> (English translation))</w:t>
      </w:r>
      <w:r w:rsidRPr="00896214">
        <w:t xml:space="preserve">, clause 4.2; BT-Drs. 14/10002 </w:t>
      </w:r>
      <w:r>
        <w:t>(Original Panel Exhibit US-124 (English translation</w:t>
      </w:r>
      <w:r w:rsidRPr="00896214">
        <w:t>)</w:t>
      </w:r>
      <w:r>
        <w:t>)</w:t>
      </w:r>
      <w:r w:rsidRPr="00896214">
        <w:t xml:space="preserve">, </w:t>
      </w:r>
      <w:r>
        <w:t>p.</w:t>
      </w:r>
      <w:r w:rsidRPr="00896214">
        <w:t xml:space="preserve"> 3</w:t>
      </w:r>
      <w:r>
        <w:t>;</w:t>
      </w:r>
      <w:r w:rsidRPr="00896214">
        <w:t xml:space="preserve"> Spanish A3</w:t>
      </w:r>
      <w:r>
        <w:t xml:space="preserve">80 LA/MSF contract (Original Panel Exhibit </w:t>
      </w:r>
      <w:r w:rsidRPr="00896214">
        <w:t>US-73 (BCI)</w:t>
      </w:r>
      <w:r>
        <w:t>), 3rd clause)</w:t>
      </w:r>
      <w:r w:rsidRPr="00896214">
        <w:t>.</w:t>
      </w:r>
      <w:r>
        <w:t xml:space="preserve"> The original panel found that all of the funds committed under the UK A380 LA/MSF contract had "already been provided to Airbus</w:t>
      </w:r>
      <w:r w:rsidRPr="00972BB0">
        <w:t>"</w:t>
      </w:r>
      <w:r w:rsidRPr="001B651A">
        <w:t>. (</w:t>
      </w:r>
      <w:r>
        <w:t xml:space="preserve">Original Panel Report, </w:t>
      </w:r>
      <w:r w:rsidRPr="00AF3D63">
        <w:t>para. </w:t>
      </w:r>
      <w:r>
        <w:t>7.377)</w:t>
      </w:r>
    </w:p>
  </w:footnote>
  <w:footnote w:id="1694">
    <w:p w:rsidR="00FD2727" w:rsidRPr="00410588" w:rsidRDefault="00FD2727">
      <w:pPr>
        <w:pStyle w:val="FootnoteText"/>
        <w:rPr>
          <w:lang w:val="en-US"/>
        </w:rPr>
      </w:pPr>
      <w:r>
        <w:rPr>
          <w:rStyle w:val="FootnoteReference"/>
        </w:rPr>
        <w:footnoteRef/>
      </w:r>
      <w:r>
        <w:t xml:space="preserve"> Original Panel Report, </w:t>
      </w:r>
      <w:r w:rsidRPr="00AF3D63">
        <w:t>para. </w:t>
      </w:r>
      <w:r>
        <w:t>7.378. (emphasis added)</w:t>
      </w:r>
    </w:p>
  </w:footnote>
  <w:footnote w:id="1695">
    <w:p w:rsidR="00FD2727" w:rsidRPr="00410588" w:rsidRDefault="00FD2727" w:rsidP="003828EC">
      <w:pPr>
        <w:pStyle w:val="FootnoteText"/>
        <w:keepNext/>
        <w:keepLines/>
        <w:rPr>
          <w:lang w:val="en-US"/>
        </w:rPr>
      </w:pPr>
      <w:r>
        <w:rPr>
          <w:rStyle w:val="FootnoteReference"/>
        </w:rPr>
        <w:footnoteRef/>
      </w:r>
      <w:r>
        <w:t xml:space="preserve"> Airbus first announced a six-month delay in the A380 delivery schedule in 2005. In June 2006 – the month before Airbus unveiled the A350XWB at the Farnborough Air Show – Airbus announced a second delay in the A380 delivery schedule of a further six months, which was reportedly expected to cost Airbus hundreds of millions of euros. Then, three months after unveiling the A350XWB, in October 2006, Airbus announced a third delay in the A380 programme of an additional year. (Panel Report, </w:t>
      </w:r>
      <w:r w:rsidRPr="00AF3D63">
        <w:t>para. </w:t>
      </w:r>
      <w:r>
        <w:t xml:space="preserve">6.1551) </w:t>
      </w:r>
      <w:r w:rsidRPr="00D111A4">
        <w:t xml:space="preserve">The first A380 was delivered on 12 October 2007. </w:t>
      </w:r>
      <w:r>
        <w:t>(</w:t>
      </w:r>
      <w:r w:rsidRPr="00D111A4">
        <w:t>Ascend database, Deliveries made, data request as of 7 Ap</w:t>
      </w:r>
      <w:r>
        <w:t>ril 2014 (Panel Exhibit EU-512))</w:t>
      </w:r>
    </w:p>
  </w:footnote>
  <w:footnote w:id="1696">
    <w:p w:rsidR="00FD2727" w:rsidRPr="00410588" w:rsidRDefault="00FD2727">
      <w:pPr>
        <w:pStyle w:val="FootnoteText"/>
        <w:rPr>
          <w:lang w:val="en-US"/>
        </w:rPr>
      </w:pPr>
      <w:r>
        <w:rPr>
          <w:rStyle w:val="FootnoteReference"/>
        </w:rPr>
        <w:footnoteRef/>
      </w:r>
      <w:r>
        <w:t xml:space="preserve"> Panel Report, </w:t>
      </w:r>
      <w:r w:rsidRPr="00AF3D63">
        <w:t>para. </w:t>
      </w:r>
      <w:r>
        <w:t xml:space="preserve">6.1551 (referring to </w:t>
      </w:r>
      <w:r>
        <w:rPr>
          <w:szCs w:val="16"/>
        </w:rPr>
        <w:t xml:space="preserve">Mario Heinen, Airbus Senior Vice President A380, EADS/Airbus presentation "The A380 Program", presented at the Global Investor Forum, 19-20 October 2006 (Panel </w:t>
      </w:r>
      <w:r>
        <w:t>Exhibit EU-419), slide 18).</w:t>
      </w:r>
    </w:p>
  </w:footnote>
  <w:footnote w:id="1697">
    <w:p w:rsidR="00FD2727" w:rsidRPr="00410588" w:rsidRDefault="00FD2727">
      <w:pPr>
        <w:pStyle w:val="FootnoteText"/>
        <w:rPr>
          <w:lang w:val="en-US"/>
        </w:rPr>
      </w:pPr>
      <w:r>
        <w:rPr>
          <w:rStyle w:val="FootnoteReference"/>
        </w:rPr>
        <w:footnoteRef/>
      </w:r>
      <w:r>
        <w:t xml:space="preserve"> Panel Report, </w:t>
      </w:r>
      <w:r w:rsidRPr="00AF3D63">
        <w:t>para. </w:t>
      </w:r>
      <w:r>
        <w:t xml:space="preserve">6.1551 (referring to </w:t>
      </w:r>
      <w:r>
        <w:rPr>
          <w:szCs w:val="16"/>
        </w:rPr>
        <w:t>EADS Press Release, "A350 XWB launch: EADS Gives Go Ahead for Airbus to Launch the A350 XWB", 1 December 2006 (Panel Exhibit USA</w:t>
      </w:r>
      <w:r>
        <w:rPr>
          <w:szCs w:val="16"/>
        </w:rPr>
        <w:noBreakHyphen/>
        <w:t>569)</w:t>
      </w:r>
      <w:r>
        <w:t>).</w:t>
      </w:r>
    </w:p>
  </w:footnote>
  <w:footnote w:id="1698">
    <w:p w:rsidR="00FD2727" w:rsidRPr="00226496" w:rsidRDefault="00FD2727">
      <w:pPr>
        <w:pStyle w:val="FootnoteText"/>
        <w:rPr>
          <w:lang w:val="en-US"/>
        </w:rPr>
      </w:pPr>
      <w:r>
        <w:rPr>
          <w:rStyle w:val="FootnoteReference"/>
        </w:rPr>
        <w:footnoteRef/>
      </w:r>
      <w:r>
        <w:t xml:space="preserve"> </w:t>
      </w:r>
      <w:r>
        <w:rPr>
          <w:lang w:val="en-US"/>
        </w:rPr>
        <w:t>Panel Report, para. 6.1551 (referring to Original Panel Report, para. 7.1719).</w:t>
      </w:r>
    </w:p>
  </w:footnote>
  <w:footnote w:id="1699">
    <w:p w:rsidR="00FD2727" w:rsidRPr="00410588" w:rsidRDefault="00FD2727">
      <w:pPr>
        <w:pStyle w:val="FootnoteText"/>
        <w:rPr>
          <w:lang w:val="en-US"/>
        </w:rPr>
      </w:pPr>
      <w:r>
        <w:rPr>
          <w:rStyle w:val="FootnoteReference"/>
        </w:rPr>
        <w:footnoteRef/>
      </w:r>
      <w:r>
        <w:t xml:space="preserve"> Panel Report, </w:t>
      </w:r>
      <w:r w:rsidRPr="00AF3D63">
        <w:t>para. </w:t>
      </w:r>
      <w:r>
        <w:t>6.1551 (referring to</w:t>
      </w:r>
      <w:r>
        <w:rPr>
          <w:szCs w:val="16"/>
        </w:rPr>
        <w:t xml:space="preserve"> </w:t>
      </w:r>
      <w:r>
        <w:t>A380 Business Case (Panel Exhibit EU</w:t>
      </w:r>
      <w:r>
        <w:noBreakHyphen/>
        <w:t xml:space="preserve">20 (HSBI)), p. 19, section 6.4; Original Panel Report, </w:t>
      </w:r>
      <w:r w:rsidRPr="00AF3D63">
        <w:t>para. </w:t>
      </w:r>
      <w:r>
        <w:t>7.1719).</w:t>
      </w:r>
    </w:p>
  </w:footnote>
  <w:footnote w:id="1700">
    <w:p w:rsidR="00FD2727" w:rsidRPr="00410588" w:rsidRDefault="00FD2727">
      <w:pPr>
        <w:pStyle w:val="FootnoteText"/>
        <w:rPr>
          <w:lang w:val="en-US"/>
        </w:rPr>
      </w:pPr>
      <w:r>
        <w:rPr>
          <w:rStyle w:val="FootnoteReference"/>
        </w:rPr>
        <w:footnoteRef/>
      </w:r>
      <w:r>
        <w:t xml:space="preserve"> Panel Report, </w:t>
      </w:r>
      <w:r w:rsidRPr="00AF3D63">
        <w:t>para. </w:t>
      </w:r>
      <w:r>
        <w:t xml:space="preserve">6.1551 (quoting </w:t>
      </w:r>
      <w:r>
        <w:rPr>
          <w:szCs w:val="16"/>
        </w:rPr>
        <w:t xml:space="preserve">"Risk Factors", </w:t>
      </w:r>
      <w:r>
        <w:rPr>
          <w:i/>
          <w:szCs w:val="16"/>
        </w:rPr>
        <w:t>EADS Financial Statements and Corporate Governance</w:t>
      </w:r>
      <w:r>
        <w:rPr>
          <w:szCs w:val="16"/>
        </w:rPr>
        <w:t>, Book 2, 2006, pp. 8-13</w:t>
      </w:r>
      <w:r>
        <w:t xml:space="preserve"> (Panel Exhibit USA</w:t>
      </w:r>
      <w:r>
        <w:noBreakHyphen/>
        <w:t xml:space="preserve">496), p. 12). The Panel further noted that an Airbus press release from February 2007 indicates that Airbus reported a negative EBIT for 2006 and, "following the A380 delays, faces significant cash needs and deteriorating profits in the future" (Ibid., fn 2680 to </w:t>
      </w:r>
      <w:r w:rsidRPr="00AF3D63">
        <w:t>para. </w:t>
      </w:r>
      <w:r>
        <w:t xml:space="preserve">6.1551 (quoting </w:t>
      </w:r>
      <w:r>
        <w:rPr>
          <w:szCs w:val="16"/>
        </w:rPr>
        <w:t xml:space="preserve">Airbus Press Release, "Power8 prepares way for 'new Airbus'", 20 February 2007 (Panel </w:t>
      </w:r>
      <w:r>
        <w:t>Exhibit USA</w:t>
      </w:r>
      <w:r>
        <w:noBreakHyphen/>
        <w:t>94)))</w:t>
      </w:r>
    </w:p>
  </w:footnote>
  <w:footnote w:id="1701">
    <w:p w:rsidR="00FD2727" w:rsidRPr="00410588" w:rsidRDefault="00FD2727">
      <w:pPr>
        <w:pStyle w:val="FootnoteText"/>
        <w:rPr>
          <w:lang w:val="en-US"/>
        </w:rPr>
      </w:pPr>
      <w:r>
        <w:rPr>
          <w:rStyle w:val="FootnoteReference"/>
        </w:rPr>
        <w:footnoteRef/>
      </w:r>
      <w:r>
        <w:t xml:space="preserve"> Panel Report, </w:t>
      </w:r>
      <w:r w:rsidRPr="00AF3D63">
        <w:t>para. </w:t>
      </w:r>
      <w:r>
        <w:t xml:space="preserve">6.1551 (quoting </w:t>
      </w:r>
      <w:r>
        <w:rPr>
          <w:szCs w:val="16"/>
        </w:rPr>
        <w:t xml:space="preserve">UK House of Commons Trade and Industry Committee, "Recent Developments with Airbus", Ninth Report of Session 2006-2007, Volume I: Report and formal minutes, 19 June 2007 </w:t>
      </w:r>
      <w:r>
        <w:t>(Panel Exhibit USA</w:t>
      </w:r>
      <w:r>
        <w:noBreakHyphen/>
        <w:t>25)</w:t>
      </w:r>
      <w:r>
        <w:rPr>
          <w:szCs w:val="16"/>
        </w:rPr>
        <w:t>, p. 8</w:t>
      </w:r>
      <w:r>
        <w:t>).</w:t>
      </w:r>
    </w:p>
  </w:footnote>
  <w:footnote w:id="1702">
    <w:p w:rsidR="00FD2727" w:rsidRPr="00410588" w:rsidRDefault="00FD2727">
      <w:pPr>
        <w:pStyle w:val="FootnoteText"/>
        <w:rPr>
          <w:lang w:val="en-US"/>
        </w:rPr>
      </w:pPr>
      <w:r>
        <w:rPr>
          <w:rStyle w:val="FootnoteReference"/>
        </w:rPr>
        <w:footnoteRef/>
      </w:r>
      <w:r>
        <w:t xml:space="preserve"> Panel Report, </w:t>
      </w:r>
      <w:r w:rsidRPr="00AF3D63">
        <w:t>para. </w:t>
      </w:r>
      <w:r>
        <w:t xml:space="preserve">6.1551 (quoting </w:t>
      </w:r>
      <w:r>
        <w:rPr>
          <w:szCs w:val="16"/>
        </w:rPr>
        <w:t xml:space="preserve">Aude Lagorce, "Airbus refuses to rule out state loans on the A350XWB", </w:t>
      </w:r>
      <w:r>
        <w:rPr>
          <w:i/>
          <w:szCs w:val="16"/>
        </w:rPr>
        <w:t>MarketWatch</w:t>
      </w:r>
      <w:r w:rsidRPr="00B41454">
        <w:rPr>
          <w:szCs w:val="16"/>
        </w:rPr>
        <w:t>,</w:t>
      </w:r>
      <w:r>
        <w:rPr>
          <w:szCs w:val="16"/>
        </w:rPr>
        <w:t xml:space="preserve"> 4 December 2006 (Panel </w:t>
      </w:r>
      <w:r>
        <w:t>Exhibit USA</w:t>
      </w:r>
      <w:r>
        <w:noBreakHyphen/>
        <w:t>359)).</w:t>
      </w:r>
    </w:p>
  </w:footnote>
  <w:footnote w:id="1703">
    <w:p w:rsidR="00FD2727" w:rsidRPr="00410588" w:rsidRDefault="00FD2727">
      <w:pPr>
        <w:pStyle w:val="FootnoteText"/>
        <w:rPr>
          <w:lang w:val="en-US"/>
        </w:rPr>
      </w:pPr>
      <w:r>
        <w:rPr>
          <w:rStyle w:val="FootnoteReference"/>
        </w:rPr>
        <w:footnoteRef/>
      </w:r>
      <w:r>
        <w:t xml:space="preserve"> </w:t>
      </w:r>
      <w:r w:rsidRPr="00D111A4">
        <w:t xml:space="preserve">See </w:t>
      </w:r>
      <w:r>
        <w:t>O</w:t>
      </w:r>
      <w:r w:rsidRPr="00D111A4">
        <w:t xml:space="preserve">riginal Panel Report, para. 7.378. See </w:t>
      </w:r>
      <w:r w:rsidRPr="00145239">
        <w:t>also para. 5.607 above.</w:t>
      </w:r>
    </w:p>
  </w:footnote>
  <w:footnote w:id="1704">
    <w:p w:rsidR="00FD2727" w:rsidRPr="00410588" w:rsidRDefault="00FD2727">
      <w:pPr>
        <w:pStyle w:val="FootnoteText"/>
        <w:rPr>
          <w:lang w:val="en-US"/>
        </w:rPr>
      </w:pPr>
      <w:r>
        <w:rPr>
          <w:rStyle w:val="FootnoteReference"/>
        </w:rPr>
        <w:footnoteRef/>
      </w:r>
      <w:r>
        <w:t xml:space="preserve"> Panel Report, </w:t>
      </w:r>
      <w:r w:rsidRPr="00AF3D63">
        <w:t>para. </w:t>
      </w:r>
      <w:r>
        <w:t>6.1778.</w:t>
      </w:r>
    </w:p>
  </w:footnote>
  <w:footnote w:id="1705">
    <w:p w:rsidR="00FD2727" w:rsidRPr="00410588" w:rsidRDefault="00FD2727">
      <w:pPr>
        <w:pStyle w:val="FootnoteText"/>
        <w:rPr>
          <w:lang w:val="en-US"/>
        </w:rPr>
      </w:pPr>
      <w:r>
        <w:rPr>
          <w:rStyle w:val="FootnoteReference"/>
        </w:rPr>
        <w:footnoteRef/>
      </w:r>
      <w:r>
        <w:t xml:space="preserve"> Panel Report, </w:t>
      </w:r>
      <w:r w:rsidRPr="00AF3D63">
        <w:t>para. </w:t>
      </w:r>
      <w:r>
        <w:t>7.1.d.xiii. (emphasis original)</w:t>
      </w:r>
    </w:p>
  </w:footnote>
  <w:footnote w:id="1706">
    <w:p w:rsidR="00FD2727" w:rsidRPr="00410588" w:rsidRDefault="00FD2727">
      <w:pPr>
        <w:pStyle w:val="FootnoteText"/>
        <w:rPr>
          <w:lang w:val="en-US"/>
        </w:rPr>
      </w:pPr>
      <w:r>
        <w:rPr>
          <w:rStyle w:val="FootnoteReference"/>
        </w:rPr>
        <w:footnoteRef/>
      </w:r>
      <w:r>
        <w:t xml:space="preserve"> European Union's appellant's submission, </w:t>
      </w:r>
      <w:r w:rsidRPr="00AF3D63">
        <w:t>para. </w:t>
      </w:r>
      <w:r>
        <w:t xml:space="preserve">896 (referring to Panel Report, </w:t>
      </w:r>
      <w:r w:rsidRPr="00AF3D63">
        <w:t>para. </w:t>
      </w:r>
      <w:r>
        <w:t>7.1.d.xiii).</w:t>
      </w:r>
    </w:p>
  </w:footnote>
  <w:footnote w:id="1707">
    <w:p w:rsidR="00FD2727" w:rsidRPr="003828EC" w:rsidRDefault="00FD2727">
      <w:pPr>
        <w:pStyle w:val="FootnoteText"/>
        <w:rPr>
          <w:lang w:val="en-US"/>
        </w:rPr>
      </w:pPr>
      <w:r>
        <w:rPr>
          <w:rStyle w:val="FootnoteReference"/>
        </w:rPr>
        <w:footnoteRef/>
      </w:r>
      <w:r>
        <w:t xml:space="preserve"> </w:t>
      </w:r>
      <w:r>
        <w:rPr>
          <w:lang w:val="en-US"/>
        </w:rPr>
        <w:t>European Union's appellant's submission, para. 895 (referring to Panel Report, para. 6.1507 and fn 2597 thereto).</w:t>
      </w:r>
    </w:p>
  </w:footnote>
  <w:footnote w:id="1708">
    <w:p w:rsidR="00FD2727" w:rsidRPr="00410588" w:rsidRDefault="00FD2727">
      <w:pPr>
        <w:pStyle w:val="FootnoteText"/>
        <w:rPr>
          <w:lang w:val="en-US"/>
        </w:rPr>
      </w:pPr>
      <w:r>
        <w:rPr>
          <w:rStyle w:val="FootnoteReference"/>
        </w:rPr>
        <w:footnoteRef/>
      </w:r>
      <w:r>
        <w:t xml:space="preserve"> European Union's appellant's submission, </w:t>
      </w:r>
      <w:r w:rsidRPr="00AF3D63">
        <w:t>paras. </w:t>
      </w:r>
      <w:r>
        <w:t xml:space="preserve">888 and 897 (quoting Panel Report, </w:t>
      </w:r>
      <w:r w:rsidRPr="00AF3D63">
        <w:t>para. </w:t>
      </w:r>
      <w:r>
        <w:t>6.1717 (emphasis original)).</w:t>
      </w:r>
    </w:p>
  </w:footnote>
  <w:footnote w:id="1709">
    <w:p w:rsidR="00FD2727" w:rsidRPr="00410588" w:rsidRDefault="00FD2727">
      <w:pPr>
        <w:pStyle w:val="FootnoteText"/>
        <w:rPr>
          <w:lang w:val="en-US"/>
        </w:rPr>
      </w:pPr>
      <w:r>
        <w:rPr>
          <w:rStyle w:val="FootnoteReference"/>
        </w:rPr>
        <w:footnoteRef/>
      </w:r>
      <w:r>
        <w:t xml:space="preserve"> European Union's appellant's submission, </w:t>
      </w:r>
      <w:r w:rsidRPr="00AF3D63">
        <w:t>para. </w:t>
      </w:r>
      <w:r>
        <w:t>888.</w:t>
      </w:r>
    </w:p>
  </w:footnote>
  <w:footnote w:id="1710">
    <w:p w:rsidR="00FD2727" w:rsidRPr="00410588" w:rsidRDefault="00FD2727">
      <w:pPr>
        <w:pStyle w:val="FootnoteText"/>
        <w:rPr>
          <w:lang w:val="en-US"/>
        </w:rPr>
      </w:pPr>
      <w:r>
        <w:rPr>
          <w:rStyle w:val="FootnoteReference"/>
        </w:rPr>
        <w:footnoteRef/>
      </w:r>
      <w:r>
        <w:t xml:space="preserve"> European Union's appellant's submission, </w:t>
      </w:r>
      <w:r w:rsidRPr="00AF3D63">
        <w:t>para. </w:t>
      </w:r>
      <w:r>
        <w:t>898.</w:t>
      </w:r>
    </w:p>
  </w:footnote>
  <w:footnote w:id="1711">
    <w:p w:rsidR="00FD2727" w:rsidRPr="00410588" w:rsidRDefault="00FD2727">
      <w:pPr>
        <w:pStyle w:val="FootnoteText"/>
        <w:rPr>
          <w:lang w:val="en-US"/>
        </w:rPr>
      </w:pPr>
      <w:r>
        <w:rPr>
          <w:rStyle w:val="FootnoteReference"/>
        </w:rPr>
        <w:footnoteRef/>
      </w:r>
      <w:r>
        <w:t xml:space="preserve"> European Union's appellant's submission, </w:t>
      </w:r>
      <w:r w:rsidRPr="00AF3D63">
        <w:t>para. </w:t>
      </w:r>
      <w:r>
        <w:t xml:space="preserve">898 (quoting Panel Report, </w:t>
      </w:r>
      <w:r w:rsidRPr="00AF3D63">
        <w:t>para. </w:t>
      </w:r>
      <w:r>
        <w:t>6.1717).</w:t>
      </w:r>
    </w:p>
  </w:footnote>
  <w:footnote w:id="1712">
    <w:p w:rsidR="00FD2727" w:rsidRPr="00410588" w:rsidRDefault="00FD2727">
      <w:pPr>
        <w:pStyle w:val="FootnoteText"/>
        <w:rPr>
          <w:lang w:val="en-US"/>
        </w:rPr>
      </w:pPr>
      <w:r>
        <w:rPr>
          <w:rStyle w:val="FootnoteReference"/>
        </w:rPr>
        <w:footnoteRef/>
      </w:r>
      <w:r>
        <w:t xml:space="preserve"> European Union's appellant's submission, </w:t>
      </w:r>
      <w:r w:rsidRPr="00AF3D63">
        <w:t>paras. </w:t>
      </w:r>
      <w:r>
        <w:t>888 and 896.</w:t>
      </w:r>
    </w:p>
  </w:footnote>
  <w:footnote w:id="1713">
    <w:p w:rsidR="00FD2727" w:rsidRPr="00410588" w:rsidRDefault="00FD2727">
      <w:pPr>
        <w:pStyle w:val="FootnoteText"/>
        <w:rPr>
          <w:lang w:val="en-US"/>
        </w:rPr>
      </w:pPr>
      <w:r>
        <w:rPr>
          <w:rStyle w:val="FootnoteReference"/>
        </w:rPr>
        <w:footnoteRef/>
      </w:r>
      <w:r>
        <w:t xml:space="preserve"> European Union's appellant's submission, </w:t>
      </w:r>
      <w:r w:rsidRPr="00AF3D63">
        <w:t>para. </w:t>
      </w:r>
      <w:r>
        <w:t xml:space="preserve">895 (quoting Panel Report, </w:t>
      </w:r>
      <w:r w:rsidRPr="00AF3D63">
        <w:t>para. </w:t>
      </w:r>
      <w:r>
        <w:t>6.1507 and referring to fn 2597 thereto).</w:t>
      </w:r>
    </w:p>
  </w:footnote>
  <w:footnote w:id="1714">
    <w:p w:rsidR="00FD2727" w:rsidRPr="00145239" w:rsidRDefault="00FD2727">
      <w:pPr>
        <w:pStyle w:val="FootnoteText"/>
        <w:rPr>
          <w:lang w:val="en-US"/>
        </w:rPr>
      </w:pPr>
      <w:r>
        <w:rPr>
          <w:rStyle w:val="FootnoteReference"/>
        </w:rPr>
        <w:footnoteRef/>
      </w:r>
      <w:r>
        <w:t xml:space="preserve"> </w:t>
      </w:r>
      <w:r w:rsidRPr="00145239">
        <w:t>See para. 5.599 above.</w:t>
      </w:r>
    </w:p>
  </w:footnote>
  <w:footnote w:id="1715">
    <w:p w:rsidR="00FD2727" w:rsidRPr="00145239" w:rsidRDefault="00FD2727">
      <w:pPr>
        <w:pStyle w:val="FootnoteText"/>
        <w:rPr>
          <w:lang w:val="en-US"/>
        </w:rPr>
      </w:pPr>
      <w:r w:rsidRPr="00145239">
        <w:rPr>
          <w:rStyle w:val="FootnoteReference"/>
        </w:rPr>
        <w:footnoteRef/>
      </w:r>
      <w:r w:rsidRPr="00145239">
        <w:t xml:space="preserve"> As we have explained above, pursuant to our interpretation of Article 7.8 of the SCM Agreement, we disagree with the Panel to the extent that it considered the effects of the expired LA/MSF subsidies to be a part of its aggregated assessment.</w:t>
      </w:r>
    </w:p>
  </w:footnote>
  <w:footnote w:id="1716">
    <w:p w:rsidR="00FD2727" w:rsidRPr="00145239" w:rsidRDefault="00FD2727">
      <w:pPr>
        <w:pStyle w:val="FootnoteText"/>
        <w:rPr>
          <w:lang w:val="en-US"/>
        </w:rPr>
      </w:pPr>
      <w:r w:rsidRPr="00145239">
        <w:rPr>
          <w:rStyle w:val="FootnoteReference"/>
        </w:rPr>
        <w:footnoteRef/>
      </w:r>
      <w:r w:rsidRPr="00145239">
        <w:t xml:space="preserve"> See section 5.6.3.2.2 of this Report. The A350XWB was launched on 1 December 2006 and was therefore not at issue in the original proceedings. Accordingly, there are no findings from the original proceedings concerning the "product effects" of LA/MSF subsidies on the A350XWB.</w:t>
      </w:r>
    </w:p>
  </w:footnote>
  <w:footnote w:id="1717">
    <w:p w:rsidR="00FD2727" w:rsidRPr="00410588" w:rsidRDefault="00FD2727">
      <w:pPr>
        <w:pStyle w:val="FootnoteText"/>
        <w:rPr>
          <w:lang w:val="en-US"/>
        </w:rPr>
      </w:pPr>
      <w:r w:rsidRPr="00145239">
        <w:rPr>
          <w:rStyle w:val="FootnoteReference"/>
        </w:rPr>
        <w:footnoteRef/>
      </w:r>
      <w:r w:rsidRPr="00145239">
        <w:t xml:space="preserve"> We note that the Panel began its analysis by assessing the "direct effects" of A350XWB LA/MSF, before turning to the "indirect effects"</w:t>
      </w:r>
      <w:r>
        <w:t xml:space="preserve"> of pre</w:t>
      </w:r>
      <w:r>
        <w:noBreakHyphen/>
        <w:t>A350XWB LA/MSF. In its appellant's submission, the European Union reverses this order of analysis, challenging first the Panel's finding of "indirect effects" and then turning to its "direct effects" finding. This is because, in challenging the Panel's finding of "indirect effects" of the A380 LA/MSF subsidies, the European Union relies heavily on its arguments concerning the "direct effects" of the same subsidies, which are contained in the last section of its claims concerning the Panel's analysis of the effects of pre</w:t>
      </w:r>
      <w:r>
        <w:noBreakHyphen/>
        <w:t>A350XWB LA/MSF. In our analysis, we follow the Panel's sequence of analysis because it helps in understanding the analytical framework adopted by the Panel for examining the effects of A350XWB LA/MSF.</w:t>
      </w:r>
    </w:p>
  </w:footnote>
  <w:footnote w:id="1718">
    <w:p w:rsidR="00FD2727" w:rsidRPr="00145239" w:rsidRDefault="00FD2727">
      <w:pPr>
        <w:pStyle w:val="FootnoteText"/>
        <w:rPr>
          <w:lang w:val="en-US"/>
        </w:rPr>
      </w:pPr>
      <w:r>
        <w:rPr>
          <w:rStyle w:val="FootnoteReference"/>
        </w:rPr>
        <w:footnoteRef/>
      </w:r>
      <w:r>
        <w:t xml:space="preserve"> </w:t>
      </w:r>
      <w:r w:rsidRPr="00145239">
        <w:t>See para. 5.567 above.</w:t>
      </w:r>
    </w:p>
  </w:footnote>
  <w:footnote w:id="1719">
    <w:p w:rsidR="00FD2727" w:rsidRPr="00145239" w:rsidRDefault="00FD2727">
      <w:pPr>
        <w:pStyle w:val="FootnoteText"/>
        <w:rPr>
          <w:lang w:val="en-US"/>
        </w:rPr>
      </w:pPr>
      <w:r w:rsidRPr="00145239">
        <w:rPr>
          <w:rStyle w:val="FootnoteReference"/>
        </w:rPr>
        <w:footnoteRef/>
      </w:r>
      <w:r w:rsidRPr="00145239">
        <w:t xml:space="preserve"> European Union's appellant's submission, para. 898 (quoting Panel Report, para. 6.1717).</w:t>
      </w:r>
    </w:p>
  </w:footnote>
  <w:footnote w:id="1720">
    <w:p w:rsidR="00FD2727" w:rsidRPr="00410588" w:rsidRDefault="00FD2727">
      <w:pPr>
        <w:pStyle w:val="FootnoteText"/>
        <w:rPr>
          <w:lang w:val="en-US"/>
        </w:rPr>
      </w:pPr>
      <w:r w:rsidRPr="00145239">
        <w:rPr>
          <w:rStyle w:val="FootnoteReference"/>
        </w:rPr>
        <w:footnoteRef/>
      </w:r>
      <w:r w:rsidRPr="00145239">
        <w:t xml:space="preserve"> European Union's</w:t>
      </w:r>
      <w:r>
        <w:t xml:space="preserve"> appellant's submission, </w:t>
      </w:r>
      <w:r w:rsidRPr="00AF3D63">
        <w:t>para. </w:t>
      </w:r>
      <w:r>
        <w:t>899.</w:t>
      </w:r>
    </w:p>
  </w:footnote>
  <w:footnote w:id="1721">
    <w:p w:rsidR="00FD2727" w:rsidRPr="00410588" w:rsidRDefault="00FD2727">
      <w:pPr>
        <w:pStyle w:val="FootnoteText"/>
        <w:rPr>
          <w:lang w:val="en-US"/>
        </w:rPr>
      </w:pPr>
      <w:r>
        <w:rPr>
          <w:rStyle w:val="FootnoteReference"/>
        </w:rPr>
        <w:footnoteRef/>
      </w:r>
      <w:r>
        <w:t xml:space="preserve"> European Union's appellant's submission, </w:t>
      </w:r>
      <w:r w:rsidRPr="00AF3D63">
        <w:t>para. </w:t>
      </w:r>
      <w:r>
        <w:t xml:space="preserve">888. </w:t>
      </w:r>
      <w:r w:rsidRPr="00AF3D63">
        <w:t>See </w:t>
      </w:r>
      <w:r>
        <w:t xml:space="preserve">also </w:t>
      </w:r>
      <w:r w:rsidRPr="00AF3D63">
        <w:t>paras.</w:t>
      </w:r>
      <w:r>
        <w:t xml:space="preserve"> 912-913.</w:t>
      </w:r>
    </w:p>
  </w:footnote>
  <w:footnote w:id="1722">
    <w:p w:rsidR="00FD2727" w:rsidRPr="00410588" w:rsidRDefault="00FD2727">
      <w:pPr>
        <w:pStyle w:val="FootnoteText"/>
        <w:rPr>
          <w:lang w:val="en-US"/>
        </w:rPr>
      </w:pPr>
      <w:r>
        <w:rPr>
          <w:rStyle w:val="FootnoteReference"/>
        </w:rPr>
        <w:footnoteRef/>
      </w:r>
      <w:r>
        <w:t xml:space="preserve"> European Union's appellant's submission, </w:t>
      </w:r>
      <w:r w:rsidRPr="00AF3D63">
        <w:t>paras. </w:t>
      </w:r>
      <w:r>
        <w:t>901 and 907.</w:t>
      </w:r>
    </w:p>
  </w:footnote>
  <w:footnote w:id="1723">
    <w:p w:rsidR="00FD2727" w:rsidRPr="00410588" w:rsidRDefault="00FD2727">
      <w:pPr>
        <w:pStyle w:val="FootnoteText"/>
        <w:rPr>
          <w:lang w:val="en-US"/>
        </w:rPr>
      </w:pPr>
      <w:r>
        <w:rPr>
          <w:rStyle w:val="FootnoteReference"/>
        </w:rPr>
        <w:footnoteRef/>
      </w:r>
      <w:r>
        <w:t xml:space="preserve"> European Union's appellant's submission, </w:t>
      </w:r>
      <w:r w:rsidRPr="00AF3D63">
        <w:t>para. </w:t>
      </w:r>
      <w:r>
        <w:t>900.</w:t>
      </w:r>
    </w:p>
  </w:footnote>
  <w:footnote w:id="1724">
    <w:p w:rsidR="00FD2727" w:rsidRPr="00410588" w:rsidRDefault="00FD2727">
      <w:pPr>
        <w:pStyle w:val="FootnoteText"/>
        <w:rPr>
          <w:lang w:val="en-US"/>
        </w:rPr>
      </w:pPr>
      <w:r>
        <w:rPr>
          <w:rStyle w:val="FootnoteReference"/>
        </w:rPr>
        <w:footnoteRef/>
      </w:r>
      <w:r>
        <w:t xml:space="preserve"> United States' appellee's submission, </w:t>
      </w:r>
      <w:r w:rsidRPr="00AF3D63">
        <w:t>paras. </w:t>
      </w:r>
      <w:r>
        <w:t>495-501.</w:t>
      </w:r>
    </w:p>
  </w:footnote>
  <w:footnote w:id="1725">
    <w:p w:rsidR="00FD2727" w:rsidRPr="00410588" w:rsidRDefault="00FD2727">
      <w:pPr>
        <w:pStyle w:val="FootnoteText"/>
        <w:rPr>
          <w:lang w:val="en-US"/>
        </w:rPr>
      </w:pPr>
      <w:r>
        <w:rPr>
          <w:rStyle w:val="FootnoteReference"/>
        </w:rPr>
        <w:footnoteRef/>
      </w:r>
      <w:r>
        <w:t xml:space="preserve"> United States' appellee's submission, </w:t>
      </w:r>
      <w:r w:rsidRPr="00AF3D63">
        <w:t>para. </w:t>
      </w:r>
      <w:r>
        <w:t>505.</w:t>
      </w:r>
    </w:p>
  </w:footnote>
  <w:footnote w:id="1726">
    <w:p w:rsidR="00FD2727" w:rsidRPr="00410588" w:rsidRDefault="00FD2727">
      <w:pPr>
        <w:pStyle w:val="FootnoteText"/>
        <w:rPr>
          <w:lang w:val="en-US"/>
        </w:rPr>
      </w:pPr>
      <w:r>
        <w:rPr>
          <w:rStyle w:val="FootnoteReference"/>
        </w:rPr>
        <w:footnoteRef/>
      </w:r>
      <w:r>
        <w:t xml:space="preserve"> European Union's appellant's submission, </w:t>
      </w:r>
      <w:r w:rsidRPr="00AF3D63">
        <w:t>para. </w:t>
      </w:r>
      <w:r>
        <w:t xml:space="preserve">898 (quoting Panel Report, </w:t>
      </w:r>
      <w:r w:rsidRPr="00AF3D63">
        <w:t>para. </w:t>
      </w:r>
      <w:r>
        <w:t>6.1717).</w:t>
      </w:r>
    </w:p>
  </w:footnote>
  <w:footnote w:id="1727">
    <w:p w:rsidR="00FD2727" w:rsidRPr="00410588" w:rsidRDefault="00FD2727">
      <w:pPr>
        <w:pStyle w:val="FootnoteText"/>
        <w:rPr>
          <w:lang w:val="en-US"/>
        </w:rPr>
      </w:pPr>
      <w:r>
        <w:rPr>
          <w:rStyle w:val="FootnoteReference"/>
        </w:rPr>
        <w:footnoteRef/>
      </w:r>
      <w:r>
        <w:t xml:space="preserve"> United States' appellee's submission, </w:t>
      </w:r>
      <w:r w:rsidRPr="00AF3D63">
        <w:t>para. </w:t>
      </w:r>
      <w:r>
        <w:t xml:space="preserve">499 (referring to Panel Report, </w:t>
      </w:r>
      <w:r w:rsidRPr="00AF3D63">
        <w:t>para. </w:t>
      </w:r>
      <w:r>
        <w:t>6.1539).</w:t>
      </w:r>
    </w:p>
  </w:footnote>
  <w:footnote w:id="1728">
    <w:p w:rsidR="00FD2727" w:rsidRPr="00410588" w:rsidRDefault="00FD2727">
      <w:pPr>
        <w:pStyle w:val="FootnoteText"/>
        <w:rPr>
          <w:lang w:val="en-US"/>
        </w:rPr>
      </w:pPr>
      <w:r>
        <w:rPr>
          <w:rStyle w:val="FootnoteReference"/>
        </w:rPr>
        <w:footnoteRef/>
      </w:r>
      <w:r>
        <w:t xml:space="preserve"> The Panel analysed Airbus' ability to fund the programme on market terms in the context of its discussion of the "viability" of the A350XWB in the absence of A350XWB LA/MSF. (</w:t>
      </w:r>
      <w:r w:rsidRPr="00AF3D63">
        <w:t>See </w:t>
      </w:r>
      <w:r>
        <w:t xml:space="preserve">Panel Report, </w:t>
      </w:r>
      <w:r w:rsidRPr="00AF3D63">
        <w:t>paras. </w:t>
      </w:r>
      <w:r>
        <w:t>6.1636-6.1638)</w:t>
      </w:r>
    </w:p>
  </w:footnote>
  <w:footnote w:id="1729">
    <w:p w:rsidR="00FD2727" w:rsidRPr="00410588" w:rsidRDefault="00FD2727">
      <w:pPr>
        <w:pStyle w:val="FootnoteText"/>
        <w:rPr>
          <w:lang w:val="en-US"/>
        </w:rPr>
      </w:pPr>
      <w:r>
        <w:rPr>
          <w:rStyle w:val="FootnoteReference"/>
        </w:rPr>
        <w:footnoteRef/>
      </w:r>
      <w:r>
        <w:t xml:space="preserve"> Panel Report, </w:t>
      </w:r>
      <w:r w:rsidRPr="00AF3D63">
        <w:t>para. </w:t>
      </w:r>
      <w:r>
        <w:t>6.1640.</w:t>
      </w:r>
    </w:p>
  </w:footnote>
  <w:footnote w:id="1730">
    <w:p w:rsidR="00FD2727" w:rsidRPr="00410588" w:rsidRDefault="00FD2727">
      <w:pPr>
        <w:pStyle w:val="FootnoteText"/>
        <w:rPr>
          <w:lang w:val="en-US"/>
        </w:rPr>
      </w:pPr>
      <w:r>
        <w:rPr>
          <w:rStyle w:val="FootnoteReference"/>
        </w:rPr>
        <w:footnoteRef/>
      </w:r>
      <w:r>
        <w:t xml:space="preserve"> Panel Report, </w:t>
      </w:r>
      <w:r w:rsidRPr="00AF3D63">
        <w:t>paras. </w:t>
      </w:r>
      <w:r>
        <w:t>6.1644-6.1645.</w:t>
      </w:r>
    </w:p>
  </w:footnote>
  <w:footnote w:id="1731">
    <w:p w:rsidR="00FD2727" w:rsidRPr="00410588" w:rsidRDefault="00FD2727">
      <w:pPr>
        <w:pStyle w:val="FootnoteText"/>
        <w:rPr>
          <w:lang w:val="en-US"/>
        </w:rPr>
      </w:pPr>
      <w:r>
        <w:rPr>
          <w:rStyle w:val="FootnoteReference"/>
        </w:rPr>
        <w:footnoteRef/>
      </w:r>
      <w:r>
        <w:t xml:space="preserve"> Panel Report, </w:t>
      </w:r>
      <w:r w:rsidRPr="00AF3D63">
        <w:t>para. </w:t>
      </w:r>
      <w:r>
        <w:t xml:space="preserve">6.1645. </w:t>
      </w:r>
      <w:r w:rsidRPr="00AF3D63">
        <w:t>See </w:t>
      </w:r>
      <w:r>
        <w:t xml:space="preserve">also </w:t>
      </w:r>
      <w:r w:rsidRPr="00AF3D63">
        <w:t>paras. </w:t>
      </w:r>
      <w:r>
        <w:t>6.1646-6.1700.</w:t>
      </w:r>
    </w:p>
  </w:footnote>
  <w:footnote w:id="1732">
    <w:p w:rsidR="00FD2727" w:rsidRPr="00410588" w:rsidRDefault="00FD2727">
      <w:pPr>
        <w:pStyle w:val="FootnoteText"/>
        <w:rPr>
          <w:lang w:val="en-US"/>
        </w:rPr>
      </w:pPr>
      <w:r>
        <w:rPr>
          <w:rStyle w:val="FootnoteReference"/>
        </w:rPr>
        <w:footnoteRef/>
      </w:r>
      <w:r>
        <w:t xml:space="preserve"> Panel Report, </w:t>
      </w:r>
      <w:r w:rsidRPr="00AF3D63">
        <w:t>para. </w:t>
      </w:r>
      <w:r>
        <w:t>6.1656.</w:t>
      </w:r>
    </w:p>
  </w:footnote>
  <w:footnote w:id="1733">
    <w:p w:rsidR="00FD2727" w:rsidRPr="00410588" w:rsidRDefault="00FD2727" w:rsidP="00C752B3">
      <w:pPr>
        <w:pStyle w:val="FootnoteText"/>
        <w:keepLines/>
        <w:rPr>
          <w:lang w:val="en-US"/>
        </w:rPr>
      </w:pPr>
      <w:r>
        <w:rPr>
          <w:rStyle w:val="FootnoteReference"/>
        </w:rPr>
        <w:footnoteRef/>
      </w:r>
      <w:r>
        <w:t xml:space="preserve"> The Panel recalled its earlier statements indicating that</w:t>
      </w:r>
      <w:r w:rsidRPr="00A64637">
        <w:rPr>
          <w:bCs/>
          <w:color w:val="000000"/>
          <w:szCs w:val="24"/>
        </w:rPr>
        <w:t xml:space="preserve"> </w:t>
      </w:r>
      <w:r w:rsidRPr="00A64637">
        <w:t>Airbus appeared to</w:t>
      </w:r>
      <w:r>
        <w:t xml:space="preserve"> enhance</w:t>
      </w:r>
      <w:r w:rsidRPr="00A64637">
        <w:t xml:space="preserve"> aggressivel</w:t>
      </w:r>
      <w:r>
        <w:t>y its reliance on RSPs</w:t>
      </w:r>
      <w:r w:rsidRPr="00CE53AA">
        <w:t xml:space="preserve"> relative</w:t>
      </w:r>
      <w:r w:rsidRPr="00A64637">
        <w:t xml:space="preserve"> to its previous LCA programmes</w:t>
      </w:r>
      <w:r>
        <w:t xml:space="preserve"> </w:t>
      </w:r>
      <w:r>
        <w:rPr>
          <w:bCs/>
          <w:color w:val="000000"/>
          <w:szCs w:val="24"/>
        </w:rPr>
        <w:t>(which</w:t>
      </w:r>
      <w:r w:rsidRPr="00A64637">
        <w:rPr>
          <w:bCs/>
          <w:color w:val="000000"/>
          <w:szCs w:val="24"/>
        </w:rPr>
        <w:t xml:space="preserve"> entailed significant risks to the programme</w:t>
      </w:r>
      <w:r>
        <w:rPr>
          <w:bCs/>
          <w:color w:val="000000"/>
          <w:szCs w:val="24"/>
        </w:rPr>
        <w:t>),</w:t>
      </w:r>
      <w:r w:rsidRPr="00A64637">
        <w:rPr>
          <w:bCs/>
          <w:color w:val="000000"/>
          <w:szCs w:val="24"/>
        </w:rPr>
        <w:t xml:space="preserve"> that Airbus </w:t>
      </w:r>
      <w:r w:rsidRPr="00A64637">
        <w:t>appeared to employ</w:t>
      </w:r>
      <w:r w:rsidRPr="006234F2">
        <w:t xml:space="preserve"> RSPs to the maximum extent </w:t>
      </w:r>
      <w:r w:rsidRPr="00A64637">
        <w:t>Airbus</w:t>
      </w:r>
      <w:r w:rsidRPr="006234F2">
        <w:t xml:space="preserve"> deemed feasible</w:t>
      </w:r>
      <w:r>
        <w:t xml:space="preserve"> (i.e. the amount of outsourcing</w:t>
      </w:r>
      <w:r w:rsidRPr="006234F2">
        <w:t xml:space="preserve"> and </w:t>
      </w:r>
      <w:r>
        <w:t>supplier involvement was at saturation</w:t>
      </w:r>
      <w:r>
        <w:rPr>
          <w:bCs/>
          <w:color w:val="000000"/>
          <w:szCs w:val="24"/>
        </w:rPr>
        <w:t>)</w:t>
      </w:r>
      <w:r w:rsidRPr="00A64637">
        <w:rPr>
          <w:bCs/>
          <w:color w:val="000000"/>
          <w:szCs w:val="24"/>
        </w:rPr>
        <w:t xml:space="preserve">, and that </w:t>
      </w:r>
      <w:r>
        <w:t>enhanced use of</w:t>
      </w:r>
      <w:r w:rsidRPr="006234F2">
        <w:t xml:space="preserve"> RSPs would have been </w:t>
      </w:r>
      <w:r>
        <w:t>problematic from a general administrative standpoint</w:t>
      </w:r>
      <w:r w:rsidRPr="00A64637">
        <w:rPr>
          <w:bCs/>
          <w:color w:val="000000"/>
          <w:szCs w:val="24"/>
        </w:rPr>
        <w:t>.</w:t>
      </w:r>
      <w:r>
        <w:rPr>
          <w:bCs/>
          <w:color w:val="000000"/>
          <w:szCs w:val="24"/>
        </w:rPr>
        <w:t xml:space="preserve"> (Panel Report, </w:t>
      </w:r>
      <w:r w:rsidRPr="00AF3D63">
        <w:rPr>
          <w:bCs/>
          <w:color w:val="000000"/>
          <w:szCs w:val="24"/>
        </w:rPr>
        <w:t>para. </w:t>
      </w:r>
      <w:r>
        <w:rPr>
          <w:bCs/>
          <w:color w:val="000000"/>
          <w:szCs w:val="24"/>
        </w:rPr>
        <w:t xml:space="preserve">6.1650) </w:t>
      </w:r>
      <w:r>
        <w:t xml:space="preserve">For the Panel, this demonstrated that "materially increasing reliance on RSPs in the absence of </w:t>
      </w:r>
      <w:r w:rsidRPr="00E45102">
        <w:t>A350XWB</w:t>
      </w:r>
      <w:r>
        <w:t xml:space="preserve"> LA/MSF, even if Airbus </w:t>
      </w:r>
      <w:r w:rsidRPr="00605802">
        <w:t>had</w:t>
      </w:r>
      <w:r>
        <w:t xml:space="preserve"> been willing to do so, would have entailed significant risks for the programme and would have been difficult". (Ibid. (referring to </w:t>
      </w:r>
      <w:r w:rsidRPr="00AF3D63">
        <w:t>para. </w:t>
      </w:r>
      <w:r>
        <w:t>6.500 et seq. of its Report)) The Panel also found that, "at least to some extent, it would have been more costly and more difficult for Airbus to secure additional RSP involvement in the absence of A350XWB LA/MSF" (Ibid., para. 6.1651), and that "</w:t>
      </w:r>
      <w:r>
        <w:rPr>
          <w:bCs/>
          <w:color w:val="000000"/>
          <w:szCs w:val="24"/>
        </w:rPr>
        <w:t xml:space="preserve">RSPs would have encountered challenges in accessing market financing that would have allowed them to increase their involvement in the A350XWB programme in the absence of A350XWB LA/MSF". (Ibid., </w:t>
      </w:r>
      <w:r w:rsidRPr="00AF3D63">
        <w:rPr>
          <w:bCs/>
          <w:color w:val="000000"/>
          <w:szCs w:val="24"/>
        </w:rPr>
        <w:t>para. </w:t>
      </w:r>
      <w:r>
        <w:rPr>
          <w:bCs/>
          <w:color w:val="000000"/>
          <w:szCs w:val="24"/>
        </w:rPr>
        <w:t>6.1653 (fn omitted))</w:t>
      </w:r>
    </w:p>
  </w:footnote>
  <w:footnote w:id="1734">
    <w:p w:rsidR="00FD2727" w:rsidRPr="00410588" w:rsidRDefault="00FD2727">
      <w:pPr>
        <w:pStyle w:val="FootnoteText"/>
        <w:rPr>
          <w:lang w:val="en-US"/>
        </w:rPr>
      </w:pPr>
      <w:r>
        <w:rPr>
          <w:rStyle w:val="FootnoteReference"/>
        </w:rPr>
        <w:footnoteRef/>
      </w:r>
      <w:r>
        <w:t xml:space="preserve"> Panel Report, </w:t>
      </w:r>
      <w:r w:rsidRPr="00AF3D63">
        <w:t>para. </w:t>
      </w:r>
      <w:r>
        <w:t>6.1657.</w:t>
      </w:r>
    </w:p>
  </w:footnote>
  <w:footnote w:id="1735">
    <w:p w:rsidR="00FD2727" w:rsidRPr="00410588" w:rsidRDefault="00FD2727">
      <w:pPr>
        <w:pStyle w:val="FootnoteText"/>
        <w:rPr>
          <w:lang w:val="en-US"/>
        </w:rPr>
      </w:pPr>
      <w:r>
        <w:rPr>
          <w:rStyle w:val="FootnoteReference"/>
        </w:rPr>
        <w:footnoteRef/>
      </w:r>
      <w:r>
        <w:t xml:space="preserve"> Panel Report, </w:t>
      </w:r>
      <w:r w:rsidRPr="00AF3D63">
        <w:t>para. </w:t>
      </w:r>
      <w:r>
        <w:t>6.1659.</w:t>
      </w:r>
    </w:p>
  </w:footnote>
  <w:footnote w:id="1736">
    <w:p w:rsidR="00FD2727" w:rsidRPr="00410588" w:rsidRDefault="00FD2727">
      <w:pPr>
        <w:pStyle w:val="FootnoteText"/>
        <w:rPr>
          <w:lang w:val="en-US"/>
        </w:rPr>
      </w:pPr>
      <w:r>
        <w:rPr>
          <w:rStyle w:val="FootnoteReference"/>
        </w:rPr>
        <w:footnoteRef/>
      </w:r>
      <w:r>
        <w:t xml:space="preserve"> Panel Report, </w:t>
      </w:r>
      <w:r w:rsidRPr="00AF3D63">
        <w:t>para. </w:t>
      </w:r>
      <w:r>
        <w:t xml:space="preserve">6.1664. The </w:t>
      </w:r>
      <w:r>
        <w:rPr>
          <w:lang w:val="en-US"/>
        </w:rPr>
        <w:t>Panel also saw</w:t>
      </w:r>
      <w:r w:rsidRPr="00A31816">
        <w:rPr>
          <w:lang w:val="en-US"/>
        </w:rPr>
        <w:t xml:space="preserve"> </w:t>
      </w:r>
      <w:r>
        <w:rPr>
          <w:lang w:val="en-US"/>
        </w:rPr>
        <w:t>"</w:t>
      </w:r>
      <w:r w:rsidRPr="00A31816">
        <w:rPr>
          <w:lang w:val="en-US"/>
        </w:rPr>
        <w:t>little reason</w:t>
      </w:r>
      <w:r>
        <w:rPr>
          <w:lang w:val="en-US"/>
        </w:rPr>
        <w:t>"</w:t>
      </w:r>
      <w:r w:rsidRPr="00A31816">
        <w:rPr>
          <w:lang w:val="en-US"/>
        </w:rPr>
        <w:t xml:space="preserve"> to doubt the </w:t>
      </w:r>
      <w:r>
        <w:rPr>
          <w:lang w:val="en-US"/>
        </w:rPr>
        <w:t>United States</w:t>
      </w:r>
      <w:r w:rsidRPr="00A31816">
        <w:rPr>
          <w:lang w:val="en-US"/>
        </w:rPr>
        <w:t>' evidence or argument that such a decision to r</w:t>
      </w:r>
      <w:r>
        <w:rPr>
          <w:lang w:val="en-US"/>
        </w:rPr>
        <w:t>educe shareholder distributions</w:t>
      </w:r>
      <w:r w:rsidRPr="00A31816">
        <w:rPr>
          <w:lang w:val="en-US"/>
        </w:rPr>
        <w:t xml:space="preserve"> would have been, at least in part, interpreted as an indicator of EADS' financial fragility by the market. Thus, the </w:t>
      </w:r>
      <w:r w:rsidRPr="00A31816">
        <w:rPr>
          <w:i/>
          <w:lang w:val="en-US"/>
        </w:rPr>
        <w:t>extent</w:t>
      </w:r>
      <w:r w:rsidRPr="00A31816">
        <w:rPr>
          <w:lang w:val="en-US"/>
        </w:rPr>
        <w:t xml:space="preserve"> to which EADS would have felt comfortable reducing shareholder distributions such as dividends to help fund the A350XWB programme</w:t>
      </w:r>
      <w:r>
        <w:rPr>
          <w:lang w:val="en-US"/>
        </w:rPr>
        <w:t xml:space="preserve"> remained "unclear" to the Panel. (Ibid., para. 6.1663) The Panel also </w:t>
      </w:r>
      <w:r w:rsidRPr="00E940FF">
        <w:rPr>
          <w:lang w:val="en-US"/>
        </w:rPr>
        <w:t>detect</w:t>
      </w:r>
      <w:r>
        <w:rPr>
          <w:lang w:val="en-US"/>
        </w:rPr>
        <w:t>ed</w:t>
      </w:r>
      <w:r w:rsidRPr="00E940FF">
        <w:rPr>
          <w:lang w:val="en-US"/>
        </w:rPr>
        <w:t xml:space="preserve"> no evidence of a historic practice by EADS of sacrificing shareholder distributions to help finance specific projects</w:t>
      </w:r>
      <w:r>
        <w:rPr>
          <w:lang w:val="en-US"/>
        </w:rPr>
        <w:t>. (Ibid.)</w:t>
      </w:r>
    </w:p>
  </w:footnote>
  <w:footnote w:id="1737">
    <w:p w:rsidR="00FD2727" w:rsidRPr="00410588" w:rsidRDefault="00FD2727">
      <w:pPr>
        <w:pStyle w:val="FootnoteText"/>
        <w:rPr>
          <w:lang w:val="en-US"/>
        </w:rPr>
      </w:pPr>
      <w:r>
        <w:rPr>
          <w:rStyle w:val="FootnoteReference"/>
        </w:rPr>
        <w:footnoteRef/>
      </w:r>
      <w:r>
        <w:t xml:space="preserve"> Panel Report, </w:t>
      </w:r>
      <w:r w:rsidRPr="00AF3D63">
        <w:t>para. </w:t>
      </w:r>
      <w:r>
        <w:t>6.1668. Although the Panel accepted that this may have been an option for EADS, it considered that the extent to which this was a credible source of funding remained "somewhat speculative". (Ibid.)</w:t>
      </w:r>
    </w:p>
  </w:footnote>
  <w:footnote w:id="1738">
    <w:p w:rsidR="00FD2727" w:rsidRPr="00410588" w:rsidRDefault="00FD2727">
      <w:pPr>
        <w:pStyle w:val="FootnoteText"/>
        <w:rPr>
          <w:lang w:val="en-US"/>
        </w:rPr>
      </w:pPr>
      <w:r>
        <w:rPr>
          <w:rStyle w:val="FootnoteReference"/>
        </w:rPr>
        <w:footnoteRef/>
      </w:r>
      <w:r>
        <w:t xml:space="preserve"> Panel Report, </w:t>
      </w:r>
      <w:r w:rsidRPr="00AF3D63">
        <w:t>para. </w:t>
      </w:r>
      <w:r>
        <w:t>6.1690.</w:t>
      </w:r>
    </w:p>
  </w:footnote>
  <w:footnote w:id="1739">
    <w:p w:rsidR="00FD2727" w:rsidRPr="00410588" w:rsidRDefault="00FD2727" w:rsidP="00C752B3">
      <w:pPr>
        <w:pStyle w:val="FootnoteText"/>
        <w:keepLines/>
        <w:rPr>
          <w:lang w:val="en-US"/>
        </w:rPr>
      </w:pPr>
      <w:r>
        <w:rPr>
          <w:rStyle w:val="FootnoteReference"/>
        </w:rPr>
        <w:footnoteRef/>
      </w:r>
      <w:r>
        <w:t xml:space="preserve"> Panel Report, </w:t>
      </w:r>
      <w:r w:rsidRPr="00AF3D63">
        <w:t>para. </w:t>
      </w:r>
      <w:r>
        <w:t>6.1673. The Panel explained that EADS' net cash position at any point in time is "simply the accumulated result of its positive and negative cash flows up until that time, less financial liabilities". (Ibid.) For the Panel, if EADS were to have financed the A350XWB programme in the absence of A350XWB LA/MSF with net cash, EADS would have had to have, at any given time, a net cash balance capable of covering not only the A350XWB</w:t>
      </w:r>
      <w:r>
        <w:noBreakHyphen/>
        <w:t>related expenses that had accrued up until that point that had been covered by MSF assistance but also all its other relevant cash needs. In this regard, the Panel noted that, at year-end 2006 and 2009, EADS had net cash balances of approximately EUR 4.2 billion and EUR 9.8 billion, respectively, which exceeded the total amount of monies to which Airbus was entitled under the A350XWB LA/MSF measures. The net cash projections contained in the 2007 and 2009 Operating Plans likewise indicated to the Panel expected net cash levels that appear "in excess of the total sum of monies received by Airbus under the A350XWB LA/MSF contracts for almost every year for which they contain net cash projections". (Ibid. (referring to CompetitionRx Report (Panel Exhibit EU-127 (BCI/HSBI)), Tables 36 and 39, and Annex G.1 (Table 2)))</w:t>
      </w:r>
    </w:p>
  </w:footnote>
  <w:footnote w:id="1740">
    <w:p w:rsidR="00FD2727" w:rsidRPr="00410588" w:rsidRDefault="00FD2727">
      <w:pPr>
        <w:pStyle w:val="FootnoteText"/>
        <w:rPr>
          <w:lang w:val="en-US"/>
        </w:rPr>
      </w:pPr>
      <w:r>
        <w:rPr>
          <w:rStyle w:val="FootnoteReference"/>
        </w:rPr>
        <w:footnoteRef/>
      </w:r>
      <w:r>
        <w:t xml:space="preserve"> Panel Report, </w:t>
      </w:r>
      <w:r w:rsidRPr="00AF3D63">
        <w:t>para. </w:t>
      </w:r>
      <w:r>
        <w:t>6.1674.</w:t>
      </w:r>
    </w:p>
  </w:footnote>
  <w:footnote w:id="1741">
    <w:p w:rsidR="00FD2727" w:rsidRPr="00410588" w:rsidRDefault="00FD2727">
      <w:pPr>
        <w:pStyle w:val="FootnoteText"/>
        <w:rPr>
          <w:lang w:val="en-US"/>
        </w:rPr>
      </w:pPr>
      <w:r>
        <w:rPr>
          <w:rStyle w:val="FootnoteReference"/>
        </w:rPr>
        <w:footnoteRef/>
      </w:r>
      <w:r>
        <w:t xml:space="preserve"> Panel Report, para. 6.1675. The Panel explained, e.g. that EADS may well have needed the cash to cover contingencies arising from not only its non</w:t>
      </w:r>
      <w:r>
        <w:noBreakHyphen/>
        <w:t>LCA businesses but also cost overruns and/or revenue shortfalls associated with Airbus' LCA programmes. In this regard, the Panel recalled that unexpected A380 delays that accumulated in the latter part of 2006 had massive expected impacts on EADS' cash positions for multiple years into the future. The Panel also recalled that the A350XWB programme itself carried significant risks, the occurrence of which would put further strain on EADS' financial resources. (Ibid.)</w:t>
      </w:r>
    </w:p>
  </w:footnote>
  <w:footnote w:id="1742">
    <w:p w:rsidR="00FD2727" w:rsidRPr="00410588" w:rsidRDefault="00FD2727">
      <w:pPr>
        <w:pStyle w:val="FootnoteText"/>
        <w:rPr>
          <w:lang w:val="en-US"/>
        </w:rPr>
      </w:pPr>
      <w:r>
        <w:rPr>
          <w:rStyle w:val="FootnoteReference"/>
        </w:rPr>
        <w:footnoteRef/>
      </w:r>
      <w:r>
        <w:t xml:space="preserve"> Panel Report, </w:t>
      </w:r>
      <w:r w:rsidRPr="00AF3D63">
        <w:t>para. </w:t>
      </w:r>
      <w:r>
        <w:t xml:space="preserve">6.1676 (referring to CompetitionRx Report (Panel Exhibit EU-127 (BCI/HSBI)), Annex G.1, </w:t>
      </w:r>
      <w:r w:rsidRPr="00AF3D63">
        <w:t>para. </w:t>
      </w:r>
      <w:r>
        <w:t>14).</w:t>
      </w:r>
    </w:p>
  </w:footnote>
  <w:footnote w:id="1743">
    <w:p w:rsidR="00FD2727" w:rsidRPr="00410588" w:rsidRDefault="00FD2727" w:rsidP="000352B8">
      <w:pPr>
        <w:pStyle w:val="FootnoteText"/>
        <w:keepNext/>
        <w:keepLines/>
        <w:rPr>
          <w:lang w:val="en-US"/>
        </w:rPr>
      </w:pPr>
      <w:r>
        <w:rPr>
          <w:rStyle w:val="FootnoteReference"/>
        </w:rPr>
        <w:footnoteRef/>
      </w:r>
      <w:r>
        <w:t xml:space="preserve"> Panel Report, </w:t>
      </w:r>
      <w:r w:rsidRPr="00AF3D63">
        <w:t>para. </w:t>
      </w:r>
      <w:r>
        <w:t xml:space="preserve">6.1700. The Panel </w:t>
      </w:r>
      <w:r w:rsidRPr="00CB7B07">
        <w:rPr>
          <w:lang w:val="en-US"/>
        </w:rPr>
        <w:t>accept</w:t>
      </w:r>
      <w:r>
        <w:rPr>
          <w:lang w:val="en-US"/>
        </w:rPr>
        <w:t>ed</w:t>
      </w:r>
      <w:r w:rsidRPr="00CB7B07">
        <w:rPr>
          <w:lang w:val="en-US"/>
        </w:rPr>
        <w:t xml:space="preserve"> that th</w:t>
      </w:r>
      <w:r>
        <w:rPr>
          <w:lang w:val="en-US"/>
        </w:rPr>
        <w:t>e presence of "undrawn funds" to </w:t>
      </w:r>
      <w:r w:rsidRPr="00CB7B07">
        <w:rPr>
          <w:lang w:val="en-US"/>
        </w:rPr>
        <w:t>the tune of EUR 1.5 billion and EUR 500 million under the</w:t>
      </w:r>
      <w:r>
        <w:rPr>
          <w:lang w:val="en-US"/>
        </w:rPr>
        <w:t xml:space="preserve"> Euro Medium-term Note</w:t>
      </w:r>
      <w:r w:rsidRPr="00CB7B07">
        <w:rPr>
          <w:lang w:val="en-US"/>
        </w:rPr>
        <w:t xml:space="preserve"> </w:t>
      </w:r>
      <w:r>
        <w:rPr>
          <w:lang w:val="en-US"/>
        </w:rPr>
        <w:t>(</w:t>
      </w:r>
      <w:r w:rsidRPr="00CB7B07">
        <w:rPr>
          <w:lang w:val="en-US"/>
        </w:rPr>
        <w:t>EMTN</w:t>
      </w:r>
      <w:r>
        <w:rPr>
          <w:lang w:val="en-US"/>
        </w:rPr>
        <w:t>)</w:t>
      </w:r>
      <w:r w:rsidRPr="00CB7B07">
        <w:rPr>
          <w:lang w:val="en-US"/>
        </w:rPr>
        <w:t xml:space="preserve"> programme at approximately the time of launch and the First Contr</w:t>
      </w:r>
      <w:r>
        <w:rPr>
          <w:lang w:val="en-US"/>
        </w:rPr>
        <w:t>act Date, respectively, suggested</w:t>
      </w:r>
      <w:r w:rsidRPr="00CB7B07">
        <w:rPr>
          <w:lang w:val="en-US"/>
        </w:rPr>
        <w:t xml:space="preserve"> EADS</w:t>
      </w:r>
      <w:r>
        <w:rPr>
          <w:lang w:val="en-US"/>
        </w:rPr>
        <w:t>'</w:t>
      </w:r>
      <w:r w:rsidRPr="00CB7B07">
        <w:rPr>
          <w:lang w:val="en-US"/>
        </w:rPr>
        <w:t xml:space="preserve"> </w:t>
      </w:r>
      <w:r>
        <w:rPr>
          <w:lang w:val="en-US"/>
        </w:rPr>
        <w:t>"</w:t>
      </w:r>
      <w:r w:rsidRPr="00CB7B07">
        <w:rPr>
          <w:lang w:val="en-US"/>
        </w:rPr>
        <w:t>ability to raise at least some additional debt in the relevant time-periods</w:t>
      </w:r>
      <w:r>
        <w:rPr>
          <w:lang w:val="en-US"/>
        </w:rPr>
        <w:t>"</w:t>
      </w:r>
      <w:r w:rsidRPr="00CB7B07">
        <w:rPr>
          <w:lang w:val="en-US"/>
        </w:rPr>
        <w:t>.</w:t>
      </w:r>
      <w:r>
        <w:rPr>
          <w:lang w:val="en-US"/>
        </w:rPr>
        <w:t xml:space="preserve"> (Ibid., </w:t>
      </w:r>
      <w:r w:rsidRPr="00AF3D63">
        <w:rPr>
          <w:lang w:val="en-US"/>
        </w:rPr>
        <w:t>para. </w:t>
      </w:r>
      <w:r>
        <w:rPr>
          <w:lang w:val="en-US"/>
        </w:rPr>
        <w:t>6.1696)</w:t>
      </w:r>
    </w:p>
  </w:footnote>
  <w:footnote w:id="1744">
    <w:p w:rsidR="00FD2727" w:rsidRPr="00410588" w:rsidRDefault="00FD2727" w:rsidP="00C752B3">
      <w:pPr>
        <w:pStyle w:val="FootnoteText"/>
        <w:keepLines/>
        <w:rPr>
          <w:lang w:val="en-US"/>
        </w:rPr>
      </w:pPr>
      <w:r>
        <w:rPr>
          <w:rStyle w:val="FootnoteReference"/>
        </w:rPr>
        <w:footnoteRef/>
      </w:r>
      <w:r>
        <w:t xml:space="preserve"> Panel Report, </w:t>
      </w:r>
      <w:r w:rsidRPr="00AF3D63">
        <w:t>para. </w:t>
      </w:r>
      <w:r>
        <w:t xml:space="preserve">6.1715. The Panel considered this to be supported by the European Union's statements regarding how the A350XWB programme would have been funded in the absence of A350XWB LA/MSF. (Ibid., fn 3068 thereto (referring to and quoting European Union's response to Panel question No. 135, </w:t>
      </w:r>
      <w:r w:rsidRPr="00AF3D63">
        <w:t>para. </w:t>
      </w:r>
      <w:r>
        <w:t xml:space="preserve">118 (arguing that "with the assistance of its financial advisors, EADS would put in place a </w:t>
      </w:r>
      <w:r>
        <w:rPr>
          <w:i/>
        </w:rPr>
        <w:t>mix of financing</w:t>
      </w:r>
      <w:r>
        <w:t xml:space="preserve"> … that meets the financing requirement and maximises the profits of the programme." (emphasis added by the Panel)))) </w:t>
      </w:r>
      <w:r>
        <w:rPr>
          <w:lang w:val="en-US"/>
        </w:rPr>
        <w:t>The Panel further explained that this was especially the case because none of the potentially available funding options would have provided Airbus with the same significant "risk-sharing" features as did LA/MSF. (</w:t>
      </w:r>
      <w:r>
        <w:t xml:space="preserve">Ibid., </w:t>
      </w:r>
      <w:r w:rsidRPr="00AF3D63">
        <w:t>para. </w:t>
      </w:r>
      <w:r>
        <w:t>6.1715)</w:t>
      </w:r>
    </w:p>
  </w:footnote>
  <w:footnote w:id="1745">
    <w:p w:rsidR="00FD2727" w:rsidRPr="00410588" w:rsidRDefault="00FD2727">
      <w:pPr>
        <w:pStyle w:val="FootnoteText"/>
        <w:rPr>
          <w:lang w:val="en-US"/>
        </w:rPr>
      </w:pPr>
      <w:r>
        <w:rPr>
          <w:rStyle w:val="FootnoteReference"/>
        </w:rPr>
        <w:footnoteRef/>
      </w:r>
      <w:r>
        <w:t xml:space="preserve"> </w:t>
      </w:r>
      <w:r w:rsidRPr="00E6174B">
        <w:t xml:space="preserve">Panel Report, </w:t>
      </w:r>
      <w:r w:rsidRPr="00AF3D63">
        <w:t>para. </w:t>
      </w:r>
      <w:r w:rsidRPr="00E6174B">
        <w:t>6.1715.</w:t>
      </w:r>
    </w:p>
  </w:footnote>
  <w:footnote w:id="1746">
    <w:p w:rsidR="00FD2727" w:rsidRPr="00410588" w:rsidRDefault="00FD2727">
      <w:pPr>
        <w:pStyle w:val="FootnoteText"/>
        <w:rPr>
          <w:lang w:val="en-US"/>
        </w:rPr>
      </w:pPr>
      <w:r>
        <w:rPr>
          <w:rStyle w:val="FootnoteReference"/>
        </w:rPr>
        <w:footnoteRef/>
      </w:r>
      <w:r>
        <w:t xml:space="preserve"> </w:t>
      </w:r>
      <w:r w:rsidRPr="00E6174B">
        <w:t xml:space="preserve">Panel Report, </w:t>
      </w:r>
      <w:r w:rsidRPr="00AF3D63">
        <w:t>para. </w:t>
      </w:r>
      <w:r w:rsidRPr="00E6174B">
        <w:t>6.1715.</w:t>
      </w:r>
    </w:p>
  </w:footnote>
  <w:footnote w:id="1747">
    <w:p w:rsidR="00FD2727" w:rsidRPr="00410588" w:rsidRDefault="00FD2727">
      <w:pPr>
        <w:pStyle w:val="FootnoteText"/>
        <w:rPr>
          <w:lang w:val="en-US"/>
        </w:rPr>
      </w:pPr>
      <w:r>
        <w:rPr>
          <w:rStyle w:val="FootnoteReference"/>
        </w:rPr>
        <w:footnoteRef/>
      </w:r>
      <w:r>
        <w:t xml:space="preserve"> </w:t>
      </w:r>
      <w:r w:rsidRPr="00E6174B">
        <w:t xml:space="preserve">Panel Report, </w:t>
      </w:r>
      <w:r w:rsidRPr="00AF3D63">
        <w:t>para. </w:t>
      </w:r>
      <w:r w:rsidRPr="00E6174B">
        <w:t>6.1715.</w:t>
      </w:r>
      <w:r>
        <w:t xml:space="preserve"> (fn omitted)</w:t>
      </w:r>
    </w:p>
  </w:footnote>
  <w:footnote w:id="1748">
    <w:p w:rsidR="00FD2727" w:rsidRPr="00410588" w:rsidRDefault="00FD2727">
      <w:pPr>
        <w:pStyle w:val="FootnoteText"/>
        <w:rPr>
          <w:lang w:val="en-US"/>
        </w:rPr>
      </w:pPr>
      <w:r>
        <w:rPr>
          <w:rStyle w:val="FootnoteReference"/>
        </w:rPr>
        <w:footnoteRef/>
      </w:r>
      <w:r>
        <w:t xml:space="preserve"> Panel Report, fn 3067 to </w:t>
      </w:r>
      <w:r w:rsidRPr="00AF3D63">
        <w:t>para. </w:t>
      </w:r>
      <w:r>
        <w:t xml:space="preserve">6.1715 (referring to </w:t>
      </w:r>
      <w:r w:rsidRPr="00AF3D63">
        <w:t>para. </w:t>
      </w:r>
      <w:r>
        <w:t>6.1640 et seq. of its Report).</w:t>
      </w:r>
    </w:p>
  </w:footnote>
  <w:footnote w:id="1749">
    <w:p w:rsidR="00FD2727" w:rsidRPr="00410588" w:rsidRDefault="00FD2727">
      <w:pPr>
        <w:pStyle w:val="FootnoteText"/>
        <w:rPr>
          <w:lang w:val="en-US"/>
        </w:rPr>
      </w:pPr>
      <w:r>
        <w:rPr>
          <w:rStyle w:val="FootnoteReference"/>
        </w:rPr>
        <w:footnoteRef/>
      </w:r>
      <w:r>
        <w:t xml:space="preserve"> Panel Report, fn 3067 to </w:t>
      </w:r>
      <w:r w:rsidRPr="00AF3D63">
        <w:t>para. </w:t>
      </w:r>
      <w:r>
        <w:t>6.1715.</w:t>
      </w:r>
    </w:p>
  </w:footnote>
  <w:footnote w:id="1750">
    <w:p w:rsidR="00FD2727" w:rsidRPr="00410588" w:rsidRDefault="00FD2727">
      <w:pPr>
        <w:pStyle w:val="FootnoteText"/>
        <w:rPr>
          <w:lang w:val="en-US"/>
        </w:rPr>
      </w:pPr>
      <w:r>
        <w:rPr>
          <w:rStyle w:val="FootnoteReference"/>
        </w:rPr>
        <w:footnoteRef/>
      </w:r>
      <w:r>
        <w:t xml:space="preserve"> Panel Report, fn 3067 to </w:t>
      </w:r>
      <w:r w:rsidRPr="00AF3D63">
        <w:t>para. </w:t>
      </w:r>
      <w:r>
        <w:t xml:space="preserve">6.1715 (referring to </w:t>
      </w:r>
      <w:r w:rsidRPr="00AF3D63">
        <w:t>para. </w:t>
      </w:r>
      <w:r>
        <w:t xml:space="preserve">6.1588 et seq. of its Report). </w:t>
      </w:r>
      <w:r w:rsidRPr="00AF3D63">
        <w:t>See </w:t>
      </w:r>
      <w:r>
        <w:t xml:space="preserve">also, </w:t>
      </w:r>
      <w:r w:rsidRPr="00AF3D63">
        <w:t>para. </w:t>
      </w:r>
      <w:r>
        <w:t>6.1598.</w:t>
      </w:r>
    </w:p>
  </w:footnote>
  <w:footnote w:id="1751">
    <w:p w:rsidR="00FD2727" w:rsidRPr="00C30503" w:rsidRDefault="00FD2727">
      <w:pPr>
        <w:pStyle w:val="FootnoteText"/>
      </w:pPr>
      <w:r>
        <w:rPr>
          <w:rStyle w:val="FootnoteReference"/>
        </w:rPr>
        <w:footnoteRef/>
      </w:r>
      <w:r>
        <w:t xml:space="preserve"> Panel Report, fn 3066 to para. 6.1715 (referring to para. 6.1600 et seq. of its Report).</w:t>
      </w:r>
    </w:p>
  </w:footnote>
  <w:footnote w:id="1752">
    <w:p w:rsidR="00FD2727" w:rsidRPr="00410588" w:rsidRDefault="00FD2727">
      <w:pPr>
        <w:pStyle w:val="FootnoteText"/>
        <w:rPr>
          <w:lang w:val="en-US"/>
        </w:rPr>
      </w:pPr>
      <w:r>
        <w:rPr>
          <w:rStyle w:val="FootnoteReference"/>
        </w:rPr>
        <w:footnoteRef/>
      </w:r>
      <w:r>
        <w:t xml:space="preserve"> Panel Report, fn 3066 to </w:t>
      </w:r>
      <w:r w:rsidRPr="00AF3D63">
        <w:t>para. </w:t>
      </w:r>
      <w:r>
        <w:t>6.1715.</w:t>
      </w:r>
    </w:p>
  </w:footnote>
  <w:footnote w:id="1753">
    <w:p w:rsidR="00FD2727" w:rsidRPr="00410588" w:rsidRDefault="00FD2727">
      <w:pPr>
        <w:pStyle w:val="FootnoteText"/>
        <w:rPr>
          <w:lang w:val="en-US"/>
        </w:rPr>
      </w:pPr>
      <w:r>
        <w:rPr>
          <w:rStyle w:val="FootnoteReference"/>
        </w:rPr>
        <w:footnoteRef/>
      </w:r>
      <w:r>
        <w:t xml:space="preserve"> Panel Report, </w:t>
      </w:r>
      <w:r w:rsidRPr="00AF3D63">
        <w:t>para. </w:t>
      </w:r>
      <w:r>
        <w:t>6.1609. (fn omitted)</w:t>
      </w:r>
    </w:p>
  </w:footnote>
  <w:footnote w:id="1754">
    <w:p w:rsidR="00FD2727" w:rsidRPr="00410588" w:rsidRDefault="00FD2727">
      <w:pPr>
        <w:pStyle w:val="FootnoteText"/>
        <w:rPr>
          <w:lang w:val="en-US"/>
        </w:rPr>
      </w:pPr>
      <w:r>
        <w:rPr>
          <w:rStyle w:val="FootnoteReference"/>
        </w:rPr>
        <w:footnoteRef/>
      </w:r>
      <w:r>
        <w:t xml:space="preserve"> Panel Report, fn 3067 to </w:t>
      </w:r>
      <w:r w:rsidRPr="00AF3D63">
        <w:t>para. </w:t>
      </w:r>
      <w:r>
        <w:t xml:space="preserve">6.1715 (referring to </w:t>
      </w:r>
      <w:r w:rsidRPr="00AF3D63">
        <w:t>para. </w:t>
      </w:r>
      <w:r>
        <w:t>6.1613 et seq. of its Report).</w:t>
      </w:r>
    </w:p>
  </w:footnote>
  <w:footnote w:id="1755">
    <w:p w:rsidR="00FD2727" w:rsidRPr="00410588" w:rsidRDefault="00FD2727">
      <w:pPr>
        <w:pStyle w:val="FootnoteText"/>
        <w:rPr>
          <w:lang w:val="en-US"/>
        </w:rPr>
      </w:pPr>
      <w:r>
        <w:rPr>
          <w:rStyle w:val="FootnoteReference"/>
        </w:rPr>
        <w:footnoteRef/>
      </w:r>
      <w:r>
        <w:t xml:space="preserve"> Panel Report, </w:t>
      </w:r>
      <w:r w:rsidRPr="00AF3D63">
        <w:t>para. </w:t>
      </w:r>
      <w:r>
        <w:t>6.1623.</w:t>
      </w:r>
    </w:p>
  </w:footnote>
  <w:footnote w:id="1756">
    <w:p w:rsidR="00FD2727" w:rsidRPr="00145239" w:rsidRDefault="00FD2727">
      <w:pPr>
        <w:pStyle w:val="FootnoteText"/>
        <w:rPr>
          <w:lang w:val="en-US"/>
        </w:rPr>
      </w:pPr>
      <w:r>
        <w:rPr>
          <w:rStyle w:val="FootnoteReference"/>
        </w:rPr>
        <w:footnoteRef/>
      </w:r>
      <w:r>
        <w:t xml:space="preserve"> Panel Report, </w:t>
      </w:r>
      <w:r w:rsidRPr="00AF3D63">
        <w:t>para. </w:t>
      </w:r>
      <w:r>
        <w:t>6.</w:t>
      </w:r>
      <w:r w:rsidRPr="00145239">
        <w:t>1715.</w:t>
      </w:r>
    </w:p>
  </w:footnote>
  <w:footnote w:id="1757">
    <w:p w:rsidR="00FD2727" w:rsidRPr="00145239" w:rsidRDefault="00FD2727">
      <w:pPr>
        <w:pStyle w:val="FootnoteText"/>
        <w:rPr>
          <w:lang w:val="en-US"/>
        </w:rPr>
      </w:pPr>
      <w:r w:rsidRPr="00145239">
        <w:rPr>
          <w:rStyle w:val="FootnoteReference"/>
        </w:rPr>
        <w:footnoteRef/>
      </w:r>
      <w:r w:rsidRPr="00145239">
        <w:t xml:space="preserve"> Panel Report, para. 6.1715 (referring to para. </w:t>
      </w:r>
      <w:r w:rsidRPr="00145239">
        <w:fldChar w:fldCharType="begin" w:fldLock="1"/>
      </w:r>
      <w:r w:rsidRPr="00145239">
        <w:instrText xml:space="preserve"> REF _Ref437280920 \n \h  \* MERGEFORMAT </w:instrText>
      </w:r>
      <w:r w:rsidRPr="00145239">
        <w:fldChar w:fldCharType="separate"/>
      </w:r>
      <w:r w:rsidRPr="00145239">
        <w:t>6.1676</w:t>
      </w:r>
      <w:r w:rsidRPr="00145239">
        <w:fldChar w:fldCharType="end"/>
      </w:r>
      <w:r w:rsidRPr="00145239">
        <w:t xml:space="preserve"> of its Report).</w:t>
      </w:r>
    </w:p>
  </w:footnote>
  <w:footnote w:id="1758">
    <w:p w:rsidR="00FD2727" w:rsidRPr="00145239" w:rsidRDefault="00FD2727">
      <w:pPr>
        <w:pStyle w:val="FootnoteText"/>
        <w:rPr>
          <w:lang w:val="en-US"/>
        </w:rPr>
      </w:pPr>
      <w:r w:rsidRPr="00145239">
        <w:rPr>
          <w:rStyle w:val="FootnoteReference"/>
        </w:rPr>
        <w:footnoteRef/>
      </w:r>
      <w:r w:rsidRPr="00145239">
        <w:t xml:space="preserve"> Panel Report, para. 6.1715 (referring to para. </w:t>
      </w:r>
      <w:r w:rsidRPr="00145239">
        <w:fldChar w:fldCharType="begin" w:fldLock="1"/>
      </w:r>
      <w:r w:rsidRPr="00145239">
        <w:instrText xml:space="preserve"> REF _Ref437280970 \n \h  \* MERGEFORMAT </w:instrText>
      </w:r>
      <w:r w:rsidRPr="00145239">
        <w:fldChar w:fldCharType="separate"/>
      </w:r>
      <w:r w:rsidRPr="00145239">
        <w:t>6.1646</w:t>
      </w:r>
      <w:r w:rsidRPr="00145239">
        <w:fldChar w:fldCharType="end"/>
      </w:r>
      <w:r w:rsidRPr="00145239">
        <w:t xml:space="preserve"> et seq. of its Report). See also para. 5.617 above.</w:t>
      </w:r>
    </w:p>
  </w:footnote>
  <w:footnote w:id="1759">
    <w:p w:rsidR="00FD2727" w:rsidRPr="00145239" w:rsidRDefault="00FD2727">
      <w:pPr>
        <w:pStyle w:val="FootnoteText"/>
        <w:rPr>
          <w:lang w:val="en-US"/>
        </w:rPr>
      </w:pPr>
      <w:r w:rsidRPr="00145239">
        <w:rPr>
          <w:rStyle w:val="FootnoteReference"/>
        </w:rPr>
        <w:footnoteRef/>
      </w:r>
      <w:r w:rsidRPr="00145239">
        <w:t xml:space="preserve"> Panel Report, para. 6.1715 (referring to para. </w:t>
      </w:r>
      <w:r w:rsidRPr="00145239">
        <w:fldChar w:fldCharType="begin" w:fldLock="1"/>
      </w:r>
      <w:r w:rsidRPr="00145239">
        <w:instrText xml:space="preserve"> REF _Ref437280993 \n \h  \* MERGEFORMAT </w:instrText>
      </w:r>
      <w:r w:rsidRPr="00145239">
        <w:fldChar w:fldCharType="separate"/>
      </w:r>
      <w:r w:rsidRPr="00145239">
        <w:t>6.1660</w:t>
      </w:r>
      <w:r w:rsidRPr="00145239">
        <w:fldChar w:fldCharType="end"/>
      </w:r>
      <w:r w:rsidRPr="00145239">
        <w:t xml:space="preserve"> et seq. of its Report). See also para. 5.617 above.</w:t>
      </w:r>
    </w:p>
  </w:footnote>
  <w:footnote w:id="1760">
    <w:p w:rsidR="00FD2727" w:rsidRPr="00410588" w:rsidRDefault="00FD2727">
      <w:pPr>
        <w:pStyle w:val="FootnoteText"/>
        <w:rPr>
          <w:lang w:val="en-US"/>
        </w:rPr>
      </w:pPr>
      <w:r w:rsidRPr="00145239">
        <w:rPr>
          <w:rStyle w:val="FootnoteReference"/>
        </w:rPr>
        <w:footnoteRef/>
      </w:r>
      <w:r w:rsidRPr="00145239">
        <w:t xml:space="preserve"> Panel Report, para. 6.1715 and fn 3073 thereto (referring to para. </w:t>
      </w:r>
      <w:r w:rsidRPr="00145239">
        <w:fldChar w:fldCharType="begin" w:fldLock="1"/>
      </w:r>
      <w:r w:rsidRPr="00145239">
        <w:instrText xml:space="preserve"> REF _Ref437281029 \n \h  \* MERGEFORMAT </w:instrText>
      </w:r>
      <w:r w:rsidRPr="00145239">
        <w:fldChar w:fldCharType="separate"/>
      </w:r>
      <w:r w:rsidRPr="00145239">
        <w:t>6.1550</w:t>
      </w:r>
      <w:r w:rsidRPr="00145239">
        <w:fldChar w:fldCharType="end"/>
      </w:r>
      <w:r w:rsidRPr="00145239">
        <w:t xml:space="preserve"> et seq. of its Report (Airbus/EADS financial position pre</w:t>
      </w:r>
      <w:r w:rsidRPr="00145239">
        <w:noBreakHyphen/>
        <w:t xml:space="preserve">launch), para. </w:t>
      </w:r>
      <w:r w:rsidRPr="00145239">
        <w:fldChar w:fldCharType="begin" w:fldLock="1"/>
      </w:r>
      <w:r w:rsidRPr="00145239">
        <w:instrText xml:space="preserve"> REF _Ref437281049 \n \h  \* MERGEFORMAT </w:instrText>
      </w:r>
      <w:r w:rsidRPr="00145239">
        <w:fldChar w:fldCharType="separate"/>
      </w:r>
      <w:r w:rsidRPr="00145239">
        <w:rPr>
          <w:lang w:val="fr-CH"/>
        </w:rPr>
        <w:t>6.1580</w:t>
      </w:r>
      <w:r w:rsidRPr="00145239">
        <w:fldChar w:fldCharType="end"/>
      </w:r>
      <w:r w:rsidRPr="00145239">
        <w:rPr>
          <w:lang w:val="fr-CH"/>
        </w:rPr>
        <w:t xml:space="preserve"> et seq. (Airbus/EADS financial position post</w:t>
      </w:r>
      <w:r w:rsidRPr="00145239">
        <w:rPr>
          <w:lang w:val="fr-CH"/>
        </w:rPr>
        <w:noBreakHyphen/>
        <w:t xml:space="preserve">launch), para. </w:t>
      </w:r>
      <w:r w:rsidRPr="00145239">
        <w:rPr>
          <w:lang w:val="en-US"/>
        </w:rPr>
        <w:fldChar w:fldCharType="begin" w:fldLock="1"/>
      </w:r>
      <w:r w:rsidRPr="00145239">
        <w:rPr>
          <w:lang w:val="fr-CH"/>
        </w:rPr>
        <w:instrText xml:space="preserve"> REF _Ref437280780 \n \h  \* MERGEFORMAT </w:instrText>
      </w:r>
      <w:r w:rsidRPr="00145239">
        <w:rPr>
          <w:lang w:val="en-US"/>
        </w:rPr>
      </w:r>
      <w:r w:rsidRPr="00145239">
        <w:rPr>
          <w:lang w:val="en-US"/>
        </w:rPr>
        <w:fldChar w:fldCharType="separate"/>
      </w:r>
      <w:r w:rsidRPr="00145239">
        <w:rPr>
          <w:lang w:val="fr-CH"/>
        </w:rPr>
        <w:t>6.1600</w:t>
      </w:r>
      <w:r w:rsidRPr="00145239">
        <w:rPr>
          <w:lang w:val="en-US"/>
        </w:rPr>
        <w:fldChar w:fldCharType="end"/>
      </w:r>
      <w:r w:rsidRPr="00145239">
        <w:rPr>
          <w:lang w:val="fr-CH"/>
        </w:rPr>
        <w:t xml:space="preserve"> et seq. </w:t>
      </w:r>
      <w:r w:rsidRPr="00145239">
        <w:t xml:space="preserve">(discussing the UK Appraisal that contains certain relevant HSBI assessments of EADS' financial position), and para. </w:t>
      </w:r>
      <w:r w:rsidRPr="00145239">
        <w:fldChar w:fldCharType="begin" w:fldLock="1"/>
      </w:r>
      <w:r w:rsidRPr="00145239">
        <w:instrText xml:space="preserve"> REF _Ref437281148 \n \h  \* MERGEFORMAT </w:instrText>
      </w:r>
      <w:r w:rsidRPr="00145239">
        <w:fldChar w:fldCharType="separate"/>
      </w:r>
      <w:r w:rsidRPr="00145239">
        <w:t>6.1689</w:t>
      </w:r>
      <w:r w:rsidRPr="00145239">
        <w:fldChar w:fldCharType="end"/>
      </w:r>
      <w:r w:rsidRPr="00145239">
        <w:t xml:space="preserve"> (discussing significant</w:t>
      </w:r>
      <w:r>
        <w:t xml:space="preserve"> limitations of the EADS Operating Plans' financial projections that existed during these times)).</w:t>
      </w:r>
    </w:p>
  </w:footnote>
  <w:footnote w:id="1761">
    <w:p w:rsidR="00FD2727" w:rsidRPr="00410588" w:rsidRDefault="00FD2727">
      <w:pPr>
        <w:pStyle w:val="FootnoteText"/>
        <w:rPr>
          <w:lang w:val="en-US"/>
        </w:rPr>
      </w:pPr>
      <w:r>
        <w:rPr>
          <w:rStyle w:val="FootnoteReference"/>
        </w:rPr>
        <w:footnoteRef/>
      </w:r>
      <w:r>
        <w:t xml:space="preserve"> Panel Report, </w:t>
      </w:r>
      <w:r w:rsidRPr="00AF3D63">
        <w:t>para. </w:t>
      </w:r>
      <w:r>
        <w:t>6.1716.</w:t>
      </w:r>
    </w:p>
  </w:footnote>
  <w:footnote w:id="1762">
    <w:p w:rsidR="00FD2727" w:rsidRPr="00410588" w:rsidRDefault="00FD2727">
      <w:pPr>
        <w:pStyle w:val="FootnoteText"/>
        <w:rPr>
          <w:lang w:val="en-US"/>
        </w:rPr>
      </w:pPr>
      <w:r>
        <w:rPr>
          <w:rStyle w:val="FootnoteReference"/>
        </w:rPr>
        <w:footnoteRef/>
      </w:r>
      <w:r>
        <w:t xml:space="preserve"> Panel Report, </w:t>
      </w:r>
      <w:r w:rsidRPr="00AF3D63">
        <w:t>para. </w:t>
      </w:r>
      <w:r>
        <w:t>6.1716.</w:t>
      </w:r>
    </w:p>
  </w:footnote>
  <w:footnote w:id="1763">
    <w:p w:rsidR="00FD2727" w:rsidRPr="00410588" w:rsidRDefault="00FD2727">
      <w:pPr>
        <w:pStyle w:val="FootnoteText"/>
        <w:rPr>
          <w:lang w:val="en-US"/>
        </w:rPr>
      </w:pPr>
      <w:r>
        <w:rPr>
          <w:rStyle w:val="FootnoteReference"/>
        </w:rPr>
        <w:footnoteRef/>
      </w:r>
      <w:r>
        <w:t xml:space="preserve"> Panel Report, </w:t>
      </w:r>
      <w:r w:rsidRPr="00AF3D63">
        <w:t>para. </w:t>
      </w:r>
      <w:r>
        <w:t>6.1715.</w:t>
      </w:r>
    </w:p>
  </w:footnote>
  <w:footnote w:id="1764">
    <w:p w:rsidR="00FD2727" w:rsidRPr="00410588" w:rsidRDefault="00FD2727">
      <w:pPr>
        <w:pStyle w:val="FootnoteText"/>
        <w:rPr>
          <w:lang w:val="en-US"/>
        </w:rPr>
      </w:pPr>
      <w:r>
        <w:rPr>
          <w:rStyle w:val="FootnoteReference"/>
        </w:rPr>
        <w:footnoteRef/>
      </w:r>
      <w:r>
        <w:t xml:space="preserve"> Panel Report, </w:t>
      </w:r>
      <w:r w:rsidRPr="00AF3D63">
        <w:t>para. </w:t>
      </w:r>
      <w:r>
        <w:t>6.1716</w:t>
      </w:r>
    </w:p>
  </w:footnote>
  <w:footnote w:id="1765">
    <w:p w:rsidR="00FD2727" w:rsidRPr="00410588" w:rsidRDefault="00FD2727">
      <w:pPr>
        <w:pStyle w:val="FootnoteText"/>
        <w:rPr>
          <w:lang w:val="en-US"/>
        </w:rPr>
      </w:pPr>
      <w:r>
        <w:rPr>
          <w:rStyle w:val="FootnoteReference"/>
        </w:rPr>
        <w:footnoteRef/>
      </w:r>
      <w:r>
        <w:t xml:space="preserve"> Panel Report, </w:t>
      </w:r>
      <w:r w:rsidRPr="00AF3D63">
        <w:t>para. </w:t>
      </w:r>
      <w:r>
        <w:t>6.1716. (fn omitted)</w:t>
      </w:r>
    </w:p>
  </w:footnote>
  <w:footnote w:id="1766">
    <w:p w:rsidR="00FD2727" w:rsidRPr="00410588" w:rsidRDefault="00FD2727">
      <w:pPr>
        <w:pStyle w:val="FootnoteText"/>
        <w:rPr>
          <w:lang w:val="en-US"/>
        </w:rPr>
      </w:pPr>
      <w:r>
        <w:rPr>
          <w:rStyle w:val="FootnoteReference"/>
        </w:rPr>
        <w:footnoteRef/>
      </w:r>
      <w:r>
        <w:t xml:space="preserve"> Panel Report, fn 3074 to </w:t>
      </w:r>
      <w:r w:rsidRPr="00AF3D63">
        <w:t>para. </w:t>
      </w:r>
      <w:r>
        <w:t>6.1716.</w:t>
      </w:r>
    </w:p>
  </w:footnote>
  <w:footnote w:id="1767">
    <w:p w:rsidR="00FD2727" w:rsidRDefault="00FD2727" w:rsidP="00C752B3">
      <w:pPr>
        <w:pStyle w:val="FootnoteText"/>
      </w:pPr>
      <w:r>
        <w:rPr>
          <w:rStyle w:val="FootnoteReference"/>
        </w:rPr>
        <w:footnoteRef/>
      </w:r>
      <w:r>
        <w:t xml:space="preserve"> Panel Report, fn 3074 to </w:t>
      </w:r>
      <w:r w:rsidRPr="00AF3D63">
        <w:t>para. </w:t>
      </w:r>
      <w:r>
        <w:t>6.1716. The full text of the footnote reads:</w:t>
      </w:r>
    </w:p>
    <w:p w:rsidR="00FD2727" w:rsidRPr="001B458F" w:rsidRDefault="00FD2727" w:rsidP="001B458F">
      <w:pPr>
        <w:pStyle w:val="FootnoteQuotation"/>
      </w:pPr>
      <w:r>
        <w:t>Making such compromises would, in our view, be a way to reduce costs and/or risk associated with the programme. Further, we note several pieces of evidence in the record indicating how financial troubles may delay an LCA programme. (</w:t>
      </w:r>
      <w:r w:rsidRPr="00AF3D63">
        <w:t>See </w:t>
      </w:r>
      <w:r>
        <w:t>e.g. UK Appraisal, (</w:t>
      </w:r>
      <w:r>
        <w:rPr>
          <w:szCs w:val="16"/>
        </w:rPr>
        <w:t>Exhibit EU</w:t>
      </w:r>
      <w:r>
        <w:rPr>
          <w:szCs w:val="16"/>
        </w:rPr>
        <w:noBreakHyphen/>
        <w:t>(Article 13)</w:t>
      </w:r>
      <w:r>
        <w:rPr>
          <w:szCs w:val="16"/>
        </w:rPr>
        <w:noBreakHyphen/>
        <w:t>34</w:t>
      </w:r>
      <w:r>
        <w:t xml:space="preserve">) (HSBI), </w:t>
      </w:r>
      <w:r w:rsidRPr="00AF3D63">
        <w:t>para. </w:t>
      </w:r>
      <w:r>
        <w:t xml:space="preserve">16 (lines 2-4); </w:t>
      </w:r>
      <w:r>
        <w:rPr>
          <w:szCs w:val="16"/>
        </w:rPr>
        <w:t>UK House of Commons Business, Innovation and Skills Committee, "Full Speed ahead: maintaining UK excellence in motorsport and aerospace", Sixth Report of Session 2009-10, Report, formal minutes, and oral and written evidence, 9 March 2010, (</w:t>
      </w:r>
      <w:r>
        <w:t>Exhibit USA</w:t>
      </w:r>
      <w:r>
        <w:noBreakHyphen/>
        <w:t xml:space="preserve">44), </w:t>
      </w:r>
      <w:r w:rsidRPr="00AF3D63">
        <w:t>para. </w:t>
      </w:r>
      <w:r>
        <w:t xml:space="preserve">18 (explaining that "{e}ach {LA/MSF} applicant has to demonstrate … that government investment is </w:t>
      </w:r>
      <w:r>
        <w:rPr>
          <w:i/>
        </w:rPr>
        <w:t>essential</w:t>
      </w:r>
      <w:r>
        <w:t xml:space="preserve"> for the project to proceed on the </w:t>
      </w:r>
      <w:r>
        <w:rPr>
          <w:i/>
        </w:rPr>
        <w:t>scale</w:t>
      </w:r>
      <w:r>
        <w:t xml:space="preserve"> and in the </w:t>
      </w:r>
      <w:r>
        <w:rPr>
          <w:i/>
        </w:rPr>
        <w:t>timeframe specified</w:t>
      </w:r>
      <w:r>
        <w:t xml:space="preserve">") (emphasis added); </w:t>
      </w:r>
      <w:r>
        <w:rPr>
          <w:szCs w:val="16"/>
        </w:rPr>
        <w:t>"Competitiveness of the EU Aerospace Industry with focus on Aeronautics Industry, within the framework contract of sectoral competitiveness studies ENTR/06/054", Ecorys, December 2009, (</w:t>
      </w:r>
      <w:r>
        <w:t>Exhibit USA</w:t>
      </w:r>
      <w:r>
        <w:noBreakHyphen/>
        <w:t xml:space="preserve">151), p. 27 (discussing the possibility of delays in A350XWB programme in light of economic conditions brought about by the financial crisis); </w:t>
      </w:r>
      <w:r>
        <w:rPr>
          <w:szCs w:val="16"/>
        </w:rPr>
        <w:t xml:space="preserve">Pilita Clark and Peggy Hollinger, "Deferrals to take toll on EAD's cash pile", </w:t>
      </w:r>
      <w:r>
        <w:rPr>
          <w:i/>
          <w:szCs w:val="16"/>
        </w:rPr>
        <w:t>Financial Times</w:t>
      </w:r>
      <w:r>
        <w:rPr>
          <w:szCs w:val="16"/>
        </w:rPr>
        <w:t>, December 2009,</w:t>
      </w:r>
      <w:r>
        <w:t xml:space="preserve"> (Exhibit USA</w:t>
      </w:r>
      <w:r>
        <w:noBreakHyphen/>
        <w:t xml:space="preserve">153) (reporting that industry analysts had doubts regarding EADS' ability to pursue its new LCA programmes); </w:t>
      </w:r>
      <w:r>
        <w:rPr>
          <w:szCs w:val="16"/>
        </w:rPr>
        <w:t xml:space="preserve">Standard &amp; Poor's Global Credit Portal Ratings Direct, </w:t>
      </w:r>
      <w:r>
        <w:rPr>
          <w:i/>
          <w:szCs w:val="16"/>
        </w:rPr>
        <w:t xml:space="preserve">Research Update: S&amp;PCORRECT: EADS Rating Cut To 'A-/A-2', L-T Still On Watch </w:t>
      </w:r>
      <w:r w:rsidRPr="00573D1C">
        <w:rPr>
          <w:i/>
          <w:szCs w:val="16"/>
        </w:rPr>
        <w:t>Neg,</w:t>
      </w:r>
      <w:r>
        <w:rPr>
          <w:i/>
          <w:szCs w:val="16"/>
        </w:rPr>
        <w:t xml:space="preserve"> On Further Restructure Delay</w:t>
      </w:r>
      <w:r>
        <w:rPr>
          <w:szCs w:val="16"/>
        </w:rPr>
        <w:t>, 12 October 2006, (</w:t>
      </w:r>
      <w:r>
        <w:t>Exhibit USA</w:t>
      </w:r>
      <w:r>
        <w:noBreakHyphen/>
        <w:t xml:space="preserve">511), p. 2 (discussing possibility of launch delay); and </w:t>
      </w:r>
      <w:r>
        <w:rPr>
          <w:szCs w:val="16"/>
        </w:rPr>
        <w:t>A350XWB Business Case Presentation,</w:t>
      </w:r>
      <w:r>
        <w:t xml:space="preserve"> (Exhibit EU-130)</w:t>
      </w:r>
      <w:r>
        <w:rPr>
          <w:b/>
          <w:i/>
        </w:rPr>
        <w:t xml:space="preserve"> </w:t>
      </w:r>
      <w:r>
        <w:t xml:space="preserve">(HSBI), slide 90 (contemplating a </w:t>
      </w:r>
      <w:r w:rsidRPr="00836899">
        <w:rPr>
          <w:b/>
        </w:rPr>
        <w:t>[</w:t>
      </w:r>
      <w:r w:rsidRPr="00C8434D">
        <w:rPr>
          <w:b/>
          <w:szCs w:val="16"/>
        </w:rPr>
        <w:t>BCI</w:t>
      </w:r>
      <w:r w:rsidRPr="00836899">
        <w:rPr>
          <w:b/>
        </w:rPr>
        <w:t>]</w:t>
      </w:r>
      <w:r>
        <w:t xml:space="preserve"> even in the presence of the assumed receipt of the Launch Financing Instrument, but also outlining costs of such a delay)).</w:t>
      </w:r>
    </w:p>
  </w:footnote>
  <w:footnote w:id="1768">
    <w:p w:rsidR="00FD2727" w:rsidRPr="00410588" w:rsidRDefault="00FD2727">
      <w:pPr>
        <w:pStyle w:val="FootnoteText"/>
        <w:rPr>
          <w:lang w:val="en-US"/>
        </w:rPr>
      </w:pPr>
      <w:r>
        <w:rPr>
          <w:rStyle w:val="FootnoteReference"/>
        </w:rPr>
        <w:footnoteRef/>
      </w:r>
      <w:r>
        <w:t xml:space="preserve"> Panel Report, </w:t>
      </w:r>
      <w:r w:rsidRPr="00AF3D63">
        <w:t>para. </w:t>
      </w:r>
      <w:r>
        <w:t>6.1717.</w:t>
      </w:r>
    </w:p>
  </w:footnote>
  <w:footnote w:id="1769">
    <w:p w:rsidR="00FD2727" w:rsidRPr="00410588" w:rsidRDefault="00FD2727">
      <w:pPr>
        <w:pStyle w:val="FootnoteText"/>
        <w:rPr>
          <w:lang w:val="en-US"/>
        </w:rPr>
      </w:pPr>
      <w:r>
        <w:rPr>
          <w:rStyle w:val="FootnoteReference"/>
        </w:rPr>
        <w:footnoteRef/>
      </w:r>
      <w:r>
        <w:t xml:space="preserve"> Panel Report, </w:t>
      </w:r>
      <w:r w:rsidRPr="00AF3D63">
        <w:t>para. </w:t>
      </w:r>
      <w:r>
        <w:t>6.1717.</w:t>
      </w:r>
    </w:p>
  </w:footnote>
  <w:footnote w:id="1770">
    <w:p w:rsidR="00FD2727" w:rsidRPr="003C1ECC" w:rsidRDefault="00FD2727">
      <w:pPr>
        <w:pStyle w:val="FootnoteText"/>
        <w:rPr>
          <w:lang w:val="fr-CH"/>
        </w:rPr>
      </w:pPr>
      <w:r>
        <w:rPr>
          <w:rStyle w:val="FootnoteReference"/>
        </w:rPr>
        <w:footnoteRef/>
      </w:r>
      <w:r>
        <w:t xml:space="preserve"> Panel Report, fn 3067 to </w:t>
      </w:r>
      <w:r w:rsidRPr="00AF3D63">
        <w:t>para. </w:t>
      </w:r>
      <w:r w:rsidRPr="00EB1B12">
        <w:rPr>
          <w:lang w:val="fr-CH"/>
        </w:rPr>
        <w:t>6.1715. See also paras. </w:t>
      </w:r>
      <w:r w:rsidRPr="003C1ECC">
        <w:rPr>
          <w:lang w:val="fr-CH"/>
        </w:rPr>
        <w:t>6.1588 et seq., 6.1600 et seq., 6.1613 et seq., and 6.1640 et seq.</w:t>
      </w:r>
    </w:p>
  </w:footnote>
  <w:footnote w:id="1771">
    <w:p w:rsidR="00FD2727" w:rsidRPr="00410588" w:rsidRDefault="00FD2727">
      <w:pPr>
        <w:pStyle w:val="FootnoteText"/>
        <w:rPr>
          <w:lang w:val="en-US"/>
        </w:rPr>
      </w:pPr>
      <w:r>
        <w:rPr>
          <w:rStyle w:val="FootnoteReference"/>
        </w:rPr>
        <w:footnoteRef/>
      </w:r>
      <w:r>
        <w:t xml:space="preserve"> </w:t>
      </w:r>
      <w:r w:rsidRPr="00F31EA9">
        <w:t>Panel Report, fn</w:t>
      </w:r>
      <w:r>
        <w:t xml:space="preserve"> </w:t>
      </w:r>
      <w:r w:rsidRPr="00F31EA9">
        <w:t xml:space="preserve">3074 to </w:t>
      </w:r>
      <w:r w:rsidRPr="00AF3D63">
        <w:t>para. </w:t>
      </w:r>
      <w:r>
        <w:t>6.1716.</w:t>
      </w:r>
    </w:p>
  </w:footnote>
  <w:footnote w:id="1772">
    <w:p w:rsidR="00FD2727" w:rsidRPr="00410588" w:rsidRDefault="00FD2727">
      <w:pPr>
        <w:pStyle w:val="FootnoteText"/>
        <w:rPr>
          <w:lang w:val="en-US"/>
        </w:rPr>
      </w:pPr>
      <w:r>
        <w:rPr>
          <w:rStyle w:val="FootnoteReference"/>
        </w:rPr>
        <w:footnoteRef/>
      </w:r>
      <w:r>
        <w:t xml:space="preserve"> </w:t>
      </w:r>
      <w:r w:rsidRPr="00B218AB">
        <w:t xml:space="preserve">Panel Report, </w:t>
      </w:r>
      <w:r>
        <w:t>fn </w:t>
      </w:r>
      <w:r w:rsidRPr="00B218AB">
        <w:t xml:space="preserve">3074 to </w:t>
      </w:r>
      <w:r w:rsidRPr="00AF3D63">
        <w:t>para. </w:t>
      </w:r>
      <w:r>
        <w:t>6.1716.</w:t>
      </w:r>
    </w:p>
  </w:footnote>
  <w:footnote w:id="1773">
    <w:p w:rsidR="00FD2727" w:rsidRPr="00410588" w:rsidRDefault="00FD2727">
      <w:pPr>
        <w:pStyle w:val="FootnoteText"/>
        <w:rPr>
          <w:lang w:val="en-US"/>
        </w:rPr>
      </w:pPr>
      <w:r>
        <w:rPr>
          <w:rStyle w:val="FootnoteReference"/>
        </w:rPr>
        <w:footnoteRef/>
      </w:r>
      <w:r>
        <w:t xml:space="preserve"> As noted above, the Panel discussed these aspects as part of its analysis of, </w:t>
      </w:r>
      <w:r>
        <w:rPr>
          <w:i/>
        </w:rPr>
        <w:t>inter alia</w:t>
      </w:r>
      <w:r>
        <w:t>, the LA/MSF negotiations, the UK Appraisal, and the State Aid Decisions, as well as the ability of Airbus to fund the programme.</w:t>
      </w:r>
    </w:p>
  </w:footnote>
  <w:footnote w:id="1774">
    <w:p w:rsidR="00FD2727" w:rsidRPr="00410588" w:rsidRDefault="00FD2727">
      <w:pPr>
        <w:pStyle w:val="FootnoteText"/>
        <w:rPr>
          <w:lang w:val="en-US"/>
        </w:rPr>
      </w:pPr>
      <w:r>
        <w:rPr>
          <w:rStyle w:val="FootnoteReference"/>
        </w:rPr>
        <w:footnoteRef/>
      </w:r>
      <w:r>
        <w:t xml:space="preserve"> European Union's response to questioning at the oral hearing.</w:t>
      </w:r>
    </w:p>
  </w:footnote>
  <w:footnote w:id="1775">
    <w:p w:rsidR="00FD2727" w:rsidRPr="00410588" w:rsidRDefault="00FD2727" w:rsidP="00AA339D">
      <w:pPr>
        <w:pStyle w:val="FootnoteText"/>
        <w:keepNext/>
        <w:keepLines/>
        <w:rPr>
          <w:lang w:val="en-US"/>
        </w:rPr>
      </w:pPr>
      <w:r>
        <w:rPr>
          <w:rStyle w:val="FootnoteReference"/>
        </w:rPr>
        <w:footnoteRef/>
      </w:r>
      <w:r>
        <w:t xml:space="preserve"> Panel Report, fn 3074 to </w:t>
      </w:r>
      <w:r w:rsidRPr="00AF3D63">
        <w:t>para. </w:t>
      </w:r>
      <w:r>
        <w:t xml:space="preserve">6.1716 (referring to, </w:t>
      </w:r>
      <w:r w:rsidRPr="00B41454">
        <w:rPr>
          <w:i/>
        </w:rPr>
        <w:t>inter alia</w:t>
      </w:r>
      <w:r>
        <w:t xml:space="preserve">, </w:t>
      </w:r>
      <w:r w:rsidRPr="00C8154C">
        <w:t>UK Appraisal (</w:t>
      </w:r>
      <w:r>
        <w:t>Panel Exhibit EU</w:t>
      </w:r>
      <w:r>
        <w:noBreakHyphen/>
      </w:r>
      <w:r w:rsidRPr="00C8154C">
        <w:t>(</w:t>
      </w:r>
      <w:r>
        <w:t>Article </w:t>
      </w:r>
      <w:r w:rsidRPr="00C8154C">
        <w:t>13)-34</w:t>
      </w:r>
      <w:r>
        <w:t xml:space="preserve"> (HSBI)), </w:t>
      </w:r>
      <w:r w:rsidRPr="00AF3D63">
        <w:t>para. </w:t>
      </w:r>
      <w:r>
        <w:t>16 (lines 2-4);</w:t>
      </w:r>
      <w:r w:rsidRPr="00C8154C">
        <w:t xml:space="preserve"> UK House of Commons Business, In</w:t>
      </w:r>
      <w:r>
        <w:t xml:space="preserve">novation and Skills </w:t>
      </w:r>
      <w:r w:rsidRPr="008215DF">
        <w:t>Committee, "Full Speed ahead: maintaining UK excellence in motorsport and aerospace", Sixth</w:t>
      </w:r>
      <w:r>
        <w:t> </w:t>
      </w:r>
      <w:r w:rsidRPr="00C8154C">
        <w:t>Report of Session 2009-10, Report, formal minutes, and ora</w:t>
      </w:r>
      <w:r>
        <w:t>l and written evidence, 9 March </w:t>
      </w:r>
      <w:r w:rsidRPr="00C8154C">
        <w:t>2010 (</w:t>
      </w:r>
      <w:r>
        <w:t>Panel </w:t>
      </w:r>
      <w:r w:rsidRPr="00C8154C">
        <w:t xml:space="preserve">Exhibit </w:t>
      </w:r>
      <w:r>
        <w:t>USA</w:t>
      </w:r>
      <w:r>
        <w:noBreakHyphen/>
      </w:r>
      <w:r w:rsidRPr="00C8154C">
        <w:t xml:space="preserve">44), </w:t>
      </w:r>
      <w:r w:rsidRPr="00AF3D63">
        <w:t>para. </w:t>
      </w:r>
      <w:r w:rsidRPr="00C8154C">
        <w:t>18</w:t>
      </w:r>
      <w:r>
        <w:t>). The Panel also referred to the A350XWB Business Case Presentation (Panel Exhibit EU</w:t>
      </w:r>
      <w:r>
        <w:noBreakHyphen/>
        <w:t>130 (HSBI)). (Ibid)</w:t>
      </w:r>
    </w:p>
  </w:footnote>
  <w:footnote w:id="1776">
    <w:p w:rsidR="00FD2727" w:rsidRDefault="00FD2727" w:rsidP="00C94315">
      <w:pPr>
        <w:pStyle w:val="FootnoteText"/>
        <w:keepNext/>
        <w:keepLines/>
      </w:pPr>
      <w:r>
        <w:rPr>
          <w:rStyle w:val="FootnoteReference"/>
        </w:rPr>
        <w:footnoteRef/>
      </w:r>
      <w:r>
        <w:t xml:space="preserve"> Panel Report, fn 3066 to </w:t>
      </w:r>
      <w:r w:rsidRPr="00AF3D63">
        <w:t>para. </w:t>
      </w:r>
      <w:r>
        <w:t xml:space="preserve">6.1715. The Panel also rejected the European Union's argument that, insofar as these documents were prepared by and for UK governmental agencies, they could be seen as being limited to a much narrower question, namely, whether the A350XWB programme would go ahead </w:t>
      </w:r>
      <w:r w:rsidRPr="00E76831">
        <w:t>in the U</w:t>
      </w:r>
      <w:r>
        <w:t>nited </w:t>
      </w:r>
      <w:r w:rsidRPr="00E76831">
        <w:t>K</w:t>
      </w:r>
      <w:r>
        <w:t>ingdom without a UK MSF loan. Instead, the Panel considered it:</w:t>
      </w:r>
    </w:p>
    <w:p w:rsidR="00FD2727" w:rsidRDefault="00FD2727" w:rsidP="00C94315">
      <w:pPr>
        <w:pStyle w:val="FootnoteQuotation"/>
        <w:keepNext/>
        <w:keepLines/>
      </w:pPr>
      <w:r>
        <w:t xml:space="preserve">entirely appropriate that the UK Appraisal would consider the implications for the A350XWB programme of all four relevant member States supplying or failing to supply A350XWB LA/MSF to Airbus … for the simple reason that, as discussed in the UK Appraisal itself, Airbus' </w:t>
      </w:r>
      <w:r>
        <w:rPr>
          <w:i/>
        </w:rPr>
        <w:t>need</w:t>
      </w:r>
      <w:r>
        <w:t xml:space="preserve"> for UK A350XWB LA/MSF and the </w:t>
      </w:r>
      <w:r>
        <w:rPr>
          <w:i/>
        </w:rPr>
        <w:t>benefits</w:t>
      </w:r>
      <w:r>
        <w:t xml:space="preserve"> to the UK of the UK supplying A350XWB LA/MSF to Airbus depend in large part on the extent to which the other member State governments were also expected to grant similar financial aid to Airbus.</w:t>
      </w:r>
    </w:p>
    <w:p w:rsidR="00FD2727" w:rsidRPr="00410588" w:rsidRDefault="00FD2727" w:rsidP="001B458F">
      <w:pPr>
        <w:pStyle w:val="FootnoteText"/>
        <w:keepNext/>
        <w:keepLines/>
        <w:ind w:firstLine="0"/>
        <w:rPr>
          <w:lang w:val="en-US"/>
        </w:rPr>
      </w:pPr>
      <w:r>
        <w:t xml:space="preserve">(Ibid., </w:t>
      </w:r>
      <w:r w:rsidRPr="00AF3D63">
        <w:t>para. </w:t>
      </w:r>
      <w:r>
        <w:t xml:space="preserve">6.1605 (referring to </w:t>
      </w:r>
      <w:r w:rsidRPr="00CE59BA">
        <w:t>UK Appraisal (</w:t>
      </w:r>
      <w:r>
        <w:t>Panel Exhibit EU</w:t>
      </w:r>
      <w:r>
        <w:noBreakHyphen/>
      </w:r>
      <w:r w:rsidRPr="00CE59BA">
        <w:t>(</w:t>
      </w:r>
      <w:r>
        <w:t>Article </w:t>
      </w:r>
      <w:r w:rsidRPr="00CE59BA">
        <w:t>13)-34</w:t>
      </w:r>
      <w:r>
        <w:t xml:space="preserve"> </w:t>
      </w:r>
      <w:r w:rsidRPr="00CE59BA">
        <w:t xml:space="preserve">(HSBI)), </w:t>
      </w:r>
      <w:r w:rsidRPr="00AF3D63">
        <w:t>paras. </w:t>
      </w:r>
      <w:r>
        <w:t>4 and 16) (emphasis original))</w:t>
      </w:r>
    </w:p>
  </w:footnote>
  <w:footnote w:id="1777">
    <w:p w:rsidR="00FD2727" w:rsidRPr="00410588" w:rsidRDefault="00FD2727">
      <w:pPr>
        <w:pStyle w:val="FootnoteText"/>
        <w:rPr>
          <w:lang w:val="en-US"/>
        </w:rPr>
      </w:pPr>
      <w:r>
        <w:rPr>
          <w:rStyle w:val="FootnoteReference"/>
        </w:rPr>
        <w:footnoteRef/>
      </w:r>
      <w:r>
        <w:t xml:space="preserve"> Panel Report, </w:t>
      </w:r>
      <w:r w:rsidRPr="00AF3D63">
        <w:t>para. </w:t>
      </w:r>
      <w:r>
        <w:t>6.1609. (emphasis added)</w:t>
      </w:r>
    </w:p>
  </w:footnote>
  <w:footnote w:id="1778">
    <w:p w:rsidR="00FD2727" w:rsidRDefault="00FD2727">
      <w:pPr>
        <w:pStyle w:val="FootnoteText"/>
      </w:pPr>
      <w:r>
        <w:rPr>
          <w:rStyle w:val="FootnoteReference"/>
        </w:rPr>
        <w:footnoteRef/>
      </w:r>
      <w:r>
        <w:t xml:space="preserve"> European Union's appellant's submission, para. 899.</w:t>
      </w:r>
    </w:p>
  </w:footnote>
  <w:footnote w:id="1779">
    <w:p w:rsidR="00FD2727" w:rsidRPr="00410588" w:rsidRDefault="00FD2727">
      <w:pPr>
        <w:pStyle w:val="FootnoteText"/>
        <w:rPr>
          <w:lang w:val="en-US"/>
        </w:rPr>
      </w:pPr>
      <w:r>
        <w:rPr>
          <w:rStyle w:val="FootnoteReference"/>
        </w:rPr>
        <w:footnoteRef/>
      </w:r>
      <w:r>
        <w:t xml:space="preserve"> European Union's appellant's submission, </w:t>
      </w:r>
      <w:r w:rsidRPr="00AF3D63">
        <w:t>paras. </w:t>
      </w:r>
      <w:r>
        <w:t>901 and 907.</w:t>
      </w:r>
    </w:p>
  </w:footnote>
  <w:footnote w:id="1780">
    <w:p w:rsidR="00FD2727" w:rsidRPr="00410588" w:rsidRDefault="00FD2727">
      <w:pPr>
        <w:pStyle w:val="FootnoteText"/>
        <w:rPr>
          <w:lang w:val="en-US"/>
        </w:rPr>
      </w:pPr>
      <w:r>
        <w:rPr>
          <w:rStyle w:val="FootnoteReference"/>
        </w:rPr>
        <w:footnoteRef/>
      </w:r>
      <w:r>
        <w:t xml:space="preserve"> European Union's appellant's submission, </w:t>
      </w:r>
      <w:r w:rsidRPr="00AF3D63">
        <w:t>para. </w:t>
      </w:r>
      <w:r>
        <w:t>902 (quoting</w:t>
      </w:r>
      <w:r w:rsidRPr="002E4F00">
        <w:t xml:space="preserve"> Panel Report, </w:t>
      </w:r>
      <w:r w:rsidRPr="00AF3D63">
        <w:t>para. </w:t>
      </w:r>
      <w:r w:rsidRPr="002E4F00">
        <w:t>6.1542</w:t>
      </w:r>
      <w:r>
        <w:t>).</w:t>
      </w:r>
    </w:p>
  </w:footnote>
  <w:footnote w:id="1781">
    <w:p w:rsidR="00FD2727" w:rsidRPr="00410588" w:rsidRDefault="00FD2727">
      <w:pPr>
        <w:pStyle w:val="FootnoteText"/>
        <w:rPr>
          <w:lang w:val="en-US"/>
        </w:rPr>
      </w:pPr>
      <w:r>
        <w:rPr>
          <w:rStyle w:val="FootnoteReference"/>
        </w:rPr>
        <w:footnoteRef/>
      </w:r>
      <w:r>
        <w:t xml:space="preserve"> European Union's appellant's submission, </w:t>
      </w:r>
      <w:r w:rsidRPr="00AF3D63">
        <w:t>para. </w:t>
      </w:r>
      <w:r>
        <w:t>902 (referring to Panel Report, paras. 6.1362</w:t>
      </w:r>
      <w:r>
        <w:noBreakHyphen/>
        <w:t xml:space="preserve">6.1544). </w:t>
      </w:r>
      <w:r w:rsidRPr="00AF3D63">
        <w:t>See </w:t>
      </w:r>
      <w:r>
        <w:t xml:space="preserve">also </w:t>
      </w:r>
      <w:r w:rsidRPr="00AF3D63">
        <w:t>para. </w:t>
      </w:r>
      <w:r>
        <w:t>903.</w:t>
      </w:r>
    </w:p>
  </w:footnote>
  <w:footnote w:id="1782">
    <w:p w:rsidR="00FD2727" w:rsidRPr="00410588" w:rsidRDefault="00FD2727">
      <w:pPr>
        <w:pStyle w:val="FootnoteText"/>
        <w:rPr>
          <w:lang w:val="en-US"/>
        </w:rPr>
      </w:pPr>
      <w:r>
        <w:rPr>
          <w:rStyle w:val="FootnoteReference"/>
        </w:rPr>
        <w:footnoteRef/>
      </w:r>
      <w:r>
        <w:t xml:space="preserve"> European Union's appellant's submission, </w:t>
      </w:r>
      <w:r w:rsidRPr="00AF3D63">
        <w:t>para. </w:t>
      </w:r>
      <w:r>
        <w:t>904. See also para. 906.</w:t>
      </w:r>
    </w:p>
  </w:footnote>
  <w:footnote w:id="1783">
    <w:p w:rsidR="00FD2727" w:rsidRPr="001B458F" w:rsidRDefault="00FD2727">
      <w:pPr>
        <w:pStyle w:val="FootnoteText"/>
      </w:pPr>
      <w:r>
        <w:rPr>
          <w:rStyle w:val="FootnoteReference"/>
        </w:rPr>
        <w:footnoteRef/>
      </w:r>
      <w:r>
        <w:t xml:space="preserve"> Airbus A350 aircraft design proposed between 2004 and 2006. (Panel Report, paras. 6.1542</w:t>
      </w:r>
      <w:r>
        <w:noBreakHyphen/>
        <w:t>6.1543)</w:t>
      </w:r>
    </w:p>
  </w:footnote>
  <w:footnote w:id="1784">
    <w:p w:rsidR="00FD2727" w:rsidRPr="00410588" w:rsidRDefault="00FD2727">
      <w:pPr>
        <w:pStyle w:val="FootnoteText"/>
        <w:rPr>
          <w:lang w:val="en-US"/>
        </w:rPr>
      </w:pPr>
      <w:r>
        <w:rPr>
          <w:rStyle w:val="FootnoteReference"/>
        </w:rPr>
        <w:footnoteRef/>
      </w:r>
      <w:r>
        <w:t xml:space="preserve"> European Union's appellant's submission, </w:t>
      </w:r>
      <w:r w:rsidRPr="00AF3D63">
        <w:t>para. </w:t>
      </w:r>
      <w:r>
        <w:t xml:space="preserve">905 (referring to Panel Report, </w:t>
      </w:r>
      <w:r w:rsidRPr="00AF3D63">
        <w:t>para. </w:t>
      </w:r>
      <w:r>
        <w:t xml:space="preserve">6.1546). </w:t>
      </w:r>
    </w:p>
  </w:footnote>
  <w:footnote w:id="1785">
    <w:p w:rsidR="00FD2727" w:rsidRPr="00410588" w:rsidRDefault="00FD2727">
      <w:pPr>
        <w:pStyle w:val="FootnoteText"/>
        <w:rPr>
          <w:lang w:val="en-US"/>
        </w:rPr>
      </w:pPr>
      <w:r>
        <w:rPr>
          <w:rStyle w:val="FootnoteReference"/>
        </w:rPr>
        <w:footnoteRef/>
      </w:r>
      <w:r>
        <w:t xml:space="preserve"> European Union's appellant's submission, </w:t>
      </w:r>
      <w:r w:rsidRPr="00AF3D63">
        <w:t>para. </w:t>
      </w:r>
      <w:r>
        <w:t>905.</w:t>
      </w:r>
    </w:p>
  </w:footnote>
  <w:footnote w:id="1786">
    <w:p w:rsidR="00FD2727" w:rsidRPr="00410588" w:rsidRDefault="00FD2727">
      <w:pPr>
        <w:pStyle w:val="FootnoteText"/>
        <w:rPr>
          <w:lang w:val="en-US"/>
        </w:rPr>
      </w:pPr>
      <w:r>
        <w:rPr>
          <w:rStyle w:val="FootnoteReference"/>
        </w:rPr>
        <w:footnoteRef/>
      </w:r>
      <w:r>
        <w:t xml:space="preserve"> Panel Report, </w:t>
      </w:r>
      <w:r w:rsidRPr="00AF3D63">
        <w:t>para. </w:t>
      </w:r>
      <w:r>
        <w:t xml:space="preserve">6.1543 (quoting European Union's first written submission to the Panel, </w:t>
      </w:r>
      <w:r w:rsidRPr="00AF3D63">
        <w:t>para. </w:t>
      </w:r>
      <w:r>
        <w:t>1113 (fns omitted)).</w:t>
      </w:r>
    </w:p>
  </w:footnote>
  <w:footnote w:id="1787">
    <w:p w:rsidR="00FD2727" w:rsidRPr="00410588" w:rsidRDefault="00FD2727">
      <w:pPr>
        <w:pStyle w:val="FootnoteText"/>
        <w:rPr>
          <w:lang w:val="en-US"/>
        </w:rPr>
      </w:pPr>
      <w:r>
        <w:rPr>
          <w:rStyle w:val="FootnoteReference"/>
        </w:rPr>
        <w:footnoteRef/>
      </w:r>
      <w:r>
        <w:t xml:space="preserve"> Panel Report, </w:t>
      </w:r>
      <w:r w:rsidRPr="00AF3D63">
        <w:t>para. </w:t>
      </w:r>
      <w:r>
        <w:t>6.1546.</w:t>
      </w:r>
    </w:p>
  </w:footnote>
  <w:footnote w:id="1788">
    <w:p w:rsidR="00FD2727" w:rsidRPr="00410588" w:rsidRDefault="00FD2727">
      <w:pPr>
        <w:pStyle w:val="FootnoteText"/>
        <w:rPr>
          <w:lang w:val="en-US"/>
        </w:rPr>
      </w:pPr>
      <w:r>
        <w:rPr>
          <w:rStyle w:val="FootnoteReference"/>
        </w:rPr>
        <w:footnoteRef/>
      </w:r>
      <w:r>
        <w:t xml:space="preserve"> Panel Report, </w:t>
      </w:r>
      <w:r w:rsidRPr="00AF3D63">
        <w:t>para. </w:t>
      </w:r>
      <w:r>
        <w:t xml:space="preserve">6.1544. The Panel recalled the European Union's explanation that Boeing's launch of the 787 in 2004 caused the market share of the A330 to drop at a time when A340 sales were already falling because the aircraft could not effectively compete with the more fuel-efficient 777. (Ibid. (referring to European Union's first written submission to the Panel, </w:t>
      </w:r>
      <w:r w:rsidRPr="00AF3D63">
        <w:t>para. </w:t>
      </w:r>
      <w:r>
        <w:t>1108))</w:t>
      </w:r>
    </w:p>
  </w:footnote>
  <w:footnote w:id="1789">
    <w:p w:rsidR="00FD2727" w:rsidRPr="00410588" w:rsidRDefault="00FD2727">
      <w:pPr>
        <w:pStyle w:val="FootnoteText"/>
        <w:rPr>
          <w:lang w:val="en-US"/>
        </w:rPr>
      </w:pPr>
      <w:r>
        <w:rPr>
          <w:rStyle w:val="FootnoteReference"/>
        </w:rPr>
        <w:footnoteRef/>
      </w:r>
      <w:r>
        <w:t xml:space="preserve"> Panel Report, </w:t>
      </w:r>
      <w:r w:rsidRPr="00AF3D63">
        <w:t>para. </w:t>
      </w:r>
      <w:r>
        <w:t>6.1547 (referring to A350XWB Chief Engineering Statement (Panel Exhibit EU</w:t>
      </w:r>
      <w:r>
        <w:noBreakHyphen/>
        <w:t>18 (BCI/HSBI) paras. 14-15 and 43)).</w:t>
      </w:r>
    </w:p>
  </w:footnote>
  <w:footnote w:id="1790">
    <w:p w:rsidR="00FD2727" w:rsidRPr="00410588" w:rsidRDefault="00FD2727">
      <w:pPr>
        <w:pStyle w:val="FootnoteText"/>
        <w:rPr>
          <w:lang w:val="en-US"/>
        </w:rPr>
      </w:pPr>
      <w:r>
        <w:rPr>
          <w:rStyle w:val="FootnoteReference"/>
        </w:rPr>
        <w:footnoteRef/>
      </w:r>
      <w:r>
        <w:t xml:space="preserve"> Panel Report, </w:t>
      </w:r>
      <w:r w:rsidRPr="00AF3D63">
        <w:t>para. </w:t>
      </w:r>
      <w:r>
        <w:t xml:space="preserve">6.1548 (quoting A350XWB Chief Engineering Statement (Panel Exhibit EU-18 (BCI/HSBI)), </w:t>
      </w:r>
      <w:r w:rsidRPr="00AF3D63">
        <w:t>para. </w:t>
      </w:r>
      <w:r>
        <w:t>33).</w:t>
      </w:r>
    </w:p>
  </w:footnote>
  <w:footnote w:id="1791">
    <w:p w:rsidR="00FD2727" w:rsidRPr="00410588" w:rsidRDefault="00FD2727">
      <w:pPr>
        <w:pStyle w:val="FootnoteText"/>
        <w:rPr>
          <w:lang w:val="en-US"/>
        </w:rPr>
      </w:pPr>
      <w:r>
        <w:rPr>
          <w:rStyle w:val="FootnoteReference"/>
        </w:rPr>
        <w:footnoteRef/>
      </w:r>
      <w:r>
        <w:t xml:space="preserve"> Panel Report, </w:t>
      </w:r>
      <w:r w:rsidRPr="00AF3D63">
        <w:t>para. </w:t>
      </w:r>
      <w:r>
        <w:t>6.1572.</w:t>
      </w:r>
    </w:p>
  </w:footnote>
  <w:footnote w:id="1792">
    <w:p w:rsidR="00FD2727" w:rsidRPr="00145239" w:rsidRDefault="00FD2727">
      <w:pPr>
        <w:pStyle w:val="FootnoteText"/>
        <w:rPr>
          <w:lang w:val="en-US"/>
        </w:rPr>
      </w:pPr>
      <w:r>
        <w:rPr>
          <w:rStyle w:val="FootnoteReference"/>
        </w:rPr>
        <w:footnoteRef/>
      </w:r>
      <w:r>
        <w:t xml:space="preserve"> </w:t>
      </w:r>
      <w:r w:rsidRPr="00145239">
        <w:t>Panel Report, para. 6.1551.</w:t>
      </w:r>
    </w:p>
  </w:footnote>
  <w:footnote w:id="1793">
    <w:p w:rsidR="00FD2727" w:rsidRPr="00145239" w:rsidRDefault="00FD2727">
      <w:pPr>
        <w:pStyle w:val="FootnoteText"/>
        <w:rPr>
          <w:lang w:val="en-US"/>
        </w:rPr>
      </w:pPr>
      <w:r w:rsidRPr="00145239">
        <w:rPr>
          <w:rStyle w:val="FootnoteReference"/>
        </w:rPr>
        <w:footnoteRef/>
      </w:r>
      <w:r w:rsidRPr="00145239">
        <w:t xml:space="preserve"> Panel Report, para. 6.1551. </w:t>
      </w:r>
    </w:p>
  </w:footnote>
  <w:footnote w:id="1794">
    <w:p w:rsidR="00FD2727" w:rsidRPr="00145239" w:rsidRDefault="00FD2727">
      <w:pPr>
        <w:pStyle w:val="FootnoteText"/>
        <w:rPr>
          <w:lang w:val="en-US"/>
        </w:rPr>
      </w:pPr>
      <w:r w:rsidRPr="00145239">
        <w:rPr>
          <w:rStyle w:val="FootnoteReference"/>
        </w:rPr>
        <w:footnoteRef/>
      </w:r>
      <w:r w:rsidRPr="00145239">
        <w:t xml:space="preserve"> See para. 5.608 above.</w:t>
      </w:r>
    </w:p>
  </w:footnote>
  <w:footnote w:id="1795">
    <w:p w:rsidR="00FD2727" w:rsidRPr="00410588" w:rsidRDefault="00FD2727">
      <w:pPr>
        <w:pStyle w:val="FootnoteText"/>
        <w:rPr>
          <w:lang w:val="en-US"/>
        </w:rPr>
      </w:pPr>
      <w:r w:rsidRPr="00145239">
        <w:rPr>
          <w:rStyle w:val="FootnoteReference"/>
        </w:rPr>
        <w:footnoteRef/>
      </w:r>
      <w:r w:rsidRPr="00145239">
        <w:t xml:space="preserve"> Panel Report, para. 6.1551 (referring to </w:t>
      </w:r>
      <w:r w:rsidRPr="00145239">
        <w:rPr>
          <w:szCs w:val="16"/>
        </w:rPr>
        <w:t>Mario Heinen, Airbus Senior Vice President A380, EADS/Airbus presentation</w:t>
      </w:r>
      <w:r>
        <w:rPr>
          <w:szCs w:val="16"/>
        </w:rPr>
        <w:t xml:space="preserve"> "The A380 Program", presented at the Global Investor Forum, 19-20 October 2006 (Panel </w:t>
      </w:r>
      <w:r>
        <w:t xml:space="preserve">Exhibit EU-419), slide 18; </w:t>
      </w:r>
      <w:r>
        <w:rPr>
          <w:szCs w:val="16"/>
        </w:rPr>
        <w:t>EADS Press Release, "A350 XWB launch: EADS Gives Go Ahead for Airbus to Launch the A350 XWB", 1 December 2006, (Panel Exhibit USA</w:t>
      </w:r>
      <w:r>
        <w:rPr>
          <w:szCs w:val="16"/>
        </w:rPr>
        <w:noBreakHyphen/>
        <w:t xml:space="preserve">569); </w:t>
      </w:r>
      <w:r>
        <w:t xml:space="preserve">A380 Business Case, p. 19, section 6.4 (Panel Exhibit EU-20 (HSBI)); Original Panel Report, </w:t>
      </w:r>
      <w:r w:rsidRPr="00AF3D63">
        <w:t>para. </w:t>
      </w:r>
      <w:r>
        <w:t>7.1719).</w:t>
      </w:r>
    </w:p>
  </w:footnote>
  <w:footnote w:id="1796">
    <w:p w:rsidR="00FD2727" w:rsidRPr="00410588" w:rsidRDefault="00FD2727">
      <w:pPr>
        <w:pStyle w:val="FootnoteText"/>
        <w:rPr>
          <w:lang w:val="en-US"/>
        </w:rPr>
      </w:pPr>
      <w:r>
        <w:rPr>
          <w:rStyle w:val="FootnoteReference"/>
        </w:rPr>
        <w:footnoteRef/>
      </w:r>
      <w:r>
        <w:t xml:space="preserve"> European Union's appellant's submission, </w:t>
      </w:r>
      <w:r w:rsidRPr="00AF3D63">
        <w:t>para. </w:t>
      </w:r>
      <w:r>
        <w:t>901.</w:t>
      </w:r>
    </w:p>
  </w:footnote>
  <w:footnote w:id="1797">
    <w:p w:rsidR="00FD2727" w:rsidRPr="00410588" w:rsidRDefault="00FD2727">
      <w:pPr>
        <w:pStyle w:val="FootnoteText"/>
        <w:rPr>
          <w:lang w:val="en-US"/>
        </w:rPr>
      </w:pPr>
      <w:r>
        <w:rPr>
          <w:rStyle w:val="FootnoteReference"/>
        </w:rPr>
        <w:footnoteRef/>
      </w:r>
      <w:r>
        <w:t xml:space="preserve"> European Union's appellant's submission, </w:t>
      </w:r>
      <w:r w:rsidRPr="00AF3D63">
        <w:t>para. </w:t>
      </w:r>
      <w:r>
        <w:t>907.</w:t>
      </w:r>
    </w:p>
  </w:footnote>
  <w:footnote w:id="1798">
    <w:p w:rsidR="00FD2727" w:rsidRPr="00410588" w:rsidRDefault="00FD2727">
      <w:pPr>
        <w:pStyle w:val="FootnoteText"/>
        <w:rPr>
          <w:lang w:val="en-US"/>
        </w:rPr>
      </w:pPr>
      <w:r>
        <w:rPr>
          <w:rStyle w:val="FootnoteReference"/>
        </w:rPr>
        <w:footnoteRef/>
      </w:r>
      <w:r>
        <w:t xml:space="preserve"> Panel Report, </w:t>
      </w:r>
      <w:r w:rsidRPr="00AF3D63">
        <w:t>para. </w:t>
      </w:r>
      <w:r>
        <w:t>6.1713. (emphasis added)</w:t>
      </w:r>
    </w:p>
  </w:footnote>
  <w:footnote w:id="1799">
    <w:p w:rsidR="00FD2727" w:rsidRPr="00410588" w:rsidRDefault="00FD2727">
      <w:pPr>
        <w:pStyle w:val="FootnoteText"/>
        <w:rPr>
          <w:lang w:val="en-US"/>
        </w:rPr>
      </w:pPr>
      <w:r>
        <w:rPr>
          <w:rStyle w:val="FootnoteReference"/>
        </w:rPr>
        <w:footnoteRef/>
      </w:r>
      <w:r>
        <w:t xml:space="preserve"> Panel Report, </w:t>
      </w:r>
      <w:r w:rsidRPr="00AF3D63">
        <w:t>para. </w:t>
      </w:r>
      <w:r>
        <w:t>6.1539.</w:t>
      </w:r>
    </w:p>
  </w:footnote>
  <w:footnote w:id="1800">
    <w:p w:rsidR="00FD2727" w:rsidRPr="00410588" w:rsidRDefault="00FD2727">
      <w:pPr>
        <w:pStyle w:val="FootnoteText"/>
        <w:rPr>
          <w:lang w:val="en-US"/>
        </w:rPr>
      </w:pPr>
      <w:r>
        <w:rPr>
          <w:rStyle w:val="FootnoteReference"/>
        </w:rPr>
        <w:footnoteRef/>
      </w:r>
      <w:r>
        <w:t xml:space="preserve"> Panel Report, </w:t>
      </w:r>
      <w:r w:rsidRPr="00AF3D63">
        <w:t>para. </w:t>
      </w:r>
      <w:r>
        <w:t>6.1717.</w:t>
      </w:r>
    </w:p>
  </w:footnote>
  <w:footnote w:id="1801">
    <w:p w:rsidR="00FD2727" w:rsidRPr="00410588" w:rsidRDefault="00FD2727">
      <w:pPr>
        <w:pStyle w:val="FootnoteText"/>
        <w:rPr>
          <w:lang w:val="en-US"/>
        </w:rPr>
      </w:pPr>
      <w:r>
        <w:rPr>
          <w:rStyle w:val="FootnoteReference"/>
        </w:rPr>
        <w:footnoteRef/>
      </w:r>
      <w:r>
        <w:t xml:space="preserve"> United States' appellee's submission, </w:t>
      </w:r>
      <w:r w:rsidRPr="00AF3D63">
        <w:t>paras. </w:t>
      </w:r>
      <w:r>
        <w:t>505-506.</w:t>
      </w:r>
    </w:p>
  </w:footnote>
  <w:footnote w:id="1802">
    <w:p w:rsidR="00FD2727" w:rsidRPr="00410588" w:rsidRDefault="00FD2727">
      <w:pPr>
        <w:pStyle w:val="FootnoteText"/>
        <w:rPr>
          <w:lang w:val="en-US"/>
        </w:rPr>
      </w:pPr>
      <w:r>
        <w:rPr>
          <w:rStyle w:val="FootnoteReference"/>
        </w:rPr>
        <w:footnoteRef/>
      </w:r>
      <w:r>
        <w:t xml:space="preserve"> Panel Report, </w:t>
      </w:r>
      <w:r w:rsidRPr="00AF3D63">
        <w:t>para. </w:t>
      </w:r>
      <w:r>
        <w:t>6.1567.</w:t>
      </w:r>
    </w:p>
  </w:footnote>
  <w:footnote w:id="1803">
    <w:p w:rsidR="00FD2727" w:rsidRPr="00410588" w:rsidRDefault="00FD2727">
      <w:pPr>
        <w:pStyle w:val="FootnoteText"/>
        <w:rPr>
          <w:lang w:val="en-US"/>
        </w:rPr>
      </w:pPr>
      <w:r>
        <w:rPr>
          <w:rStyle w:val="FootnoteReference"/>
        </w:rPr>
        <w:footnoteRef/>
      </w:r>
      <w:r>
        <w:t xml:space="preserve"> Panel Report, </w:t>
      </w:r>
      <w:r w:rsidRPr="00AF3D63">
        <w:t>para. </w:t>
      </w:r>
      <w:r>
        <w:t>6.1705.</w:t>
      </w:r>
    </w:p>
  </w:footnote>
  <w:footnote w:id="1804">
    <w:p w:rsidR="00FD2727" w:rsidRPr="00410588" w:rsidRDefault="00FD2727">
      <w:pPr>
        <w:pStyle w:val="FootnoteText"/>
        <w:rPr>
          <w:lang w:val="en-US"/>
        </w:rPr>
      </w:pPr>
      <w:r>
        <w:rPr>
          <w:rStyle w:val="FootnoteReference"/>
        </w:rPr>
        <w:footnoteRef/>
      </w:r>
      <w:r>
        <w:t xml:space="preserve"> European Union's appellant's submission, para. 900.</w:t>
      </w:r>
    </w:p>
  </w:footnote>
  <w:footnote w:id="1805">
    <w:p w:rsidR="00FD2727" w:rsidRPr="00145239" w:rsidRDefault="00FD2727">
      <w:pPr>
        <w:pStyle w:val="FootnoteText"/>
        <w:rPr>
          <w:lang w:val="en-US"/>
        </w:rPr>
      </w:pPr>
      <w:r>
        <w:rPr>
          <w:rStyle w:val="FootnoteReference"/>
        </w:rPr>
        <w:footnoteRef/>
      </w:r>
      <w:r>
        <w:t xml:space="preserve"> Panel Report, </w:t>
      </w:r>
      <w:r w:rsidRPr="00AF3D63">
        <w:t>para. </w:t>
      </w:r>
      <w:r>
        <w:t>6.1539. We note that before the Panel, the United States alleged that A350XWB LA/MSF, "</w:t>
      </w:r>
      <w:r w:rsidRPr="00145239">
        <w:t>enabled" Airbus to launch the A350XWB, "when and as it was". (United States' first written submission to the Panel, para. 395)</w:t>
      </w:r>
    </w:p>
  </w:footnote>
  <w:footnote w:id="1806">
    <w:p w:rsidR="00FD2727" w:rsidRPr="00145239" w:rsidRDefault="00FD2727">
      <w:pPr>
        <w:pStyle w:val="FootnoteText"/>
        <w:rPr>
          <w:lang w:val="en-US"/>
        </w:rPr>
      </w:pPr>
      <w:r w:rsidRPr="00145239">
        <w:rPr>
          <w:rStyle w:val="FootnoteReference"/>
        </w:rPr>
        <w:footnoteRef/>
      </w:r>
      <w:r w:rsidRPr="00145239">
        <w:t xml:space="preserve"> See paras. 5.626-5.628 above.</w:t>
      </w:r>
    </w:p>
  </w:footnote>
  <w:footnote w:id="1807">
    <w:p w:rsidR="00FD2727" w:rsidRPr="00145239" w:rsidRDefault="00FD2727">
      <w:pPr>
        <w:pStyle w:val="FootnoteText"/>
        <w:rPr>
          <w:lang w:val="en-US"/>
        </w:rPr>
      </w:pPr>
      <w:r w:rsidRPr="00145239">
        <w:rPr>
          <w:rStyle w:val="FootnoteReference"/>
        </w:rPr>
        <w:footnoteRef/>
      </w:r>
      <w:r w:rsidRPr="00145239">
        <w:t xml:space="preserve"> Panel Report, paras. 6.1542-6.1544.</w:t>
      </w:r>
    </w:p>
  </w:footnote>
  <w:footnote w:id="1808">
    <w:p w:rsidR="00FD2727" w:rsidRPr="00410588" w:rsidRDefault="00FD2727">
      <w:pPr>
        <w:pStyle w:val="FootnoteText"/>
        <w:rPr>
          <w:lang w:val="en-US"/>
        </w:rPr>
      </w:pPr>
      <w:r w:rsidRPr="00145239">
        <w:rPr>
          <w:rStyle w:val="FootnoteReference"/>
        </w:rPr>
        <w:footnoteRef/>
      </w:r>
      <w:r w:rsidRPr="00145239">
        <w:t xml:space="preserve"> Appellate Body Report, </w:t>
      </w:r>
      <w:r w:rsidRPr="00145239">
        <w:rPr>
          <w:i/>
        </w:rPr>
        <w:t>US – Steel Safeguards</w:t>
      </w:r>
      <w:r w:rsidRPr="00145239">
        <w:t xml:space="preserve">, para. 498. See also Appellate Body Report, </w:t>
      </w:r>
      <w:r w:rsidRPr="00145239">
        <w:rPr>
          <w:i/>
        </w:rPr>
        <w:t>US ‒ Zeroing (EC)</w:t>
      </w:r>
      <w:r w:rsidRPr="00145239">
        <w:t>, para. 253</w:t>
      </w:r>
      <w:r>
        <w:t>.</w:t>
      </w:r>
    </w:p>
  </w:footnote>
  <w:footnote w:id="1809">
    <w:p w:rsidR="00FD2727" w:rsidRPr="00410588" w:rsidRDefault="00FD2727">
      <w:pPr>
        <w:pStyle w:val="FootnoteText"/>
        <w:rPr>
          <w:lang w:val="en-US"/>
        </w:rPr>
      </w:pPr>
      <w:r>
        <w:rPr>
          <w:rStyle w:val="FootnoteReference"/>
        </w:rPr>
        <w:footnoteRef/>
      </w:r>
      <w:r>
        <w:t xml:space="preserve"> Appellate Body Report, </w:t>
      </w:r>
      <w:r>
        <w:rPr>
          <w:i/>
        </w:rPr>
        <w:t>US – Steel Safeguards</w:t>
      </w:r>
      <w:r>
        <w:t xml:space="preserve">, </w:t>
      </w:r>
      <w:r w:rsidRPr="00AF3D63">
        <w:t>para. </w:t>
      </w:r>
      <w:r>
        <w:t xml:space="preserve">498. </w:t>
      </w:r>
      <w:r w:rsidRPr="00AF3D63">
        <w:t>See </w:t>
      </w:r>
      <w:r>
        <w:t xml:space="preserve">also Appellate Body Report, </w:t>
      </w:r>
      <w:r>
        <w:rPr>
          <w:i/>
        </w:rPr>
        <w:t>US ‒ Zeroing (EC)</w:t>
      </w:r>
      <w:r>
        <w:t xml:space="preserve">, </w:t>
      </w:r>
      <w:r w:rsidRPr="00AF3D63">
        <w:t>para. </w:t>
      </w:r>
      <w:r>
        <w:t>253.</w:t>
      </w:r>
    </w:p>
  </w:footnote>
  <w:footnote w:id="1810">
    <w:p w:rsidR="00FD2727" w:rsidRPr="00410588" w:rsidRDefault="00FD2727">
      <w:pPr>
        <w:pStyle w:val="FootnoteText"/>
        <w:rPr>
          <w:lang w:val="en-US"/>
        </w:rPr>
      </w:pPr>
      <w:r>
        <w:rPr>
          <w:rStyle w:val="FootnoteReference"/>
        </w:rPr>
        <w:footnoteRef/>
      </w:r>
      <w:r>
        <w:t xml:space="preserve"> Panel Report, </w:t>
      </w:r>
      <w:r w:rsidRPr="00AF3D63">
        <w:t>para. </w:t>
      </w:r>
      <w:r>
        <w:t>6.1717. (emphasis original)</w:t>
      </w:r>
    </w:p>
  </w:footnote>
  <w:footnote w:id="1811">
    <w:p w:rsidR="00FD2727" w:rsidRPr="00410588" w:rsidRDefault="00FD2727">
      <w:pPr>
        <w:pStyle w:val="FootnoteText"/>
        <w:rPr>
          <w:lang w:val="en-US"/>
        </w:rPr>
      </w:pPr>
      <w:r>
        <w:rPr>
          <w:rStyle w:val="FootnoteReference"/>
        </w:rPr>
        <w:footnoteRef/>
      </w:r>
      <w:r>
        <w:t xml:space="preserve"> European Union's appellant's submission, </w:t>
      </w:r>
      <w:r w:rsidRPr="00AF3D63">
        <w:t>para. </w:t>
      </w:r>
      <w:r>
        <w:t>886.</w:t>
      </w:r>
    </w:p>
  </w:footnote>
  <w:footnote w:id="1812">
    <w:p w:rsidR="00FD2727" w:rsidRPr="00410588" w:rsidRDefault="00FD2727">
      <w:pPr>
        <w:pStyle w:val="FootnoteText"/>
        <w:rPr>
          <w:lang w:val="en-US"/>
        </w:rPr>
      </w:pPr>
      <w:r>
        <w:rPr>
          <w:rStyle w:val="FootnoteReference"/>
        </w:rPr>
        <w:footnoteRef/>
      </w:r>
      <w:r>
        <w:t xml:space="preserve"> European Union's appellant's submission, </w:t>
      </w:r>
      <w:r w:rsidRPr="00AF3D63">
        <w:t>para. </w:t>
      </w:r>
      <w:r>
        <w:t>894.</w:t>
      </w:r>
    </w:p>
  </w:footnote>
  <w:footnote w:id="1813">
    <w:p w:rsidR="00FD2727" w:rsidRPr="00410588" w:rsidRDefault="00FD2727">
      <w:pPr>
        <w:pStyle w:val="FootnoteText"/>
        <w:rPr>
          <w:lang w:val="en-US"/>
        </w:rPr>
      </w:pPr>
      <w:r>
        <w:rPr>
          <w:rStyle w:val="FootnoteReference"/>
        </w:rPr>
        <w:footnoteRef/>
      </w:r>
      <w:r>
        <w:t xml:space="preserve"> European Union's appellant's submission, </w:t>
      </w:r>
      <w:r w:rsidRPr="00AF3D63">
        <w:t>para. </w:t>
      </w:r>
      <w:r>
        <w:t>894.</w:t>
      </w:r>
    </w:p>
  </w:footnote>
  <w:footnote w:id="1814">
    <w:p w:rsidR="00FD2727" w:rsidRPr="00410588" w:rsidRDefault="00FD2727">
      <w:pPr>
        <w:pStyle w:val="FootnoteText"/>
        <w:rPr>
          <w:lang w:val="en-US"/>
        </w:rPr>
      </w:pPr>
      <w:r>
        <w:rPr>
          <w:rStyle w:val="FootnoteReference"/>
        </w:rPr>
        <w:footnoteRef/>
      </w:r>
      <w:r>
        <w:t xml:space="preserve"> European Union's appellant's submission, </w:t>
      </w:r>
      <w:r w:rsidRPr="00AF3D63">
        <w:t>paras. </w:t>
      </w:r>
      <w:r>
        <w:t>886 and 893.</w:t>
      </w:r>
    </w:p>
  </w:footnote>
  <w:footnote w:id="1815">
    <w:p w:rsidR="00FD2727" w:rsidRPr="00410588" w:rsidRDefault="00FD2727">
      <w:pPr>
        <w:pStyle w:val="FootnoteText"/>
        <w:rPr>
          <w:lang w:val="en-US"/>
        </w:rPr>
      </w:pPr>
      <w:r>
        <w:rPr>
          <w:rStyle w:val="FootnoteReference"/>
        </w:rPr>
        <w:footnoteRef/>
      </w:r>
      <w:r>
        <w:t xml:space="preserve"> United States' appellee's submission, </w:t>
      </w:r>
      <w:r w:rsidRPr="00AF3D63">
        <w:t>para. </w:t>
      </w:r>
      <w:r>
        <w:t>483.</w:t>
      </w:r>
    </w:p>
  </w:footnote>
  <w:footnote w:id="1816">
    <w:p w:rsidR="00FD2727" w:rsidRPr="00410588" w:rsidRDefault="00FD2727">
      <w:pPr>
        <w:pStyle w:val="FootnoteText"/>
        <w:rPr>
          <w:lang w:val="en-US"/>
        </w:rPr>
      </w:pPr>
      <w:r>
        <w:rPr>
          <w:rStyle w:val="FootnoteReference"/>
        </w:rPr>
        <w:footnoteRef/>
      </w:r>
      <w:r>
        <w:t xml:space="preserve"> United States' appellee's submission, </w:t>
      </w:r>
      <w:r w:rsidRPr="00AF3D63">
        <w:t>para. </w:t>
      </w:r>
      <w:r>
        <w:t>484 (referring to Original Panel R</w:t>
      </w:r>
      <w:r w:rsidRPr="00E20560">
        <w:t>eport</w:t>
      </w:r>
      <w:r>
        <w:t xml:space="preserve">, </w:t>
      </w:r>
      <w:r w:rsidRPr="00AF3D63">
        <w:t>para. </w:t>
      </w:r>
      <w:r>
        <w:t>7.1940).</w:t>
      </w:r>
    </w:p>
  </w:footnote>
  <w:footnote w:id="1817">
    <w:p w:rsidR="00FD2727" w:rsidRPr="00410588" w:rsidRDefault="00FD2727">
      <w:pPr>
        <w:pStyle w:val="FootnoteText"/>
        <w:rPr>
          <w:lang w:val="en-US"/>
        </w:rPr>
      </w:pPr>
      <w:r>
        <w:rPr>
          <w:rStyle w:val="FootnoteReference"/>
        </w:rPr>
        <w:footnoteRef/>
      </w:r>
      <w:r>
        <w:t xml:space="preserve"> European Union's appellant's submission, </w:t>
      </w:r>
      <w:r w:rsidRPr="00AF3D63">
        <w:t>para</w:t>
      </w:r>
      <w:r>
        <w:t>s</w:t>
      </w:r>
      <w:r w:rsidRPr="00AF3D63">
        <w:t>. </w:t>
      </w:r>
      <w:r>
        <w:t>886 and 890.</w:t>
      </w:r>
    </w:p>
  </w:footnote>
  <w:footnote w:id="1818">
    <w:p w:rsidR="00FD2727" w:rsidRPr="00145239" w:rsidRDefault="00FD2727">
      <w:pPr>
        <w:pStyle w:val="FootnoteText"/>
        <w:rPr>
          <w:lang w:val="en-US"/>
        </w:rPr>
      </w:pPr>
      <w:r>
        <w:rPr>
          <w:rStyle w:val="FootnoteReference"/>
        </w:rPr>
        <w:footnoteRef/>
      </w:r>
      <w:r>
        <w:t xml:space="preserve"> </w:t>
      </w:r>
      <w:r w:rsidRPr="00145239">
        <w:t>European Union's appellant's submission, para. 895 (referring to Panel Report, para. 6.1507 and fn 2597 thereto).</w:t>
      </w:r>
    </w:p>
  </w:footnote>
  <w:footnote w:id="1819">
    <w:p w:rsidR="00FD2727" w:rsidRPr="00145239" w:rsidRDefault="00FD2727">
      <w:pPr>
        <w:pStyle w:val="FootnoteText"/>
        <w:rPr>
          <w:lang w:val="en-US"/>
        </w:rPr>
      </w:pPr>
      <w:r w:rsidRPr="00145239">
        <w:rPr>
          <w:rStyle w:val="FootnoteReference"/>
        </w:rPr>
        <w:footnoteRef/>
      </w:r>
      <w:r w:rsidRPr="00145239">
        <w:t xml:space="preserve"> See section 5.6.3.5.1 of this Report.</w:t>
      </w:r>
    </w:p>
  </w:footnote>
  <w:footnote w:id="1820">
    <w:p w:rsidR="00FD2727" w:rsidRPr="00145239" w:rsidRDefault="00FD2727">
      <w:pPr>
        <w:pStyle w:val="FootnoteText"/>
        <w:rPr>
          <w:lang w:val="en-US"/>
        </w:rPr>
      </w:pPr>
      <w:r w:rsidRPr="00145239">
        <w:rPr>
          <w:rStyle w:val="FootnoteReference"/>
        </w:rPr>
        <w:footnoteRef/>
      </w:r>
      <w:r w:rsidRPr="00145239">
        <w:t xml:space="preserve"> We recall that the Appellate Body upheld the original panel's overall conclusion with respect to the A380 programme. (See para. 5.604 above)</w:t>
      </w:r>
    </w:p>
  </w:footnote>
  <w:footnote w:id="1821">
    <w:p w:rsidR="00FD2727" w:rsidRPr="00410588" w:rsidRDefault="00FD2727">
      <w:pPr>
        <w:pStyle w:val="FootnoteText"/>
        <w:rPr>
          <w:lang w:val="en-US"/>
        </w:rPr>
      </w:pPr>
      <w:r w:rsidRPr="00145239">
        <w:rPr>
          <w:rStyle w:val="FootnoteReference"/>
        </w:rPr>
        <w:footnoteRef/>
      </w:r>
      <w:r w:rsidRPr="00145239">
        <w:t xml:space="preserve"> We would, however</w:t>
      </w:r>
      <w:r>
        <w:t>,</w:t>
      </w:r>
      <w:r w:rsidRPr="004B1FF7">
        <w:t xml:space="preserve"> disagree with the Panel insofar as its analysis of the "indirect effects" of the expired LA/MSF subsidies served as the basis for its ultimate conclusion in respect of Airbus' ability to launch the A350XWB as and when it did. As explained</w:t>
      </w:r>
      <w:r>
        <w:t xml:space="preserve"> above, the European Union is not under an obligation to take appropriate steps to remove the </w:t>
      </w:r>
      <w:r w:rsidRPr="00420CED">
        <w:t>adverse</w:t>
      </w:r>
      <w:r w:rsidRPr="00A63A41">
        <w:t xml:space="preserve"> effects caused by the expired subsidies. </w:t>
      </w:r>
      <w:r>
        <w:t xml:space="preserve">We acknowledge, however, that understanding the mechanism through which </w:t>
      </w:r>
      <w:r w:rsidRPr="00A63A41">
        <w:t xml:space="preserve">expired subsidies </w:t>
      </w:r>
      <w:r>
        <w:t xml:space="preserve">caused the effects found in the original proceedings </w:t>
      </w:r>
      <w:r w:rsidRPr="00A63A41">
        <w:t>provide</w:t>
      </w:r>
      <w:r>
        <w:t>s</w:t>
      </w:r>
      <w:r w:rsidRPr="00A63A41">
        <w:t xml:space="preserve"> useful background for </w:t>
      </w:r>
      <w:r>
        <w:t>our analysis of</w:t>
      </w:r>
      <w:r w:rsidRPr="00A63A41">
        <w:t xml:space="preserve"> the issue at hand, that is, the causal link between the subsidies exist</w:t>
      </w:r>
      <w:r>
        <w:t>ing in the post</w:t>
      </w:r>
      <w:r>
        <w:noBreakHyphen/>
        <w:t>implementation period – including the A380 LA/MSF – and the relevant market phenomena.</w:t>
      </w:r>
    </w:p>
  </w:footnote>
  <w:footnote w:id="1822">
    <w:p w:rsidR="00FD2727" w:rsidRPr="00410588" w:rsidRDefault="00FD2727">
      <w:pPr>
        <w:pStyle w:val="FootnoteText"/>
        <w:rPr>
          <w:lang w:val="en-US"/>
        </w:rPr>
      </w:pPr>
      <w:r>
        <w:rPr>
          <w:rStyle w:val="FootnoteReference"/>
        </w:rPr>
        <w:footnoteRef/>
      </w:r>
      <w:r>
        <w:t xml:space="preserve"> Panel Report, </w:t>
      </w:r>
      <w:r w:rsidRPr="00AF3D63">
        <w:t>para. </w:t>
      </w:r>
      <w:r>
        <w:t>6.1774.</w:t>
      </w:r>
    </w:p>
  </w:footnote>
  <w:footnote w:id="1823">
    <w:p w:rsidR="00FD2727" w:rsidRPr="00410588" w:rsidRDefault="00FD2727">
      <w:pPr>
        <w:pStyle w:val="FootnoteText"/>
        <w:rPr>
          <w:lang w:val="en-US"/>
        </w:rPr>
      </w:pPr>
      <w:r>
        <w:rPr>
          <w:rStyle w:val="FootnoteReference"/>
        </w:rPr>
        <w:footnoteRef/>
      </w:r>
      <w:r>
        <w:t xml:space="preserve"> Panel Report, </w:t>
      </w:r>
      <w:r w:rsidRPr="00AF3D63">
        <w:t>para. </w:t>
      </w:r>
      <w:r>
        <w:t xml:space="preserve">6.1725. With respect to the third kind of "indirect effects", namely, "scope and scale effects", the Panel gave them "limited weight" given the fact that the United States did not specifically identify such effects in relation to the A350XWB. (Ibid., </w:t>
      </w:r>
      <w:r w:rsidRPr="00AF3D63">
        <w:t>para. </w:t>
      </w:r>
      <w:r>
        <w:t>6.1773)</w:t>
      </w:r>
    </w:p>
  </w:footnote>
  <w:footnote w:id="1824">
    <w:p w:rsidR="00FD2727" w:rsidRPr="00410588" w:rsidRDefault="00FD2727">
      <w:pPr>
        <w:pStyle w:val="FootnoteText"/>
        <w:rPr>
          <w:lang w:val="en-US"/>
        </w:rPr>
      </w:pPr>
      <w:r>
        <w:rPr>
          <w:rStyle w:val="FootnoteReference"/>
        </w:rPr>
        <w:footnoteRef/>
      </w:r>
      <w:r>
        <w:t xml:space="preserve"> Panel Report, </w:t>
      </w:r>
      <w:r w:rsidRPr="00AF3D63">
        <w:t>para. </w:t>
      </w:r>
      <w:r>
        <w:t>6.1747.</w:t>
      </w:r>
    </w:p>
  </w:footnote>
  <w:footnote w:id="1825">
    <w:p w:rsidR="00FD2727" w:rsidRPr="00410588" w:rsidRDefault="00FD2727">
      <w:pPr>
        <w:pStyle w:val="FootnoteText"/>
        <w:rPr>
          <w:lang w:val="en-US"/>
        </w:rPr>
      </w:pPr>
      <w:r>
        <w:rPr>
          <w:rStyle w:val="FootnoteReference"/>
        </w:rPr>
        <w:footnoteRef/>
      </w:r>
      <w:r>
        <w:t xml:space="preserve"> Panel Report, </w:t>
      </w:r>
      <w:r w:rsidRPr="00AF3D63">
        <w:t>para. </w:t>
      </w:r>
      <w:r>
        <w:t>6.1753.</w:t>
      </w:r>
    </w:p>
  </w:footnote>
  <w:footnote w:id="1826">
    <w:p w:rsidR="00FD2727" w:rsidRPr="00410588" w:rsidRDefault="00FD2727">
      <w:pPr>
        <w:pStyle w:val="FootnoteText"/>
        <w:rPr>
          <w:lang w:val="en-US"/>
        </w:rPr>
      </w:pPr>
      <w:r>
        <w:rPr>
          <w:rStyle w:val="FootnoteReference"/>
        </w:rPr>
        <w:footnoteRef/>
      </w:r>
      <w:r>
        <w:t xml:space="preserve"> Panel Report, </w:t>
      </w:r>
      <w:r w:rsidRPr="00AF3D63">
        <w:t>para. </w:t>
      </w:r>
      <w:r>
        <w:t>6.1754. The Panel noted, e.g. that the cracks on the wings of the A380 "alerted Airbus to the general risks posed by thermal problems to new wing designs". (Ibid., fn 3201 thereto)</w:t>
      </w:r>
    </w:p>
  </w:footnote>
  <w:footnote w:id="1827">
    <w:p w:rsidR="00FD2727" w:rsidRPr="00410588" w:rsidRDefault="00FD2727">
      <w:pPr>
        <w:pStyle w:val="FootnoteText"/>
        <w:rPr>
          <w:lang w:val="en-US"/>
        </w:rPr>
      </w:pPr>
      <w:r>
        <w:rPr>
          <w:rStyle w:val="FootnoteReference"/>
        </w:rPr>
        <w:footnoteRef/>
      </w:r>
      <w:r>
        <w:t xml:space="preserve"> Panel Report, </w:t>
      </w:r>
      <w:r w:rsidRPr="00AF3D63">
        <w:t>para. </w:t>
      </w:r>
      <w:r>
        <w:t>6.1755.</w:t>
      </w:r>
    </w:p>
  </w:footnote>
  <w:footnote w:id="1828">
    <w:p w:rsidR="00FD2727" w:rsidRPr="00410588" w:rsidRDefault="00FD2727">
      <w:pPr>
        <w:pStyle w:val="FootnoteText"/>
        <w:rPr>
          <w:lang w:val="en-US"/>
        </w:rPr>
      </w:pPr>
      <w:r>
        <w:rPr>
          <w:rStyle w:val="FootnoteReference"/>
        </w:rPr>
        <w:footnoteRef/>
      </w:r>
      <w:r>
        <w:t xml:space="preserve"> Panel Report, </w:t>
      </w:r>
      <w:r w:rsidRPr="00AF3D63">
        <w:t>para. </w:t>
      </w:r>
      <w:r>
        <w:t>6.1756.</w:t>
      </w:r>
    </w:p>
  </w:footnote>
  <w:footnote w:id="1829">
    <w:p w:rsidR="00FD2727" w:rsidRPr="00410588" w:rsidRDefault="00FD2727">
      <w:pPr>
        <w:pStyle w:val="FootnoteText"/>
        <w:rPr>
          <w:lang w:val="en-US"/>
        </w:rPr>
      </w:pPr>
      <w:r>
        <w:rPr>
          <w:rStyle w:val="FootnoteReference"/>
        </w:rPr>
        <w:footnoteRef/>
      </w:r>
      <w:r>
        <w:t xml:space="preserve"> Panel Report, </w:t>
      </w:r>
      <w:r w:rsidRPr="00AF3D63">
        <w:t>para. </w:t>
      </w:r>
      <w:r>
        <w:t>6.1757.</w:t>
      </w:r>
    </w:p>
  </w:footnote>
  <w:footnote w:id="1830">
    <w:p w:rsidR="00FD2727" w:rsidRPr="00410588" w:rsidRDefault="00FD2727">
      <w:pPr>
        <w:pStyle w:val="FootnoteText"/>
        <w:rPr>
          <w:lang w:val="en-US"/>
        </w:rPr>
      </w:pPr>
      <w:r>
        <w:rPr>
          <w:rStyle w:val="FootnoteReference"/>
        </w:rPr>
        <w:footnoteRef/>
      </w:r>
      <w:r>
        <w:t xml:space="preserve"> Panel Report, </w:t>
      </w:r>
      <w:r w:rsidRPr="00AF3D63">
        <w:t>para. </w:t>
      </w:r>
      <w:r>
        <w:t>6.1757 (referring to A350XWB Chief Engineering Statement (Panel Exhibit EU</w:t>
      </w:r>
      <w:r>
        <w:noBreakHyphen/>
        <w:t xml:space="preserve">18 (BCI/HSBI)), </w:t>
      </w:r>
      <w:r w:rsidRPr="00AF3D63">
        <w:t>para. </w:t>
      </w:r>
      <w:r>
        <w:t>107).</w:t>
      </w:r>
    </w:p>
  </w:footnote>
  <w:footnote w:id="1831">
    <w:p w:rsidR="00FD2727" w:rsidRPr="00410588" w:rsidRDefault="00FD2727">
      <w:pPr>
        <w:pStyle w:val="FootnoteText"/>
        <w:rPr>
          <w:lang w:val="en-US"/>
        </w:rPr>
      </w:pPr>
      <w:r>
        <w:rPr>
          <w:rStyle w:val="FootnoteReference"/>
        </w:rPr>
        <w:footnoteRef/>
      </w:r>
      <w:r>
        <w:t xml:space="preserve"> Panel Report, </w:t>
      </w:r>
      <w:r w:rsidRPr="00AF3D63">
        <w:t>para. </w:t>
      </w:r>
      <w:r>
        <w:t>6.1758.</w:t>
      </w:r>
    </w:p>
  </w:footnote>
  <w:footnote w:id="1832">
    <w:p w:rsidR="00FD2727" w:rsidRPr="00410588" w:rsidRDefault="00FD2727">
      <w:pPr>
        <w:pStyle w:val="FootnoteText"/>
        <w:rPr>
          <w:lang w:val="en-US"/>
        </w:rPr>
      </w:pPr>
      <w:r>
        <w:rPr>
          <w:rStyle w:val="FootnoteReference"/>
        </w:rPr>
        <w:footnoteRef/>
      </w:r>
      <w:r>
        <w:t xml:space="preserve"> Panel Report, </w:t>
      </w:r>
      <w:r w:rsidRPr="00AF3D63">
        <w:t>para. </w:t>
      </w:r>
      <w:r>
        <w:t>6.1758 and fns 3218-3219 thereto.</w:t>
      </w:r>
    </w:p>
  </w:footnote>
  <w:footnote w:id="1833">
    <w:p w:rsidR="00FD2727" w:rsidRPr="00410588" w:rsidRDefault="00FD2727">
      <w:pPr>
        <w:pStyle w:val="FootnoteText"/>
        <w:rPr>
          <w:lang w:val="en-US"/>
        </w:rPr>
      </w:pPr>
      <w:r>
        <w:rPr>
          <w:rStyle w:val="FootnoteReference"/>
        </w:rPr>
        <w:footnoteRef/>
      </w:r>
      <w:r>
        <w:t xml:space="preserve"> Panel Report, fn 3222 to </w:t>
      </w:r>
      <w:r w:rsidRPr="00AF3D63">
        <w:t>para. </w:t>
      </w:r>
      <w:r>
        <w:t>6.1760.</w:t>
      </w:r>
    </w:p>
  </w:footnote>
  <w:footnote w:id="1834">
    <w:p w:rsidR="00FD2727" w:rsidRPr="00410588" w:rsidRDefault="00FD2727">
      <w:pPr>
        <w:pStyle w:val="FootnoteText"/>
        <w:rPr>
          <w:lang w:val="en-US"/>
        </w:rPr>
      </w:pPr>
      <w:r>
        <w:rPr>
          <w:rStyle w:val="FootnoteReference"/>
        </w:rPr>
        <w:footnoteRef/>
      </w:r>
      <w:r>
        <w:t xml:space="preserve"> Panel Report, </w:t>
      </w:r>
      <w:r w:rsidRPr="00AF3D63">
        <w:t>para. </w:t>
      </w:r>
      <w:r>
        <w:t>6.1759.</w:t>
      </w:r>
    </w:p>
  </w:footnote>
  <w:footnote w:id="1835">
    <w:p w:rsidR="00FD2727" w:rsidRPr="00410588" w:rsidRDefault="00FD2727">
      <w:pPr>
        <w:pStyle w:val="FootnoteText"/>
        <w:rPr>
          <w:lang w:val="en-US"/>
        </w:rPr>
      </w:pPr>
      <w:r>
        <w:rPr>
          <w:rStyle w:val="FootnoteReference"/>
        </w:rPr>
        <w:footnoteRef/>
      </w:r>
      <w:r>
        <w:t xml:space="preserve"> Panel Report, </w:t>
      </w:r>
      <w:r w:rsidRPr="00AF3D63">
        <w:t>para. </w:t>
      </w:r>
      <w:r>
        <w:t>6.1771. (fn omitted)</w:t>
      </w:r>
    </w:p>
  </w:footnote>
  <w:footnote w:id="1836">
    <w:p w:rsidR="00FD2727" w:rsidRPr="00410588" w:rsidRDefault="00FD2727">
      <w:pPr>
        <w:pStyle w:val="FootnoteText"/>
        <w:rPr>
          <w:lang w:val="en-US"/>
        </w:rPr>
      </w:pPr>
      <w:r>
        <w:rPr>
          <w:rStyle w:val="FootnoteReference"/>
        </w:rPr>
        <w:footnoteRef/>
      </w:r>
      <w:r>
        <w:t xml:space="preserve"> Panel Report, </w:t>
      </w:r>
      <w:r w:rsidRPr="00AF3D63">
        <w:t>para. </w:t>
      </w:r>
      <w:r>
        <w:t>6.1769.</w:t>
      </w:r>
    </w:p>
  </w:footnote>
  <w:footnote w:id="1837">
    <w:p w:rsidR="00FD2727" w:rsidRPr="00410588" w:rsidRDefault="00FD2727">
      <w:pPr>
        <w:pStyle w:val="FootnoteText"/>
        <w:rPr>
          <w:lang w:val="en-US"/>
        </w:rPr>
      </w:pPr>
      <w:r>
        <w:rPr>
          <w:rStyle w:val="FootnoteReference"/>
        </w:rPr>
        <w:footnoteRef/>
      </w:r>
      <w:r>
        <w:t xml:space="preserve"> Panel Report, </w:t>
      </w:r>
      <w:r w:rsidRPr="00AF3D63">
        <w:t>para. </w:t>
      </w:r>
      <w:r>
        <w:t>6.1717. (emphasis original)</w:t>
      </w:r>
    </w:p>
  </w:footnote>
  <w:footnote w:id="1838">
    <w:p w:rsidR="00FD2727" w:rsidRPr="00410588" w:rsidRDefault="00FD2727">
      <w:pPr>
        <w:pStyle w:val="FootnoteText"/>
        <w:rPr>
          <w:lang w:val="en-US"/>
        </w:rPr>
      </w:pPr>
      <w:r>
        <w:rPr>
          <w:rStyle w:val="FootnoteReference"/>
        </w:rPr>
        <w:footnoteRef/>
      </w:r>
      <w:r>
        <w:t xml:space="preserve"> Panel Report, </w:t>
      </w:r>
      <w:r w:rsidRPr="00AF3D63">
        <w:t>para. </w:t>
      </w:r>
      <w:r>
        <w:t>7.1.d.xii. (emphasis original) See also para. 6.1534.</w:t>
      </w:r>
    </w:p>
  </w:footnote>
  <w:footnote w:id="1839">
    <w:p w:rsidR="00FD2727" w:rsidRPr="00410588" w:rsidRDefault="00FD2727">
      <w:pPr>
        <w:pStyle w:val="FootnoteText"/>
        <w:rPr>
          <w:lang w:val="en-US"/>
        </w:rPr>
      </w:pPr>
      <w:r>
        <w:rPr>
          <w:rStyle w:val="FootnoteReference"/>
        </w:rPr>
        <w:footnoteRef/>
      </w:r>
      <w:r>
        <w:t xml:space="preserve"> Panel Report, </w:t>
      </w:r>
      <w:r w:rsidRPr="00AF3D63">
        <w:t>para. </w:t>
      </w:r>
      <w:r>
        <w:t>7.1.d.xiii. (emphasis original) See also para. 6.1778.</w:t>
      </w:r>
    </w:p>
  </w:footnote>
  <w:footnote w:id="1840">
    <w:p w:rsidR="00FD2727" w:rsidRPr="00410588" w:rsidRDefault="00FD2727" w:rsidP="00C752B3">
      <w:pPr>
        <w:pStyle w:val="FootnoteText"/>
        <w:keepNext/>
        <w:keepLines/>
        <w:rPr>
          <w:lang w:val="en-US"/>
        </w:rPr>
      </w:pPr>
      <w:r>
        <w:rPr>
          <w:rStyle w:val="FootnoteReference"/>
        </w:rPr>
        <w:footnoteRef/>
      </w:r>
      <w:r>
        <w:t xml:space="preserve"> Having said that, we recall that </w:t>
      </w:r>
      <w:r w:rsidRPr="006D5726">
        <w:rPr>
          <w:bCs/>
        </w:rPr>
        <w:t xml:space="preserve">the </w:t>
      </w:r>
      <w:r w:rsidRPr="006D5726">
        <w:t>expired subsidies remain relevant as part of a matrix of analysis that seeks to identify the effects of the subsidies existing in the post</w:t>
      </w:r>
      <w:r w:rsidRPr="006D5726">
        <w:noBreakHyphen/>
        <w:t>implementation period, in respect of which the European Union continues to have a compliance obligation.</w:t>
      </w:r>
      <w:r w:rsidRPr="006D5726">
        <w:rPr>
          <w:bCs/>
        </w:rPr>
        <w:t xml:space="preserve"> </w:t>
      </w:r>
      <w:r w:rsidRPr="006D5726">
        <w:t>Findings from the original proceedings concerning the design, structure</w:t>
      </w:r>
      <w:r>
        <w:t>,</w:t>
      </w:r>
      <w:r w:rsidRPr="006D5726">
        <w:t xml:space="preserve"> and operation of the expired subsidies, as well as how th</w:t>
      </w:r>
      <w:r>
        <w:t>o</w:t>
      </w:r>
      <w:r w:rsidRPr="006D5726">
        <w:t xml:space="preserve">se subsidies affected Airbus' operations until the end of 2006, </w:t>
      </w:r>
      <w:r>
        <w:t xml:space="preserve">can </w:t>
      </w:r>
      <w:r w:rsidRPr="006D5726">
        <w:t>help in understanding the extent to which the</w:t>
      </w:r>
      <w:r>
        <w:t xml:space="preserve"> existing subsidies</w:t>
      </w:r>
      <w:r w:rsidRPr="006D5726">
        <w:t xml:space="preserve"> may cause adverse effects in the post</w:t>
      </w:r>
      <w:r w:rsidRPr="006D5726">
        <w:noBreakHyphen/>
        <w:t>implementation period.</w:t>
      </w:r>
    </w:p>
  </w:footnote>
  <w:footnote w:id="1841">
    <w:p w:rsidR="00FD2727" w:rsidRPr="00410588" w:rsidRDefault="00FD2727">
      <w:pPr>
        <w:pStyle w:val="FootnoteText"/>
        <w:rPr>
          <w:lang w:val="en-US"/>
        </w:rPr>
      </w:pPr>
      <w:r>
        <w:rPr>
          <w:rStyle w:val="FootnoteReference"/>
        </w:rPr>
        <w:footnoteRef/>
      </w:r>
      <w:r>
        <w:t xml:space="preserve"> Panel Report, </w:t>
      </w:r>
      <w:r w:rsidRPr="00AF3D63">
        <w:t>para. </w:t>
      </w:r>
      <w:r>
        <w:t>6.14.</w:t>
      </w:r>
    </w:p>
  </w:footnote>
  <w:footnote w:id="1842">
    <w:p w:rsidR="00FD2727" w:rsidRPr="00410588" w:rsidRDefault="00FD2727">
      <w:pPr>
        <w:pStyle w:val="FootnoteText"/>
        <w:rPr>
          <w:lang w:val="en-US"/>
        </w:rPr>
      </w:pPr>
      <w:r>
        <w:rPr>
          <w:rStyle w:val="FootnoteReference"/>
        </w:rPr>
        <w:footnoteRef/>
      </w:r>
      <w:r>
        <w:t xml:space="preserve"> Panel Report, </w:t>
      </w:r>
      <w:r w:rsidRPr="00AF3D63">
        <w:t>para. </w:t>
      </w:r>
      <w:r>
        <w:t xml:space="preserve">6.150. We also note that neither participant disputes the Panel's finding that </w:t>
      </w:r>
      <w:r w:rsidRPr="00B41454">
        <w:t>"the A350XWB LA/MSF contracts share the same core features as the LA/MSF measures considered in the original proceeding"</w:t>
      </w:r>
      <w:r>
        <w:t xml:space="preserve">. (Ibid., </w:t>
      </w:r>
      <w:r w:rsidRPr="00AF3D63">
        <w:t>para. </w:t>
      </w:r>
      <w:r>
        <w:t>6.286)</w:t>
      </w:r>
    </w:p>
  </w:footnote>
  <w:footnote w:id="1843">
    <w:p w:rsidR="00FD2727" w:rsidRPr="00410588" w:rsidRDefault="00FD2727" w:rsidP="00C752B3">
      <w:pPr>
        <w:pStyle w:val="FootnoteText"/>
        <w:rPr>
          <w:lang w:val="en-US"/>
        </w:rPr>
      </w:pPr>
      <w:r>
        <w:rPr>
          <w:rStyle w:val="FootnoteReference"/>
        </w:rPr>
        <w:footnoteRef/>
      </w:r>
      <w:r>
        <w:t xml:space="preserve"> Panel Report, </w:t>
      </w:r>
      <w:r w:rsidRPr="00AF3D63">
        <w:t>para. </w:t>
      </w:r>
      <w:r>
        <w:t>6.1717. (emphasis original)</w:t>
      </w:r>
    </w:p>
  </w:footnote>
  <w:footnote w:id="1844">
    <w:p w:rsidR="00FD2727" w:rsidRPr="00145239" w:rsidRDefault="00FD2727">
      <w:pPr>
        <w:pStyle w:val="FootnoteText"/>
        <w:rPr>
          <w:lang w:val="en-US"/>
        </w:rPr>
      </w:pPr>
      <w:r>
        <w:rPr>
          <w:rStyle w:val="FootnoteReference"/>
        </w:rPr>
        <w:footnoteRef/>
      </w:r>
      <w:r>
        <w:t xml:space="preserve"> </w:t>
      </w:r>
      <w:r w:rsidRPr="00B14338">
        <w:t xml:space="preserve">Panel </w:t>
      </w:r>
      <w:r w:rsidRPr="00145239">
        <w:t>Report, para. 6.1551.</w:t>
      </w:r>
    </w:p>
  </w:footnote>
  <w:footnote w:id="1845">
    <w:p w:rsidR="00FD2727" w:rsidRPr="00145239" w:rsidRDefault="00FD2727">
      <w:pPr>
        <w:pStyle w:val="FootnoteText"/>
        <w:rPr>
          <w:lang w:val="en-US"/>
        </w:rPr>
      </w:pPr>
      <w:r w:rsidRPr="00145239">
        <w:rPr>
          <w:rStyle w:val="FootnoteReference"/>
        </w:rPr>
        <w:footnoteRef/>
      </w:r>
      <w:r w:rsidRPr="00145239">
        <w:t xml:space="preserve"> See para. 5.608 above.</w:t>
      </w:r>
    </w:p>
  </w:footnote>
  <w:footnote w:id="1846">
    <w:p w:rsidR="00FD2727" w:rsidRPr="00145239" w:rsidRDefault="00FD2727">
      <w:pPr>
        <w:pStyle w:val="FootnoteText"/>
        <w:rPr>
          <w:lang w:val="en-US"/>
        </w:rPr>
      </w:pPr>
      <w:r w:rsidRPr="00145239">
        <w:rPr>
          <w:rStyle w:val="FootnoteReference"/>
        </w:rPr>
        <w:footnoteRef/>
      </w:r>
      <w:r w:rsidRPr="00145239">
        <w:t xml:space="preserve"> Panel Report, para. 6.1551 (referring to </w:t>
      </w:r>
      <w:r w:rsidRPr="00145239">
        <w:rPr>
          <w:szCs w:val="16"/>
        </w:rPr>
        <w:t xml:space="preserve">Aude Lagorce, "Airbus refuses to rule out state loans on the A350XWB", </w:t>
      </w:r>
      <w:r w:rsidRPr="00145239">
        <w:rPr>
          <w:i/>
          <w:szCs w:val="16"/>
        </w:rPr>
        <w:t>MarketWatch</w:t>
      </w:r>
      <w:r w:rsidRPr="00145239">
        <w:rPr>
          <w:szCs w:val="16"/>
        </w:rPr>
        <w:t xml:space="preserve">, 4 December 2006 (Panel </w:t>
      </w:r>
      <w:r w:rsidRPr="00145239">
        <w:t>Exhibit USA</w:t>
      </w:r>
      <w:r w:rsidRPr="00145239">
        <w:noBreakHyphen/>
        <w:t>359)).</w:t>
      </w:r>
    </w:p>
  </w:footnote>
  <w:footnote w:id="1847">
    <w:p w:rsidR="00FD2727" w:rsidRPr="00145239" w:rsidRDefault="00FD2727">
      <w:pPr>
        <w:pStyle w:val="FootnoteText"/>
        <w:rPr>
          <w:lang w:val="en-US"/>
        </w:rPr>
      </w:pPr>
      <w:r w:rsidRPr="00145239">
        <w:rPr>
          <w:rStyle w:val="FootnoteReference"/>
        </w:rPr>
        <w:footnoteRef/>
      </w:r>
      <w:r w:rsidRPr="00145239">
        <w:t xml:space="preserve"> Ascend database, Deliveries made, data request as of 7 April 2014 (Panel Exhibit EU-512). See also </w:t>
      </w:r>
      <w:r w:rsidRPr="00145239">
        <w:rPr>
          <w:i/>
        </w:rPr>
        <w:t>supra</w:t>
      </w:r>
      <w:r w:rsidRPr="00145239">
        <w:t xml:space="preserve"> fn 1694.</w:t>
      </w:r>
    </w:p>
  </w:footnote>
  <w:footnote w:id="1848">
    <w:p w:rsidR="00FD2727" w:rsidRPr="00410588" w:rsidRDefault="00FD2727">
      <w:pPr>
        <w:pStyle w:val="FootnoteText"/>
        <w:rPr>
          <w:lang w:val="en-US"/>
        </w:rPr>
      </w:pPr>
      <w:r w:rsidRPr="00145239">
        <w:rPr>
          <w:rStyle w:val="FootnoteReference"/>
        </w:rPr>
        <w:footnoteRef/>
      </w:r>
      <w:r w:rsidRPr="00145239">
        <w:t xml:space="preserve"> Panel Report, para</w:t>
      </w:r>
      <w:r w:rsidRPr="00AF3D63">
        <w:t>. </w:t>
      </w:r>
      <w:r>
        <w:t>6.1543.</w:t>
      </w:r>
    </w:p>
  </w:footnote>
  <w:footnote w:id="1849">
    <w:p w:rsidR="00FD2727" w:rsidRPr="00410588" w:rsidRDefault="00FD2727">
      <w:pPr>
        <w:pStyle w:val="FootnoteText"/>
        <w:rPr>
          <w:lang w:val="en-US"/>
        </w:rPr>
      </w:pPr>
      <w:r>
        <w:rPr>
          <w:rStyle w:val="FootnoteReference"/>
        </w:rPr>
        <w:footnoteRef/>
      </w:r>
      <w:r>
        <w:t xml:space="preserve"> Panel Report, </w:t>
      </w:r>
      <w:r w:rsidRPr="00AF3D63">
        <w:t>para. </w:t>
      </w:r>
      <w:r>
        <w:t>6.1544. We also note the Panel's finding that sales of the A330 and A340 were suffering "significant setbacks" at this time due to competition from Boeing. (Ibid.) The European Union explained to the Panel that Boeing's launch of the 787 in 2004 caused the market share of the A330 to drop at a time when A340 sales were already falling because the aircraft could not effectively compete with the more fuel-efficient 777.</w:t>
      </w:r>
      <w:r w:rsidRPr="001D50E4">
        <w:t xml:space="preserve"> </w:t>
      </w:r>
      <w:r>
        <w:t xml:space="preserve">(Ibid. (referring to European Union's first written submission to the Panel, </w:t>
      </w:r>
      <w:r w:rsidRPr="00AF3D63">
        <w:t>para. </w:t>
      </w:r>
      <w:r>
        <w:t>1108)) The Panel found that such developments had "significant implications" for Airbus' overall sales performance.</w:t>
      </w:r>
      <w:r w:rsidRPr="001D50E4">
        <w:t xml:space="preserve"> </w:t>
      </w:r>
      <w:r>
        <w:t>(Ibid. (referring to</w:t>
      </w:r>
      <w:r>
        <w:rPr>
          <w:szCs w:val="16"/>
        </w:rPr>
        <w:t xml:space="preserve"> "Time for a new, improved model: Airbus gets to work on its medium-sized aircraft, but deeper problems remain", </w:t>
      </w:r>
      <w:r>
        <w:rPr>
          <w:i/>
          <w:szCs w:val="16"/>
        </w:rPr>
        <w:t>The Economist</w:t>
      </w:r>
      <w:r>
        <w:rPr>
          <w:szCs w:val="16"/>
        </w:rPr>
        <w:t xml:space="preserve">, 20 July 2006 (Panel </w:t>
      </w:r>
      <w:r>
        <w:t>Exhibit USA</w:t>
      </w:r>
      <w:r>
        <w:noBreakHyphen/>
        <w:t>28)))</w:t>
      </w:r>
    </w:p>
  </w:footnote>
  <w:footnote w:id="1850">
    <w:p w:rsidR="00FD2727" w:rsidRPr="00410588" w:rsidRDefault="00FD2727">
      <w:pPr>
        <w:pStyle w:val="FootnoteText"/>
        <w:rPr>
          <w:lang w:val="en-US"/>
        </w:rPr>
      </w:pPr>
      <w:r>
        <w:rPr>
          <w:rStyle w:val="FootnoteReference"/>
        </w:rPr>
        <w:footnoteRef/>
      </w:r>
      <w:r>
        <w:t xml:space="preserve"> Panel Report, </w:t>
      </w:r>
      <w:r w:rsidRPr="00AF3D63">
        <w:t>para. </w:t>
      </w:r>
      <w:r>
        <w:t>6.1545.</w:t>
      </w:r>
    </w:p>
  </w:footnote>
  <w:footnote w:id="1851">
    <w:p w:rsidR="00FD2727" w:rsidRPr="006D144D" w:rsidRDefault="00FD2727">
      <w:pPr>
        <w:pStyle w:val="FootnoteText"/>
        <w:rPr>
          <w:lang w:val="en-US"/>
        </w:rPr>
      </w:pPr>
      <w:r>
        <w:rPr>
          <w:rStyle w:val="FootnoteReference"/>
        </w:rPr>
        <w:footnoteRef/>
      </w:r>
      <w:r>
        <w:t xml:space="preserve"> </w:t>
      </w:r>
      <w:r>
        <w:rPr>
          <w:lang w:val="en-US"/>
        </w:rPr>
        <w:t>Panel Report, para. 6.1507 (referring to A350XWB Chief Engineering Statement (Panel Exhibit EU</w:t>
      </w:r>
      <w:r>
        <w:rPr>
          <w:lang w:val="en-US"/>
        </w:rPr>
        <w:noBreakHyphen/>
        <w:t>18 (BCI/HSBI)), paras. 14-15 and 43).</w:t>
      </w:r>
    </w:p>
  </w:footnote>
  <w:footnote w:id="1852">
    <w:p w:rsidR="00FD2727" w:rsidRPr="00410588" w:rsidRDefault="00FD2727">
      <w:pPr>
        <w:pStyle w:val="FootnoteText"/>
        <w:rPr>
          <w:lang w:val="en-US"/>
        </w:rPr>
      </w:pPr>
      <w:r>
        <w:rPr>
          <w:rStyle w:val="FootnoteReference"/>
        </w:rPr>
        <w:footnoteRef/>
      </w:r>
      <w:r>
        <w:t xml:space="preserve"> Panel Report, </w:t>
      </w:r>
      <w:r w:rsidRPr="00AF3D63">
        <w:t>para. </w:t>
      </w:r>
      <w:r>
        <w:t xml:space="preserve">6.1546 (quoting Goldman Sachs Investment Analysis, A350: Not an option but essential for Airbus' future, in our view, 21 November 2006 (Panel exhibit USA-30), pp. 20-22; </w:t>
      </w:r>
      <w:r>
        <w:rPr>
          <w:szCs w:val="16"/>
        </w:rPr>
        <w:t xml:space="preserve">G. Norris, "Airline criticism of Airbus A350 forces airframer to make radical changes to fuselage, wing and engines", </w:t>
      </w:r>
      <w:r>
        <w:rPr>
          <w:i/>
          <w:szCs w:val="16"/>
        </w:rPr>
        <w:t>Flight International</w:t>
      </w:r>
      <w:r>
        <w:rPr>
          <w:szCs w:val="16"/>
        </w:rPr>
        <w:t>, 8 May 2006</w:t>
      </w:r>
      <w:r>
        <w:t xml:space="preserve"> (Panel Exhibit USA</w:t>
      </w:r>
      <w:r>
        <w:noBreakHyphen/>
        <w:t>26)).</w:t>
      </w:r>
    </w:p>
  </w:footnote>
  <w:footnote w:id="1853">
    <w:p w:rsidR="00FD2727" w:rsidRPr="00410588" w:rsidRDefault="00FD2727">
      <w:pPr>
        <w:pStyle w:val="FootnoteText"/>
        <w:rPr>
          <w:lang w:val="en-US"/>
        </w:rPr>
      </w:pPr>
      <w:r>
        <w:rPr>
          <w:rStyle w:val="FootnoteReference"/>
        </w:rPr>
        <w:footnoteRef/>
      </w:r>
      <w:r>
        <w:t xml:space="preserve"> </w:t>
      </w:r>
      <w:r w:rsidRPr="00420CED">
        <w:t xml:space="preserve">Panel Report, </w:t>
      </w:r>
      <w:r w:rsidRPr="00AF3D63">
        <w:t>para. </w:t>
      </w:r>
      <w:r w:rsidRPr="00420CED">
        <w:t>6.1568.</w:t>
      </w:r>
    </w:p>
  </w:footnote>
  <w:footnote w:id="1854">
    <w:p w:rsidR="00FD2727" w:rsidRPr="00410588" w:rsidRDefault="00FD2727">
      <w:pPr>
        <w:pStyle w:val="FootnoteText"/>
        <w:rPr>
          <w:lang w:val="en-US"/>
        </w:rPr>
      </w:pPr>
      <w:r>
        <w:rPr>
          <w:rStyle w:val="FootnoteReference"/>
        </w:rPr>
        <w:footnoteRef/>
      </w:r>
      <w:r>
        <w:t xml:space="preserve"> Panel Report, </w:t>
      </w:r>
      <w:r w:rsidRPr="00AF3D63">
        <w:t>para. </w:t>
      </w:r>
      <w:r>
        <w:t>6.1779.</w:t>
      </w:r>
    </w:p>
  </w:footnote>
  <w:footnote w:id="1855">
    <w:p w:rsidR="00FD2727" w:rsidRPr="00410588" w:rsidRDefault="00FD2727">
      <w:pPr>
        <w:pStyle w:val="FootnoteText"/>
        <w:rPr>
          <w:lang w:val="en-US"/>
        </w:rPr>
      </w:pPr>
      <w:r>
        <w:rPr>
          <w:rStyle w:val="FootnoteReference"/>
        </w:rPr>
        <w:footnoteRef/>
      </w:r>
      <w:r>
        <w:t xml:space="preserve"> Panel Report, </w:t>
      </w:r>
      <w:r w:rsidRPr="00AF3D63">
        <w:t>para. </w:t>
      </w:r>
      <w:r>
        <w:t xml:space="preserve">6.1798. As further described below, Table 19 of the Panel Report lists orders for Airbus' A320, A380, and A350XWB families of LCA in 2012 and 2013, which were 150 and 225, respectively. (Ibid., </w:t>
      </w:r>
      <w:r w:rsidRPr="00AF3D63">
        <w:t>para. </w:t>
      </w:r>
      <w:r>
        <w:t xml:space="preserve">6.1781, Table 19: </w:t>
      </w:r>
      <w:r w:rsidRPr="00E52D11">
        <w:t>United States' "Lost Sales" Claims in the Post-Implementation Period</w:t>
      </w:r>
      <w:r>
        <w:t>)</w:t>
      </w:r>
    </w:p>
  </w:footnote>
  <w:footnote w:id="1856">
    <w:p w:rsidR="00FD2727" w:rsidRPr="00410588" w:rsidRDefault="00FD2727">
      <w:pPr>
        <w:pStyle w:val="FootnoteText"/>
        <w:rPr>
          <w:lang w:val="en-US"/>
        </w:rPr>
      </w:pPr>
      <w:r>
        <w:rPr>
          <w:rStyle w:val="FootnoteReference"/>
        </w:rPr>
        <w:footnoteRef/>
      </w:r>
      <w:r>
        <w:t xml:space="preserve"> Panel Report, </w:t>
      </w:r>
      <w:r w:rsidRPr="00AF3D63">
        <w:t>para. </w:t>
      </w:r>
      <w:r>
        <w:t>6.1817.</w:t>
      </w:r>
    </w:p>
  </w:footnote>
  <w:footnote w:id="1857">
    <w:p w:rsidR="00FD2727" w:rsidRPr="00410588" w:rsidRDefault="00FD2727">
      <w:pPr>
        <w:pStyle w:val="FootnoteText"/>
        <w:rPr>
          <w:lang w:val="en-US"/>
        </w:rPr>
      </w:pPr>
      <w:r>
        <w:rPr>
          <w:rStyle w:val="FootnoteReference"/>
        </w:rPr>
        <w:footnoteRef/>
      </w:r>
      <w:r>
        <w:t xml:space="preserve"> European Union's appellant's submission, </w:t>
      </w:r>
      <w:r w:rsidRPr="00AF3D63">
        <w:t>paras. </w:t>
      </w:r>
      <w:r>
        <w:t>914-916.</w:t>
      </w:r>
    </w:p>
  </w:footnote>
  <w:footnote w:id="1858">
    <w:p w:rsidR="00FD2727" w:rsidRPr="00410588" w:rsidRDefault="00FD2727">
      <w:pPr>
        <w:pStyle w:val="FootnoteText"/>
        <w:rPr>
          <w:lang w:val="en-US"/>
        </w:rPr>
      </w:pPr>
      <w:r>
        <w:rPr>
          <w:rStyle w:val="FootnoteReference"/>
        </w:rPr>
        <w:footnoteRef/>
      </w:r>
      <w:r>
        <w:t xml:space="preserve"> European Union's appellant's submission, </w:t>
      </w:r>
      <w:r w:rsidRPr="00AF3D63">
        <w:t>para. </w:t>
      </w:r>
      <w:r>
        <w:t>977.</w:t>
      </w:r>
    </w:p>
  </w:footnote>
  <w:footnote w:id="1859">
    <w:p w:rsidR="00FD2727" w:rsidRPr="00410588" w:rsidRDefault="00FD2727">
      <w:pPr>
        <w:pStyle w:val="FootnoteText"/>
        <w:rPr>
          <w:lang w:val="en-US"/>
        </w:rPr>
      </w:pPr>
      <w:r w:rsidRPr="00CA3DA7">
        <w:rPr>
          <w:rStyle w:val="FootnoteReference"/>
        </w:rPr>
        <w:footnoteRef/>
      </w:r>
      <w:r w:rsidRPr="00CA3DA7">
        <w:t xml:space="preserve"> European Union's appellant's submission, para</w:t>
      </w:r>
      <w:r>
        <w:t>s</w:t>
      </w:r>
      <w:r w:rsidRPr="00CA3DA7">
        <w:t>. 968</w:t>
      </w:r>
      <w:r>
        <w:t>,</w:t>
      </w:r>
      <w:r w:rsidRPr="00CA3DA7">
        <w:t xml:space="preserve"> 1024</w:t>
      </w:r>
      <w:r>
        <w:t>, and 1026</w:t>
      </w:r>
      <w:r w:rsidRPr="00CA3DA7">
        <w:t>.</w:t>
      </w:r>
    </w:p>
  </w:footnote>
  <w:footnote w:id="1860">
    <w:p w:rsidR="00FD2727" w:rsidRPr="00410588" w:rsidRDefault="00FD2727" w:rsidP="001C6A42">
      <w:pPr>
        <w:pStyle w:val="FootnoteText"/>
        <w:keepNext/>
        <w:keepLines/>
        <w:rPr>
          <w:lang w:val="en-US"/>
        </w:rPr>
      </w:pPr>
      <w:r>
        <w:rPr>
          <w:rStyle w:val="FootnoteReference"/>
        </w:rPr>
        <w:footnoteRef/>
      </w:r>
      <w:r>
        <w:t xml:space="preserve"> Appellate Body Report, </w:t>
      </w:r>
      <w:r>
        <w:rPr>
          <w:i/>
        </w:rPr>
        <w:t xml:space="preserve">EC and certain member States – </w:t>
      </w:r>
      <w:r w:rsidRPr="006D144D">
        <w:rPr>
          <w:i/>
        </w:rPr>
        <w:t>Large Civil Aircraft</w:t>
      </w:r>
      <w:r>
        <w:t xml:space="preserve">, para. 1109. </w:t>
      </w:r>
      <w:r w:rsidRPr="00533E55">
        <w:t>See</w:t>
      </w:r>
      <w:r w:rsidRPr="00AF3D63">
        <w:t> </w:t>
      </w:r>
      <w:r>
        <w:t>also Appellate Body</w:t>
      </w:r>
      <w:r w:rsidRPr="00E46376">
        <w:t xml:space="preserve"> Report</w:t>
      </w:r>
      <w:r>
        <w:t>s</w:t>
      </w:r>
      <w:r w:rsidRPr="00E46376">
        <w:t xml:space="preserve">, </w:t>
      </w:r>
      <w:r w:rsidRPr="00E46376">
        <w:rPr>
          <w:i/>
        </w:rPr>
        <w:t>US – Upland Cotton</w:t>
      </w:r>
      <w:r>
        <w:t xml:space="preserve">, </w:t>
      </w:r>
      <w:r w:rsidRPr="00AF3D63">
        <w:t>para. </w:t>
      </w:r>
      <w:r>
        <w:t>431;</w:t>
      </w:r>
      <w:r w:rsidRPr="00E46376">
        <w:t xml:space="preserve"> </w:t>
      </w:r>
      <w:r w:rsidRPr="00E46376">
        <w:rPr>
          <w:i/>
        </w:rPr>
        <w:t>US – Upland Cotton (</w:t>
      </w:r>
      <w:r>
        <w:rPr>
          <w:i/>
        </w:rPr>
        <w:t>Article </w:t>
      </w:r>
      <w:r w:rsidRPr="00E46376">
        <w:rPr>
          <w:i/>
        </w:rPr>
        <w:t>21.5 – Brazil)</w:t>
      </w:r>
      <w:r w:rsidRPr="00E46376">
        <w:t xml:space="preserve">, </w:t>
      </w:r>
      <w:r w:rsidRPr="00AF3D63">
        <w:t>para. </w:t>
      </w:r>
      <w:r w:rsidRPr="007629B5">
        <w:t>354</w:t>
      </w:r>
      <w:r w:rsidRPr="00E46376">
        <w:t>.</w:t>
      </w:r>
      <w:r w:rsidRPr="00C81A68">
        <w:t xml:space="preserve"> </w:t>
      </w:r>
      <w:r>
        <w:t>In</w:t>
      </w:r>
      <w:r w:rsidRPr="006F4836">
        <w:t xml:space="preserve"> contr</w:t>
      </w:r>
      <w:r>
        <w:t>ast, under a two</w:t>
      </w:r>
      <w:r>
        <w:noBreakHyphen/>
      </w:r>
      <w:r w:rsidRPr="006F4836">
        <w:t>step approach, the analysis first seeks to identify th</w:t>
      </w:r>
      <w:r>
        <w:t>e market phenomena and then, as </w:t>
      </w:r>
      <w:r w:rsidRPr="006F4836">
        <w:t>a second step, examines whether there is a causal relationship.</w:t>
      </w:r>
      <w:r>
        <w:t xml:space="preserve"> (Appellate Body Report, </w:t>
      </w:r>
      <w:r w:rsidRPr="001B651A">
        <w:rPr>
          <w:i/>
        </w:rPr>
        <w:t>EC and certain member States – Large Civil Aircraft</w:t>
      </w:r>
      <w:r>
        <w:t xml:space="preserve">, </w:t>
      </w:r>
      <w:r w:rsidRPr="00AF3D63">
        <w:t>para. </w:t>
      </w:r>
      <w:r>
        <w:t>1107)</w:t>
      </w:r>
    </w:p>
  </w:footnote>
  <w:footnote w:id="1861">
    <w:p w:rsidR="00FD2727" w:rsidRPr="00410588" w:rsidRDefault="00FD2727">
      <w:pPr>
        <w:pStyle w:val="FootnoteText"/>
        <w:rPr>
          <w:lang w:val="en-US"/>
        </w:rPr>
      </w:pPr>
      <w:r>
        <w:rPr>
          <w:rStyle w:val="FootnoteReference"/>
        </w:rPr>
        <w:footnoteRef/>
      </w:r>
      <w:r>
        <w:t xml:space="preserve"> Appellate Body</w:t>
      </w:r>
      <w:r w:rsidRPr="005A305E">
        <w:t xml:space="preserve"> Report, </w:t>
      </w:r>
      <w:r w:rsidRPr="005A305E">
        <w:rPr>
          <w:i/>
          <w:iCs/>
          <w:kern w:val="28"/>
        </w:rPr>
        <w:t>EC and certain member States – Large Civil Aircraft</w:t>
      </w:r>
      <w:r w:rsidRPr="005A305E">
        <w:rPr>
          <w:iCs/>
          <w:kern w:val="28"/>
        </w:rPr>
        <w:t>,</w:t>
      </w:r>
      <w:r>
        <w:rPr>
          <w:iCs/>
          <w:kern w:val="28"/>
        </w:rPr>
        <w:t xml:space="preserve"> </w:t>
      </w:r>
      <w:r w:rsidRPr="00AF3D63">
        <w:rPr>
          <w:iCs/>
          <w:kern w:val="28"/>
        </w:rPr>
        <w:t>para. </w:t>
      </w:r>
      <w:r>
        <w:rPr>
          <w:iCs/>
          <w:kern w:val="28"/>
        </w:rPr>
        <w:t>1109.</w:t>
      </w:r>
    </w:p>
  </w:footnote>
  <w:footnote w:id="1862">
    <w:p w:rsidR="00FD2727" w:rsidRPr="00410588" w:rsidRDefault="00FD2727">
      <w:pPr>
        <w:pStyle w:val="FootnoteText"/>
        <w:rPr>
          <w:lang w:val="en-US"/>
        </w:rPr>
      </w:pPr>
      <w:r>
        <w:rPr>
          <w:rStyle w:val="FootnoteReference"/>
        </w:rPr>
        <w:footnoteRef/>
      </w:r>
      <w:r>
        <w:t xml:space="preserve"> Panel Report, </w:t>
      </w:r>
      <w:r w:rsidRPr="00AF3D63">
        <w:t>para. </w:t>
      </w:r>
      <w:r>
        <w:t>6.1453.</w:t>
      </w:r>
    </w:p>
  </w:footnote>
  <w:footnote w:id="1863">
    <w:p w:rsidR="00FD2727" w:rsidRPr="00410588" w:rsidRDefault="00FD2727">
      <w:pPr>
        <w:pStyle w:val="FootnoteText"/>
        <w:rPr>
          <w:lang w:val="en-US"/>
        </w:rPr>
      </w:pPr>
      <w:r>
        <w:rPr>
          <w:rStyle w:val="FootnoteReference"/>
        </w:rPr>
        <w:footnoteRef/>
      </w:r>
      <w:r>
        <w:t xml:space="preserve"> Panel Report, </w:t>
      </w:r>
      <w:r w:rsidRPr="00AF3D63">
        <w:t>paras. </w:t>
      </w:r>
      <w:r>
        <w:t>6.1534 and 6.1778.</w:t>
      </w:r>
    </w:p>
  </w:footnote>
  <w:footnote w:id="1864">
    <w:p w:rsidR="00FD2727" w:rsidRPr="00410588" w:rsidRDefault="00FD2727">
      <w:pPr>
        <w:pStyle w:val="FootnoteText"/>
        <w:rPr>
          <w:lang w:val="en-US"/>
        </w:rPr>
      </w:pPr>
      <w:r>
        <w:rPr>
          <w:rStyle w:val="FootnoteReference"/>
        </w:rPr>
        <w:footnoteRef/>
      </w:r>
      <w:r>
        <w:t xml:space="preserve"> Panel Report, </w:t>
      </w:r>
      <w:r w:rsidRPr="00AF3D63">
        <w:t>paras. </w:t>
      </w:r>
      <w:r>
        <w:t>6.1779-6.1818.</w:t>
      </w:r>
    </w:p>
  </w:footnote>
  <w:footnote w:id="1865">
    <w:p w:rsidR="00FD2727" w:rsidRPr="00410588" w:rsidRDefault="00FD2727" w:rsidP="00C752B3">
      <w:pPr>
        <w:pStyle w:val="FootnoteText"/>
        <w:rPr>
          <w:lang w:val="en-US"/>
        </w:rPr>
      </w:pPr>
      <w:r>
        <w:rPr>
          <w:rStyle w:val="FootnoteReference"/>
        </w:rPr>
        <w:footnoteRef/>
      </w:r>
      <w:r>
        <w:t xml:space="preserve"> European Union's appellant's submission, fn 1041 to</w:t>
      </w:r>
      <w:r w:rsidRPr="00EB7E90">
        <w:t xml:space="preserve"> </w:t>
      </w:r>
      <w:r w:rsidRPr="00AF3D63">
        <w:t>para. </w:t>
      </w:r>
      <w:r>
        <w:t>968.</w:t>
      </w:r>
    </w:p>
  </w:footnote>
  <w:footnote w:id="1866">
    <w:p w:rsidR="00FD2727" w:rsidRPr="00410588" w:rsidRDefault="00FD2727">
      <w:pPr>
        <w:pStyle w:val="FootnoteText"/>
        <w:rPr>
          <w:lang w:val="en-US"/>
        </w:rPr>
      </w:pPr>
      <w:r>
        <w:rPr>
          <w:rStyle w:val="FootnoteReference"/>
        </w:rPr>
        <w:footnoteRef/>
      </w:r>
      <w:r>
        <w:t xml:space="preserve"> United States' appellee's submission, </w:t>
      </w:r>
      <w:r w:rsidRPr="00AF3D63">
        <w:t>para. </w:t>
      </w:r>
      <w:r>
        <w:t>573.</w:t>
      </w:r>
    </w:p>
  </w:footnote>
  <w:footnote w:id="1867">
    <w:p w:rsidR="00FD2727" w:rsidRPr="00410588" w:rsidRDefault="00FD2727">
      <w:pPr>
        <w:pStyle w:val="FootnoteText"/>
        <w:rPr>
          <w:lang w:val="en-US"/>
        </w:rPr>
      </w:pPr>
      <w:r>
        <w:rPr>
          <w:rStyle w:val="FootnoteReference"/>
        </w:rPr>
        <w:footnoteRef/>
      </w:r>
      <w:r>
        <w:t xml:space="preserve"> Panel Report, </w:t>
      </w:r>
      <w:r w:rsidRPr="00AF3D63">
        <w:t>para. </w:t>
      </w:r>
      <w:r>
        <w:t>6.1779. (emphasis original)</w:t>
      </w:r>
    </w:p>
  </w:footnote>
  <w:footnote w:id="1868">
    <w:p w:rsidR="00FD2727" w:rsidRPr="00410588" w:rsidRDefault="00FD2727">
      <w:pPr>
        <w:pStyle w:val="FootnoteText"/>
        <w:rPr>
          <w:lang w:val="en-US"/>
        </w:rPr>
      </w:pPr>
      <w:r>
        <w:rPr>
          <w:rStyle w:val="FootnoteReference"/>
        </w:rPr>
        <w:footnoteRef/>
      </w:r>
      <w:r>
        <w:t xml:space="preserve"> Panel Report, </w:t>
      </w:r>
      <w:r w:rsidRPr="00AF3D63">
        <w:t>para. </w:t>
      </w:r>
      <w:r>
        <w:t>6.1779.</w:t>
      </w:r>
    </w:p>
  </w:footnote>
  <w:footnote w:id="1869">
    <w:p w:rsidR="00FD2727" w:rsidRPr="00410588" w:rsidRDefault="00FD2727">
      <w:pPr>
        <w:pStyle w:val="FootnoteText"/>
        <w:rPr>
          <w:lang w:val="en-US"/>
        </w:rPr>
      </w:pPr>
      <w:r>
        <w:rPr>
          <w:rStyle w:val="FootnoteReference"/>
        </w:rPr>
        <w:footnoteRef/>
      </w:r>
      <w:r>
        <w:t xml:space="preserve"> Panel Report, </w:t>
      </w:r>
      <w:r w:rsidRPr="00AF3D63">
        <w:t>para. </w:t>
      </w:r>
      <w:r>
        <w:t xml:space="preserve">6.1781 (referring to United States' first written submission to the Panel, </w:t>
      </w:r>
      <w:r w:rsidRPr="00AF3D63">
        <w:t>para. </w:t>
      </w:r>
      <w:r>
        <w:t xml:space="preserve">413; second written submission to the Panel, </w:t>
      </w:r>
      <w:r w:rsidRPr="00AF3D63">
        <w:t>paras. </w:t>
      </w:r>
      <w:r>
        <w:t xml:space="preserve">699-709; response to Panel questions No. 67 and No. 162; </w:t>
      </w:r>
      <w:r>
        <w:rPr>
          <w:szCs w:val="16"/>
        </w:rPr>
        <w:t>Summary Table of US Significant Lost Sales</w:t>
      </w:r>
      <w:r>
        <w:t xml:space="preserve"> (Panel Exhibit USA</w:t>
      </w:r>
      <w:r>
        <w:noBreakHyphen/>
        <w:t xml:space="preserve">164); </w:t>
      </w:r>
      <w:r>
        <w:rPr>
          <w:szCs w:val="16"/>
        </w:rPr>
        <w:t xml:space="preserve">Ascend database, Boeing and Airbus Deliveries in Units 2001-2013 (Q1), Commercial Operators, data request as of 27 April 2013 (Panel Exhibit </w:t>
      </w:r>
      <w:r>
        <w:t>USA</w:t>
      </w:r>
      <w:r>
        <w:noBreakHyphen/>
        <w:t>546)). (emphasis original) Recalling its discussion regarding the reference period for its adverse effects analysis, the Panel explained that it would</w:t>
      </w:r>
      <w:r w:rsidRPr="00583D7A">
        <w:t xml:space="preserve"> "examine only claims of 'lost sales' occurring in the </w:t>
      </w:r>
      <w:r>
        <w:t>post</w:t>
      </w:r>
      <w:r>
        <w:noBreakHyphen/>
      </w:r>
      <w:r w:rsidRPr="00583D7A">
        <w:t xml:space="preserve">implementation period". </w:t>
      </w:r>
      <w:r>
        <w:rPr>
          <w:lang w:val="en-US"/>
        </w:rPr>
        <w:t>(Ibid., fn 3258 thereto (referring to para. 6.1444 of its Report). See also fns 3260 and 3261 to Table 19 of the Panel Report)</w:t>
      </w:r>
    </w:p>
  </w:footnote>
  <w:footnote w:id="1870">
    <w:p w:rsidR="00FD2727" w:rsidRPr="00410588" w:rsidRDefault="00FD2727">
      <w:pPr>
        <w:pStyle w:val="FootnoteText"/>
        <w:rPr>
          <w:lang w:val="en-US"/>
        </w:rPr>
      </w:pPr>
      <w:r>
        <w:rPr>
          <w:rStyle w:val="FootnoteReference"/>
        </w:rPr>
        <w:footnoteRef/>
      </w:r>
      <w:r>
        <w:t xml:space="preserve"> Panel Report, </w:t>
      </w:r>
      <w:r w:rsidRPr="00AF3D63">
        <w:t>para. </w:t>
      </w:r>
      <w:r>
        <w:t xml:space="preserve">6.1781 (referring to United States' first written submission to the Panel, </w:t>
      </w:r>
      <w:r w:rsidRPr="00AF3D63">
        <w:t>paras. </w:t>
      </w:r>
      <w:r>
        <w:t xml:space="preserve">413-414; second written submission to the Panel, </w:t>
      </w:r>
      <w:r w:rsidRPr="00AF3D63">
        <w:t>paras. </w:t>
      </w:r>
      <w:r>
        <w:t>699</w:t>
      </w:r>
      <w:r>
        <w:noBreakHyphen/>
        <w:t>709).</w:t>
      </w:r>
    </w:p>
  </w:footnote>
  <w:footnote w:id="1871">
    <w:p w:rsidR="00FD2727" w:rsidRPr="00CD2B96" w:rsidRDefault="00FD2727" w:rsidP="00C752B3">
      <w:pPr>
        <w:pStyle w:val="FootnoteText"/>
      </w:pPr>
      <w:r>
        <w:rPr>
          <w:rStyle w:val="FootnoteReference"/>
        </w:rPr>
        <w:footnoteRef/>
      </w:r>
      <w:r>
        <w:t xml:space="preserve"> Panel Report, para. 6.1781, Table 19: United States' "Lost Sales" Claims in the Post-Implementation Period.</w:t>
      </w:r>
    </w:p>
  </w:footnote>
  <w:footnote w:id="1872">
    <w:p w:rsidR="00FD2727" w:rsidRPr="00CD2B96" w:rsidRDefault="00FD2727">
      <w:pPr>
        <w:pStyle w:val="FootnoteText"/>
        <w:rPr>
          <w:lang w:val="en-US"/>
        </w:rPr>
      </w:pPr>
      <w:r>
        <w:rPr>
          <w:rStyle w:val="FootnoteReference"/>
        </w:rPr>
        <w:footnoteRef/>
      </w:r>
      <w:r>
        <w:t xml:space="preserve"> Panel Report, para. 6.1780 (quoting Appellate Body Reports, </w:t>
      </w:r>
      <w:r>
        <w:rPr>
          <w:i/>
          <w:iCs/>
        </w:rPr>
        <w:t>US – Large Civil Aircraft</w:t>
      </w:r>
      <w:r>
        <w:t xml:space="preserve"> </w:t>
      </w:r>
      <w:r w:rsidRPr="00721240">
        <w:rPr>
          <w:i/>
        </w:rPr>
        <w:t>(2</w:t>
      </w:r>
      <w:r w:rsidRPr="00721240">
        <w:rPr>
          <w:i/>
          <w:vertAlign w:val="superscript"/>
        </w:rPr>
        <w:t>nd</w:t>
      </w:r>
      <w:r>
        <w:rPr>
          <w:i/>
        </w:rPr>
        <w:t> </w:t>
      </w:r>
      <w:r w:rsidRPr="00721240">
        <w:rPr>
          <w:i/>
        </w:rPr>
        <w:t>complaint)</w:t>
      </w:r>
      <w:r>
        <w:t xml:space="preserve">, para. 1052; </w:t>
      </w:r>
      <w:r>
        <w:rPr>
          <w:i/>
          <w:iCs/>
        </w:rPr>
        <w:t>EC and certain member States – Large Civil Aircraft</w:t>
      </w:r>
      <w:r>
        <w:t>, para. 1220).</w:t>
      </w:r>
    </w:p>
  </w:footnote>
  <w:footnote w:id="1873">
    <w:p w:rsidR="00FD2727" w:rsidRPr="00410588" w:rsidRDefault="00FD2727" w:rsidP="00C752B3">
      <w:pPr>
        <w:pStyle w:val="FootnoteText"/>
        <w:keepNext/>
        <w:keepLines/>
        <w:rPr>
          <w:lang w:val="en-US"/>
        </w:rPr>
      </w:pPr>
      <w:r>
        <w:rPr>
          <w:rStyle w:val="FootnoteReference"/>
        </w:rPr>
        <w:footnoteRef/>
      </w:r>
      <w:r>
        <w:t xml:space="preserve"> Panel Report, </w:t>
      </w:r>
      <w:r w:rsidRPr="00AF3D63">
        <w:t>para. </w:t>
      </w:r>
      <w:r>
        <w:t>6.1784. (emphasis original)</w:t>
      </w:r>
    </w:p>
  </w:footnote>
  <w:footnote w:id="1874">
    <w:p w:rsidR="00FD2727" w:rsidRPr="00410588" w:rsidRDefault="00FD2727" w:rsidP="00C752B3">
      <w:pPr>
        <w:pStyle w:val="FootnoteText"/>
        <w:keepNext/>
        <w:keepLines/>
        <w:rPr>
          <w:lang w:val="en-US"/>
        </w:rPr>
      </w:pPr>
      <w:r>
        <w:rPr>
          <w:rStyle w:val="FootnoteReference"/>
        </w:rPr>
        <w:footnoteRef/>
      </w:r>
      <w:r>
        <w:t xml:space="preserve"> We recall that, according to the original panel, in the "plausible" counterfactual scenarios, the LCA industry would have been characterized by the existence of either a Boeing monopoly, or a duopoly involving Boeing and another US LCA producer. (Original Panel Report, </w:t>
      </w:r>
      <w:r w:rsidRPr="00AF3D63">
        <w:t>para. </w:t>
      </w:r>
      <w:r>
        <w:t xml:space="preserve">7.1984. See also Panel Report, </w:t>
      </w:r>
      <w:r w:rsidRPr="00AF3D63">
        <w:t>para. </w:t>
      </w:r>
      <w:r>
        <w:t>6.1466.)</w:t>
      </w:r>
    </w:p>
  </w:footnote>
  <w:footnote w:id="1875">
    <w:p w:rsidR="00FD2727" w:rsidRPr="00410588" w:rsidRDefault="00FD2727">
      <w:pPr>
        <w:pStyle w:val="FootnoteText"/>
        <w:rPr>
          <w:lang w:val="en-US"/>
        </w:rPr>
      </w:pPr>
      <w:r>
        <w:rPr>
          <w:rStyle w:val="FootnoteReference"/>
        </w:rPr>
        <w:footnoteRef/>
      </w:r>
      <w:r>
        <w:t xml:space="preserve"> Panel Report, </w:t>
      </w:r>
      <w:r w:rsidRPr="00AF3D63">
        <w:t>para. </w:t>
      </w:r>
      <w:r>
        <w:t>6.1787.</w:t>
      </w:r>
    </w:p>
  </w:footnote>
  <w:footnote w:id="1876">
    <w:p w:rsidR="00FD2727" w:rsidRPr="00410588" w:rsidRDefault="00FD2727">
      <w:pPr>
        <w:pStyle w:val="FootnoteText"/>
        <w:rPr>
          <w:lang w:val="en-US"/>
        </w:rPr>
      </w:pPr>
      <w:r>
        <w:rPr>
          <w:rStyle w:val="FootnoteReference"/>
        </w:rPr>
        <w:footnoteRef/>
      </w:r>
      <w:r>
        <w:t xml:space="preserve"> Panel Report, </w:t>
      </w:r>
      <w:r w:rsidRPr="00AF3D63">
        <w:t>para. </w:t>
      </w:r>
      <w:r>
        <w:t>6.1788.</w:t>
      </w:r>
    </w:p>
  </w:footnote>
  <w:footnote w:id="1877">
    <w:p w:rsidR="00FD2727" w:rsidRPr="00410588" w:rsidRDefault="00FD2727">
      <w:pPr>
        <w:pStyle w:val="FootnoteText"/>
        <w:rPr>
          <w:lang w:val="en-US"/>
        </w:rPr>
      </w:pPr>
      <w:r>
        <w:rPr>
          <w:rStyle w:val="FootnoteReference"/>
        </w:rPr>
        <w:footnoteRef/>
      </w:r>
      <w:r>
        <w:t xml:space="preserve"> Panel Report, </w:t>
      </w:r>
      <w:r w:rsidRPr="00AF3D63">
        <w:t>para. </w:t>
      </w:r>
      <w:r>
        <w:t>6.1789.</w:t>
      </w:r>
    </w:p>
  </w:footnote>
  <w:footnote w:id="1878">
    <w:p w:rsidR="00FD2727" w:rsidRPr="00410588" w:rsidRDefault="00FD2727">
      <w:pPr>
        <w:pStyle w:val="FootnoteText"/>
        <w:rPr>
          <w:lang w:val="en-US"/>
        </w:rPr>
      </w:pPr>
      <w:r>
        <w:rPr>
          <w:rStyle w:val="FootnoteReference"/>
        </w:rPr>
        <w:footnoteRef/>
      </w:r>
      <w:r>
        <w:t xml:space="preserve"> Panel Report, </w:t>
      </w:r>
      <w:r w:rsidRPr="00AF3D63">
        <w:t>para. </w:t>
      </w:r>
      <w:r>
        <w:t>6.1789.</w:t>
      </w:r>
    </w:p>
  </w:footnote>
  <w:footnote w:id="1879">
    <w:p w:rsidR="00FD2727" w:rsidRPr="00410588" w:rsidRDefault="00FD2727">
      <w:pPr>
        <w:pStyle w:val="FootnoteText"/>
        <w:rPr>
          <w:lang w:val="en-US"/>
        </w:rPr>
      </w:pPr>
      <w:r>
        <w:rPr>
          <w:rStyle w:val="FootnoteReference"/>
        </w:rPr>
        <w:footnoteRef/>
      </w:r>
      <w:r>
        <w:t xml:space="preserve"> Panel Report, </w:t>
      </w:r>
      <w:r w:rsidRPr="00AF3D63">
        <w:t>para. </w:t>
      </w:r>
      <w:r>
        <w:t xml:space="preserve">6.1790. </w:t>
      </w:r>
    </w:p>
  </w:footnote>
  <w:footnote w:id="1880">
    <w:p w:rsidR="00FD2727" w:rsidRPr="00410588" w:rsidRDefault="00FD2727">
      <w:pPr>
        <w:pStyle w:val="FootnoteText"/>
        <w:rPr>
          <w:lang w:val="en-US"/>
        </w:rPr>
      </w:pPr>
      <w:r>
        <w:rPr>
          <w:rStyle w:val="FootnoteReference"/>
        </w:rPr>
        <w:footnoteRef/>
      </w:r>
      <w:r>
        <w:t xml:space="preserve"> Panel Report, </w:t>
      </w:r>
      <w:r w:rsidRPr="00AF3D63">
        <w:t>para. </w:t>
      </w:r>
      <w:r>
        <w:t>6.1791.</w:t>
      </w:r>
    </w:p>
  </w:footnote>
  <w:footnote w:id="1881">
    <w:p w:rsidR="00FD2727" w:rsidRPr="005927FF" w:rsidRDefault="00FD2727" w:rsidP="005927FF">
      <w:pPr>
        <w:pStyle w:val="FootnoteText"/>
      </w:pPr>
      <w:r>
        <w:rPr>
          <w:rStyle w:val="FootnoteReference"/>
        </w:rPr>
        <w:footnoteRef/>
      </w:r>
      <w:r>
        <w:t xml:space="preserve"> Panel Report, </w:t>
      </w:r>
      <w:r w:rsidRPr="00AF3D63">
        <w:t>para. </w:t>
      </w:r>
      <w:r>
        <w:t>6.1792. The European Union argued that one of the reasons for splitting orders was to secure a large number of aircraft over a particular period of time. (Ibid.)</w:t>
      </w:r>
    </w:p>
  </w:footnote>
  <w:footnote w:id="1882">
    <w:p w:rsidR="00FD2727" w:rsidRPr="00410588" w:rsidRDefault="00FD2727">
      <w:pPr>
        <w:pStyle w:val="FootnoteText"/>
        <w:rPr>
          <w:lang w:val="en-US"/>
        </w:rPr>
      </w:pPr>
      <w:r>
        <w:rPr>
          <w:rStyle w:val="FootnoteReference"/>
        </w:rPr>
        <w:footnoteRef/>
      </w:r>
      <w:r>
        <w:t xml:space="preserve"> Panel Report, </w:t>
      </w:r>
      <w:r w:rsidRPr="00AF3D63">
        <w:t>para. </w:t>
      </w:r>
      <w:r>
        <w:t>6.1793.</w:t>
      </w:r>
    </w:p>
  </w:footnote>
  <w:footnote w:id="1883">
    <w:p w:rsidR="00FD2727" w:rsidRPr="00410588" w:rsidRDefault="00FD2727">
      <w:pPr>
        <w:pStyle w:val="FootnoteText"/>
        <w:rPr>
          <w:lang w:val="en-US"/>
        </w:rPr>
      </w:pPr>
      <w:r>
        <w:rPr>
          <w:rStyle w:val="FootnoteReference"/>
        </w:rPr>
        <w:footnoteRef/>
      </w:r>
      <w:r>
        <w:t xml:space="preserve"> Panel Report, </w:t>
      </w:r>
      <w:r w:rsidRPr="00AF3D63">
        <w:t>para. </w:t>
      </w:r>
      <w:r>
        <w:t>6.1794.</w:t>
      </w:r>
    </w:p>
  </w:footnote>
  <w:footnote w:id="1884">
    <w:p w:rsidR="00FD2727" w:rsidRPr="00410588" w:rsidRDefault="00FD2727">
      <w:pPr>
        <w:pStyle w:val="FootnoteText"/>
        <w:rPr>
          <w:lang w:val="en-US"/>
        </w:rPr>
      </w:pPr>
      <w:r>
        <w:rPr>
          <w:rStyle w:val="FootnoteReference"/>
        </w:rPr>
        <w:footnoteRef/>
      </w:r>
      <w:r>
        <w:t xml:space="preserve"> Panel Report, </w:t>
      </w:r>
      <w:r w:rsidRPr="00AF3D63">
        <w:t>para. </w:t>
      </w:r>
      <w:r>
        <w:t>6.1795.</w:t>
      </w:r>
    </w:p>
  </w:footnote>
  <w:footnote w:id="1885">
    <w:p w:rsidR="00FD2727" w:rsidRPr="00410588" w:rsidRDefault="00FD2727">
      <w:pPr>
        <w:pStyle w:val="FootnoteText"/>
        <w:rPr>
          <w:lang w:val="en-US"/>
        </w:rPr>
      </w:pPr>
      <w:r>
        <w:rPr>
          <w:rStyle w:val="FootnoteReference"/>
        </w:rPr>
        <w:footnoteRef/>
      </w:r>
      <w:r>
        <w:t xml:space="preserve"> Panel Report, </w:t>
      </w:r>
      <w:r w:rsidRPr="00AF3D63">
        <w:t>para. </w:t>
      </w:r>
      <w:r>
        <w:t xml:space="preserve">6.1796. The European Union argued that splitting orders would allow the company to "hedge their bets … with regard to new and different technologies". (Ibid., quoting European Union's second written submission to the Panel, </w:t>
      </w:r>
      <w:r w:rsidRPr="00AF3D63">
        <w:t>para. </w:t>
      </w:r>
      <w:r>
        <w:t>1301)</w:t>
      </w:r>
    </w:p>
  </w:footnote>
  <w:footnote w:id="1886">
    <w:p w:rsidR="00FD2727" w:rsidRPr="00410588" w:rsidRDefault="00FD2727">
      <w:pPr>
        <w:pStyle w:val="FootnoteText"/>
        <w:rPr>
          <w:lang w:val="en-US"/>
        </w:rPr>
      </w:pPr>
      <w:r>
        <w:rPr>
          <w:rStyle w:val="FootnoteReference"/>
        </w:rPr>
        <w:footnoteRef/>
      </w:r>
      <w:r>
        <w:t xml:space="preserve"> Panel Report, </w:t>
      </w:r>
      <w:r w:rsidRPr="00AF3D63">
        <w:t>para</w:t>
      </w:r>
      <w:r>
        <w:t>s</w:t>
      </w:r>
      <w:r w:rsidRPr="00AF3D63">
        <w:t>. </w:t>
      </w:r>
      <w:r>
        <w:t>6.1796-6.1797.</w:t>
      </w:r>
    </w:p>
  </w:footnote>
  <w:footnote w:id="1887">
    <w:p w:rsidR="00FD2727" w:rsidRPr="00410588" w:rsidRDefault="00FD2727">
      <w:pPr>
        <w:pStyle w:val="FootnoteText"/>
        <w:rPr>
          <w:lang w:val="en-US"/>
        </w:rPr>
      </w:pPr>
      <w:r>
        <w:rPr>
          <w:rStyle w:val="FootnoteReference"/>
        </w:rPr>
        <w:footnoteRef/>
      </w:r>
      <w:r>
        <w:t xml:space="preserve"> Panel Report, </w:t>
      </w:r>
      <w:r w:rsidRPr="00AF3D63">
        <w:t>para. </w:t>
      </w:r>
      <w:r>
        <w:t>6.1798.</w:t>
      </w:r>
    </w:p>
  </w:footnote>
  <w:footnote w:id="1888">
    <w:p w:rsidR="00FD2727" w:rsidRPr="00410588" w:rsidRDefault="00FD2727">
      <w:pPr>
        <w:pStyle w:val="FootnoteText"/>
        <w:rPr>
          <w:lang w:val="en-US"/>
        </w:rPr>
      </w:pPr>
      <w:r>
        <w:rPr>
          <w:rStyle w:val="FootnoteReference"/>
        </w:rPr>
        <w:footnoteRef/>
      </w:r>
      <w:r>
        <w:t xml:space="preserve"> Panel Report, </w:t>
      </w:r>
      <w:r w:rsidRPr="00AF3D63">
        <w:t>para. </w:t>
      </w:r>
      <w:r>
        <w:t>6.1798.</w:t>
      </w:r>
    </w:p>
  </w:footnote>
  <w:footnote w:id="1889">
    <w:p w:rsidR="00FD2727" w:rsidRPr="00410588" w:rsidRDefault="00FD2727">
      <w:pPr>
        <w:pStyle w:val="FootnoteText"/>
        <w:rPr>
          <w:lang w:val="en-US"/>
        </w:rPr>
      </w:pPr>
      <w:r>
        <w:rPr>
          <w:rStyle w:val="FootnoteReference"/>
        </w:rPr>
        <w:footnoteRef/>
      </w:r>
      <w:r>
        <w:t xml:space="preserve"> Panel Report, </w:t>
      </w:r>
      <w:r w:rsidRPr="00AF3D63">
        <w:t>para. </w:t>
      </w:r>
      <w:r>
        <w:t xml:space="preserve">6.1801. The Panel also noted that the United States made a conditional request that, were the Panel to reject its present serious prejudice claims in the European Union single-aisle LCA market, the Panel should find that "the United States' LCA industry {was} </w:t>
      </w:r>
      <w:r>
        <w:rPr>
          <w:i/>
        </w:rPr>
        <w:t>threatened</w:t>
      </w:r>
      <w:r>
        <w:t xml:space="preserve"> with displacement and/or impedance in … that market". (Ibid., fn 3288 thereto (referring to United States' first written submission to the Panel, </w:t>
      </w:r>
      <w:r w:rsidRPr="00AF3D63">
        <w:t>para. </w:t>
      </w:r>
      <w:r>
        <w:t xml:space="preserve">514; second written submission to the Panel, </w:t>
      </w:r>
      <w:r w:rsidRPr="00AF3D63">
        <w:t>para. </w:t>
      </w:r>
      <w:r>
        <w:t>720; response to Panel question No. 162)</w:t>
      </w:r>
      <w:r w:rsidRPr="00397821">
        <w:t xml:space="preserve"> </w:t>
      </w:r>
      <w:r>
        <w:t>(emphasis original))</w:t>
      </w:r>
    </w:p>
  </w:footnote>
  <w:footnote w:id="1890">
    <w:p w:rsidR="00FD2727" w:rsidRPr="00410588" w:rsidRDefault="00FD2727">
      <w:pPr>
        <w:pStyle w:val="FootnoteText"/>
        <w:rPr>
          <w:lang w:val="en-US"/>
        </w:rPr>
      </w:pPr>
      <w:r>
        <w:rPr>
          <w:rStyle w:val="FootnoteReference"/>
        </w:rPr>
        <w:footnoteRef/>
      </w:r>
      <w:r>
        <w:t xml:space="preserve"> Panel Report, </w:t>
      </w:r>
      <w:r w:rsidRPr="00AF3D63">
        <w:t>para. </w:t>
      </w:r>
      <w:r>
        <w:t>6.1801.</w:t>
      </w:r>
    </w:p>
  </w:footnote>
  <w:footnote w:id="1891">
    <w:p w:rsidR="00FD2727" w:rsidRPr="00410588" w:rsidRDefault="00FD2727">
      <w:pPr>
        <w:pStyle w:val="FootnoteText"/>
        <w:rPr>
          <w:lang w:val="en-US"/>
        </w:rPr>
      </w:pPr>
      <w:r>
        <w:rPr>
          <w:rStyle w:val="FootnoteReference"/>
        </w:rPr>
        <w:footnoteRef/>
      </w:r>
      <w:r>
        <w:t xml:space="preserve"> Panel Report, </w:t>
      </w:r>
      <w:r w:rsidRPr="00AF3D63">
        <w:t>para. </w:t>
      </w:r>
      <w:r>
        <w:t xml:space="preserve">6.1801 (referring to United States' first written submission to the Panel, </w:t>
      </w:r>
      <w:r w:rsidRPr="00AF3D63">
        <w:t>paras. </w:t>
      </w:r>
      <w:r>
        <w:t>520-532).</w:t>
      </w:r>
    </w:p>
  </w:footnote>
  <w:footnote w:id="1892">
    <w:p w:rsidR="00FD2727" w:rsidRPr="00410588" w:rsidRDefault="00FD2727">
      <w:pPr>
        <w:pStyle w:val="FootnoteText"/>
        <w:rPr>
          <w:lang w:val="en-US"/>
        </w:rPr>
      </w:pPr>
      <w:r>
        <w:rPr>
          <w:rStyle w:val="FootnoteReference"/>
        </w:rPr>
        <w:footnoteRef/>
      </w:r>
      <w:r>
        <w:t xml:space="preserve"> Panel Report, </w:t>
      </w:r>
      <w:r w:rsidRPr="00AF3D63">
        <w:t>para. </w:t>
      </w:r>
      <w:r>
        <w:t xml:space="preserve">6.1802 (referring to European Union' first written submission to the Panel, </w:t>
      </w:r>
      <w:r w:rsidRPr="00AF3D63">
        <w:t>paras. </w:t>
      </w:r>
      <w:r>
        <w:t xml:space="preserve">845, 851, 854, 855-951, 955, 959, 963, 1061, 1063, 1067, 1073, 1077, and 1079; second written submission to the Panel, </w:t>
      </w:r>
      <w:r w:rsidRPr="00AF3D63">
        <w:t>paras. </w:t>
      </w:r>
      <w:r>
        <w:t>1562, 1600-1606, 1612, 1619, 1624, 1628, 1638, 1646, 1647, 1655-1656, 1658, 1661, 1667, 1674, 1678, 1681, 1685, 1688, and 1691; comments on the United States' response to Panel question No. 162). (emphasis original)</w:t>
      </w:r>
    </w:p>
  </w:footnote>
  <w:footnote w:id="1893">
    <w:p w:rsidR="00FD2727" w:rsidRPr="00410588" w:rsidRDefault="00FD2727">
      <w:pPr>
        <w:pStyle w:val="FootnoteText"/>
        <w:rPr>
          <w:lang w:val="en-US"/>
        </w:rPr>
      </w:pPr>
      <w:r>
        <w:rPr>
          <w:rStyle w:val="FootnoteReference"/>
        </w:rPr>
        <w:footnoteRef/>
      </w:r>
      <w:r>
        <w:t xml:space="preserve"> Panel Report, </w:t>
      </w:r>
      <w:r w:rsidRPr="00AF3D63">
        <w:t>para. </w:t>
      </w:r>
      <w:r>
        <w:t>6.1799.</w:t>
      </w:r>
    </w:p>
  </w:footnote>
  <w:footnote w:id="1894">
    <w:p w:rsidR="00FD2727" w:rsidRPr="00410588" w:rsidRDefault="00FD2727">
      <w:pPr>
        <w:pStyle w:val="FootnoteText"/>
        <w:rPr>
          <w:lang w:val="en-US"/>
        </w:rPr>
      </w:pPr>
      <w:r>
        <w:rPr>
          <w:rStyle w:val="FootnoteReference"/>
        </w:rPr>
        <w:footnoteRef/>
      </w:r>
      <w:r>
        <w:t xml:space="preserve"> Panel Report, </w:t>
      </w:r>
      <w:r w:rsidRPr="00AF3D63">
        <w:t>para. </w:t>
      </w:r>
      <w:r>
        <w:t>6.1800 (quoting Appellate Body</w:t>
      </w:r>
      <w:r w:rsidRPr="00D20E29">
        <w:t xml:space="preserve"> Report, </w:t>
      </w:r>
      <w:r w:rsidRPr="00D20E29">
        <w:rPr>
          <w:i/>
        </w:rPr>
        <w:t>EC and certain member States – Large Civil Aircraft</w:t>
      </w:r>
      <w:r>
        <w:t xml:space="preserve">, </w:t>
      </w:r>
      <w:r w:rsidRPr="00AF3D63">
        <w:t>para. </w:t>
      </w:r>
      <w:r>
        <w:t>1163).</w:t>
      </w:r>
    </w:p>
  </w:footnote>
  <w:footnote w:id="1895">
    <w:p w:rsidR="00FD2727" w:rsidRPr="00410588" w:rsidRDefault="00FD2727">
      <w:pPr>
        <w:pStyle w:val="FootnoteText"/>
        <w:rPr>
          <w:lang w:val="en-US"/>
        </w:rPr>
      </w:pPr>
      <w:r>
        <w:rPr>
          <w:rStyle w:val="FootnoteReference"/>
        </w:rPr>
        <w:footnoteRef/>
      </w:r>
      <w:r>
        <w:t xml:space="preserve"> Panel Report, </w:t>
      </w:r>
      <w:r w:rsidRPr="00AF3D63">
        <w:t>para. </w:t>
      </w:r>
      <w:r>
        <w:t>6.1803.</w:t>
      </w:r>
      <w:r w:rsidRPr="00DA3BDF">
        <w:t xml:space="preserve"> </w:t>
      </w:r>
      <w:r>
        <w:t>(emphasis original)</w:t>
      </w:r>
    </w:p>
  </w:footnote>
  <w:footnote w:id="1896">
    <w:p w:rsidR="00FD2727" w:rsidRPr="00410588" w:rsidRDefault="00FD2727">
      <w:pPr>
        <w:pStyle w:val="FootnoteText"/>
        <w:rPr>
          <w:lang w:val="en-US"/>
        </w:rPr>
      </w:pPr>
      <w:r>
        <w:rPr>
          <w:rStyle w:val="FootnoteReference"/>
        </w:rPr>
        <w:footnoteRef/>
      </w:r>
      <w:r>
        <w:t xml:space="preserve"> Panel Report, </w:t>
      </w:r>
      <w:r w:rsidRPr="00AF3D63">
        <w:t>para. </w:t>
      </w:r>
      <w:r>
        <w:t>6.1803. (emphasis original)</w:t>
      </w:r>
    </w:p>
  </w:footnote>
  <w:footnote w:id="1897">
    <w:p w:rsidR="00FD2727" w:rsidRPr="00410588" w:rsidRDefault="00FD2727">
      <w:pPr>
        <w:pStyle w:val="FootnoteText"/>
        <w:rPr>
          <w:lang w:val="en-US"/>
        </w:rPr>
      </w:pPr>
      <w:r>
        <w:rPr>
          <w:rStyle w:val="FootnoteReference"/>
        </w:rPr>
        <w:footnoteRef/>
      </w:r>
      <w:r>
        <w:t xml:space="preserve"> Panel Report, </w:t>
      </w:r>
      <w:r w:rsidRPr="00AF3D63">
        <w:t>para. </w:t>
      </w:r>
      <w:r>
        <w:t>6.1803.</w:t>
      </w:r>
    </w:p>
  </w:footnote>
  <w:footnote w:id="1898">
    <w:p w:rsidR="00FD2727" w:rsidRPr="00410588" w:rsidRDefault="00FD2727">
      <w:pPr>
        <w:pStyle w:val="FootnoteText"/>
        <w:rPr>
          <w:lang w:val="en-US"/>
        </w:rPr>
      </w:pPr>
      <w:r>
        <w:rPr>
          <w:rStyle w:val="FootnoteReference"/>
        </w:rPr>
        <w:footnoteRef/>
      </w:r>
      <w:r>
        <w:t xml:space="preserve"> Panel Report, fn 3293 to </w:t>
      </w:r>
      <w:r w:rsidRPr="00AF3D63">
        <w:t>para. </w:t>
      </w:r>
      <w:r>
        <w:t xml:space="preserve">6.1804 (quoting Appellate Body Report, </w:t>
      </w:r>
      <w:r>
        <w:rPr>
          <w:i/>
        </w:rPr>
        <w:t>EC and certain member States – Large Civil Aircraft</w:t>
      </w:r>
      <w:r>
        <w:t xml:space="preserve">, </w:t>
      </w:r>
      <w:r w:rsidRPr="00AF3D63">
        <w:t>para. </w:t>
      </w:r>
      <w:r>
        <w:t>1179).</w:t>
      </w:r>
    </w:p>
  </w:footnote>
  <w:footnote w:id="1899">
    <w:p w:rsidR="00FD2727" w:rsidRPr="00410588" w:rsidRDefault="00FD2727">
      <w:pPr>
        <w:pStyle w:val="FootnoteText"/>
        <w:rPr>
          <w:lang w:val="en-US"/>
        </w:rPr>
      </w:pPr>
      <w:r>
        <w:rPr>
          <w:rStyle w:val="FootnoteReference"/>
        </w:rPr>
        <w:footnoteRef/>
      </w:r>
      <w:r>
        <w:t xml:space="preserve"> Panel Report, </w:t>
      </w:r>
      <w:r w:rsidRPr="00AF3D63">
        <w:t>para. </w:t>
      </w:r>
      <w:r>
        <w:t>6.1804 (referring to Appellate Body</w:t>
      </w:r>
      <w:r w:rsidRPr="00D20E29">
        <w:t xml:space="preserve"> Report, </w:t>
      </w:r>
      <w:r w:rsidRPr="00D20E29">
        <w:rPr>
          <w:i/>
        </w:rPr>
        <w:t>EC and certain member States – Large Civil Aircraft</w:t>
      </w:r>
      <w:r>
        <w:t xml:space="preserve">, </w:t>
      </w:r>
      <w:r w:rsidRPr="00AF3D63">
        <w:t>paras. </w:t>
      </w:r>
      <w:r>
        <w:t>1188-1190 and 1193-1198). (emphasis original)</w:t>
      </w:r>
    </w:p>
  </w:footnote>
  <w:footnote w:id="1900">
    <w:p w:rsidR="00FD2727" w:rsidRPr="00410588" w:rsidRDefault="00FD2727">
      <w:pPr>
        <w:pStyle w:val="FootnoteText"/>
        <w:rPr>
          <w:lang w:val="en-US"/>
        </w:rPr>
      </w:pPr>
      <w:r>
        <w:rPr>
          <w:rStyle w:val="FootnoteReference"/>
        </w:rPr>
        <w:footnoteRef/>
      </w:r>
      <w:r>
        <w:t xml:space="preserve"> Panel Report, </w:t>
      </w:r>
      <w:r w:rsidRPr="00AF3D63">
        <w:t>para. </w:t>
      </w:r>
      <w:r>
        <w:t xml:space="preserve">6.1804 (referring to Appellate Body Report, </w:t>
      </w:r>
      <w:r>
        <w:rPr>
          <w:i/>
        </w:rPr>
        <w:t>EC and certain member States – Large Civil Aircraft</w:t>
      </w:r>
      <w:r>
        <w:t xml:space="preserve">, </w:t>
      </w:r>
      <w:r w:rsidRPr="00AF3D63">
        <w:t>paras. </w:t>
      </w:r>
      <w:r>
        <w:t>1170 and 1188). (emphasis original)</w:t>
      </w:r>
    </w:p>
  </w:footnote>
  <w:footnote w:id="1901">
    <w:p w:rsidR="00FD2727" w:rsidRPr="00410588" w:rsidRDefault="00FD2727">
      <w:pPr>
        <w:pStyle w:val="FootnoteText"/>
        <w:rPr>
          <w:lang w:val="en-US"/>
        </w:rPr>
      </w:pPr>
      <w:r>
        <w:rPr>
          <w:rStyle w:val="FootnoteReference"/>
        </w:rPr>
        <w:footnoteRef/>
      </w:r>
      <w:r>
        <w:t xml:space="preserve"> Panel Report, </w:t>
      </w:r>
      <w:r w:rsidRPr="00AF3D63">
        <w:t>para. </w:t>
      </w:r>
      <w:r>
        <w:t xml:space="preserve">6.1804 (referring to Appellate Body Report, </w:t>
      </w:r>
      <w:r>
        <w:rPr>
          <w:i/>
        </w:rPr>
        <w:t>EC and certain member States – Large Civil Aircraft</w:t>
      </w:r>
      <w:r>
        <w:t xml:space="preserve">, </w:t>
      </w:r>
      <w:r w:rsidRPr="00AF3D63">
        <w:t>para. </w:t>
      </w:r>
      <w:r>
        <w:t>1179). (emphasis original)</w:t>
      </w:r>
    </w:p>
  </w:footnote>
  <w:footnote w:id="1902">
    <w:p w:rsidR="00FD2727" w:rsidRPr="00410588" w:rsidRDefault="00FD2727">
      <w:pPr>
        <w:pStyle w:val="FootnoteText"/>
        <w:rPr>
          <w:lang w:val="en-US"/>
        </w:rPr>
      </w:pPr>
      <w:r>
        <w:rPr>
          <w:rStyle w:val="FootnoteReference"/>
        </w:rPr>
        <w:footnoteRef/>
      </w:r>
      <w:r>
        <w:t xml:space="preserve"> Panel Report, </w:t>
      </w:r>
      <w:r w:rsidRPr="00AF3D63">
        <w:t>para. </w:t>
      </w:r>
      <w:r>
        <w:t>6.1804. (emphasis original; fn omitted)</w:t>
      </w:r>
    </w:p>
  </w:footnote>
  <w:footnote w:id="1903">
    <w:p w:rsidR="00FD2727" w:rsidRPr="00410588" w:rsidRDefault="00FD2727">
      <w:pPr>
        <w:pStyle w:val="FootnoteText"/>
        <w:rPr>
          <w:lang w:val="en-US"/>
        </w:rPr>
      </w:pPr>
      <w:r>
        <w:rPr>
          <w:rStyle w:val="FootnoteReference"/>
        </w:rPr>
        <w:footnoteRef/>
      </w:r>
      <w:r>
        <w:t xml:space="preserve"> Panel Report, </w:t>
      </w:r>
      <w:r w:rsidRPr="00AF3D63">
        <w:t>para. </w:t>
      </w:r>
      <w:r>
        <w:t>6.1805 (referring to United States' response to Panel questions No. 40 and No. 162; Summary Table of Updated Ascend Aircraft Database (Panel Exhibit USA</w:t>
      </w:r>
      <w:r>
        <w:noBreakHyphen/>
        <w:t>578 (BCI))).</w:t>
      </w:r>
    </w:p>
  </w:footnote>
  <w:footnote w:id="1904">
    <w:p w:rsidR="00FD2727" w:rsidRPr="00410588" w:rsidRDefault="00FD2727">
      <w:pPr>
        <w:pStyle w:val="FootnoteText"/>
        <w:rPr>
          <w:lang w:val="en-US"/>
        </w:rPr>
      </w:pPr>
      <w:r>
        <w:rPr>
          <w:rStyle w:val="FootnoteReference"/>
        </w:rPr>
        <w:footnoteRef/>
      </w:r>
      <w:r>
        <w:t xml:space="preserve"> Panel Report, </w:t>
      </w:r>
      <w:r w:rsidRPr="00AF3D63">
        <w:t>para. </w:t>
      </w:r>
      <w:r>
        <w:t>6.1444.</w:t>
      </w:r>
      <w:r w:rsidRPr="00486B66">
        <w:t xml:space="preserve"> </w:t>
      </w:r>
      <w:r>
        <w:t>(emphasis original)</w:t>
      </w:r>
    </w:p>
  </w:footnote>
  <w:footnote w:id="1905">
    <w:p w:rsidR="00FD2727" w:rsidRPr="00410588" w:rsidRDefault="00FD2727">
      <w:pPr>
        <w:pStyle w:val="FootnoteText"/>
        <w:rPr>
          <w:lang w:val="en-US"/>
        </w:rPr>
      </w:pPr>
      <w:r>
        <w:rPr>
          <w:rStyle w:val="FootnoteReference"/>
        </w:rPr>
        <w:footnoteRef/>
      </w:r>
      <w:r>
        <w:t xml:space="preserve"> Panel Report, para. 6.1805, </w:t>
      </w:r>
      <w:r w:rsidRPr="00C86FDD">
        <w:t>Tables 20-22</w:t>
      </w:r>
      <w:r>
        <w:t>.</w:t>
      </w:r>
    </w:p>
  </w:footnote>
  <w:footnote w:id="1906">
    <w:p w:rsidR="00FD2727" w:rsidRPr="00410588" w:rsidRDefault="00FD2727">
      <w:pPr>
        <w:pStyle w:val="FootnoteText"/>
        <w:rPr>
          <w:lang w:val="en-US"/>
        </w:rPr>
      </w:pPr>
      <w:r>
        <w:rPr>
          <w:rStyle w:val="FootnoteReference"/>
        </w:rPr>
        <w:footnoteRef/>
      </w:r>
      <w:r>
        <w:t xml:space="preserve"> Panel Report, </w:t>
      </w:r>
      <w:r w:rsidRPr="00AF3D63">
        <w:t>para. </w:t>
      </w:r>
      <w:r>
        <w:t>6.1806.</w:t>
      </w:r>
    </w:p>
  </w:footnote>
  <w:footnote w:id="1907">
    <w:p w:rsidR="00FD2727" w:rsidRPr="00410588" w:rsidRDefault="00FD2727">
      <w:pPr>
        <w:pStyle w:val="FootnoteText"/>
        <w:rPr>
          <w:lang w:val="en-US"/>
        </w:rPr>
      </w:pPr>
      <w:r>
        <w:rPr>
          <w:rStyle w:val="FootnoteReference"/>
        </w:rPr>
        <w:footnoteRef/>
      </w:r>
      <w:r>
        <w:t xml:space="preserve"> Panel Report, </w:t>
      </w:r>
      <w:r w:rsidRPr="00AF3D63">
        <w:t>para. </w:t>
      </w:r>
      <w:r>
        <w:t xml:space="preserve">6.1806. (emphasis original) The Panel recalled that deliveries of new LCA would lag their order date by "typically </w:t>
      </w:r>
      <w:r w:rsidRPr="00A04134">
        <w:rPr>
          <w:i/>
        </w:rPr>
        <w:t>at least</w:t>
      </w:r>
      <w:r>
        <w:t xml:space="preserve"> three years, and usually many more years in respect of </w:t>
      </w:r>
      <w:r w:rsidRPr="00A04134">
        <w:rPr>
          <w:i/>
        </w:rPr>
        <w:t>newly launched</w:t>
      </w:r>
      <w:r>
        <w:t xml:space="preserve"> aircraft". (Ibid. (emphasis original))</w:t>
      </w:r>
    </w:p>
  </w:footnote>
  <w:footnote w:id="1908">
    <w:p w:rsidR="00FD2727" w:rsidRPr="00410588" w:rsidRDefault="00FD2727">
      <w:pPr>
        <w:pStyle w:val="FootnoteText"/>
        <w:rPr>
          <w:lang w:val="en-US"/>
        </w:rPr>
      </w:pPr>
      <w:r>
        <w:rPr>
          <w:rStyle w:val="FootnoteReference"/>
        </w:rPr>
        <w:footnoteRef/>
      </w:r>
      <w:r>
        <w:t xml:space="preserve"> Panel Report, </w:t>
      </w:r>
      <w:r w:rsidRPr="00AF3D63">
        <w:t>para. </w:t>
      </w:r>
      <w:r>
        <w:t>6.1814.</w:t>
      </w:r>
    </w:p>
  </w:footnote>
  <w:footnote w:id="1909">
    <w:p w:rsidR="00FD2727" w:rsidRPr="00410588" w:rsidRDefault="00FD2727">
      <w:pPr>
        <w:pStyle w:val="FootnoteText"/>
        <w:rPr>
          <w:lang w:val="en-US"/>
        </w:rPr>
      </w:pPr>
      <w:r>
        <w:rPr>
          <w:rStyle w:val="FootnoteReference"/>
        </w:rPr>
        <w:footnoteRef/>
      </w:r>
      <w:r>
        <w:t xml:space="preserve"> Panel Report, </w:t>
      </w:r>
      <w:r w:rsidRPr="00AF3D63">
        <w:t>paras. </w:t>
      </w:r>
      <w:r>
        <w:t>6.1814-6.1816.</w:t>
      </w:r>
    </w:p>
  </w:footnote>
  <w:footnote w:id="1910">
    <w:p w:rsidR="00FD2727" w:rsidRPr="00410588" w:rsidRDefault="00FD2727">
      <w:pPr>
        <w:pStyle w:val="FootnoteText"/>
        <w:rPr>
          <w:lang w:val="en-US"/>
        </w:rPr>
      </w:pPr>
      <w:r>
        <w:rPr>
          <w:rStyle w:val="FootnoteReference"/>
        </w:rPr>
        <w:footnoteRef/>
      </w:r>
      <w:r>
        <w:t xml:space="preserve"> Panel Report, </w:t>
      </w:r>
      <w:r w:rsidRPr="00AF3D63">
        <w:t>para. </w:t>
      </w:r>
      <w:r>
        <w:t>6.1817.</w:t>
      </w:r>
    </w:p>
  </w:footnote>
  <w:footnote w:id="1911">
    <w:p w:rsidR="00FD2727" w:rsidRPr="00410588" w:rsidRDefault="00FD2727">
      <w:pPr>
        <w:pStyle w:val="FootnoteText"/>
        <w:rPr>
          <w:lang w:val="en-US"/>
        </w:rPr>
      </w:pPr>
      <w:r>
        <w:rPr>
          <w:rStyle w:val="FootnoteReference"/>
        </w:rPr>
        <w:footnoteRef/>
      </w:r>
      <w:r>
        <w:t xml:space="preserve"> Panel Report, </w:t>
      </w:r>
      <w:r w:rsidRPr="00AF3D63">
        <w:t>para. </w:t>
      </w:r>
      <w:r>
        <w:t>6.1817. In light of these findings, the Panel refrained from making any findings concerning the United States' conditional claim of "</w:t>
      </w:r>
      <w:r w:rsidRPr="009B55F9">
        <w:rPr>
          <w:i/>
        </w:rPr>
        <w:t>threat</w:t>
      </w:r>
      <w:r>
        <w:t xml:space="preserve"> of displacement and impedance in the market for single-aisle LCA in the European Union". (Ibid., </w:t>
      </w:r>
      <w:r w:rsidRPr="00AF3D63">
        <w:t>para. </w:t>
      </w:r>
      <w:r>
        <w:t>6.1818 (emphasis original))</w:t>
      </w:r>
    </w:p>
  </w:footnote>
  <w:footnote w:id="1912">
    <w:p w:rsidR="00FD2727" w:rsidRPr="00410588" w:rsidRDefault="00FD2727">
      <w:pPr>
        <w:pStyle w:val="FootnoteText"/>
        <w:rPr>
          <w:lang w:val="en-US"/>
        </w:rPr>
      </w:pPr>
      <w:r>
        <w:rPr>
          <w:rStyle w:val="FootnoteReference"/>
        </w:rPr>
        <w:footnoteRef/>
      </w:r>
      <w:r>
        <w:t xml:space="preserve"> European Union's appellant's submission, </w:t>
      </w:r>
      <w:r w:rsidRPr="00AF3D63">
        <w:t>para. </w:t>
      </w:r>
      <w:r>
        <w:t>939.</w:t>
      </w:r>
    </w:p>
  </w:footnote>
  <w:footnote w:id="1913">
    <w:p w:rsidR="00FD2727" w:rsidRPr="00410588" w:rsidRDefault="00FD2727">
      <w:pPr>
        <w:pStyle w:val="FootnoteText"/>
        <w:rPr>
          <w:lang w:val="en-US"/>
        </w:rPr>
      </w:pPr>
      <w:r>
        <w:rPr>
          <w:rStyle w:val="FootnoteReference"/>
        </w:rPr>
        <w:footnoteRef/>
      </w:r>
      <w:r>
        <w:t xml:space="preserve"> </w:t>
      </w:r>
      <w:r>
        <w:rPr>
          <w:szCs w:val="16"/>
        </w:rPr>
        <w:t>European Union</w:t>
      </w:r>
      <w:r w:rsidRPr="00D56097">
        <w:rPr>
          <w:szCs w:val="16"/>
        </w:rPr>
        <w:t xml:space="preserve">'s appellant's submission, </w:t>
      </w:r>
      <w:r w:rsidRPr="00AF3D63">
        <w:rPr>
          <w:szCs w:val="16"/>
        </w:rPr>
        <w:t>para. </w:t>
      </w:r>
      <w:r w:rsidRPr="00D56097">
        <w:rPr>
          <w:szCs w:val="16"/>
        </w:rPr>
        <w:t>9</w:t>
      </w:r>
      <w:r>
        <w:rPr>
          <w:szCs w:val="16"/>
        </w:rPr>
        <w:t>25. (emphasis original)</w:t>
      </w:r>
    </w:p>
  </w:footnote>
  <w:footnote w:id="1914">
    <w:p w:rsidR="00FD2727" w:rsidRPr="00410588" w:rsidRDefault="00FD2727">
      <w:pPr>
        <w:pStyle w:val="FootnoteText"/>
        <w:rPr>
          <w:lang w:val="en-US"/>
        </w:rPr>
      </w:pPr>
      <w:r>
        <w:rPr>
          <w:rStyle w:val="FootnoteReference"/>
        </w:rPr>
        <w:footnoteRef/>
      </w:r>
      <w:r>
        <w:t xml:space="preserve"> European Union's appellant's submission, </w:t>
      </w:r>
      <w:r w:rsidRPr="00AF3D63">
        <w:t>para. </w:t>
      </w:r>
      <w:r>
        <w:t>928 (quoting Appellate Body Report,</w:t>
      </w:r>
      <w:r>
        <w:br/>
      </w:r>
      <w:r>
        <w:rPr>
          <w:i/>
        </w:rPr>
        <w:t>EC and certain member States – Large Civil Aircraft</w:t>
      </w:r>
      <w:r>
        <w:t xml:space="preserve">, </w:t>
      </w:r>
      <w:r w:rsidRPr="00AF3D63">
        <w:t>para. </w:t>
      </w:r>
      <w:r>
        <w:t>1136).</w:t>
      </w:r>
    </w:p>
  </w:footnote>
  <w:footnote w:id="1915">
    <w:p w:rsidR="00FD2727" w:rsidRPr="00410588" w:rsidRDefault="00FD2727">
      <w:pPr>
        <w:pStyle w:val="FootnoteText"/>
        <w:rPr>
          <w:lang w:val="en-US"/>
        </w:rPr>
      </w:pPr>
      <w:r>
        <w:rPr>
          <w:rStyle w:val="FootnoteReference"/>
        </w:rPr>
        <w:footnoteRef/>
      </w:r>
      <w:r>
        <w:t xml:space="preserve"> European Union's appellant's submission, </w:t>
      </w:r>
      <w:r w:rsidRPr="00AF3D63">
        <w:t>para. </w:t>
      </w:r>
      <w:r>
        <w:t>929.</w:t>
      </w:r>
    </w:p>
  </w:footnote>
  <w:footnote w:id="1916">
    <w:p w:rsidR="00FD2727" w:rsidRPr="00410588" w:rsidRDefault="00FD2727">
      <w:pPr>
        <w:pStyle w:val="FootnoteText"/>
        <w:rPr>
          <w:lang w:val="en-US"/>
        </w:rPr>
      </w:pPr>
      <w:r>
        <w:rPr>
          <w:rStyle w:val="FootnoteReference"/>
        </w:rPr>
        <w:footnoteRef/>
      </w:r>
      <w:r>
        <w:t xml:space="preserve"> European Union's appellant's submission, </w:t>
      </w:r>
      <w:r w:rsidRPr="00AF3D63">
        <w:t>para. </w:t>
      </w:r>
      <w:r>
        <w:t>941.</w:t>
      </w:r>
    </w:p>
  </w:footnote>
  <w:footnote w:id="1917">
    <w:p w:rsidR="00FD2727" w:rsidRPr="00410588" w:rsidRDefault="00FD2727">
      <w:pPr>
        <w:pStyle w:val="FootnoteText"/>
        <w:rPr>
          <w:lang w:val="en-US"/>
        </w:rPr>
      </w:pPr>
      <w:r>
        <w:rPr>
          <w:rStyle w:val="FootnoteReference"/>
        </w:rPr>
        <w:footnoteRef/>
      </w:r>
      <w:r>
        <w:t xml:space="preserve"> European Union's appellant's submission, </w:t>
      </w:r>
      <w:r w:rsidRPr="00AF3D63">
        <w:t>para. </w:t>
      </w:r>
      <w:r>
        <w:t>942.</w:t>
      </w:r>
    </w:p>
  </w:footnote>
  <w:footnote w:id="1918">
    <w:p w:rsidR="00FD2727" w:rsidRPr="00410588" w:rsidRDefault="00FD2727">
      <w:pPr>
        <w:pStyle w:val="FootnoteText"/>
        <w:rPr>
          <w:lang w:val="en-US"/>
        </w:rPr>
      </w:pPr>
      <w:r>
        <w:rPr>
          <w:rStyle w:val="FootnoteReference"/>
        </w:rPr>
        <w:footnoteRef/>
      </w:r>
      <w:r>
        <w:t xml:space="preserve"> European Union's appellant's submission, para</w:t>
      </w:r>
      <w:r w:rsidRPr="00AF3D63">
        <w:t>. </w:t>
      </w:r>
      <w:r>
        <w:t>916.</w:t>
      </w:r>
    </w:p>
  </w:footnote>
  <w:footnote w:id="1919">
    <w:p w:rsidR="00FD2727" w:rsidRPr="00410588" w:rsidRDefault="00FD2727">
      <w:pPr>
        <w:pStyle w:val="FootnoteText"/>
        <w:rPr>
          <w:lang w:val="en-US"/>
        </w:rPr>
      </w:pPr>
      <w:r>
        <w:rPr>
          <w:rStyle w:val="FootnoteReference"/>
        </w:rPr>
        <w:footnoteRef/>
      </w:r>
      <w:r>
        <w:t xml:space="preserve"> European Union's appellant's submission, </w:t>
      </w:r>
      <w:r w:rsidRPr="00AF3D63">
        <w:t>para. </w:t>
      </w:r>
      <w:r>
        <w:t xml:space="preserve">946 (quoting Panel Report, </w:t>
      </w:r>
      <w:r w:rsidRPr="00AF3D63">
        <w:t>para. </w:t>
      </w:r>
      <w:r>
        <w:t>6.1186). (emphasis added by the European Union)</w:t>
      </w:r>
    </w:p>
  </w:footnote>
  <w:footnote w:id="1920">
    <w:p w:rsidR="00FD2727" w:rsidRPr="00410588" w:rsidRDefault="00FD2727">
      <w:pPr>
        <w:pStyle w:val="FootnoteText"/>
        <w:rPr>
          <w:lang w:val="en-US"/>
        </w:rPr>
      </w:pPr>
      <w:r>
        <w:rPr>
          <w:rStyle w:val="FootnoteReference"/>
        </w:rPr>
        <w:footnoteRef/>
      </w:r>
      <w:r>
        <w:t xml:space="preserve"> European Union's appellant's submission, </w:t>
      </w:r>
      <w:r w:rsidRPr="00AF3D63">
        <w:t>para. </w:t>
      </w:r>
      <w:r>
        <w:t>947.</w:t>
      </w:r>
    </w:p>
  </w:footnote>
  <w:footnote w:id="1921">
    <w:p w:rsidR="00FD2727" w:rsidRPr="00410588" w:rsidRDefault="00FD2727">
      <w:pPr>
        <w:pStyle w:val="FootnoteText"/>
        <w:rPr>
          <w:lang w:val="en-US"/>
        </w:rPr>
      </w:pPr>
      <w:r>
        <w:rPr>
          <w:rStyle w:val="FootnoteReference"/>
        </w:rPr>
        <w:footnoteRef/>
      </w:r>
      <w:r>
        <w:t xml:space="preserve"> European Union's appellant's submission, </w:t>
      </w:r>
      <w:r w:rsidRPr="00AF3D63">
        <w:t>para. </w:t>
      </w:r>
      <w:r>
        <w:t xml:space="preserve">950 (quoting Panel Report, </w:t>
      </w:r>
      <w:r w:rsidRPr="00AF3D63">
        <w:t>paras. </w:t>
      </w:r>
      <w:r>
        <w:t>6.1791 and 6.1795).</w:t>
      </w:r>
    </w:p>
  </w:footnote>
  <w:footnote w:id="1922">
    <w:p w:rsidR="00FD2727" w:rsidRPr="005927FF" w:rsidRDefault="00FD2727">
      <w:pPr>
        <w:pStyle w:val="FootnoteText"/>
        <w:rPr>
          <w:lang w:val="en-US"/>
        </w:rPr>
      </w:pPr>
      <w:r>
        <w:rPr>
          <w:rStyle w:val="FootnoteReference"/>
        </w:rPr>
        <w:footnoteRef/>
      </w:r>
      <w:r>
        <w:t xml:space="preserve"> </w:t>
      </w:r>
      <w:r>
        <w:rPr>
          <w:lang w:val="en-US"/>
        </w:rPr>
        <w:t>European Union's appellant's submission, paras. 951-954.</w:t>
      </w:r>
    </w:p>
  </w:footnote>
  <w:footnote w:id="1923">
    <w:p w:rsidR="00FD2727" w:rsidRPr="00410588" w:rsidRDefault="00FD2727">
      <w:pPr>
        <w:pStyle w:val="FootnoteText"/>
        <w:rPr>
          <w:lang w:val="en-US"/>
        </w:rPr>
      </w:pPr>
      <w:r>
        <w:rPr>
          <w:rStyle w:val="FootnoteReference"/>
        </w:rPr>
        <w:footnoteRef/>
      </w:r>
      <w:r>
        <w:t xml:space="preserve"> European Union's appellant's submission, para</w:t>
      </w:r>
      <w:r w:rsidRPr="00AF3D63">
        <w:t>. </w:t>
      </w:r>
      <w:r>
        <w:t>956.</w:t>
      </w:r>
    </w:p>
  </w:footnote>
  <w:footnote w:id="1924">
    <w:p w:rsidR="00FD2727" w:rsidRPr="00410588" w:rsidRDefault="00FD2727">
      <w:pPr>
        <w:pStyle w:val="FootnoteText"/>
        <w:rPr>
          <w:lang w:val="en-US"/>
        </w:rPr>
      </w:pPr>
      <w:r>
        <w:rPr>
          <w:rStyle w:val="FootnoteReference"/>
        </w:rPr>
        <w:footnoteRef/>
      </w:r>
      <w:r>
        <w:t xml:space="preserve"> European Union's appellant's submission, </w:t>
      </w:r>
      <w:r w:rsidRPr="00AF3D63">
        <w:t>para. </w:t>
      </w:r>
      <w:r>
        <w:t>967.</w:t>
      </w:r>
    </w:p>
  </w:footnote>
  <w:footnote w:id="1925">
    <w:p w:rsidR="00FD2727" w:rsidRPr="00410588" w:rsidRDefault="00FD2727">
      <w:pPr>
        <w:pStyle w:val="FootnoteText"/>
        <w:rPr>
          <w:lang w:val="en-US"/>
        </w:rPr>
      </w:pPr>
      <w:r>
        <w:rPr>
          <w:rStyle w:val="FootnoteReference"/>
        </w:rPr>
        <w:footnoteRef/>
      </w:r>
      <w:r>
        <w:t xml:space="preserve"> European Union's appellant's submission, </w:t>
      </w:r>
      <w:r w:rsidRPr="00AF3D63">
        <w:t>para. </w:t>
      </w:r>
      <w:r>
        <w:t xml:space="preserve">1014. </w:t>
      </w:r>
      <w:r w:rsidRPr="00AF3D63">
        <w:t>See </w:t>
      </w:r>
      <w:r>
        <w:t xml:space="preserve">also </w:t>
      </w:r>
      <w:r w:rsidRPr="00AF3D63">
        <w:t>paras. </w:t>
      </w:r>
      <w:r>
        <w:t>1017 and 1022.</w:t>
      </w:r>
    </w:p>
  </w:footnote>
  <w:footnote w:id="1926">
    <w:p w:rsidR="00FD2727" w:rsidRPr="00410588" w:rsidRDefault="00FD2727">
      <w:pPr>
        <w:pStyle w:val="FootnoteText"/>
        <w:rPr>
          <w:lang w:val="en-US"/>
        </w:rPr>
      </w:pPr>
      <w:r>
        <w:rPr>
          <w:rStyle w:val="FootnoteReference"/>
        </w:rPr>
        <w:footnoteRef/>
      </w:r>
      <w:r>
        <w:t xml:space="preserve"> European Union's appellant's submission, </w:t>
      </w:r>
      <w:r w:rsidRPr="00AF3D63">
        <w:t>para. </w:t>
      </w:r>
      <w:r>
        <w:t>1024.</w:t>
      </w:r>
    </w:p>
  </w:footnote>
  <w:footnote w:id="1927">
    <w:p w:rsidR="00FD2727" w:rsidRPr="00410588" w:rsidRDefault="00FD2727">
      <w:pPr>
        <w:pStyle w:val="FootnoteText"/>
        <w:rPr>
          <w:lang w:val="en-US"/>
        </w:rPr>
      </w:pPr>
      <w:r>
        <w:rPr>
          <w:rStyle w:val="FootnoteReference"/>
        </w:rPr>
        <w:footnoteRef/>
      </w:r>
      <w:r>
        <w:t xml:space="preserve"> European Union's appellant's submission, </w:t>
      </w:r>
      <w:r w:rsidRPr="00AF3D63">
        <w:t>para. </w:t>
      </w:r>
      <w:r>
        <w:t>1026.</w:t>
      </w:r>
    </w:p>
  </w:footnote>
  <w:footnote w:id="1928">
    <w:p w:rsidR="00FD2727" w:rsidRPr="00410588" w:rsidRDefault="00FD2727">
      <w:pPr>
        <w:pStyle w:val="FootnoteText"/>
        <w:rPr>
          <w:lang w:val="en-US"/>
        </w:rPr>
      </w:pPr>
      <w:r>
        <w:rPr>
          <w:rStyle w:val="FootnoteReference"/>
        </w:rPr>
        <w:footnoteRef/>
      </w:r>
      <w:r>
        <w:t xml:space="preserve"> European Union's appellant's submission, </w:t>
      </w:r>
      <w:r w:rsidRPr="00AF3D63">
        <w:t>para. </w:t>
      </w:r>
      <w:r>
        <w:t>1037.</w:t>
      </w:r>
    </w:p>
  </w:footnote>
  <w:footnote w:id="1929">
    <w:p w:rsidR="00FD2727" w:rsidRPr="00410588" w:rsidRDefault="00FD2727">
      <w:pPr>
        <w:pStyle w:val="FootnoteText"/>
        <w:rPr>
          <w:lang w:val="en-US"/>
        </w:rPr>
      </w:pPr>
      <w:r>
        <w:rPr>
          <w:rStyle w:val="FootnoteReference"/>
        </w:rPr>
        <w:footnoteRef/>
      </w:r>
      <w:r>
        <w:t xml:space="preserve"> European Union's appellant's submission, </w:t>
      </w:r>
      <w:r w:rsidRPr="00AF3D63">
        <w:t>para. </w:t>
      </w:r>
      <w:r>
        <w:t xml:space="preserve">1045 (referring to Panel Report, </w:t>
      </w:r>
      <w:r w:rsidRPr="00AF3D63">
        <w:t>paras. </w:t>
      </w:r>
      <w:r>
        <w:t>6.1802</w:t>
      </w:r>
      <w:r>
        <w:noBreakHyphen/>
        <w:t xml:space="preserve">6.1804). </w:t>
      </w:r>
    </w:p>
  </w:footnote>
  <w:footnote w:id="1930">
    <w:p w:rsidR="00FD2727" w:rsidRPr="00410588" w:rsidRDefault="00FD2727">
      <w:pPr>
        <w:pStyle w:val="FootnoteText"/>
        <w:rPr>
          <w:lang w:val="en-US"/>
        </w:rPr>
      </w:pPr>
      <w:r>
        <w:rPr>
          <w:rStyle w:val="FootnoteReference"/>
        </w:rPr>
        <w:footnoteRef/>
      </w:r>
      <w:r>
        <w:t xml:space="preserve"> </w:t>
      </w:r>
      <w:r>
        <w:rPr>
          <w:lang w:val="en-US"/>
        </w:rPr>
        <w:t xml:space="preserve">United States' appellee's submission, </w:t>
      </w:r>
      <w:r w:rsidRPr="00AF3D63">
        <w:rPr>
          <w:lang w:val="en-US"/>
        </w:rPr>
        <w:t>para. </w:t>
      </w:r>
      <w:r>
        <w:rPr>
          <w:lang w:val="en-US"/>
        </w:rPr>
        <w:t>520. (emphasis original)</w:t>
      </w:r>
    </w:p>
  </w:footnote>
  <w:footnote w:id="1931">
    <w:p w:rsidR="00FD2727" w:rsidRPr="00410588" w:rsidRDefault="00FD2727">
      <w:pPr>
        <w:pStyle w:val="FootnoteText"/>
        <w:rPr>
          <w:lang w:val="en-US"/>
        </w:rPr>
      </w:pPr>
      <w:r>
        <w:rPr>
          <w:rStyle w:val="FootnoteReference"/>
        </w:rPr>
        <w:footnoteRef/>
      </w:r>
      <w:r>
        <w:t xml:space="preserve"> United States</w:t>
      </w:r>
      <w:r>
        <w:rPr>
          <w:lang w:val="en-US"/>
        </w:rPr>
        <w:t xml:space="preserve">' appellee's submission, </w:t>
      </w:r>
      <w:r w:rsidRPr="00AF3D63">
        <w:rPr>
          <w:lang w:val="en-US"/>
        </w:rPr>
        <w:t>para. </w:t>
      </w:r>
      <w:r>
        <w:rPr>
          <w:lang w:val="en-US"/>
        </w:rPr>
        <w:t>511.</w:t>
      </w:r>
    </w:p>
  </w:footnote>
  <w:footnote w:id="1932">
    <w:p w:rsidR="00FD2727" w:rsidRPr="00410588" w:rsidRDefault="00FD2727">
      <w:pPr>
        <w:pStyle w:val="FootnoteText"/>
        <w:rPr>
          <w:lang w:val="en-US"/>
        </w:rPr>
      </w:pPr>
      <w:r>
        <w:rPr>
          <w:rStyle w:val="FootnoteReference"/>
        </w:rPr>
        <w:footnoteRef/>
      </w:r>
      <w:r>
        <w:t xml:space="preserve"> United States' appellee's submission, </w:t>
      </w:r>
      <w:r w:rsidRPr="00AF3D63">
        <w:t>para. </w:t>
      </w:r>
      <w:r>
        <w:t xml:space="preserve">515 (referring to European Union's appellant's submission, </w:t>
      </w:r>
      <w:r w:rsidRPr="00AF3D63">
        <w:t>paras. </w:t>
      </w:r>
      <w:r>
        <w:t>550, 559, 602, 614, 618, and 922).</w:t>
      </w:r>
    </w:p>
  </w:footnote>
  <w:footnote w:id="1933">
    <w:p w:rsidR="00FD2727" w:rsidRPr="00410588" w:rsidRDefault="00FD2727">
      <w:pPr>
        <w:pStyle w:val="FootnoteText"/>
        <w:rPr>
          <w:lang w:val="en-US"/>
        </w:rPr>
      </w:pPr>
      <w:r>
        <w:rPr>
          <w:rStyle w:val="FootnoteReference"/>
        </w:rPr>
        <w:footnoteRef/>
      </w:r>
      <w:r>
        <w:t xml:space="preserve"> United States</w:t>
      </w:r>
      <w:r>
        <w:rPr>
          <w:lang w:val="en-US"/>
        </w:rPr>
        <w:t xml:space="preserve">' appellee's submission, </w:t>
      </w:r>
      <w:r w:rsidRPr="00AF3D63">
        <w:rPr>
          <w:lang w:val="en-US"/>
        </w:rPr>
        <w:t>para. </w:t>
      </w:r>
      <w:r>
        <w:rPr>
          <w:lang w:val="en-US"/>
        </w:rPr>
        <w:t xml:space="preserve">516 (referring to Panel Report, </w:t>
      </w:r>
      <w:r w:rsidRPr="00AF3D63">
        <w:rPr>
          <w:lang w:val="en-US"/>
        </w:rPr>
        <w:t>paras. </w:t>
      </w:r>
      <w:r>
        <w:rPr>
          <w:lang w:val="en-US"/>
        </w:rPr>
        <w:t>6.1157</w:t>
      </w:r>
      <w:r>
        <w:rPr>
          <w:lang w:val="en-US"/>
        </w:rPr>
        <w:noBreakHyphen/>
        <w:t>6.1416).</w:t>
      </w:r>
    </w:p>
  </w:footnote>
  <w:footnote w:id="1934">
    <w:p w:rsidR="00FD2727" w:rsidRPr="00410588" w:rsidRDefault="00FD2727">
      <w:pPr>
        <w:pStyle w:val="FootnoteText"/>
        <w:rPr>
          <w:lang w:val="en-US"/>
        </w:rPr>
      </w:pPr>
      <w:r>
        <w:rPr>
          <w:rStyle w:val="FootnoteReference"/>
        </w:rPr>
        <w:footnoteRef/>
      </w:r>
      <w:r>
        <w:t xml:space="preserve"> </w:t>
      </w:r>
      <w:r>
        <w:rPr>
          <w:lang w:val="en-US"/>
        </w:rPr>
        <w:t xml:space="preserve">United States' appellee's submission, </w:t>
      </w:r>
      <w:r w:rsidRPr="00AF3D63">
        <w:rPr>
          <w:lang w:val="en-US"/>
        </w:rPr>
        <w:t>para. </w:t>
      </w:r>
      <w:r w:rsidRPr="00EC6168">
        <w:rPr>
          <w:lang w:val="en-US"/>
        </w:rPr>
        <w:t>52</w:t>
      </w:r>
      <w:r>
        <w:rPr>
          <w:lang w:val="en-US"/>
        </w:rPr>
        <w:t>8</w:t>
      </w:r>
      <w:r w:rsidRPr="00EC6168">
        <w:rPr>
          <w:lang w:val="en-US"/>
        </w:rPr>
        <w:t>.</w:t>
      </w:r>
    </w:p>
  </w:footnote>
  <w:footnote w:id="1935">
    <w:p w:rsidR="00FD2727" w:rsidRPr="00410588" w:rsidRDefault="00FD2727">
      <w:pPr>
        <w:pStyle w:val="FootnoteText"/>
        <w:rPr>
          <w:lang w:val="en-US"/>
        </w:rPr>
      </w:pPr>
      <w:r>
        <w:rPr>
          <w:rStyle w:val="FootnoteReference"/>
        </w:rPr>
        <w:footnoteRef/>
      </w:r>
      <w:r>
        <w:t xml:space="preserve"> </w:t>
      </w:r>
      <w:r>
        <w:rPr>
          <w:lang w:val="en-US"/>
        </w:rPr>
        <w:t xml:space="preserve">United States' appellee's submission, </w:t>
      </w:r>
      <w:r w:rsidRPr="00AF3D63">
        <w:rPr>
          <w:lang w:val="en-US"/>
        </w:rPr>
        <w:t>para. </w:t>
      </w:r>
      <w:r>
        <w:rPr>
          <w:lang w:val="en-US"/>
        </w:rPr>
        <w:t>516 (referring to s</w:t>
      </w:r>
      <w:r w:rsidRPr="00342A1B">
        <w:rPr>
          <w:lang w:val="en-US"/>
        </w:rPr>
        <w:t>ection</w:t>
      </w:r>
      <w:r>
        <w:rPr>
          <w:lang w:val="en-US"/>
        </w:rPr>
        <w:t>s</w:t>
      </w:r>
      <w:r w:rsidRPr="00342A1B">
        <w:rPr>
          <w:lang w:val="en-US"/>
        </w:rPr>
        <w:t xml:space="preserve"> VIII.E.2.a-b</w:t>
      </w:r>
      <w:r>
        <w:rPr>
          <w:lang w:val="en-US"/>
        </w:rPr>
        <w:t xml:space="preserve"> of its submission)</w:t>
      </w:r>
      <w:r w:rsidRPr="00342A1B">
        <w:rPr>
          <w:lang w:val="en-US"/>
        </w:rPr>
        <w:t>.</w:t>
      </w:r>
    </w:p>
  </w:footnote>
  <w:footnote w:id="1936">
    <w:p w:rsidR="00FD2727" w:rsidRPr="00410588" w:rsidRDefault="00FD2727">
      <w:pPr>
        <w:pStyle w:val="FootnoteText"/>
        <w:rPr>
          <w:lang w:val="en-US"/>
        </w:rPr>
      </w:pPr>
      <w:r>
        <w:rPr>
          <w:rStyle w:val="FootnoteReference"/>
        </w:rPr>
        <w:footnoteRef/>
      </w:r>
      <w:r>
        <w:t xml:space="preserve"> </w:t>
      </w:r>
      <w:r>
        <w:rPr>
          <w:lang w:val="en-US"/>
        </w:rPr>
        <w:t xml:space="preserve">United States' appellee's submission, </w:t>
      </w:r>
      <w:r w:rsidRPr="00AF3D63">
        <w:rPr>
          <w:lang w:val="en-US"/>
        </w:rPr>
        <w:t>para. </w:t>
      </w:r>
      <w:r w:rsidRPr="00EC6168">
        <w:rPr>
          <w:lang w:val="en-US"/>
        </w:rPr>
        <w:t>52</w:t>
      </w:r>
      <w:r>
        <w:rPr>
          <w:lang w:val="en-US"/>
        </w:rPr>
        <w:t>9.</w:t>
      </w:r>
    </w:p>
  </w:footnote>
  <w:footnote w:id="1937">
    <w:p w:rsidR="00FD2727" w:rsidRPr="00410588" w:rsidRDefault="00FD2727">
      <w:pPr>
        <w:pStyle w:val="FootnoteText"/>
        <w:rPr>
          <w:lang w:val="en-US"/>
        </w:rPr>
      </w:pPr>
      <w:r>
        <w:rPr>
          <w:rStyle w:val="FootnoteReference"/>
        </w:rPr>
        <w:footnoteRef/>
      </w:r>
      <w:r>
        <w:t xml:space="preserve"> United States' appellee's submission, </w:t>
      </w:r>
      <w:r w:rsidRPr="00AF3D63">
        <w:t>para. </w:t>
      </w:r>
      <w:r>
        <w:t>532.</w:t>
      </w:r>
    </w:p>
  </w:footnote>
  <w:footnote w:id="1938">
    <w:p w:rsidR="00FD2727" w:rsidRPr="00410588" w:rsidRDefault="00FD2727">
      <w:pPr>
        <w:pStyle w:val="FootnoteText"/>
        <w:rPr>
          <w:lang w:val="en-US"/>
        </w:rPr>
      </w:pPr>
      <w:r>
        <w:rPr>
          <w:rStyle w:val="FootnoteReference"/>
        </w:rPr>
        <w:footnoteRef/>
      </w:r>
      <w:r>
        <w:t xml:space="preserve"> United States' appellee's submission, </w:t>
      </w:r>
      <w:r w:rsidRPr="00AF3D63">
        <w:t>para. </w:t>
      </w:r>
      <w:r>
        <w:t xml:space="preserve">535 (referring to Panel Report, paras. 6.1790 and 6.1792-6.1797, and quoting Panel Report, </w:t>
      </w:r>
      <w:r w:rsidRPr="00AF3D63">
        <w:t>para. </w:t>
      </w:r>
      <w:r>
        <w:t>6.1478).</w:t>
      </w:r>
    </w:p>
  </w:footnote>
  <w:footnote w:id="1939">
    <w:p w:rsidR="00FD2727" w:rsidRPr="00410588" w:rsidRDefault="00FD2727">
      <w:pPr>
        <w:pStyle w:val="FootnoteText"/>
        <w:rPr>
          <w:lang w:val="en-US"/>
        </w:rPr>
      </w:pPr>
      <w:r>
        <w:rPr>
          <w:rStyle w:val="FootnoteReference"/>
        </w:rPr>
        <w:footnoteRef/>
      </w:r>
      <w:r>
        <w:t xml:space="preserve"> United States' appellee's submission, </w:t>
      </w:r>
      <w:r w:rsidRPr="00AF3D63">
        <w:t>para. </w:t>
      </w:r>
      <w:r>
        <w:t>535 (quoting Appellate Body Report,</w:t>
      </w:r>
      <w:r>
        <w:rPr>
          <w:i/>
        </w:rPr>
        <w:t xml:space="preserve"> EC and certain member States – Large Civil Aircraft</w:t>
      </w:r>
      <w:r>
        <w:t xml:space="preserve">, </w:t>
      </w:r>
      <w:r w:rsidRPr="00AF3D63">
        <w:t>para. </w:t>
      </w:r>
      <w:r>
        <w:t>1264).</w:t>
      </w:r>
    </w:p>
  </w:footnote>
  <w:footnote w:id="1940">
    <w:p w:rsidR="00FD2727" w:rsidRPr="00410588" w:rsidRDefault="00FD2727">
      <w:pPr>
        <w:pStyle w:val="FootnoteText"/>
        <w:rPr>
          <w:lang w:val="en-US"/>
        </w:rPr>
      </w:pPr>
      <w:r>
        <w:rPr>
          <w:rStyle w:val="FootnoteReference"/>
        </w:rPr>
        <w:footnoteRef/>
      </w:r>
      <w:r>
        <w:t xml:space="preserve"> United States' appellee's submission, </w:t>
      </w:r>
      <w:r w:rsidRPr="00AF3D63">
        <w:t>para. </w:t>
      </w:r>
      <w:r>
        <w:t xml:space="preserve">539 (referring to Panel Report, </w:t>
      </w:r>
      <w:r w:rsidRPr="00AF3D63">
        <w:t>paras. </w:t>
      </w:r>
      <w:r>
        <w:t>6.1455</w:t>
      </w:r>
      <w:r>
        <w:noBreakHyphen/>
        <w:t>6.1479).</w:t>
      </w:r>
    </w:p>
  </w:footnote>
  <w:footnote w:id="1941">
    <w:p w:rsidR="00FD2727" w:rsidRPr="00410588" w:rsidRDefault="00FD2727">
      <w:pPr>
        <w:pStyle w:val="FootnoteText"/>
        <w:rPr>
          <w:lang w:val="en-US"/>
        </w:rPr>
      </w:pPr>
      <w:r>
        <w:rPr>
          <w:rStyle w:val="FootnoteReference"/>
        </w:rPr>
        <w:footnoteRef/>
      </w:r>
      <w:r>
        <w:t xml:space="preserve"> United States' appellee's submission, </w:t>
      </w:r>
      <w:r w:rsidRPr="00AF3D63">
        <w:t>paras. </w:t>
      </w:r>
      <w:r>
        <w:t>540-546.</w:t>
      </w:r>
    </w:p>
  </w:footnote>
  <w:footnote w:id="1942">
    <w:p w:rsidR="00FD2727" w:rsidRPr="00410588" w:rsidRDefault="00FD2727">
      <w:pPr>
        <w:pStyle w:val="FootnoteText"/>
        <w:rPr>
          <w:lang w:val="en-US"/>
        </w:rPr>
      </w:pPr>
      <w:r>
        <w:rPr>
          <w:rStyle w:val="FootnoteReference"/>
        </w:rPr>
        <w:footnoteRef/>
      </w:r>
      <w:r>
        <w:t xml:space="preserve"> United States' appellee's submission, </w:t>
      </w:r>
      <w:r w:rsidRPr="00AF3D63">
        <w:t>para. </w:t>
      </w:r>
      <w:r>
        <w:t xml:space="preserve">549 (quoting Panel Report, Annex E-2, </w:t>
      </w:r>
      <w:r w:rsidRPr="00AF3D63">
        <w:t>para. </w:t>
      </w:r>
      <w:r>
        <w:t>2).</w:t>
      </w:r>
    </w:p>
  </w:footnote>
  <w:footnote w:id="1943">
    <w:p w:rsidR="00FD2727" w:rsidRPr="00410588" w:rsidRDefault="00FD2727">
      <w:pPr>
        <w:pStyle w:val="FootnoteText"/>
        <w:rPr>
          <w:lang w:val="en-US"/>
        </w:rPr>
      </w:pPr>
      <w:r>
        <w:rPr>
          <w:rStyle w:val="FootnoteReference"/>
        </w:rPr>
        <w:footnoteRef/>
      </w:r>
      <w:r>
        <w:t xml:space="preserve"> United States' appellee's submission, </w:t>
      </w:r>
      <w:r w:rsidRPr="00AF3D63">
        <w:t>para. </w:t>
      </w:r>
      <w:r>
        <w:t>563.</w:t>
      </w:r>
    </w:p>
  </w:footnote>
  <w:footnote w:id="1944">
    <w:p w:rsidR="00FD2727" w:rsidRPr="00410588" w:rsidRDefault="00FD2727">
      <w:pPr>
        <w:pStyle w:val="FootnoteText"/>
        <w:rPr>
          <w:lang w:val="en-US"/>
        </w:rPr>
      </w:pPr>
      <w:r>
        <w:rPr>
          <w:rStyle w:val="FootnoteReference"/>
        </w:rPr>
        <w:footnoteRef/>
      </w:r>
      <w:r>
        <w:t xml:space="preserve"> United States' appellee's submission, </w:t>
      </w:r>
      <w:r w:rsidRPr="00AF3D63">
        <w:t>para. </w:t>
      </w:r>
      <w:r>
        <w:t xml:space="preserve">565 (quoting Panel Report, </w:t>
      </w:r>
      <w:r w:rsidRPr="00AF3D63">
        <w:t>paras. </w:t>
      </w:r>
      <w:r>
        <w:t>6.1817 and 7.1.d.xiv</w:t>
      </w:r>
      <w:r>
        <w:noBreakHyphen/>
        <w:t xml:space="preserve">xv; referring to Panel Report, </w:t>
      </w:r>
      <w:r>
        <w:rPr>
          <w:i/>
        </w:rPr>
        <w:t>US – Cotton Yarn</w:t>
      </w:r>
      <w:r>
        <w:t xml:space="preserve">, fn 277 to </w:t>
      </w:r>
      <w:r w:rsidRPr="00AF3D63">
        <w:t>para. </w:t>
      </w:r>
      <w:r>
        <w:t>7.88).</w:t>
      </w:r>
    </w:p>
  </w:footnote>
  <w:footnote w:id="1945">
    <w:p w:rsidR="00FD2727" w:rsidRPr="00410588" w:rsidRDefault="00FD2727">
      <w:pPr>
        <w:pStyle w:val="FootnoteText"/>
        <w:rPr>
          <w:lang w:val="en-US"/>
        </w:rPr>
      </w:pPr>
      <w:r>
        <w:rPr>
          <w:rStyle w:val="FootnoteReference"/>
        </w:rPr>
        <w:footnoteRef/>
      </w:r>
      <w:r>
        <w:t xml:space="preserve"> United States' appellee's submission, </w:t>
      </w:r>
      <w:r w:rsidRPr="00AF3D63">
        <w:t>para. </w:t>
      </w:r>
      <w:r>
        <w:t xml:space="preserve">568 (referring to Appellate Body Reports, </w:t>
      </w:r>
      <w:r>
        <w:rPr>
          <w:i/>
        </w:rPr>
        <w:t>US – Upland Cotton</w:t>
      </w:r>
      <w:r>
        <w:t xml:space="preserve">, </w:t>
      </w:r>
      <w:r w:rsidRPr="00AF3D63">
        <w:t>para. </w:t>
      </w:r>
      <w:r>
        <w:t xml:space="preserve">478; </w:t>
      </w:r>
      <w:r>
        <w:rPr>
          <w:i/>
        </w:rPr>
        <w:t>EC and certain member States – Large Civil Aircraft</w:t>
      </w:r>
      <w:r>
        <w:t xml:space="preserve">, </w:t>
      </w:r>
      <w:r w:rsidRPr="00AF3D63">
        <w:t>paras. </w:t>
      </w:r>
      <w:r>
        <w:t>1166</w:t>
      </w:r>
      <w:r w:rsidRPr="007629B5">
        <w:noBreakHyphen/>
        <w:t xml:space="preserve">1167 and 1170; </w:t>
      </w:r>
      <w:r w:rsidRPr="007629B5">
        <w:rPr>
          <w:i/>
        </w:rPr>
        <w:t>US ‒ Large Civil Aircraft (2</w:t>
      </w:r>
      <w:r w:rsidRPr="007629B5">
        <w:rPr>
          <w:i/>
          <w:vertAlign w:val="superscript"/>
        </w:rPr>
        <w:t>nd</w:t>
      </w:r>
      <w:r w:rsidRPr="007629B5">
        <w:rPr>
          <w:i/>
        </w:rPr>
        <w:t xml:space="preserve"> complaint)</w:t>
      </w:r>
      <w:r w:rsidRPr="007629B5">
        <w:t>, para. 1086).</w:t>
      </w:r>
    </w:p>
  </w:footnote>
  <w:footnote w:id="1946">
    <w:p w:rsidR="00FD2727" w:rsidRPr="00410588" w:rsidRDefault="00FD2727">
      <w:pPr>
        <w:pStyle w:val="FootnoteText"/>
        <w:rPr>
          <w:lang w:val="en-US"/>
        </w:rPr>
      </w:pPr>
      <w:r>
        <w:rPr>
          <w:rStyle w:val="FootnoteReference"/>
        </w:rPr>
        <w:footnoteRef/>
      </w:r>
      <w:r>
        <w:t xml:space="preserve"> United States' appellee's submission, </w:t>
      </w:r>
      <w:r w:rsidRPr="00AF3D63">
        <w:t>para. </w:t>
      </w:r>
      <w:r>
        <w:t xml:space="preserve">568 (quoting Appellate Body Report, </w:t>
      </w:r>
      <w:r>
        <w:br/>
      </w:r>
      <w:r>
        <w:rPr>
          <w:i/>
        </w:rPr>
        <w:t>US – Large Civil Aircraft (2</w:t>
      </w:r>
      <w:r w:rsidRPr="005E59CB">
        <w:rPr>
          <w:i/>
          <w:vertAlign w:val="superscript"/>
        </w:rPr>
        <w:t>nd</w:t>
      </w:r>
      <w:r>
        <w:rPr>
          <w:i/>
        </w:rPr>
        <w:t xml:space="preserve"> complaint)</w:t>
      </w:r>
      <w:r>
        <w:t xml:space="preserve">, </w:t>
      </w:r>
      <w:r w:rsidRPr="00AF3D63">
        <w:t>para. </w:t>
      </w:r>
      <w:r>
        <w:t>1086).</w:t>
      </w:r>
    </w:p>
  </w:footnote>
  <w:footnote w:id="1947">
    <w:p w:rsidR="00FD2727" w:rsidRPr="00410588" w:rsidRDefault="00FD2727">
      <w:pPr>
        <w:pStyle w:val="FootnoteText"/>
        <w:rPr>
          <w:lang w:val="en-US"/>
        </w:rPr>
      </w:pPr>
      <w:r>
        <w:rPr>
          <w:rStyle w:val="FootnoteReference"/>
        </w:rPr>
        <w:footnoteRef/>
      </w:r>
      <w:r>
        <w:t xml:space="preserve"> United States' appellee's submission, </w:t>
      </w:r>
      <w:r w:rsidRPr="00AF3D63">
        <w:t>para. </w:t>
      </w:r>
      <w:r>
        <w:t>571.</w:t>
      </w:r>
    </w:p>
  </w:footnote>
  <w:footnote w:id="1948">
    <w:p w:rsidR="00FD2727" w:rsidRPr="00410588" w:rsidRDefault="00FD2727">
      <w:pPr>
        <w:pStyle w:val="FootnoteText"/>
        <w:rPr>
          <w:lang w:val="en-US"/>
        </w:rPr>
      </w:pPr>
      <w:r>
        <w:rPr>
          <w:rStyle w:val="FootnoteReference"/>
        </w:rPr>
        <w:footnoteRef/>
      </w:r>
      <w:r>
        <w:t xml:space="preserve"> United States' appellee's submission, </w:t>
      </w:r>
      <w:r w:rsidRPr="00AF3D63">
        <w:t>para. </w:t>
      </w:r>
      <w:r>
        <w:t>572.</w:t>
      </w:r>
    </w:p>
  </w:footnote>
  <w:footnote w:id="1949">
    <w:p w:rsidR="00FD2727" w:rsidRPr="00410588" w:rsidRDefault="00FD2727">
      <w:pPr>
        <w:pStyle w:val="FootnoteText"/>
        <w:rPr>
          <w:lang w:val="en-US"/>
        </w:rPr>
      </w:pPr>
      <w:r>
        <w:rPr>
          <w:rStyle w:val="FootnoteReference"/>
        </w:rPr>
        <w:footnoteRef/>
      </w:r>
      <w:r>
        <w:t xml:space="preserve"> United States' appellee's submission, </w:t>
      </w:r>
      <w:r w:rsidRPr="00AF3D63">
        <w:t>paras. </w:t>
      </w:r>
      <w:r>
        <w:t>551 and 572.</w:t>
      </w:r>
    </w:p>
  </w:footnote>
  <w:footnote w:id="1950">
    <w:p w:rsidR="00FD2727" w:rsidRPr="00410588" w:rsidRDefault="00FD2727">
      <w:pPr>
        <w:pStyle w:val="FootnoteText"/>
        <w:rPr>
          <w:lang w:val="en-US"/>
        </w:rPr>
      </w:pPr>
      <w:r>
        <w:rPr>
          <w:rStyle w:val="FootnoteReference"/>
        </w:rPr>
        <w:footnoteRef/>
      </w:r>
      <w:r>
        <w:t xml:space="preserve"> United States' appellee's submission, </w:t>
      </w:r>
      <w:r w:rsidRPr="00AF3D63">
        <w:t>para. </w:t>
      </w:r>
      <w:r>
        <w:t xml:space="preserve">573 (referring to United States' response to Panel questions No. 40 and No. 162; </w:t>
      </w:r>
      <w:r w:rsidRPr="00744B23">
        <w:rPr>
          <w:szCs w:val="16"/>
        </w:rPr>
        <w:t>Summary Table of Updated Ascend Aircraft Database</w:t>
      </w:r>
      <w:r>
        <w:t xml:space="preserve"> (Panel Exhibit USA</w:t>
      </w:r>
      <w:r>
        <w:noBreakHyphen/>
        <w:t>578 (BCI))).</w:t>
      </w:r>
    </w:p>
  </w:footnote>
  <w:footnote w:id="1951">
    <w:p w:rsidR="00FD2727" w:rsidRPr="00410588" w:rsidRDefault="00FD2727" w:rsidP="00C752B3">
      <w:pPr>
        <w:pStyle w:val="FootnoteText"/>
        <w:rPr>
          <w:lang w:val="en-US"/>
        </w:rPr>
      </w:pPr>
      <w:r>
        <w:rPr>
          <w:rStyle w:val="FootnoteReference"/>
        </w:rPr>
        <w:footnoteRef/>
      </w:r>
      <w:r>
        <w:t xml:space="preserve"> Appellate Body Report, </w:t>
      </w:r>
      <w:r>
        <w:rPr>
          <w:i/>
        </w:rPr>
        <w:t>EC and certain member States – Large Civil Aircraft</w:t>
      </w:r>
      <w:r>
        <w:t xml:space="preserve">, </w:t>
      </w:r>
      <w:r w:rsidRPr="00AF3D63">
        <w:t>para. </w:t>
      </w:r>
      <w:r>
        <w:t>1163.</w:t>
      </w:r>
    </w:p>
  </w:footnote>
  <w:footnote w:id="1952">
    <w:p w:rsidR="00FD2727" w:rsidRPr="00410588" w:rsidRDefault="00FD2727" w:rsidP="00C752B3">
      <w:pPr>
        <w:pStyle w:val="FootnoteText"/>
        <w:rPr>
          <w:lang w:val="en-US"/>
        </w:rPr>
      </w:pPr>
      <w:r>
        <w:rPr>
          <w:rStyle w:val="FootnoteReference"/>
        </w:rPr>
        <w:footnoteRef/>
      </w:r>
      <w:r>
        <w:t xml:space="preserve"> Appellate Body Report, </w:t>
      </w:r>
      <w:r>
        <w:rPr>
          <w:i/>
        </w:rPr>
        <w:t>EC and certain member States – Large Civil Aircraft</w:t>
      </w:r>
      <w:r>
        <w:t xml:space="preserve">, </w:t>
      </w:r>
      <w:r w:rsidRPr="00AF3D63">
        <w:t>para. </w:t>
      </w:r>
      <w:r>
        <w:t>1163.</w:t>
      </w:r>
      <w:r w:rsidRPr="005527DD">
        <w:t xml:space="preserve"> </w:t>
      </w:r>
      <w:r>
        <w:t xml:space="preserve">The Appellate Body added that "{t}he </w:t>
      </w:r>
      <w:r w:rsidRPr="00FB52DD">
        <w:t xml:space="preserve">identification of displacement </w:t>
      </w:r>
      <w:r w:rsidRPr="00E049CB">
        <w:rPr>
          <w:i/>
        </w:rPr>
        <w:t>under this approach</w:t>
      </w:r>
      <w:r>
        <w:t>" (i.e. the two-step approach)</w:t>
      </w:r>
      <w:r w:rsidRPr="00FB52DD">
        <w:t xml:space="preserve"> should focus on </w:t>
      </w:r>
      <w:r>
        <w:t xml:space="preserve">"clearly identifiable" </w:t>
      </w:r>
      <w:r w:rsidRPr="00FB52DD">
        <w:t xml:space="preserve">trends in the markets, </w:t>
      </w:r>
      <w:r>
        <w:t>"</w:t>
      </w:r>
      <w:r w:rsidRPr="00FB52DD">
        <w:t>looking at both volumes and market shares</w:t>
      </w:r>
      <w:r>
        <w:t xml:space="preserve">". (Ibid., </w:t>
      </w:r>
      <w:r w:rsidRPr="00AF3D63">
        <w:t>para. </w:t>
      </w:r>
      <w:r>
        <w:t>1170</w:t>
      </w:r>
      <w:r w:rsidRPr="0080038F">
        <w:t xml:space="preserve"> (emphasis added)</w:t>
      </w:r>
      <w:r>
        <w:t>)</w:t>
      </w:r>
      <w:r w:rsidRPr="0049190F">
        <w:t xml:space="preserve"> </w:t>
      </w:r>
      <w:r>
        <w:t>We recall that, in the context of the two-step approach to causation adopted by the original panel, the Appellate Body explained that, "w</w:t>
      </w:r>
      <w:r w:rsidRPr="00A35D7F">
        <w:t xml:space="preserve">here a complainant puts forward a case </w:t>
      </w:r>
      <w:r>
        <w:t xml:space="preserve">based </w:t>
      </w:r>
      <w:r w:rsidRPr="00A35D7F">
        <w:t xml:space="preserve">on the existence of displacement </w:t>
      </w:r>
      <w:r w:rsidRPr="00E049CB">
        <w:t xml:space="preserve">as a </w:t>
      </w:r>
      <w:r w:rsidRPr="00E049CB">
        <w:rPr>
          <w:i/>
        </w:rPr>
        <w:t>directly observable phenomenon</w:t>
      </w:r>
      <w:r>
        <w:t>", displacement can be found to exist where the "</w:t>
      </w:r>
      <w:r w:rsidRPr="00A35D7F">
        <w:t>imports of a like product of the complaining Member are declining in the market of the subsidizing Member, and are being substituted by the subsidized product</w:t>
      </w:r>
      <w:r>
        <w:t>". (Ibid. (emphasis added))</w:t>
      </w:r>
      <w:r w:rsidRPr="0049190F">
        <w:t xml:space="preserve"> </w:t>
      </w:r>
      <w:r>
        <w:t>In contrast, u</w:t>
      </w:r>
      <w:r w:rsidRPr="006F4836">
        <w:t xml:space="preserve">nder a unitary approach, the analysis of the particular market phenomena identified in the subparagraphs of Article 6.3 is not conducted separately from the analysis of whether there is a causal relationship between those market phenomena and the challenged subsidies. </w:t>
      </w:r>
      <w:r>
        <w:t>(Ibid., para. 1107)</w:t>
      </w:r>
    </w:p>
  </w:footnote>
  <w:footnote w:id="1953">
    <w:p w:rsidR="00FD2727" w:rsidRPr="00410588" w:rsidRDefault="00FD2727">
      <w:pPr>
        <w:pStyle w:val="FootnoteText"/>
        <w:rPr>
          <w:lang w:val="en-US"/>
        </w:rPr>
      </w:pPr>
      <w:r>
        <w:rPr>
          <w:rStyle w:val="FootnoteReference"/>
        </w:rPr>
        <w:footnoteRef/>
      </w:r>
      <w:r>
        <w:t xml:space="preserve"> Appellate Body Report, </w:t>
      </w:r>
      <w:r>
        <w:rPr>
          <w:i/>
        </w:rPr>
        <w:t>EC and certain member States – Large Civil Aircraft</w:t>
      </w:r>
      <w:r>
        <w:t xml:space="preserve">, </w:t>
      </w:r>
      <w:r w:rsidRPr="00AF3D63">
        <w:t>para. </w:t>
      </w:r>
      <w:r>
        <w:t xml:space="preserve">1119. (fn omitted) The Appellate Body has explained that </w:t>
      </w:r>
      <w:r w:rsidRPr="00FB52DD">
        <w:t xml:space="preserve">the following characteristics </w:t>
      </w:r>
      <w:r>
        <w:t>would</w:t>
      </w:r>
      <w:r w:rsidRPr="00FB52DD">
        <w:t xml:space="preserve"> "</w:t>
      </w:r>
      <w:r w:rsidRPr="00EE0A63">
        <w:rPr>
          <w:i/>
        </w:rPr>
        <w:t>normally</w:t>
      </w:r>
      <w:r w:rsidRPr="00FB52DD">
        <w:t xml:space="preserve"> be necessary" before a panel can reach a finding of displacement under </w:t>
      </w:r>
      <w:r>
        <w:t>Article </w:t>
      </w:r>
      <w:r w:rsidRPr="00FB52DD">
        <w:t>6.3(b): "first, that at least a portion of the market share of the exports of the like product of the complaining Member must have been taken over or substituted by the subsidized product"; and "second, it must be possible to discern trends in volume and market share".</w:t>
      </w:r>
      <w:r>
        <w:t xml:space="preserve"> (</w:t>
      </w:r>
      <w:r w:rsidRPr="00EE0A63">
        <w:t xml:space="preserve">Appellate Body Report, </w:t>
      </w:r>
      <w:r w:rsidRPr="00EE0A63">
        <w:rPr>
          <w:i/>
        </w:rPr>
        <w:t>US – Large Civil Aircraft (2</w:t>
      </w:r>
      <w:r w:rsidRPr="00EE0A63">
        <w:rPr>
          <w:i/>
          <w:vertAlign w:val="superscript"/>
        </w:rPr>
        <w:t>nd</w:t>
      </w:r>
      <w:r w:rsidRPr="00EE0A63">
        <w:rPr>
          <w:i/>
        </w:rPr>
        <w:t xml:space="preserve"> complaint)</w:t>
      </w:r>
      <w:r w:rsidRPr="00EE0A63">
        <w:t xml:space="preserve">, </w:t>
      </w:r>
      <w:r w:rsidRPr="00AF3D63">
        <w:t>para. </w:t>
      </w:r>
      <w:r w:rsidRPr="00EE0A63">
        <w:t>1082 (</w:t>
      </w:r>
      <w:r>
        <w:t xml:space="preserve">emphasis added; </w:t>
      </w:r>
      <w:r w:rsidRPr="00EE0A63">
        <w:t>fn omitted)</w:t>
      </w:r>
      <w:r>
        <w:t>)</w:t>
      </w:r>
    </w:p>
  </w:footnote>
  <w:footnote w:id="1954">
    <w:p w:rsidR="00FD2727" w:rsidRPr="00410588" w:rsidRDefault="00FD2727">
      <w:pPr>
        <w:pStyle w:val="FootnoteText"/>
        <w:rPr>
          <w:lang w:val="en-US"/>
        </w:rPr>
      </w:pPr>
      <w:r>
        <w:rPr>
          <w:rStyle w:val="FootnoteReference"/>
        </w:rPr>
        <w:footnoteRef/>
      </w:r>
      <w:r>
        <w:t xml:space="preserve"> Appellate Body Report, </w:t>
      </w:r>
      <w:r>
        <w:rPr>
          <w:i/>
        </w:rPr>
        <w:t>EC and certain member States – Large Civil Aircraft</w:t>
      </w:r>
      <w:r>
        <w:t xml:space="preserve">, </w:t>
      </w:r>
      <w:r w:rsidRPr="00AF3D63">
        <w:t>para. </w:t>
      </w:r>
      <w:r>
        <w:t>1119.</w:t>
      </w:r>
    </w:p>
  </w:footnote>
  <w:footnote w:id="1955">
    <w:p w:rsidR="00FD2727" w:rsidRPr="00410588" w:rsidRDefault="00FD2727">
      <w:pPr>
        <w:pStyle w:val="FootnoteText"/>
        <w:rPr>
          <w:lang w:val="en-US"/>
        </w:rPr>
      </w:pPr>
      <w:r>
        <w:rPr>
          <w:rStyle w:val="FootnoteReference"/>
        </w:rPr>
        <w:footnoteRef/>
      </w:r>
      <w:r>
        <w:t xml:space="preserve"> Appellate Body Report, </w:t>
      </w:r>
      <w:r>
        <w:rPr>
          <w:i/>
        </w:rPr>
        <w:t>EC and certain member States – Large Civil Aircraft</w:t>
      </w:r>
      <w:r>
        <w:t xml:space="preserve">, </w:t>
      </w:r>
      <w:r w:rsidRPr="00AF3D63">
        <w:t>para. </w:t>
      </w:r>
      <w:r>
        <w:t>1160. (fn omitted)</w:t>
      </w:r>
    </w:p>
  </w:footnote>
  <w:footnote w:id="1956">
    <w:p w:rsidR="00FD2727" w:rsidRPr="00410588" w:rsidRDefault="00FD2727">
      <w:pPr>
        <w:pStyle w:val="FootnoteText"/>
        <w:rPr>
          <w:lang w:val="en-US"/>
        </w:rPr>
      </w:pPr>
      <w:r>
        <w:rPr>
          <w:rStyle w:val="FootnoteReference"/>
        </w:rPr>
        <w:footnoteRef/>
      </w:r>
      <w:r>
        <w:t xml:space="preserve"> Appellate Body Report, </w:t>
      </w:r>
      <w:r>
        <w:rPr>
          <w:i/>
        </w:rPr>
        <w:t>EC and certain member States – Large Civil Aircraft</w:t>
      </w:r>
      <w:r>
        <w:t xml:space="preserve">, </w:t>
      </w:r>
      <w:r w:rsidRPr="00AF3D63">
        <w:t>para. </w:t>
      </w:r>
      <w:r>
        <w:t>1162.</w:t>
      </w:r>
    </w:p>
  </w:footnote>
  <w:footnote w:id="1957">
    <w:p w:rsidR="00FD2727" w:rsidRPr="00410588" w:rsidRDefault="00FD2727">
      <w:pPr>
        <w:pStyle w:val="FootnoteText"/>
        <w:rPr>
          <w:lang w:val="en-US"/>
        </w:rPr>
      </w:pPr>
      <w:r>
        <w:rPr>
          <w:rStyle w:val="FootnoteReference"/>
        </w:rPr>
        <w:footnoteRef/>
      </w:r>
      <w:r>
        <w:t xml:space="preserve"> Appellate Body Report, </w:t>
      </w:r>
      <w:r>
        <w:rPr>
          <w:i/>
        </w:rPr>
        <w:t>EC and certain member States – Large Civil Aircraft</w:t>
      </w:r>
      <w:r>
        <w:t xml:space="preserve">, </w:t>
      </w:r>
      <w:r w:rsidRPr="00AF3D63">
        <w:t>para. </w:t>
      </w:r>
      <w:r>
        <w:t>1161. (fn omitted)</w:t>
      </w:r>
    </w:p>
  </w:footnote>
  <w:footnote w:id="1958">
    <w:p w:rsidR="00FD2727" w:rsidRPr="00410588" w:rsidRDefault="00FD2727">
      <w:pPr>
        <w:pStyle w:val="FootnoteText"/>
        <w:rPr>
          <w:lang w:val="en-US"/>
        </w:rPr>
      </w:pPr>
      <w:r>
        <w:rPr>
          <w:rStyle w:val="FootnoteReference"/>
        </w:rPr>
        <w:footnoteRef/>
      </w:r>
      <w:r>
        <w:t xml:space="preserve"> Appellate Body Report, </w:t>
      </w:r>
      <w:r>
        <w:rPr>
          <w:i/>
        </w:rPr>
        <w:t>EC and certain member States – Large Civil Aircraft</w:t>
      </w:r>
      <w:r>
        <w:t xml:space="preserve">, </w:t>
      </w:r>
      <w:r w:rsidRPr="00AF3D63">
        <w:t>para. </w:t>
      </w:r>
      <w:r>
        <w:t>1161.</w:t>
      </w:r>
    </w:p>
  </w:footnote>
  <w:footnote w:id="1959">
    <w:p w:rsidR="00FD2727" w:rsidRPr="00410588" w:rsidRDefault="00FD2727">
      <w:pPr>
        <w:pStyle w:val="FootnoteText"/>
        <w:rPr>
          <w:lang w:val="en-US"/>
        </w:rPr>
      </w:pPr>
      <w:r>
        <w:rPr>
          <w:rStyle w:val="FootnoteReference"/>
        </w:rPr>
        <w:footnoteRef/>
      </w:r>
      <w:r>
        <w:t xml:space="preserve"> Appellate Body Report, </w:t>
      </w:r>
      <w:r>
        <w:rPr>
          <w:i/>
        </w:rPr>
        <w:t>EC and certain member States – Large Civil Aircraft</w:t>
      </w:r>
      <w:r>
        <w:t xml:space="preserve">, </w:t>
      </w:r>
      <w:r w:rsidRPr="00AF3D63">
        <w:t>para. </w:t>
      </w:r>
      <w:r>
        <w:t>1162.</w:t>
      </w:r>
    </w:p>
  </w:footnote>
  <w:footnote w:id="1960">
    <w:p w:rsidR="00FD2727" w:rsidRPr="00410588" w:rsidRDefault="00FD2727">
      <w:pPr>
        <w:pStyle w:val="FootnoteText"/>
        <w:rPr>
          <w:lang w:val="en-US"/>
        </w:rPr>
      </w:pPr>
      <w:r>
        <w:rPr>
          <w:rStyle w:val="FootnoteReference"/>
        </w:rPr>
        <w:footnoteRef/>
      </w:r>
      <w:r>
        <w:t xml:space="preserve"> Appellate Body Report, </w:t>
      </w:r>
      <w:r>
        <w:rPr>
          <w:i/>
        </w:rPr>
        <w:t>EC and certain member States – Large Civil Aircraft</w:t>
      </w:r>
      <w:r>
        <w:t xml:space="preserve">, </w:t>
      </w:r>
      <w:r w:rsidRPr="00AF3D63">
        <w:t>para. </w:t>
      </w:r>
      <w:r>
        <w:t>1161. (fn omitted)</w:t>
      </w:r>
      <w:r w:rsidRPr="00215B15">
        <w:t xml:space="preserve"> </w:t>
      </w:r>
      <w:r>
        <w:t>The Appellate Body further noted that impedance "</w:t>
      </w:r>
      <w:r w:rsidRPr="00E20560">
        <w:t>presupposes the existence of an economic mechanism by which a subsidized product hinders, obstructs, or holds back sales of a like product in the relevant product market</w:t>
      </w:r>
      <w:r>
        <w:t>"</w:t>
      </w:r>
      <w:r w:rsidRPr="00E20560">
        <w:t>.</w:t>
      </w:r>
      <w:r>
        <w:t xml:space="preserve"> (Ibid., fn 2465 to </w:t>
      </w:r>
      <w:r w:rsidRPr="00AF3D63">
        <w:t>para. </w:t>
      </w:r>
      <w:r>
        <w:t>1119)</w:t>
      </w:r>
    </w:p>
  </w:footnote>
  <w:footnote w:id="1961">
    <w:p w:rsidR="00FD2727" w:rsidRPr="00410588" w:rsidRDefault="00FD2727">
      <w:pPr>
        <w:pStyle w:val="FootnoteText"/>
        <w:rPr>
          <w:lang w:val="en-US"/>
        </w:rPr>
      </w:pPr>
      <w:r>
        <w:rPr>
          <w:rStyle w:val="FootnoteReference"/>
        </w:rPr>
        <w:footnoteRef/>
      </w:r>
      <w:r>
        <w:t xml:space="preserve"> Appellate Body Report, </w:t>
      </w:r>
      <w:r>
        <w:rPr>
          <w:i/>
        </w:rPr>
        <w:t>EC and certain member States – Large Civil Aircraft</w:t>
      </w:r>
      <w:r>
        <w:t xml:space="preserve">, fn 2548 to </w:t>
      </w:r>
      <w:r w:rsidRPr="00AF3D63">
        <w:t>para. </w:t>
      </w:r>
      <w:r>
        <w:t>1161.</w:t>
      </w:r>
    </w:p>
  </w:footnote>
  <w:footnote w:id="1962">
    <w:p w:rsidR="00FD2727" w:rsidRPr="00410588" w:rsidRDefault="00FD2727">
      <w:pPr>
        <w:pStyle w:val="FootnoteText"/>
        <w:rPr>
          <w:lang w:val="en-US"/>
        </w:rPr>
      </w:pPr>
      <w:r>
        <w:rPr>
          <w:rStyle w:val="FootnoteReference"/>
        </w:rPr>
        <w:footnoteRef/>
      </w:r>
      <w:r>
        <w:t xml:space="preserve"> Appellate Body Report, </w:t>
      </w:r>
      <w:r>
        <w:rPr>
          <w:i/>
        </w:rPr>
        <w:t>EC and certain member States – Large Civil Aircraft</w:t>
      </w:r>
      <w:r>
        <w:t>, </w:t>
      </w:r>
      <w:r w:rsidRPr="00AF3D63">
        <w:t>para. </w:t>
      </w:r>
      <w:r>
        <w:t>1162.</w:t>
      </w:r>
    </w:p>
  </w:footnote>
  <w:footnote w:id="1963">
    <w:p w:rsidR="00FD2727" w:rsidRPr="00410588" w:rsidRDefault="00FD2727">
      <w:pPr>
        <w:pStyle w:val="FootnoteText"/>
        <w:rPr>
          <w:lang w:val="en-US"/>
        </w:rPr>
      </w:pPr>
      <w:r>
        <w:rPr>
          <w:rStyle w:val="FootnoteReference"/>
        </w:rPr>
        <w:footnoteRef/>
      </w:r>
      <w:r>
        <w:t xml:space="preserve"> Appellate Body Report, </w:t>
      </w:r>
      <w:r>
        <w:rPr>
          <w:i/>
        </w:rPr>
        <w:t>EC and certain member States – Large Civil Aircraft</w:t>
      </w:r>
      <w:r>
        <w:t xml:space="preserve">, fn 2550 to </w:t>
      </w:r>
      <w:r w:rsidRPr="00AF3D63">
        <w:t>para. </w:t>
      </w:r>
      <w:r>
        <w:t>1162.</w:t>
      </w:r>
    </w:p>
  </w:footnote>
  <w:footnote w:id="1964">
    <w:p w:rsidR="00FD2727" w:rsidRPr="00410588" w:rsidRDefault="00FD2727">
      <w:pPr>
        <w:pStyle w:val="FootnoteText"/>
        <w:rPr>
          <w:lang w:val="en-US"/>
        </w:rPr>
      </w:pPr>
      <w:r>
        <w:rPr>
          <w:rStyle w:val="FootnoteReference"/>
        </w:rPr>
        <w:footnoteRef/>
      </w:r>
      <w:r>
        <w:t xml:space="preserve"> Appellate Body Report, </w:t>
      </w:r>
      <w:r>
        <w:rPr>
          <w:i/>
        </w:rPr>
        <w:t>EC and certain member States – Large Civil Aircraft</w:t>
      </w:r>
      <w:r>
        <w:t xml:space="preserve">, fn 2550 to </w:t>
      </w:r>
      <w:r w:rsidRPr="00AF3D63">
        <w:t>para. </w:t>
      </w:r>
      <w:r>
        <w:t>1162.</w:t>
      </w:r>
    </w:p>
  </w:footnote>
  <w:footnote w:id="1965">
    <w:p w:rsidR="00FD2727" w:rsidRPr="00410588" w:rsidRDefault="00FD2727">
      <w:pPr>
        <w:pStyle w:val="FootnoteText"/>
        <w:rPr>
          <w:lang w:val="en-US"/>
        </w:rPr>
      </w:pPr>
      <w:r>
        <w:rPr>
          <w:rStyle w:val="FootnoteReference"/>
        </w:rPr>
        <w:footnoteRef/>
      </w:r>
      <w:r>
        <w:t xml:space="preserve"> European Union's appellant's submission, </w:t>
      </w:r>
      <w:r w:rsidRPr="00AF3D63">
        <w:t>para. </w:t>
      </w:r>
      <w:r>
        <w:t>979. (emphasis original)</w:t>
      </w:r>
    </w:p>
  </w:footnote>
  <w:footnote w:id="1966">
    <w:p w:rsidR="00FD2727" w:rsidRPr="00410588" w:rsidRDefault="00FD2727">
      <w:pPr>
        <w:pStyle w:val="FootnoteText"/>
        <w:rPr>
          <w:lang w:val="en-US"/>
        </w:rPr>
      </w:pPr>
      <w:r>
        <w:rPr>
          <w:rStyle w:val="FootnoteReference"/>
        </w:rPr>
        <w:footnoteRef/>
      </w:r>
      <w:r>
        <w:t xml:space="preserve"> European Union's appellant's submission, </w:t>
      </w:r>
      <w:r w:rsidRPr="00AF3D63">
        <w:t>para. </w:t>
      </w:r>
      <w:r>
        <w:t xml:space="preserve">998 (quoting Appellate Body Report, </w:t>
      </w:r>
      <w:r>
        <w:rPr>
          <w:i/>
        </w:rPr>
        <w:t>EC and certain member States – Large Civil Aircraft</w:t>
      </w:r>
      <w:r>
        <w:t xml:space="preserve">, </w:t>
      </w:r>
      <w:r w:rsidRPr="00AF3D63">
        <w:t>para. </w:t>
      </w:r>
      <w:r>
        <w:t>1163).</w:t>
      </w:r>
    </w:p>
  </w:footnote>
  <w:footnote w:id="1967">
    <w:p w:rsidR="00FD2727" w:rsidRPr="00410588" w:rsidRDefault="00FD2727">
      <w:pPr>
        <w:pStyle w:val="FootnoteText"/>
        <w:rPr>
          <w:lang w:val="en-US"/>
        </w:rPr>
      </w:pPr>
      <w:r>
        <w:rPr>
          <w:rStyle w:val="FootnoteReference"/>
        </w:rPr>
        <w:footnoteRef/>
      </w:r>
      <w:r>
        <w:t xml:space="preserve"> European Union's appellant's submission, </w:t>
      </w:r>
      <w:r w:rsidRPr="00AF3D63">
        <w:t>para. </w:t>
      </w:r>
      <w:r>
        <w:t>979.</w:t>
      </w:r>
    </w:p>
  </w:footnote>
  <w:footnote w:id="1968">
    <w:p w:rsidR="00FD2727" w:rsidRPr="00410588" w:rsidRDefault="00FD2727">
      <w:pPr>
        <w:pStyle w:val="FootnoteText"/>
        <w:rPr>
          <w:lang w:val="en-US"/>
        </w:rPr>
      </w:pPr>
      <w:r>
        <w:rPr>
          <w:rStyle w:val="FootnoteReference"/>
        </w:rPr>
        <w:footnoteRef/>
      </w:r>
      <w:r>
        <w:t xml:space="preserve"> United States' appellee's submission, fn 1025 to </w:t>
      </w:r>
      <w:r w:rsidRPr="00AF3D63">
        <w:t>para. </w:t>
      </w:r>
      <w:r>
        <w:t xml:space="preserve">564 (referring to United States' response to Panel question No. 162, </w:t>
      </w:r>
      <w:r w:rsidRPr="00AF3D63">
        <w:t>paras. </w:t>
      </w:r>
      <w:r>
        <w:t>14-15, 24, and 32).</w:t>
      </w:r>
    </w:p>
  </w:footnote>
  <w:footnote w:id="1969">
    <w:p w:rsidR="00FD2727" w:rsidRDefault="00FD2727">
      <w:pPr>
        <w:pStyle w:val="FootnoteText"/>
      </w:pPr>
      <w:r>
        <w:rPr>
          <w:rStyle w:val="FootnoteReference"/>
        </w:rPr>
        <w:footnoteRef/>
      </w:r>
      <w:r>
        <w:t xml:space="preserve"> United States' appellee's submission, paras. 579, 591, and 603 (referring to United States' response to Panel question No. 162, paras. 16, 24, and 32, respectively; Summary Table of Updated Ascend Aircraft Database (Panel Exhibit USA</w:t>
      </w:r>
      <w:r>
        <w:noBreakHyphen/>
        <w:t>578 (BCI)), pp. 3, 9, and 15, respectively).</w:t>
      </w:r>
    </w:p>
  </w:footnote>
  <w:footnote w:id="1970">
    <w:p w:rsidR="00FD2727" w:rsidRPr="00410588" w:rsidRDefault="00FD2727">
      <w:pPr>
        <w:pStyle w:val="FootnoteText"/>
        <w:rPr>
          <w:lang w:val="en-US"/>
        </w:rPr>
      </w:pPr>
      <w:r>
        <w:rPr>
          <w:rStyle w:val="FootnoteReference"/>
        </w:rPr>
        <w:footnoteRef/>
      </w:r>
      <w:r>
        <w:t xml:space="preserve"> United States' appellee's submission, </w:t>
      </w:r>
      <w:r w:rsidRPr="00AF3D63">
        <w:t>para. </w:t>
      </w:r>
      <w:r>
        <w:t xml:space="preserve">564 (referring to Panel Report, </w:t>
      </w:r>
      <w:r w:rsidRPr="00AF3D63">
        <w:t>para. </w:t>
      </w:r>
      <w:r>
        <w:t>6.1801; United States'</w:t>
      </w:r>
      <w:r w:rsidRPr="005E7764">
        <w:t xml:space="preserve"> response to Panel question No. 162</w:t>
      </w:r>
      <w:r>
        <w:t xml:space="preserve">, </w:t>
      </w:r>
      <w:r w:rsidRPr="00AF3D63">
        <w:t>paras. </w:t>
      </w:r>
      <w:r>
        <w:t>13-31).</w:t>
      </w:r>
    </w:p>
  </w:footnote>
  <w:footnote w:id="1971">
    <w:p w:rsidR="00FD2727" w:rsidRPr="00410588" w:rsidRDefault="00FD2727">
      <w:pPr>
        <w:pStyle w:val="FootnoteText"/>
        <w:rPr>
          <w:lang w:val="en-US"/>
        </w:rPr>
      </w:pPr>
      <w:r>
        <w:rPr>
          <w:rStyle w:val="FootnoteReference"/>
        </w:rPr>
        <w:footnoteRef/>
      </w:r>
      <w:r>
        <w:t xml:space="preserve"> United States' appellee's submission, </w:t>
      </w:r>
      <w:r w:rsidRPr="00AF3D63">
        <w:t>para. </w:t>
      </w:r>
      <w:r>
        <w:t xml:space="preserve">566 (referring to Appellate Body Report, </w:t>
      </w:r>
      <w:r>
        <w:rPr>
          <w:i/>
        </w:rPr>
        <w:t>EC and certain member States – Large Civil Aircraft</w:t>
      </w:r>
      <w:r>
        <w:t xml:space="preserve">, </w:t>
      </w:r>
      <w:r w:rsidRPr="00AF3D63">
        <w:t>para. </w:t>
      </w:r>
      <w:r>
        <w:t>1162).</w:t>
      </w:r>
    </w:p>
  </w:footnote>
  <w:footnote w:id="1972">
    <w:p w:rsidR="00FD2727" w:rsidRPr="00410588" w:rsidRDefault="00FD2727">
      <w:pPr>
        <w:pStyle w:val="FootnoteText"/>
        <w:rPr>
          <w:lang w:val="en-US"/>
        </w:rPr>
      </w:pPr>
      <w:r>
        <w:rPr>
          <w:rStyle w:val="FootnoteReference"/>
        </w:rPr>
        <w:footnoteRef/>
      </w:r>
      <w:r>
        <w:t xml:space="preserve"> United States' appellee's submission, </w:t>
      </w:r>
      <w:r w:rsidRPr="00AF3D63">
        <w:t>para. </w:t>
      </w:r>
      <w:r>
        <w:t xml:space="preserve">567. </w:t>
      </w:r>
    </w:p>
  </w:footnote>
  <w:footnote w:id="1973">
    <w:p w:rsidR="00FD2727" w:rsidRPr="00410588" w:rsidRDefault="00FD2727" w:rsidP="005755A4">
      <w:pPr>
        <w:pStyle w:val="FootnoteText"/>
        <w:keepNext/>
        <w:keepLines/>
        <w:rPr>
          <w:lang w:val="en-US"/>
        </w:rPr>
      </w:pPr>
      <w:r>
        <w:rPr>
          <w:rStyle w:val="FootnoteReference"/>
        </w:rPr>
        <w:footnoteRef/>
      </w:r>
      <w:r>
        <w:t xml:space="preserve"> Panel Report, </w:t>
      </w:r>
      <w:r w:rsidRPr="00AF3D63">
        <w:t>para. </w:t>
      </w:r>
      <w:r>
        <w:t xml:space="preserve">6.1801. </w:t>
      </w:r>
      <w:r w:rsidRPr="00C54BD7">
        <w:t xml:space="preserve">The Panel also noted that the </w:t>
      </w:r>
      <w:r>
        <w:t xml:space="preserve">United States made </w:t>
      </w:r>
      <w:r w:rsidRPr="00C54BD7">
        <w:t xml:space="preserve">a </w:t>
      </w:r>
      <w:r>
        <w:t>"</w:t>
      </w:r>
      <w:r w:rsidRPr="00C54BD7">
        <w:t>conditional claim"</w:t>
      </w:r>
      <w:r>
        <w:t>,</w:t>
      </w:r>
      <w:r w:rsidRPr="00C54BD7">
        <w:t xml:space="preserve"> </w:t>
      </w:r>
      <w:r>
        <w:t xml:space="preserve">in the event </w:t>
      </w:r>
      <w:r w:rsidRPr="00C54BD7">
        <w:t xml:space="preserve">that the Panel </w:t>
      </w:r>
      <w:r>
        <w:t xml:space="preserve">were </w:t>
      </w:r>
      <w:r w:rsidRPr="00C54BD7">
        <w:t xml:space="preserve">to reject its </w:t>
      </w:r>
      <w:r>
        <w:t xml:space="preserve">present </w:t>
      </w:r>
      <w:r w:rsidRPr="00C54BD7">
        <w:t>serious prejudice claims in the single-aisle LCA</w:t>
      </w:r>
      <w:r>
        <w:t xml:space="preserve"> market in the European Union</w:t>
      </w:r>
      <w:r w:rsidRPr="00C54BD7">
        <w:t xml:space="preserve">, that "the </w:t>
      </w:r>
      <w:r>
        <w:t>United States</w:t>
      </w:r>
      <w:r w:rsidRPr="00C54BD7">
        <w:t xml:space="preserve">' LCA industry {was} </w:t>
      </w:r>
      <w:r w:rsidRPr="00C54BD7">
        <w:rPr>
          <w:i/>
        </w:rPr>
        <w:t>threatened</w:t>
      </w:r>
      <w:r w:rsidRPr="00C54BD7">
        <w:t xml:space="preserve"> with displacement and/or impedance in … that market</w:t>
      </w:r>
      <w:r>
        <w:t>"</w:t>
      </w:r>
      <w:r w:rsidRPr="00C54BD7">
        <w:t>. (</w:t>
      </w:r>
      <w:r>
        <w:t>Ibid.</w:t>
      </w:r>
      <w:r w:rsidRPr="00C54BD7">
        <w:t xml:space="preserve">, </w:t>
      </w:r>
      <w:r>
        <w:t>fn </w:t>
      </w:r>
      <w:r w:rsidRPr="00C54BD7">
        <w:t xml:space="preserve">3288 </w:t>
      </w:r>
      <w:r>
        <w:t>there</w:t>
      </w:r>
      <w:r w:rsidRPr="00C54BD7">
        <w:t xml:space="preserve">to (referring to </w:t>
      </w:r>
      <w:r>
        <w:t>United States</w:t>
      </w:r>
      <w:r w:rsidRPr="00C54BD7">
        <w:t xml:space="preserve">' first written submission to </w:t>
      </w:r>
      <w:r>
        <w:t>P</w:t>
      </w:r>
      <w:r w:rsidRPr="00C54BD7">
        <w:t xml:space="preserve">anel, </w:t>
      </w:r>
      <w:r w:rsidRPr="00AF3D63">
        <w:t>para. </w:t>
      </w:r>
      <w:r w:rsidRPr="00C54BD7">
        <w:t xml:space="preserve">514; second written submission to the </w:t>
      </w:r>
      <w:r w:rsidRPr="007629B5">
        <w:t>Panel, para. 720; response</w:t>
      </w:r>
      <w:r w:rsidRPr="00C54BD7">
        <w:t xml:space="preserve"> to Panel question No. 162)</w:t>
      </w:r>
      <w:r w:rsidRPr="00957ADC">
        <w:t xml:space="preserve"> </w:t>
      </w:r>
      <w:r w:rsidRPr="00C54BD7">
        <w:t>(emphasis original))</w:t>
      </w:r>
    </w:p>
  </w:footnote>
  <w:footnote w:id="1974">
    <w:p w:rsidR="00FD2727" w:rsidRPr="00410588" w:rsidRDefault="00FD2727">
      <w:pPr>
        <w:pStyle w:val="FootnoteText"/>
        <w:rPr>
          <w:lang w:val="en-US"/>
        </w:rPr>
      </w:pPr>
      <w:r>
        <w:rPr>
          <w:rStyle w:val="FootnoteReference"/>
        </w:rPr>
        <w:footnoteRef/>
      </w:r>
      <w:r>
        <w:t xml:space="preserve"> Panel Report, </w:t>
      </w:r>
      <w:r w:rsidRPr="00AF3D63">
        <w:t>para. </w:t>
      </w:r>
      <w:r>
        <w:t>6.1799. (emphasis added)</w:t>
      </w:r>
    </w:p>
  </w:footnote>
  <w:footnote w:id="1975">
    <w:p w:rsidR="00FD2727" w:rsidRPr="00410588" w:rsidRDefault="00FD2727">
      <w:pPr>
        <w:pStyle w:val="FootnoteText"/>
        <w:rPr>
          <w:lang w:val="en-US"/>
        </w:rPr>
      </w:pPr>
      <w:r>
        <w:rPr>
          <w:rStyle w:val="FootnoteReference"/>
        </w:rPr>
        <w:footnoteRef/>
      </w:r>
      <w:r>
        <w:t xml:space="preserve"> Panel Report, </w:t>
      </w:r>
      <w:r w:rsidRPr="00AF3D63">
        <w:t>para. </w:t>
      </w:r>
      <w:r>
        <w:t xml:space="preserve">6.1799 (quoting Appellate Body Report, </w:t>
      </w:r>
      <w:r w:rsidRPr="002351E3">
        <w:rPr>
          <w:i/>
        </w:rPr>
        <w:t>US – Large Civil Aircraft (2</w:t>
      </w:r>
      <w:r w:rsidRPr="002351E3">
        <w:rPr>
          <w:i/>
          <w:vertAlign w:val="superscript"/>
        </w:rPr>
        <w:t>nd</w:t>
      </w:r>
      <w:r>
        <w:rPr>
          <w:i/>
        </w:rPr>
        <w:t> </w:t>
      </w:r>
      <w:r w:rsidRPr="002351E3">
        <w:rPr>
          <w:i/>
        </w:rPr>
        <w:t>complaint)</w:t>
      </w:r>
      <w:r>
        <w:t xml:space="preserve">, </w:t>
      </w:r>
      <w:r w:rsidRPr="00AF3D63">
        <w:t>para. </w:t>
      </w:r>
      <w:r>
        <w:t xml:space="preserve">1071, in turn referring to Appellate Body Report, </w:t>
      </w:r>
      <w:r w:rsidRPr="002351E3">
        <w:rPr>
          <w:i/>
        </w:rPr>
        <w:t>EC and certain member States – Large Civil Aircraft</w:t>
      </w:r>
      <w:r>
        <w:t xml:space="preserve">, </w:t>
      </w:r>
      <w:r w:rsidRPr="00AF3D63">
        <w:t>paras. </w:t>
      </w:r>
      <w:r>
        <w:t>1119, 1160-1161, 1165-1166, and 1170).</w:t>
      </w:r>
    </w:p>
  </w:footnote>
  <w:footnote w:id="1976">
    <w:p w:rsidR="00FD2727" w:rsidRPr="00410588" w:rsidRDefault="00FD2727">
      <w:pPr>
        <w:pStyle w:val="FootnoteText"/>
        <w:rPr>
          <w:lang w:val="en-US"/>
        </w:rPr>
      </w:pPr>
      <w:r>
        <w:rPr>
          <w:rStyle w:val="FootnoteReference"/>
        </w:rPr>
        <w:footnoteRef/>
      </w:r>
      <w:r>
        <w:t xml:space="preserve"> Panel Report, </w:t>
      </w:r>
      <w:r w:rsidRPr="00AF3D63">
        <w:t>para. </w:t>
      </w:r>
      <w:r>
        <w:t>6.1800. (emphasis added)</w:t>
      </w:r>
    </w:p>
  </w:footnote>
  <w:footnote w:id="1977">
    <w:p w:rsidR="00FD2727" w:rsidRPr="00410588" w:rsidRDefault="00FD2727">
      <w:pPr>
        <w:pStyle w:val="FootnoteText"/>
        <w:rPr>
          <w:lang w:val="en-US"/>
        </w:rPr>
      </w:pPr>
      <w:r>
        <w:rPr>
          <w:rStyle w:val="FootnoteReference"/>
        </w:rPr>
        <w:footnoteRef/>
      </w:r>
      <w:r>
        <w:t xml:space="preserve"> Panel Report, </w:t>
      </w:r>
      <w:r w:rsidRPr="00AF3D63">
        <w:t>para. </w:t>
      </w:r>
      <w:r>
        <w:t xml:space="preserve">6.1801 (referring to United States' first written submission to the Panel, </w:t>
      </w:r>
      <w:r w:rsidRPr="00AF3D63">
        <w:t>paras. </w:t>
      </w:r>
      <w:r>
        <w:t>520-532).</w:t>
      </w:r>
    </w:p>
  </w:footnote>
  <w:footnote w:id="1978">
    <w:p w:rsidR="00FD2727" w:rsidRPr="00410588" w:rsidRDefault="00FD2727">
      <w:pPr>
        <w:pStyle w:val="FootnoteText"/>
        <w:rPr>
          <w:lang w:val="en-US"/>
        </w:rPr>
      </w:pPr>
      <w:r>
        <w:rPr>
          <w:rStyle w:val="FootnoteReference"/>
        </w:rPr>
        <w:footnoteRef/>
      </w:r>
      <w:r>
        <w:t xml:space="preserve"> Panel Report, </w:t>
      </w:r>
      <w:r w:rsidRPr="00AF3D63">
        <w:t>para. </w:t>
      </w:r>
      <w:r>
        <w:t>6.1803.</w:t>
      </w:r>
    </w:p>
  </w:footnote>
  <w:footnote w:id="1979">
    <w:p w:rsidR="00FD2727" w:rsidRPr="00410588" w:rsidRDefault="00FD2727">
      <w:pPr>
        <w:pStyle w:val="FootnoteText"/>
        <w:rPr>
          <w:lang w:val="en-US"/>
        </w:rPr>
      </w:pPr>
      <w:r>
        <w:rPr>
          <w:rStyle w:val="FootnoteReference"/>
        </w:rPr>
        <w:footnoteRef/>
      </w:r>
      <w:r>
        <w:t xml:space="preserve"> Appellate Body</w:t>
      </w:r>
      <w:r w:rsidRPr="003371F1">
        <w:t xml:space="preserve"> Report, </w:t>
      </w:r>
      <w:r w:rsidRPr="003371F1">
        <w:rPr>
          <w:i/>
        </w:rPr>
        <w:t>EC and certain member States – Large Civil Aircraft</w:t>
      </w:r>
      <w:r>
        <w:t xml:space="preserve">, </w:t>
      </w:r>
      <w:r w:rsidRPr="00AF3D63">
        <w:t>para. </w:t>
      </w:r>
      <w:r>
        <w:t>1109.</w:t>
      </w:r>
    </w:p>
  </w:footnote>
  <w:footnote w:id="1980">
    <w:p w:rsidR="00FD2727" w:rsidRPr="00410588" w:rsidRDefault="00FD2727">
      <w:pPr>
        <w:pStyle w:val="FootnoteText"/>
        <w:rPr>
          <w:lang w:val="en-US"/>
        </w:rPr>
      </w:pPr>
      <w:r>
        <w:rPr>
          <w:rStyle w:val="FootnoteReference"/>
        </w:rPr>
        <w:footnoteRef/>
      </w:r>
      <w:r>
        <w:t xml:space="preserve"> Appellate Body Report, </w:t>
      </w:r>
      <w:r>
        <w:rPr>
          <w:i/>
        </w:rPr>
        <w:t>EC and certain member States – Large Civil Aircraft</w:t>
      </w:r>
      <w:r>
        <w:t xml:space="preserve">, </w:t>
      </w:r>
      <w:r w:rsidRPr="00AF3D63">
        <w:t>para. </w:t>
      </w:r>
      <w:r>
        <w:t>1163.</w:t>
      </w:r>
    </w:p>
  </w:footnote>
  <w:footnote w:id="1981">
    <w:p w:rsidR="00FD2727" w:rsidRPr="00410588" w:rsidRDefault="00FD2727">
      <w:pPr>
        <w:pStyle w:val="FootnoteText"/>
        <w:rPr>
          <w:lang w:val="en-US"/>
        </w:rPr>
      </w:pPr>
      <w:r>
        <w:rPr>
          <w:rStyle w:val="FootnoteReference"/>
        </w:rPr>
        <w:footnoteRef/>
      </w:r>
      <w:r>
        <w:t xml:space="preserve"> Appellate Body Report, </w:t>
      </w:r>
      <w:r>
        <w:rPr>
          <w:i/>
        </w:rPr>
        <w:t>EC and certain member States – Large Civil Aircraft</w:t>
      </w:r>
      <w:r>
        <w:t xml:space="preserve">, </w:t>
      </w:r>
      <w:r w:rsidRPr="00AF3D63">
        <w:t>para. </w:t>
      </w:r>
      <w:r>
        <w:t>1163.</w:t>
      </w:r>
    </w:p>
  </w:footnote>
  <w:footnote w:id="1982">
    <w:p w:rsidR="00FD2727" w:rsidRPr="00410588" w:rsidRDefault="00FD2727">
      <w:pPr>
        <w:pStyle w:val="FootnoteText"/>
        <w:rPr>
          <w:lang w:val="en-US"/>
        </w:rPr>
      </w:pPr>
      <w:r>
        <w:rPr>
          <w:rStyle w:val="FootnoteReference"/>
        </w:rPr>
        <w:footnoteRef/>
      </w:r>
      <w:r>
        <w:t xml:space="preserve"> Panel Report, </w:t>
      </w:r>
      <w:r w:rsidRPr="00AF3D63">
        <w:t>para. </w:t>
      </w:r>
      <w:r>
        <w:t>6.1817. (emphasis added)</w:t>
      </w:r>
    </w:p>
  </w:footnote>
  <w:footnote w:id="1983">
    <w:p w:rsidR="00FD2727" w:rsidRPr="00410588" w:rsidRDefault="00FD2727">
      <w:pPr>
        <w:pStyle w:val="FootnoteText"/>
        <w:rPr>
          <w:lang w:val="en-US"/>
        </w:rPr>
      </w:pPr>
      <w:r>
        <w:rPr>
          <w:rStyle w:val="FootnoteReference"/>
        </w:rPr>
        <w:footnoteRef/>
      </w:r>
      <w:r>
        <w:t xml:space="preserve"> Panel Report, </w:t>
      </w:r>
      <w:r w:rsidRPr="00AF3D63">
        <w:t>para. </w:t>
      </w:r>
      <w:r>
        <w:t>6.1817. (emphasis added)</w:t>
      </w:r>
    </w:p>
  </w:footnote>
  <w:footnote w:id="1984">
    <w:p w:rsidR="00FD2727" w:rsidRPr="00145239" w:rsidRDefault="00FD2727" w:rsidP="00C752B3">
      <w:pPr>
        <w:pStyle w:val="FootnoteText"/>
        <w:keepNext/>
        <w:keepLines/>
        <w:rPr>
          <w:lang w:val="en-US"/>
        </w:rPr>
      </w:pPr>
      <w:r>
        <w:rPr>
          <w:rStyle w:val="FootnoteReference"/>
        </w:rPr>
        <w:footnoteRef/>
      </w:r>
      <w:r>
        <w:t xml:space="preserve"> For instance, the United States has claimed that</w:t>
      </w:r>
      <w:r w:rsidRPr="007610D8">
        <w:t xml:space="preserve"> in the single-aisle LCA market in India, the "severe decline in market share demonstrates the displacement and/or impedance of Boeing LCA exports".</w:t>
      </w:r>
      <w:r>
        <w:t xml:space="preserve"> (United </w:t>
      </w:r>
      <w:r w:rsidRPr="007629B5">
        <w:t>States' appellee's submission, para. 593 (referring to United States' response to Panel question No. 162, para. 25; Summary Table of Updated Ascend Aircraft Database (Panel Exhibit USA</w:t>
      </w:r>
      <w:r w:rsidRPr="007629B5">
        <w:noBreakHyphen/>
        <w:t>578 (BCI)), p.10)) Similarly, in the single-aisle LCA market in Australia, "</w:t>
      </w:r>
      <w:r w:rsidRPr="007629B5">
        <w:rPr>
          <w:szCs w:val="20"/>
        </w:rPr>
        <w:t xml:space="preserve">Boeing LCA are being displaced and/or impeded". (Ibid., para. 583 (referring to </w:t>
      </w:r>
      <w:r w:rsidRPr="007629B5">
        <w:t>Summary Table of Updated Ascend Aircraft Database (Panel Exhibit USA</w:t>
      </w:r>
      <w:r w:rsidRPr="007629B5">
        <w:noBreakHyphen/>
        <w:t>578 (BCI)), p.5</w:t>
      </w:r>
      <w:r w:rsidRPr="007629B5">
        <w:rPr>
          <w:szCs w:val="20"/>
        </w:rPr>
        <w:t xml:space="preserve">)) However, in respect of the single-aisle LCA market in China, "the displacement found by the Appellate Body is continuing, and Boeing's 737 exports are also being impeded". (Ibid., para. 587 (referring to </w:t>
      </w:r>
      <w:r w:rsidRPr="007629B5">
        <w:t>United States' response to Panel question No. 162, para. 21; Summary Table of Updated Ascend Aircraft Database (Panel Exhibit USA</w:t>
      </w:r>
      <w:r w:rsidRPr="007629B5">
        <w:noBreakHyphen/>
        <w:t>578 (BCI)), p.7)</w:t>
      </w:r>
      <w:r w:rsidRPr="007629B5">
        <w:rPr>
          <w:szCs w:val="20"/>
        </w:rPr>
        <w:t xml:space="preserve">) Similarly, in the </w:t>
      </w:r>
      <w:r w:rsidRPr="007629B5">
        <w:t>VLA market in Korea, "the A380 has displaced and impeded the 747-8I". (Ibid., para. 597 (referring to United States' response to Panel question No. 162, para. 28; Summary Table of Updated Ascend Aircraft Database (Panel Exhibit USA</w:t>
      </w:r>
      <w:r w:rsidRPr="007629B5">
        <w:noBreakHyphen/>
        <w:t>578 (BCI)), p.</w:t>
      </w:r>
      <w:r>
        <w:t xml:space="preserve"> 12)) Finally, </w:t>
      </w:r>
      <w:r w:rsidRPr="007629B5">
        <w:t>in respect of the twin-aisle</w:t>
      </w:r>
      <w:r w:rsidRPr="00CD2B96">
        <w:t xml:space="preserve"> </w:t>
      </w:r>
      <w:r>
        <w:t xml:space="preserve">LCA </w:t>
      </w:r>
      <w:r w:rsidRPr="00CD2B96">
        <w:t xml:space="preserve">market in the European Union and the VLA </w:t>
      </w:r>
      <w:r>
        <w:t>markets in China and the United </w:t>
      </w:r>
      <w:r w:rsidRPr="00CD2B96">
        <w:t xml:space="preserve">Arab Emirates, the Unites States claimed the existence of </w:t>
      </w:r>
      <w:r>
        <w:t xml:space="preserve">only </w:t>
      </w:r>
      <w:r w:rsidRPr="00CD2B96">
        <w:t xml:space="preserve">impedance. </w:t>
      </w:r>
      <w:r>
        <w:t xml:space="preserve">(Ibid., paras. 579, 591, and 603 (referring to United States' response to Panel question No. 162, </w:t>
      </w:r>
      <w:r w:rsidRPr="00AF3D63">
        <w:t>paras. </w:t>
      </w:r>
      <w:r>
        <w:t xml:space="preserve">16, 24, and 32, respectively; Summary Table of Updated </w:t>
      </w:r>
      <w:r w:rsidRPr="00145239">
        <w:t>Ascend Aircraft Database (Panel Exhibit USA</w:t>
      </w:r>
      <w:r w:rsidRPr="00145239">
        <w:noBreakHyphen/>
        <w:t>578 (BCI)), pp. 3, 9, and 15, respectively))</w:t>
      </w:r>
    </w:p>
  </w:footnote>
  <w:footnote w:id="1985">
    <w:p w:rsidR="00FD2727" w:rsidRPr="00145239" w:rsidRDefault="00FD2727">
      <w:pPr>
        <w:pStyle w:val="FootnoteText"/>
        <w:rPr>
          <w:lang w:val="en-US"/>
        </w:rPr>
      </w:pPr>
      <w:r w:rsidRPr="00145239">
        <w:rPr>
          <w:rStyle w:val="FootnoteReference"/>
        </w:rPr>
        <w:footnoteRef/>
      </w:r>
      <w:r w:rsidRPr="00145239">
        <w:t xml:space="preserve"> European Union's appellant's submission, para. 977. We review the Panel's findings of serious prejudice in the relevant markets at issue in section 5.6.4.6 of this Report.</w:t>
      </w:r>
    </w:p>
  </w:footnote>
  <w:footnote w:id="1986">
    <w:p w:rsidR="00FD2727" w:rsidRPr="002E6D05" w:rsidRDefault="00FD2727">
      <w:pPr>
        <w:pStyle w:val="FootnoteText"/>
      </w:pPr>
      <w:r w:rsidRPr="00145239">
        <w:rPr>
          <w:rStyle w:val="FootnoteReference"/>
        </w:rPr>
        <w:footnoteRef/>
      </w:r>
      <w:r w:rsidRPr="00145239">
        <w:t xml:space="preserve"> European Union's appellant's submission, para. 939. (emphasis</w:t>
      </w:r>
      <w:r>
        <w:t xml:space="preserve"> added)</w:t>
      </w:r>
      <w:r w:rsidRPr="00AB604B">
        <w:t xml:space="preserve"> </w:t>
      </w:r>
      <w:r>
        <w:t>See also Panel Report, para. </w:t>
      </w:r>
      <w:r w:rsidRPr="002E6D05">
        <w:t>6.1416</w:t>
      </w:r>
      <w:r>
        <w:t>.</w:t>
      </w:r>
    </w:p>
  </w:footnote>
  <w:footnote w:id="1987">
    <w:p w:rsidR="00FD2727" w:rsidRPr="00BE6F09" w:rsidRDefault="00FD2727">
      <w:pPr>
        <w:pStyle w:val="FootnoteText"/>
        <w:rPr>
          <w:lang w:val="en-US"/>
        </w:rPr>
      </w:pPr>
      <w:r>
        <w:rPr>
          <w:rStyle w:val="FootnoteReference"/>
        </w:rPr>
        <w:footnoteRef/>
      </w:r>
      <w:r>
        <w:t xml:space="preserve"> </w:t>
      </w:r>
      <w:r w:rsidRPr="00BE6F09">
        <w:t>European Union's appellant's submission, para. 93</w:t>
      </w:r>
      <w:r>
        <w:t>4</w:t>
      </w:r>
      <w:r w:rsidRPr="00BE6F09">
        <w:t>.</w:t>
      </w:r>
    </w:p>
  </w:footnote>
  <w:footnote w:id="1988">
    <w:p w:rsidR="00FD2727" w:rsidRPr="001E08C2" w:rsidRDefault="00FD2727">
      <w:pPr>
        <w:pStyle w:val="FootnoteText"/>
      </w:pPr>
      <w:r>
        <w:rPr>
          <w:rStyle w:val="FootnoteReference"/>
        </w:rPr>
        <w:footnoteRef/>
      </w:r>
      <w:r>
        <w:t xml:space="preserve"> </w:t>
      </w:r>
      <w:r w:rsidRPr="00145239">
        <w:t xml:space="preserve">See section 5.6.2 of this Report. See also Panel Report, paras. 6.1292, 6.1294, and 6.1372; Appellate Body Report, </w:t>
      </w:r>
      <w:r w:rsidRPr="00145239">
        <w:rPr>
          <w:i/>
        </w:rPr>
        <w:t>EC and certain</w:t>
      </w:r>
      <w:r>
        <w:rPr>
          <w:i/>
        </w:rPr>
        <w:t xml:space="preserve"> member States – Large Civil Aircraft</w:t>
      </w:r>
      <w:r>
        <w:t>, para. 1120.</w:t>
      </w:r>
    </w:p>
  </w:footnote>
  <w:footnote w:id="1989">
    <w:p w:rsidR="00FD2727" w:rsidRDefault="00FD2727" w:rsidP="00C752B3">
      <w:pPr>
        <w:pStyle w:val="FootnoteText"/>
      </w:pPr>
      <w:r>
        <w:rPr>
          <w:rStyle w:val="FootnoteReference"/>
        </w:rPr>
        <w:footnoteRef/>
      </w:r>
      <w:r>
        <w:t xml:space="preserve"> Appellate Body Report, </w:t>
      </w:r>
      <w:r>
        <w:rPr>
          <w:i/>
        </w:rPr>
        <w:t>EC and certain member States – Large Civil Aircraft</w:t>
      </w:r>
      <w:r>
        <w:t>, para. 1128. (emphasis added)</w:t>
      </w:r>
    </w:p>
  </w:footnote>
  <w:footnote w:id="1990">
    <w:p w:rsidR="00FD2727" w:rsidRPr="00410588" w:rsidRDefault="00FD2727">
      <w:pPr>
        <w:pStyle w:val="FootnoteText"/>
        <w:rPr>
          <w:lang w:val="en-US"/>
        </w:rPr>
      </w:pPr>
      <w:r>
        <w:rPr>
          <w:rStyle w:val="FootnoteReference"/>
        </w:rPr>
        <w:footnoteRef/>
      </w:r>
      <w:r>
        <w:t xml:space="preserve"> European Union's appellant's submission, </w:t>
      </w:r>
      <w:r w:rsidRPr="00AF3D63">
        <w:t>para. </w:t>
      </w:r>
      <w:r>
        <w:t>1024.</w:t>
      </w:r>
    </w:p>
  </w:footnote>
  <w:footnote w:id="1991">
    <w:p w:rsidR="00FD2727" w:rsidRPr="00410588" w:rsidRDefault="00FD2727">
      <w:pPr>
        <w:pStyle w:val="FootnoteText"/>
        <w:rPr>
          <w:lang w:val="en-US"/>
        </w:rPr>
      </w:pPr>
      <w:r>
        <w:rPr>
          <w:rStyle w:val="FootnoteReference"/>
        </w:rPr>
        <w:footnoteRef/>
      </w:r>
      <w:r>
        <w:t xml:space="preserve"> European Union's appellant's submission, </w:t>
      </w:r>
      <w:r w:rsidRPr="00AF3D63">
        <w:t>para. </w:t>
      </w:r>
      <w:r>
        <w:t>1025.</w:t>
      </w:r>
    </w:p>
  </w:footnote>
  <w:footnote w:id="1992">
    <w:p w:rsidR="00FD2727" w:rsidRPr="00410588" w:rsidRDefault="00FD2727">
      <w:pPr>
        <w:pStyle w:val="FootnoteText"/>
        <w:rPr>
          <w:lang w:val="en-US"/>
        </w:rPr>
      </w:pPr>
      <w:r>
        <w:rPr>
          <w:rStyle w:val="FootnoteReference"/>
        </w:rPr>
        <w:footnoteRef/>
      </w:r>
      <w:r>
        <w:t xml:space="preserve"> European Union's appellant's submission, fn 1114 to </w:t>
      </w:r>
      <w:r w:rsidRPr="00AF3D63">
        <w:t>para. </w:t>
      </w:r>
      <w:r>
        <w:t xml:space="preserve">1025 (quoting Appellate Body Report, </w:t>
      </w:r>
      <w:r>
        <w:rPr>
          <w:i/>
        </w:rPr>
        <w:t>EC and certain member States – Large Civil Aircraft</w:t>
      </w:r>
      <w:r>
        <w:t xml:space="preserve">, </w:t>
      </w:r>
      <w:r w:rsidRPr="00AF3D63">
        <w:t>para. </w:t>
      </w:r>
      <w:r>
        <w:t xml:space="preserve">1188). </w:t>
      </w:r>
    </w:p>
  </w:footnote>
  <w:footnote w:id="1993">
    <w:p w:rsidR="00FD2727" w:rsidRPr="00410588" w:rsidRDefault="00FD2727">
      <w:pPr>
        <w:pStyle w:val="FootnoteText"/>
        <w:rPr>
          <w:lang w:val="en-US"/>
        </w:rPr>
      </w:pPr>
      <w:r>
        <w:rPr>
          <w:rStyle w:val="FootnoteReference"/>
        </w:rPr>
        <w:footnoteRef/>
      </w:r>
      <w:r>
        <w:t xml:space="preserve"> European Union's appellant's submission, fn 1114 to </w:t>
      </w:r>
      <w:r w:rsidRPr="00AF3D63">
        <w:t>para. </w:t>
      </w:r>
      <w:r>
        <w:t>1025.</w:t>
      </w:r>
    </w:p>
  </w:footnote>
  <w:footnote w:id="1994">
    <w:p w:rsidR="00FD2727" w:rsidRPr="00410588" w:rsidRDefault="00FD2727">
      <w:pPr>
        <w:pStyle w:val="FootnoteText"/>
        <w:rPr>
          <w:lang w:val="en-US"/>
        </w:rPr>
      </w:pPr>
      <w:r>
        <w:rPr>
          <w:rStyle w:val="FootnoteReference"/>
        </w:rPr>
        <w:footnoteRef/>
      </w:r>
      <w:r>
        <w:t xml:space="preserve"> Panel Report, </w:t>
      </w:r>
      <w:r w:rsidRPr="00AF3D63">
        <w:t>para. </w:t>
      </w:r>
      <w:r>
        <w:t xml:space="preserve">6.1443 (referring to Panel Reports, </w:t>
      </w:r>
      <w:r>
        <w:rPr>
          <w:i/>
        </w:rPr>
        <w:t>US – Upland Cotton (Article 21.5 – Brazil)</w:t>
      </w:r>
      <w:r>
        <w:t xml:space="preserve">, </w:t>
      </w:r>
      <w:r w:rsidRPr="00AF3D63">
        <w:t>para. </w:t>
      </w:r>
      <w:r>
        <w:t xml:space="preserve">10.18; </w:t>
      </w:r>
      <w:r>
        <w:rPr>
          <w:i/>
        </w:rPr>
        <w:t>EC and certain member States – Large Civil Aircraft</w:t>
      </w:r>
      <w:r>
        <w:t xml:space="preserve">, </w:t>
      </w:r>
      <w:r w:rsidRPr="00AF3D63">
        <w:t>paras. </w:t>
      </w:r>
      <w:r>
        <w:t>7.1694 and 7.1714). (emphasis original)</w:t>
      </w:r>
    </w:p>
  </w:footnote>
  <w:footnote w:id="1995">
    <w:p w:rsidR="00FD2727" w:rsidRPr="00410588" w:rsidRDefault="00FD2727">
      <w:pPr>
        <w:pStyle w:val="FootnoteText"/>
        <w:rPr>
          <w:lang w:val="en-US"/>
        </w:rPr>
      </w:pPr>
      <w:r>
        <w:rPr>
          <w:rStyle w:val="FootnoteReference"/>
        </w:rPr>
        <w:footnoteRef/>
      </w:r>
      <w:r>
        <w:t xml:space="preserve"> Panel Report, </w:t>
      </w:r>
      <w:r w:rsidRPr="00AF3D63">
        <w:t>para. </w:t>
      </w:r>
      <w:r>
        <w:t xml:space="preserve">6.1443 (quoting Panel Report, </w:t>
      </w:r>
      <w:r>
        <w:rPr>
          <w:i/>
        </w:rPr>
        <w:t>US – Upland Cotton (Article 21.5 – Brazil)</w:t>
      </w:r>
      <w:r>
        <w:t xml:space="preserve">, </w:t>
      </w:r>
      <w:r w:rsidRPr="00AF3D63">
        <w:t>paras. </w:t>
      </w:r>
      <w:r>
        <w:t>10.104 and 10.248 (emphasis added)).</w:t>
      </w:r>
    </w:p>
  </w:footnote>
  <w:footnote w:id="1996">
    <w:p w:rsidR="00FD2727" w:rsidRPr="00410588" w:rsidRDefault="00FD2727">
      <w:pPr>
        <w:pStyle w:val="FootnoteText"/>
        <w:rPr>
          <w:lang w:val="en-US"/>
        </w:rPr>
      </w:pPr>
      <w:r>
        <w:rPr>
          <w:rStyle w:val="FootnoteReference"/>
        </w:rPr>
        <w:footnoteRef/>
      </w:r>
      <w:r>
        <w:t xml:space="preserve"> Panel Report, </w:t>
      </w:r>
      <w:r w:rsidRPr="00AF3D63">
        <w:t>para. </w:t>
      </w:r>
      <w:r>
        <w:t>6.1444.</w:t>
      </w:r>
    </w:p>
  </w:footnote>
  <w:footnote w:id="1997">
    <w:p w:rsidR="00FD2727" w:rsidRPr="00410588" w:rsidRDefault="00FD2727" w:rsidP="00C752B3">
      <w:pPr>
        <w:pStyle w:val="FootnoteText"/>
        <w:keepNext/>
        <w:keepLines/>
        <w:rPr>
          <w:lang w:val="en-US"/>
        </w:rPr>
      </w:pPr>
      <w:r>
        <w:rPr>
          <w:rStyle w:val="FootnoteReference"/>
        </w:rPr>
        <w:footnoteRef/>
      </w:r>
      <w:r>
        <w:t xml:space="preserve"> Panel Report, </w:t>
      </w:r>
      <w:r w:rsidRPr="00AF3D63">
        <w:t>para. </w:t>
      </w:r>
      <w:r>
        <w:t>6.1444. (emphasis original)</w:t>
      </w:r>
      <w:r w:rsidRPr="00130487">
        <w:t xml:space="preserve"> </w:t>
      </w:r>
      <w:r>
        <w:t>Accordingly, for the purposes of assessing the United States' claims of lost sales, and "displacement and/or impedance", the Panel took into account market data for the period December 2011 through December 2013. (Ibid., para. 6.1781, Table 19, and para. 6.1805, Tables 20-22)</w:t>
      </w:r>
    </w:p>
  </w:footnote>
  <w:footnote w:id="1998">
    <w:p w:rsidR="00FD2727" w:rsidRPr="00410588" w:rsidRDefault="00FD2727">
      <w:pPr>
        <w:pStyle w:val="FootnoteText"/>
        <w:rPr>
          <w:lang w:val="en-US"/>
        </w:rPr>
      </w:pPr>
      <w:r>
        <w:rPr>
          <w:rStyle w:val="FootnoteReference"/>
        </w:rPr>
        <w:footnoteRef/>
      </w:r>
      <w:r>
        <w:t xml:space="preserve"> Emphasis added.</w:t>
      </w:r>
    </w:p>
  </w:footnote>
  <w:footnote w:id="1999">
    <w:p w:rsidR="00FD2727" w:rsidRPr="00410588" w:rsidRDefault="00FD2727">
      <w:pPr>
        <w:pStyle w:val="FootnoteText"/>
        <w:rPr>
          <w:lang w:val="en-US"/>
        </w:rPr>
      </w:pPr>
      <w:r>
        <w:rPr>
          <w:rStyle w:val="FootnoteReference"/>
        </w:rPr>
        <w:footnoteRef/>
      </w:r>
      <w:r>
        <w:t xml:space="preserve"> Appellate Body Report, </w:t>
      </w:r>
      <w:r>
        <w:rPr>
          <w:i/>
        </w:rPr>
        <w:t>EC and certain member States – Large Civil Aircraft</w:t>
      </w:r>
      <w:r>
        <w:t xml:space="preserve">, </w:t>
      </w:r>
      <w:r w:rsidRPr="00AF3D63">
        <w:t>para. </w:t>
      </w:r>
      <w:r>
        <w:t>1167. (fn omitted)</w:t>
      </w:r>
    </w:p>
  </w:footnote>
  <w:footnote w:id="2000">
    <w:p w:rsidR="00FD2727" w:rsidRPr="00410588" w:rsidRDefault="00FD2727">
      <w:pPr>
        <w:pStyle w:val="FootnoteText"/>
        <w:rPr>
          <w:lang w:val="en-US"/>
        </w:rPr>
      </w:pPr>
      <w:r>
        <w:rPr>
          <w:rStyle w:val="FootnoteReference"/>
        </w:rPr>
        <w:footnoteRef/>
      </w:r>
      <w:r>
        <w:t xml:space="preserve"> Appellate Body Report, </w:t>
      </w:r>
      <w:r>
        <w:rPr>
          <w:i/>
        </w:rPr>
        <w:t>EC and certain member States – Large Civil Aircraft</w:t>
      </w:r>
      <w:r>
        <w:t xml:space="preserve">, </w:t>
      </w:r>
      <w:r w:rsidRPr="00AF3D63">
        <w:t>para. </w:t>
      </w:r>
      <w:r>
        <w:t>1167.</w:t>
      </w:r>
    </w:p>
  </w:footnote>
  <w:footnote w:id="2001">
    <w:p w:rsidR="00FD2727" w:rsidRDefault="00FD2727">
      <w:pPr>
        <w:pStyle w:val="FootnoteText"/>
      </w:pPr>
      <w:r>
        <w:rPr>
          <w:rStyle w:val="FootnoteReference"/>
        </w:rPr>
        <w:footnoteRef/>
      </w:r>
      <w:r>
        <w:t xml:space="preserve"> Panel Report, para. 6.1444. (emphasis original)</w:t>
      </w:r>
    </w:p>
  </w:footnote>
  <w:footnote w:id="2002">
    <w:p w:rsidR="00FD2727" w:rsidRPr="00410588" w:rsidRDefault="00FD2727">
      <w:pPr>
        <w:pStyle w:val="FootnoteText"/>
        <w:rPr>
          <w:lang w:val="en-US"/>
        </w:rPr>
      </w:pPr>
      <w:r>
        <w:rPr>
          <w:rStyle w:val="FootnoteReference"/>
        </w:rPr>
        <w:footnoteRef/>
      </w:r>
      <w:r>
        <w:t xml:space="preserve"> Panel Report, </w:t>
      </w:r>
      <w:r w:rsidRPr="00AF3D63">
        <w:t>para. </w:t>
      </w:r>
      <w:r>
        <w:t>6.1444. (emphasis original)</w:t>
      </w:r>
    </w:p>
  </w:footnote>
  <w:footnote w:id="2003">
    <w:p w:rsidR="00FD2727" w:rsidRPr="00410588" w:rsidRDefault="00FD2727">
      <w:pPr>
        <w:pStyle w:val="FootnoteText"/>
        <w:rPr>
          <w:lang w:val="en-US"/>
        </w:rPr>
      </w:pPr>
      <w:r>
        <w:rPr>
          <w:rStyle w:val="FootnoteReference"/>
        </w:rPr>
        <w:footnoteRef/>
      </w:r>
      <w:r>
        <w:t xml:space="preserve"> </w:t>
      </w:r>
      <w:r w:rsidRPr="000664DA">
        <w:t>Before the Panel, the United States submitted evidence of 115 orders for approximately 1300 Airbus LCA made between 2001 and 2013, arguing that all such orders represent</w:t>
      </w:r>
      <w:r>
        <w:t>ed</w:t>
      </w:r>
      <w:r w:rsidRPr="000664DA">
        <w:t xml:space="preserve"> "lost sales" to the </w:t>
      </w:r>
      <w:r>
        <w:t>US</w:t>
      </w:r>
      <w:r w:rsidRPr="000664DA">
        <w:t xml:space="preserve"> LCA industry within the meaning of Article 6.3(c). The United States further argued that all of these orders should </w:t>
      </w:r>
      <w:r>
        <w:t>have been</w:t>
      </w:r>
      <w:r w:rsidRPr="000664DA">
        <w:t xml:space="preserve"> considered for the purpose of establishing whether the European Union has complied with the </w:t>
      </w:r>
      <w:r>
        <w:t xml:space="preserve">recommendations and </w:t>
      </w:r>
      <w:r w:rsidRPr="000664DA">
        <w:t>rulings of the DSB. The Panel</w:t>
      </w:r>
      <w:r>
        <w:t>, however,</w:t>
      </w:r>
      <w:r w:rsidRPr="000664DA">
        <w:t xml:space="preserve"> decided to examine only claims of "lost sales" occurring in the post-implementation period. (Panel Report, fn 3258 to </w:t>
      </w:r>
      <w:r w:rsidRPr="00AF3D63">
        <w:t>para. </w:t>
      </w:r>
      <w:r w:rsidRPr="000664DA">
        <w:t>6.1781) This approach by the Panel has not been appealed by either of the parties to the dispute.</w:t>
      </w:r>
    </w:p>
  </w:footnote>
  <w:footnote w:id="2004">
    <w:p w:rsidR="00FD2727" w:rsidRPr="00410588" w:rsidRDefault="00FD2727">
      <w:pPr>
        <w:pStyle w:val="FootnoteText"/>
        <w:rPr>
          <w:lang w:val="en-US"/>
        </w:rPr>
      </w:pPr>
      <w:r>
        <w:rPr>
          <w:rStyle w:val="FootnoteReference"/>
        </w:rPr>
        <w:footnoteRef/>
      </w:r>
      <w:r>
        <w:t xml:space="preserve"> Panel Report, </w:t>
      </w:r>
      <w:r w:rsidRPr="00AF3D63">
        <w:t>paras. </w:t>
      </w:r>
      <w:r>
        <w:t>6.1787-6.1788.</w:t>
      </w:r>
    </w:p>
  </w:footnote>
  <w:footnote w:id="2005">
    <w:p w:rsidR="00FD2727" w:rsidRPr="00410588" w:rsidRDefault="00FD2727">
      <w:pPr>
        <w:pStyle w:val="FootnoteText"/>
        <w:rPr>
          <w:lang w:val="en-US"/>
        </w:rPr>
      </w:pPr>
      <w:r>
        <w:rPr>
          <w:rStyle w:val="FootnoteReference"/>
        </w:rPr>
        <w:footnoteRef/>
      </w:r>
      <w:r>
        <w:t xml:space="preserve"> Panel Report, </w:t>
      </w:r>
      <w:r w:rsidRPr="00AF3D63">
        <w:t>para. </w:t>
      </w:r>
      <w:r>
        <w:t>6.1793.</w:t>
      </w:r>
    </w:p>
  </w:footnote>
  <w:footnote w:id="2006">
    <w:p w:rsidR="00FD2727" w:rsidRDefault="00FD2727" w:rsidP="00C752B3">
      <w:pPr>
        <w:pStyle w:val="FootnoteText"/>
        <w:rPr>
          <w:lang w:val="en-US"/>
        </w:rPr>
      </w:pPr>
      <w:r>
        <w:rPr>
          <w:rStyle w:val="FootnoteReference"/>
        </w:rPr>
        <w:footnoteRef/>
      </w:r>
      <w:r>
        <w:t xml:space="preserve"> United States' appellee's submission, paras. 583, 587, and 593.</w:t>
      </w:r>
    </w:p>
  </w:footnote>
  <w:footnote w:id="2007">
    <w:p w:rsidR="00FD2727" w:rsidRDefault="00FD2727" w:rsidP="00C752B3">
      <w:pPr>
        <w:pStyle w:val="FootnoteText"/>
        <w:rPr>
          <w:lang w:val="en-US"/>
        </w:rPr>
      </w:pPr>
      <w:r>
        <w:rPr>
          <w:rStyle w:val="FootnoteReference"/>
        </w:rPr>
        <w:footnoteRef/>
      </w:r>
      <w:r>
        <w:t xml:space="preserve"> United States' appellee's submission, para. 575.</w:t>
      </w:r>
    </w:p>
  </w:footnote>
  <w:footnote w:id="2008">
    <w:p w:rsidR="00FD2727" w:rsidRPr="007629B5" w:rsidRDefault="00FD2727" w:rsidP="00C752B3">
      <w:pPr>
        <w:pStyle w:val="FootnoteText"/>
      </w:pPr>
      <w:r>
        <w:rPr>
          <w:rStyle w:val="FootnoteReference"/>
        </w:rPr>
        <w:footnoteRef/>
      </w:r>
      <w:r>
        <w:t xml:space="preserve"> United States' appellee's submission, para. 577 (referring to United States' response to Panel question No. 162, para. 14; Summary Table of Updated Ascend Aircraft Database (Panel Exhibit USA</w:t>
      </w:r>
      <w:r>
        <w:noBreakHyphen/>
        <w:t xml:space="preserve">578 (BCI)), p.2). The Panel however made no determination of the United States' claim of threat of displacement and/or </w:t>
      </w:r>
      <w:r w:rsidRPr="007629B5">
        <w:t xml:space="preserve">impedance in this market given that "the United States requested the Panel to consider this claim only if {it} rejected {the United States'} claims of </w:t>
      </w:r>
      <w:r w:rsidRPr="005755A4">
        <w:rPr>
          <w:i/>
        </w:rPr>
        <w:t>present</w:t>
      </w:r>
      <w:r w:rsidRPr="007629B5">
        <w:t xml:space="preserve"> serious prejudice". (Panel Report, para. 6.1818 (referring to United States' first written submission to the Panel, para. 514; second written submission to the Panel, para. 720; response to Panel question No. 162)</w:t>
      </w:r>
      <w:r>
        <w:t xml:space="preserve"> (emphasis original)</w:t>
      </w:r>
      <w:r w:rsidRPr="007629B5">
        <w:t>)</w:t>
      </w:r>
    </w:p>
  </w:footnote>
  <w:footnote w:id="2009">
    <w:p w:rsidR="00FD2727" w:rsidRPr="007629B5" w:rsidRDefault="00FD2727">
      <w:pPr>
        <w:pStyle w:val="FootnoteText"/>
        <w:rPr>
          <w:lang w:val="en-US"/>
        </w:rPr>
      </w:pPr>
      <w:r w:rsidRPr="007629B5">
        <w:rPr>
          <w:rStyle w:val="FootnoteReference"/>
        </w:rPr>
        <w:footnoteRef/>
      </w:r>
      <w:r w:rsidRPr="007629B5">
        <w:t xml:space="preserve"> Panel Report, </w:t>
      </w:r>
      <w:r>
        <w:t xml:space="preserve">para. 6.1805, </w:t>
      </w:r>
      <w:r w:rsidRPr="007629B5">
        <w:t>Table 20</w:t>
      </w:r>
      <w:r>
        <w:t>: Market for single-aisle LCA</w:t>
      </w:r>
      <w:r w:rsidRPr="007629B5">
        <w:t xml:space="preserve"> (</w:t>
      </w:r>
      <w:r>
        <w:t>containing data from</w:t>
      </w:r>
      <w:r w:rsidRPr="007629B5">
        <w:t xml:space="preserve"> Ascend</w:t>
      </w:r>
      <w:r>
        <w:t xml:space="preserve"> database</w:t>
      </w:r>
      <w:r w:rsidRPr="007629B5">
        <w:t>, Deliveries made, data request as of 7 April 2014 (Panel Exhibit EU-512)) See also Ascend database, Boeing and Airbus Deliveries in Units (2001-2013), Commercial Operators, data request as of 30 March 2014</w:t>
      </w:r>
      <w:r w:rsidRPr="007629B5" w:rsidDel="002C3EE5">
        <w:t xml:space="preserve"> </w:t>
      </w:r>
      <w:r w:rsidRPr="007629B5">
        <w:t>(Panel Exhibit USA</w:t>
      </w:r>
      <w:r w:rsidRPr="007629B5">
        <w:noBreakHyphen/>
        <w:t>577), referred to in Panel Report, fn 2313 to para. 6.1368.</w:t>
      </w:r>
    </w:p>
  </w:footnote>
  <w:footnote w:id="2010">
    <w:p w:rsidR="00FD2727" w:rsidRPr="00410588" w:rsidRDefault="00FD2727">
      <w:pPr>
        <w:pStyle w:val="FootnoteText"/>
        <w:rPr>
          <w:lang w:val="en-US"/>
        </w:rPr>
      </w:pPr>
      <w:r>
        <w:rPr>
          <w:rStyle w:val="FootnoteReference"/>
        </w:rPr>
        <w:footnoteRef/>
      </w:r>
      <w:r>
        <w:t xml:space="preserve"> Panel Report, </w:t>
      </w:r>
      <w:r w:rsidRPr="00AF3D63">
        <w:t>para. </w:t>
      </w:r>
      <w:r>
        <w:t>6.1806.</w:t>
      </w:r>
    </w:p>
  </w:footnote>
  <w:footnote w:id="2011">
    <w:p w:rsidR="00FD2727" w:rsidRPr="00410588" w:rsidRDefault="00FD2727">
      <w:pPr>
        <w:pStyle w:val="FootnoteText"/>
        <w:rPr>
          <w:lang w:val="en-US"/>
        </w:rPr>
      </w:pPr>
      <w:r>
        <w:rPr>
          <w:rStyle w:val="FootnoteReference"/>
        </w:rPr>
        <w:footnoteRef/>
      </w:r>
      <w:r>
        <w:t xml:space="preserve"> Panel Report, </w:t>
      </w:r>
      <w:r w:rsidRPr="00AF3D63">
        <w:t>para. </w:t>
      </w:r>
      <w:r>
        <w:t>6.1806. (emphasis original)</w:t>
      </w:r>
    </w:p>
  </w:footnote>
  <w:footnote w:id="2012">
    <w:p w:rsidR="00FD2727" w:rsidRPr="00410588" w:rsidRDefault="00FD2727">
      <w:pPr>
        <w:pStyle w:val="FootnoteText"/>
        <w:rPr>
          <w:lang w:val="en-US"/>
        </w:rPr>
      </w:pPr>
      <w:r>
        <w:rPr>
          <w:rStyle w:val="FootnoteReference"/>
        </w:rPr>
        <w:footnoteRef/>
      </w:r>
      <w:r>
        <w:t xml:space="preserve"> Panel Report, </w:t>
      </w:r>
      <w:r w:rsidRPr="00AF3D63">
        <w:t>para. </w:t>
      </w:r>
      <w:r>
        <w:t>6.1817.</w:t>
      </w:r>
    </w:p>
  </w:footnote>
  <w:footnote w:id="2013">
    <w:p w:rsidR="00FD2727" w:rsidRPr="00410588" w:rsidRDefault="00FD2727">
      <w:pPr>
        <w:pStyle w:val="FootnoteText"/>
        <w:rPr>
          <w:lang w:val="en-US"/>
        </w:rPr>
      </w:pPr>
      <w:r>
        <w:rPr>
          <w:rStyle w:val="FootnoteReference"/>
        </w:rPr>
        <w:footnoteRef/>
      </w:r>
      <w:r>
        <w:t xml:space="preserve"> We recall that all LA/MSF subsidies granted for LCA up to and including the A320 were found by the Panel to have expired. (</w:t>
      </w:r>
      <w:r w:rsidRPr="00145239">
        <w:t>See paras. 5.402 and 5.552 above.</w:t>
      </w:r>
      <w:r>
        <w:t xml:space="preserve"> See also Panel Report, para. 6.876 and fn 1567 thereto.)</w:t>
      </w:r>
    </w:p>
  </w:footnote>
  <w:footnote w:id="2014">
    <w:p w:rsidR="00FD2727" w:rsidRPr="00410588" w:rsidRDefault="00FD2727">
      <w:pPr>
        <w:pStyle w:val="FootnoteText"/>
        <w:rPr>
          <w:lang w:val="en-US"/>
        </w:rPr>
      </w:pPr>
      <w:r>
        <w:rPr>
          <w:rStyle w:val="FootnoteReference"/>
        </w:rPr>
        <w:footnoteRef/>
      </w:r>
      <w:r>
        <w:t xml:space="preserve"> Panel Report, </w:t>
      </w:r>
      <w:r w:rsidRPr="00AF3D63">
        <w:t>para. </w:t>
      </w:r>
      <w:r>
        <w:t>6.1713. (emphasis added)</w:t>
      </w:r>
    </w:p>
  </w:footnote>
  <w:footnote w:id="2015">
    <w:p w:rsidR="00FD2727" w:rsidRPr="00145239" w:rsidRDefault="00FD2727" w:rsidP="00AA339D">
      <w:pPr>
        <w:pStyle w:val="FootnoteText"/>
        <w:keepNext/>
        <w:keepLines/>
        <w:rPr>
          <w:lang w:val="en-US"/>
        </w:rPr>
      </w:pPr>
      <w:r>
        <w:rPr>
          <w:rStyle w:val="FootnoteReference"/>
        </w:rPr>
        <w:footnoteRef/>
      </w:r>
      <w:r>
        <w:t xml:space="preserve"> We note that the Panel found that the non</w:t>
      </w:r>
      <w:r>
        <w:noBreakHyphen/>
        <w:t xml:space="preserve">subsidized post-launch investments in Airbus' A320 and A330 families of LCA described by the European Union "were significant and instrumental to Airbus' ability to upgrade the technologies and production processes associated with the original A320 and A330 programmes in a way that enabled Airbus to sustain their competitiveness". (Panel Report, </w:t>
      </w:r>
      <w:r w:rsidRPr="00AF3D63">
        <w:t>para. </w:t>
      </w:r>
      <w:r>
        <w:t xml:space="preserve">6.1524) The Panel, however, did not consider that such investments had diluted the genuine and substantial link between the pre-A350XWB LA/MSF subsidies – most of which had expired – and the market presence of the existing A320 and A330 families </w:t>
      </w:r>
      <w:r w:rsidRPr="00145239">
        <w:t>of Airbus LCA. (Ibid.) The European Union contends on appeal that the Panel erred in reaching this finding. (See para. 5.551 above) For the reasons stated above, we have not examined these arguments by the European Union. (See paras. 5.410-5.411, and 5.552-5.553 above.)</w:t>
      </w:r>
    </w:p>
  </w:footnote>
  <w:footnote w:id="2016">
    <w:p w:rsidR="00FD2727" w:rsidRPr="00145239" w:rsidRDefault="00FD2727">
      <w:pPr>
        <w:pStyle w:val="FootnoteText"/>
        <w:rPr>
          <w:lang w:val="en-US"/>
        </w:rPr>
      </w:pPr>
      <w:r w:rsidRPr="00145239">
        <w:rPr>
          <w:rStyle w:val="FootnoteReference"/>
        </w:rPr>
        <w:footnoteRef/>
      </w:r>
      <w:r w:rsidRPr="00145239">
        <w:t xml:space="preserve"> Panel Report, para. 6.1798. </w:t>
      </w:r>
    </w:p>
  </w:footnote>
  <w:footnote w:id="2017">
    <w:p w:rsidR="00FD2727" w:rsidRPr="00145239" w:rsidRDefault="00FD2727">
      <w:pPr>
        <w:pStyle w:val="FootnoteText"/>
        <w:rPr>
          <w:lang w:val="en-US"/>
        </w:rPr>
      </w:pPr>
      <w:r w:rsidRPr="00145239">
        <w:rPr>
          <w:rStyle w:val="FootnoteReference"/>
        </w:rPr>
        <w:footnoteRef/>
      </w:r>
      <w:r w:rsidRPr="00145239">
        <w:t xml:space="preserve"> Panel Report, para. 6.1817. </w:t>
      </w:r>
    </w:p>
  </w:footnote>
  <w:footnote w:id="2018">
    <w:p w:rsidR="00FD2727" w:rsidRPr="00145239" w:rsidRDefault="00FD2727">
      <w:pPr>
        <w:pStyle w:val="FootnoteText"/>
        <w:rPr>
          <w:lang w:val="en-US"/>
        </w:rPr>
      </w:pPr>
      <w:r w:rsidRPr="00145239">
        <w:rPr>
          <w:rStyle w:val="FootnoteReference"/>
        </w:rPr>
        <w:footnoteRef/>
      </w:r>
      <w:r w:rsidRPr="00145239">
        <w:t xml:space="preserve"> European Union's appellant's submission, para. 916.</w:t>
      </w:r>
    </w:p>
  </w:footnote>
  <w:footnote w:id="2019">
    <w:p w:rsidR="00FD2727" w:rsidRPr="00410588" w:rsidRDefault="00FD2727">
      <w:pPr>
        <w:pStyle w:val="FootnoteText"/>
        <w:rPr>
          <w:lang w:val="en-US"/>
        </w:rPr>
      </w:pPr>
      <w:r w:rsidRPr="00145239">
        <w:rPr>
          <w:rStyle w:val="FootnoteReference"/>
        </w:rPr>
        <w:footnoteRef/>
      </w:r>
      <w:r w:rsidRPr="00145239">
        <w:t xml:space="preserve"> European Union's appellant's</w:t>
      </w:r>
      <w:r>
        <w:t xml:space="preserve"> submission, </w:t>
      </w:r>
      <w:r w:rsidRPr="00AF3D63">
        <w:t>para. </w:t>
      </w:r>
      <w:r>
        <w:t xml:space="preserve">1026. </w:t>
      </w:r>
    </w:p>
  </w:footnote>
  <w:footnote w:id="2020">
    <w:p w:rsidR="00FD2727" w:rsidRPr="00410588" w:rsidRDefault="00FD2727">
      <w:pPr>
        <w:pStyle w:val="FootnoteText"/>
        <w:rPr>
          <w:lang w:val="en-US"/>
        </w:rPr>
      </w:pPr>
      <w:r>
        <w:rPr>
          <w:rStyle w:val="FootnoteReference"/>
        </w:rPr>
        <w:footnoteRef/>
      </w:r>
      <w:r>
        <w:t xml:space="preserve"> European Union's appellant's submission, </w:t>
      </w:r>
      <w:r w:rsidRPr="00AF3D63">
        <w:t>para. </w:t>
      </w:r>
      <w:r>
        <w:t>1029.</w:t>
      </w:r>
    </w:p>
  </w:footnote>
  <w:footnote w:id="2021">
    <w:p w:rsidR="00FD2727" w:rsidRPr="00410588" w:rsidRDefault="00FD2727">
      <w:pPr>
        <w:pStyle w:val="FootnoteText"/>
        <w:rPr>
          <w:lang w:val="en-US"/>
        </w:rPr>
      </w:pPr>
      <w:r>
        <w:rPr>
          <w:rStyle w:val="FootnoteReference"/>
        </w:rPr>
        <w:footnoteRef/>
      </w:r>
      <w:r>
        <w:t xml:space="preserve"> European Union's appellant's submission, </w:t>
      </w:r>
      <w:r w:rsidRPr="00AF3D63">
        <w:t>para. </w:t>
      </w:r>
      <w:r>
        <w:t>1053.</w:t>
      </w:r>
    </w:p>
  </w:footnote>
  <w:footnote w:id="2022">
    <w:p w:rsidR="00FD2727" w:rsidRPr="00715DDC" w:rsidRDefault="00FD2727">
      <w:pPr>
        <w:pStyle w:val="FootnoteText"/>
      </w:pPr>
      <w:r>
        <w:rPr>
          <w:rStyle w:val="FootnoteReference"/>
        </w:rPr>
        <w:footnoteRef/>
      </w:r>
      <w:r>
        <w:t xml:space="preserve"> Panel Report, para. 6.1780 (quoting Appellate Body Report, </w:t>
      </w:r>
      <w:r>
        <w:rPr>
          <w:i/>
          <w:iCs/>
        </w:rPr>
        <w:t xml:space="preserve">US – Large Civil </w:t>
      </w:r>
      <w:r w:rsidRPr="00051C68">
        <w:rPr>
          <w:i/>
          <w:iCs/>
        </w:rPr>
        <w:t>Aircraft</w:t>
      </w:r>
      <w:r w:rsidRPr="00051C68">
        <w:rPr>
          <w:i/>
        </w:rPr>
        <w:t xml:space="preserve"> (2</w:t>
      </w:r>
      <w:r w:rsidRPr="00051C68">
        <w:rPr>
          <w:i/>
          <w:vertAlign w:val="superscript"/>
        </w:rPr>
        <w:t>nd</w:t>
      </w:r>
      <w:r w:rsidRPr="00051C68">
        <w:rPr>
          <w:i/>
        </w:rPr>
        <w:t xml:space="preserve"> complaint)</w:t>
      </w:r>
      <w:r>
        <w:t>, para. 1052).</w:t>
      </w:r>
    </w:p>
  </w:footnote>
  <w:footnote w:id="2023">
    <w:p w:rsidR="00FD2727" w:rsidRPr="00715DDC" w:rsidRDefault="00FD2727">
      <w:pPr>
        <w:pStyle w:val="FootnoteText"/>
        <w:rPr>
          <w:lang w:val="en-US"/>
        </w:rPr>
      </w:pPr>
      <w:r>
        <w:rPr>
          <w:rStyle w:val="FootnoteReference"/>
        </w:rPr>
        <w:footnoteRef/>
      </w:r>
      <w:r>
        <w:t xml:space="preserve"> Panel report, para. 6.1780 (quoting Appellate Body Report, </w:t>
      </w:r>
      <w:r>
        <w:rPr>
          <w:i/>
          <w:iCs/>
        </w:rPr>
        <w:t>EC and certain member States – Large Civil Aircraft</w:t>
      </w:r>
      <w:r>
        <w:t>, para. 1220). (emphasis original)</w:t>
      </w:r>
    </w:p>
  </w:footnote>
  <w:footnote w:id="2024">
    <w:p w:rsidR="00FD2727" w:rsidRPr="00410588" w:rsidRDefault="00FD2727">
      <w:pPr>
        <w:pStyle w:val="FootnoteText"/>
        <w:rPr>
          <w:lang w:val="en-US"/>
        </w:rPr>
      </w:pPr>
      <w:r>
        <w:rPr>
          <w:rStyle w:val="FootnoteReference"/>
        </w:rPr>
        <w:footnoteRef/>
      </w:r>
      <w:r>
        <w:t xml:space="preserve"> Panel Report, </w:t>
      </w:r>
      <w:r w:rsidRPr="00AF3D63">
        <w:t>para. </w:t>
      </w:r>
      <w:r>
        <w:t>6.1789.</w:t>
      </w:r>
    </w:p>
  </w:footnote>
  <w:footnote w:id="2025">
    <w:p w:rsidR="00FD2727" w:rsidRPr="00410588" w:rsidRDefault="00FD2727">
      <w:pPr>
        <w:pStyle w:val="FootnoteText"/>
        <w:rPr>
          <w:lang w:val="en-US"/>
        </w:rPr>
      </w:pPr>
      <w:r>
        <w:rPr>
          <w:rStyle w:val="FootnoteReference"/>
        </w:rPr>
        <w:footnoteRef/>
      </w:r>
      <w:r>
        <w:t xml:space="preserve"> Panel Report, </w:t>
      </w:r>
      <w:r w:rsidRPr="00AF3D63">
        <w:t>para. </w:t>
      </w:r>
      <w:r>
        <w:t>6.1789.</w:t>
      </w:r>
    </w:p>
  </w:footnote>
  <w:footnote w:id="2026">
    <w:p w:rsidR="00FD2727" w:rsidRPr="00410588" w:rsidRDefault="00FD2727">
      <w:pPr>
        <w:pStyle w:val="FootnoteText"/>
        <w:rPr>
          <w:lang w:val="en-US"/>
        </w:rPr>
      </w:pPr>
      <w:r>
        <w:rPr>
          <w:rStyle w:val="FootnoteReference"/>
        </w:rPr>
        <w:footnoteRef/>
      </w:r>
      <w:r>
        <w:t xml:space="preserve"> Panel Report, </w:t>
      </w:r>
      <w:r w:rsidRPr="00AF3D63">
        <w:t>para. </w:t>
      </w:r>
      <w:r>
        <w:t>6.1779.</w:t>
      </w:r>
    </w:p>
  </w:footnote>
  <w:footnote w:id="2027">
    <w:p w:rsidR="00FD2727" w:rsidRPr="00410588" w:rsidRDefault="00FD2727">
      <w:pPr>
        <w:pStyle w:val="FootnoteText"/>
        <w:rPr>
          <w:lang w:val="en-US"/>
        </w:rPr>
      </w:pPr>
      <w:r>
        <w:rPr>
          <w:rStyle w:val="FootnoteReference"/>
        </w:rPr>
        <w:footnoteRef/>
      </w:r>
      <w:r>
        <w:t xml:space="preserve"> Panel Report, </w:t>
      </w:r>
      <w:r w:rsidRPr="00AF3D63">
        <w:t>para. </w:t>
      </w:r>
      <w:r>
        <w:t>6.1537.</w:t>
      </w:r>
    </w:p>
  </w:footnote>
  <w:footnote w:id="2028">
    <w:p w:rsidR="00FD2727" w:rsidRPr="00410588" w:rsidRDefault="00FD2727">
      <w:pPr>
        <w:pStyle w:val="FootnoteText"/>
        <w:rPr>
          <w:lang w:val="en-US"/>
        </w:rPr>
      </w:pPr>
      <w:r>
        <w:rPr>
          <w:rStyle w:val="FootnoteReference"/>
        </w:rPr>
        <w:footnoteRef/>
      </w:r>
      <w:r>
        <w:t xml:space="preserve"> Panel Report, </w:t>
      </w:r>
      <w:r w:rsidRPr="00AF3D63">
        <w:t>para. </w:t>
      </w:r>
      <w:r>
        <w:t>6.1717.</w:t>
      </w:r>
    </w:p>
  </w:footnote>
  <w:footnote w:id="2029">
    <w:p w:rsidR="00FD2727" w:rsidRPr="00410588" w:rsidRDefault="00FD2727">
      <w:pPr>
        <w:pStyle w:val="FootnoteText"/>
        <w:rPr>
          <w:lang w:val="en-US"/>
        </w:rPr>
      </w:pPr>
      <w:r>
        <w:rPr>
          <w:rStyle w:val="FootnoteReference"/>
        </w:rPr>
        <w:footnoteRef/>
      </w:r>
      <w:r>
        <w:t xml:space="preserve"> </w:t>
      </w:r>
      <w:r w:rsidRPr="00145239">
        <w:t>See section 5.6.3.5.2 of this Report</w:t>
      </w:r>
      <w:r>
        <w:t xml:space="preserve">. </w:t>
      </w:r>
    </w:p>
  </w:footnote>
  <w:footnote w:id="2030">
    <w:p w:rsidR="00FD2727" w:rsidRPr="00410588" w:rsidRDefault="00FD2727">
      <w:pPr>
        <w:pStyle w:val="FootnoteText"/>
        <w:rPr>
          <w:lang w:val="en-US"/>
        </w:rPr>
      </w:pPr>
      <w:r>
        <w:rPr>
          <w:rStyle w:val="FootnoteReference"/>
        </w:rPr>
        <w:footnoteRef/>
      </w:r>
      <w:r>
        <w:t xml:space="preserve"> </w:t>
      </w:r>
      <w:r w:rsidRPr="00AF3D63">
        <w:t>See </w:t>
      </w:r>
      <w:r>
        <w:t xml:space="preserve">Panel Report, </w:t>
      </w:r>
      <w:r w:rsidRPr="00AF3D63">
        <w:t>para. </w:t>
      </w:r>
      <w:r>
        <w:t>6.1789.</w:t>
      </w:r>
    </w:p>
  </w:footnote>
  <w:footnote w:id="2031">
    <w:p w:rsidR="00FD2727" w:rsidRPr="007955E9" w:rsidRDefault="00FD2727" w:rsidP="001C6A42">
      <w:pPr>
        <w:pStyle w:val="FootnoteText"/>
        <w:keepNext/>
        <w:keepLines/>
        <w:rPr>
          <w:lang w:val="en-US"/>
        </w:rPr>
      </w:pPr>
      <w:r>
        <w:rPr>
          <w:rStyle w:val="FootnoteReference"/>
        </w:rPr>
        <w:footnoteRef/>
      </w:r>
      <w:r>
        <w:t xml:space="preserve"> Panel Report, paras. 6.1293-6.1370. We note that findings in the original proceedings established that the A340-500/600, also an Airbus twin-aisle LCA, was a derivative aircraft of the A340 family of LCA, and LA/MSF for the A340 granted to Airbus by the French and Spanish governments had been fully disbursed before the establishment of the original panel. (Original Panel Report, </w:t>
      </w:r>
      <w:r w:rsidRPr="003E543F">
        <w:t>paras.</w:t>
      </w:r>
      <w:r>
        <w:t xml:space="preserve"> 7.376-7.377 and 7.1622) We further recall that, in these compliance proceedings, the Panel found that </w:t>
      </w:r>
      <w:r w:rsidRPr="003F788B">
        <w:t xml:space="preserve">the LA/MSF subsidies for </w:t>
      </w:r>
      <w:r>
        <w:t>the A340</w:t>
      </w:r>
      <w:r>
        <w:noBreakHyphen/>
      </w:r>
      <w:r w:rsidRPr="004B1FF7">
        <w:t xml:space="preserve">500/600 </w:t>
      </w:r>
      <w:r>
        <w:t xml:space="preserve">had </w:t>
      </w:r>
      <w:r w:rsidRPr="004B1FF7">
        <w:t xml:space="preserve">expired, </w:t>
      </w:r>
      <w:r>
        <w:t xml:space="preserve">at the latest, in </w:t>
      </w:r>
      <w:r w:rsidRPr="00A902A9">
        <w:rPr>
          <w:b/>
        </w:rPr>
        <w:t>[</w:t>
      </w:r>
      <w:r w:rsidRPr="00C8434D">
        <w:rPr>
          <w:b/>
          <w:szCs w:val="16"/>
        </w:rPr>
        <w:t>BCI</w:t>
      </w:r>
      <w:r w:rsidRPr="00A902A9">
        <w:rPr>
          <w:b/>
        </w:rPr>
        <w:t>]</w:t>
      </w:r>
      <w:r>
        <w:t xml:space="preserve">. (Panel Report, fn 1547 to </w:t>
      </w:r>
      <w:r w:rsidRPr="00AF3D63">
        <w:t>para. </w:t>
      </w:r>
      <w:r>
        <w:t>6.879) The Panel also found that the market presence of the A340 came to an end before the beginning of the post-implementation period when Airbus terminated the A340 programme in November 2011. (Ibid.</w:t>
      </w:r>
      <w:r w:rsidRPr="003E543F">
        <w:t>, fn 2188 to para.</w:t>
      </w:r>
      <w:r>
        <w:t xml:space="preserve"> 6.1293) However, there are no </w:t>
      </w:r>
      <w:r w:rsidRPr="00197B0E">
        <w:rPr>
          <w:i/>
        </w:rPr>
        <w:t xml:space="preserve">specific </w:t>
      </w:r>
      <w:r>
        <w:t>findings and supporting analysis in the Panel Report regarding how the "product effects" of the A340-500/600 subsidies contributed to the alleged serious prejudice in the twin-aisle LCA market in the post-implementation period.</w:t>
      </w:r>
      <w:r w:rsidRPr="00A618EC">
        <w:t xml:space="preserve"> </w:t>
      </w:r>
    </w:p>
  </w:footnote>
  <w:footnote w:id="2032">
    <w:p w:rsidR="00FD2727" w:rsidRPr="00410588" w:rsidRDefault="00FD2727">
      <w:pPr>
        <w:pStyle w:val="FootnoteText"/>
        <w:rPr>
          <w:lang w:val="en-US"/>
        </w:rPr>
      </w:pPr>
      <w:r>
        <w:rPr>
          <w:rStyle w:val="FootnoteReference"/>
        </w:rPr>
        <w:footnoteRef/>
      </w:r>
      <w:r>
        <w:t xml:space="preserve"> Panel Report, </w:t>
      </w:r>
      <w:r w:rsidRPr="00AF3D63">
        <w:t>para. </w:t>
      </w:r>
      <w:r>
        <w:t>6.1370.</w:t>
      </w:r>
    </w:p>
  </w:footnote>
  <w:footnote w:id="2033">
    <w:p w:rsidR="00FD2727" w:rsidRPr="00410588" w:rsidRDefault="00FD2727">
      <w:pPr>
        <w:pStyle w:val="FootnoteText"/>
        <w:rPr>
          <w:lang w:val="en-US"/>
        </w:rPr>
      </w:pPr>
      <w:r>
        <w:rPr>
          <w:rStyle w:val="FootnoteReference"/>
        </w:rPr>
        <w:footnoteRef/>
      </w:r>
      <w:r>
        <w:t xml:space="preserve"> Panel Report, </w:t>
      </w:r>
      <w:r w:rsidRPr="00AF3D63">
        <w:t>para. </w:t>
      </w:r>
      <w:r>
        <w:t>6.1307. (emphasis original)</w:t>
      </w:r>
    </w:p>
  </w:footnote>
  <w:footnote w:id="2034">
    <w:p w:rsidR="00FD2727" w:rsidRPr="00410588" w:rsidRDefault="00FD2727">
      <w:pPr>
        <w:pStyle w:val="FootnoteText"/>
        <w:rPr>
          <w:lang w:val="en-US"/>
        </w:rPr>
      </w:pPr>
      <w:r>
        <w:rPr>
          <w:rStyle w:val="FootnoteReference"/>
        </w:rPr>
        <w:footnoteRef/>
      </w:r>
      <w:r>
        <w:t xml:space="preserve"> Panel Report, </w:t>
      </w:r>
      <w:r w:rsidRPr="00AF3D63">
        <w:t>para. </w:t>
      </w:r>
      <w:r>
        <w:t>6.1308. (emphasis original)</w:t>
      </w:r>
    </w:p>
  </w:footnote>
  <w:footnote w:id="2035">
    <w:p w:rsidR="00FD2727" w:rsidRPr="00410588" w:rsidRDefault="00FD2727">
      <w:pPr>
        <w:pStyle w:val="FootnoteText"/>
        <w:rPr>
          <w:lang w:val="en-US"/>
        </w:rPr>
      </w:pPr>
      <w:r>
        <w:rPr>
          <w:rStyle w:val="FootnoteReference"/>
        </w:rPr>
        <w:footnoteRef/>
      </w:r>
      <w:r>
        <w:t xml:space="preserve"> Panel Report, </w:t>
      </w:r>
      <w:r w:rsidRPr="00AF3D63">
        <w:t>para. </w:t>
      </w:r>
      <w:r>
        <w:t>6.1309 (referring to Sophie Pendaries, Head of A350XWB Marketing, Airbus, "Statement on the Market Significance of Technological Innovations to the A350XWB Programme", 5 July 2012 (Panel exhibit EU-17) (BCI)). (emphasis original)</w:t>
      </w:r>
    </w:p>
  </w:footnote>
  <w:footnote w:id="2036">
    <w:p w:rsidR="00FD2727" w:rsidRPr="00410588" w:rsidRDefault="00FD2727">
      <w:pPr>
        <w:pStyle w:val="FootnoteText"/>
        <w:rPr>
          <w:lang w:val="en-US"/>
        </w:rPr>
      </w:pPr>
      <w:r>
        <w:rPr>
          <w:rStyle w:val="FootnoteReference"/>
        </w:rPr>
        <w:footnoteRef/>
      </w:r>
      <w:r>
        <w:t xml:space="preserve"> Panel Report, </w:t>
      </w:r>
      <w:r w:rsidRPr="00AF3D63">
        <w:t>para. </w:t>
      </w:r>
      <w:r>
        <w:t>6.1360.</w:t>
      </w:r>
    </w:p>
  </w:footnote>
  <w:footnote w:id="2037">
    <w:p w:rsidR="00FD2727" w:rsidRPr="00410588" w:rsidRDefault="00FD2727">
      <w:pPr>
        <w:pStyle w:val="FootnoteText"/>
        <w:rPr>
          <w:lang w:val="en-US"/>
        </w:rPr>
      </w:pPr>
      <w:r>
        <w:rPr>
          <w:rStyle w:val="FootnoteReference"/>
        </w:rPr>
        <w:footnoteRef/>
      </w:r>
      <w:r>
        <w:t xml:space="preserve"> Panel Report, </w:t>
      </w:r>
      <w:r w:rsidRPr="00AF3D63">
        <w:t>para. </w:t>
      </w:r>
      <w:r>
        <w:t>6.1360. (emphasis original)</w:t>
      </w:r>
    </w:p>
  </w:footnote>
  <w:footnote w:id="2038">
    <w:p w:rsidR="00FD2727" w:rsidRPr="00410588" w:rsidRDefault="00FD2727">
      <w:pPr>
        <w:pStyle w:val="FootnoteText"/>
        <w:rPr>
          <w:lang w:val="en-US"/>
        </w:rPr>
      </w:pPr>
      <w:r>
        <w:rPr>
          <w:rStyle w:val="FootnoteReference"/>
        </w:rPr>
        <w:footnoteRef/>
      </w:r>
      <w:r>
        <w:t xml:space="preserve"> Panel Report, </w:t>
      </w:r>
      <w:r w:rsidRPr="00AF3D63">
        <w:t>para. </w:t>
      </w:r>
      <w:r>
        <w:t>6.1790.</w:t>
      </w:r>
    </w:p>
  </w:footnote>
  <w:footnote w:id="2039">
    <w:p w:rsidR="00FD2727" w:rsidRPr="00410588" w:rsidRDefault="00FD2727">
      <w:pPr>
        <w:pStyle w:val="FootnoteText"/>
        <w:rPr>
          <w:lang w:val="en-US"/>
        </w:rPr>
      </w:pPr>
      <w:r>
        <w:rPr>
          <w:rStyle w:val="FootnoteReference"/>
        </w:rPr>
        <w:footnoteRef/>
      </w:r>
      <w:r>
        <w:t xml:space="preserve"> Panel Report, </w:t>
      </w:r>
      <w:r w:rsidRPr="00AF3D63">
        <w:t>para. </w:t>
      </w:r>
      <w:r>
        <w:t>6.1790. (fn omitted)</w:t>
      </w:r>
    </w:p>
  </w:footnote>
  <w:footnote w:id="2040">
    <w:p w:rsidR="00FD2727" w:rsidRPr="00410588" w:rsidRDefault="00FD2727">
      <w:pPr>
        <w:pStyle w:val="FootnoteText"/>
        <w:rPr>
          <w:lang w:val="en-US"/>
        </w:rPr>
      </w:pPr>
      <w:r>
        <w:rPr>
          <w:rStyle w:val="FootnoteReference"/>
        </w:rPr>
        <w:footnoteRef/>
      </w:r>
      <w:r>
        <w:t xml:space="preserve"> Panel Report, </w:t>
      </w:r>
      <w:r w:rsidRPr="00AF3D63">
        <w:t>para. </w:t>
      </w:r>
      <w:r>
        <w:t>6.1791.</w:t>
      </w:r>
    </w:p>
  </w:footnote>
  <w:footnote w:id="2041">
    <w:p w:rsidR="00FD2727" w:rsidRPr="00410588" w:rsidRDefault="00FD2727">
      <w:pPr>
        <w:pStyle w:val="FootnoteText"/>
        <w:rPr>
          <w:lang w:val="en-US"/>
        </w:rPr>
      </w:pPr>
      <w:r>
        <w:rPr>
          <w:rStyle w:val="FootnoteReference"/>
        </w:rPr>
        <w:footnoteRef/>
      </w:r>
      <w:r>
        <w:t xml:space="preserve"> According to the European Union, Singapore Airlines chose the A350XWB in 2013 because it wanted to split its order for twin-aisle LCA between Airbus and Boeing so as "to secure the delivery of a larger number of aircraft over a particular period of time". (Panel Report, </w:t>
      </w:r>
      <w:r w:rsidRPr="00AF3D63">
        <w:t>para. </w:t>
      </w:r>
      <w:r>
        <w:t>6.1792)</w:t>
      </w:r>
    </w:p>
  </w:footnote>
  <w:footnote w:id="2042">
    <w:p w:rsidR="00FD2727" w:rsidRPr="0067373F" w:rsidRDefault="00FD2727">
      <w:pPr>
        <w:pStyle w:val="FootnoteText"/>
        <w:rPr>
          <w:lang w:val="en-US"/>
        </w:rPr>
      </w:pPr>
      <w:r>
        <w:rPr>
          <w:rStyle w:val="FootnoteReference"/>
        </w:rPr>
        <w:footnoteRef/>
      </w:r>
      <w:r>
        <w:t xml:space="preserve"> </w:t>
      </w:r>
      <w:r>
        <w:rPr>
          <w:lang w:val="en-US"/>
        </w:rPr>
        <w:t>Panel Report, para. 6.1792.</w:t>
      </w:r>
    </w:p>
  </w:footnote>
  <w:footnote w:id="2043">
    <w:p w:rsidR="00FD2727" w:rsidRPr="00410588" w:rsidRDefault="00FD2727">
      <w:pPr>
        <w:pStyle w:val="FootnoteText"/>
        <w:rPr>
          <w:lang w:val="en-US"/>
        </w:rPr>
      </w:pPr>
      <w:r>
        <w:rPr>
          <w:rStyle w:val="FootnoteReference"/>
        </w:rPr>
        <w:footnoteRef/>
      </w:r>
      <w:r>
        <w:t xml:space="preserve"> European Union's appellant's submission, </w:t>
      </w:r>
      <w:r w:rsidRPr="00AF3D63">
        <w:t>para. </w:t>
      </w:r>
      <w:r>
        <w:t xml:space="preserve">944 (quoting Appellate Body Report, </w:t>
      </w:r>
      <w:r w:rsidRPr="009F3094">
        <w:rPr>
          <w:i/>
        </w:rPr>
        <w:t>US – Upland Cotton</w:t>
      </w:r>
      <w:r>
        <w:t xml:space="preserve">, </w:t>
      </w:r>
      <w:r w:rsidRPr="00AF3D63">
        <w:t>para. </w:t>
      </w:r>
      <w:r>
        <w:t>437).</w:t>
      </w:r>
    </w:p>
  </w:footnote>
  <w:footnote w:id="2044">
    <w:p w:rsidR="00FD2727" w:rsidRPr="00145239" w:rsidRDefault="00FD2727" w:rsidP="00C752B3">
      <w:pPr>
        <w:pStyle w:val="FootnoteText"/>
        <w:rPr>
          <w:lang w:val="en-US"/>
        </w:rPr>
      </w:pPr>
      <w:r>
        <w:rPr>
          <w:rStyle w:val="FootnoteReference"/>
        </w:rPr>
        <w:footnoteRef/>
      </w:r>
      <w:r>
        <w:t xml:space="preserve"> </w:t>
      </w:r>
      <w:r w:rsidRPr="00145239">
        <w:t>See section 5.4.2.2 of this Report.</w:t>
      </w:r>
    </w:p>
  </w:footnote>
  <w:footnote w:id="2045">
    <w:p w:rsidR="00FD2727" w:rsidRPr="00410588" w:rsidRDefault="00FD2727">
      <w:pPr>
        <w:pStyle w:val="FootnoteText"/>
        <w:rPr>
          <w:lang w:val="en-US"/>
        </w:rPr>
      </w:pPr>
      <w:r w:rsidRPr="00145239">
        <w:rPr>
          <w:rStyle w:val="FootnoteReference"/>
        </w:rPr>
        <w:footnoteRef/>
      </w:r>
      <w:r w:rsidRPr="00145239">
        <w:t xml:space="preserve"> United States' appellee's</w:t>
      </w:r>
      <w:r>
        <w:t xml:space="preserve"> submission, </w:t>
      </w:r>
      <w:r w:rsidRPr="00AF3D63">
        <w:t>paras. </w:t>
      </w:r>
      <w:r>
        <w:t xml:space="preserve">589, 595, and 599. </w:t>
      </w:r>
    </w:p>
  </w:footnote>
  <w:footnote w:id="2046">
    <w:p w:rsidR="00FD2727" w:rsidRPr="00410588" w:rsidRDefault="00FD2727">
      <w:pPr>
        <w:pStyle w:val="FootnoteText"/>
        <w:rPr>
          <w:lang w:val="en-US"/>
        </w:rPr>
      </w:pPr>
      <w:r>
        <w:rPr>
          <w:rStyle w:val="FootnoteReference"/>
        </w:rPr>
        <w:footnoteRef/>
      </w:r>
      <w:r>
        <w:t xml:space="preserve"> United States' appellee's submission, </w:t>
      </w:r>
      <w:r w:rsidRPr="00AF3D63">
        <w:t>para. </w:t>
      </w:r>
      <w:r>
        <w:t xml:space="preserve">579. </w:t>
      </w:r>
    </w:p>
  </w:footnote>
  <w:footnote w:id="2047">
    <w:p w:rsidR="00FD2727" w:rsidRPr="007653D5" w:rsidRDefault="00FD2727" w:rsidP="001C6A42">
      <w:pPr>
        <w:pStyle w:val="FootnoteText"/>
        <w:keepNext/>
        <w:keepLines/>
        <w:rPr>
          <w:lang w:val="en-US"/>
        </w:rPr>
      </w:pPr>
      <w:r>
        <w:rPr>
          <w:rStyle w:val="FootnoteReference"/>
        </w:rPr>
        <w:footnoteRef/>
      </w:r>
      <w:r>
        <w:t xml:space="preserve"> </w:t>
      </w:r>
      <w:r>
        <w:rPr>
          <w:lang w:val="en-US"/>
        </w:rPr>
        <w:t>Panel Report, para. 6.1805, Table 21: Market for twin-aisle LCA (containing data from Ascend database, Deliveries made, data request as of 7 April 2014 (Panel Exhibit EU-512)). See also Ascend database, Boeing and Airbus Deliveries in Units (2001-2013), Commercial Operators, data request as of 30 March 2014 (Panel exhibit USA-577), referred to in Panel Report, fn 2313 to para. 6.1368.</w:t>
      </w:r>
    </w:p>
  </w:footnote>
  <w:footnote w:id="2048">
    <w:p w:rsidR="00FD2727" w:rsidRPr="00410588" w:rsidRDefault="00FD2727">
      <w:pPr>
        <w:pStyle w:val="FootnoteText"/>
        <w:rPr>
          <w:lang w:val="en-US"/>
        </w:rPr>
      </w:pPr>
      <w:r>
        <w:rPr>
          <w:rStyle w:val="FootnoteReference"/>
        </w:rPr>
        <w:footnoteRef/>
      </w:r>
      <w:r>
        <w:t xml:space="preserve"> Panel Report, </w:t>
      </w:r>
      <w:r w:rsidRPr="00AF3D63">
        <w:t>para. </w:t>
      </w:r>
      <w:r>
        <w:t>6.1806.</w:t>
      </w:r>
    </w:p>
  </w:footnote>
  <w:footnote w:id="2049">
    <w:p w:rsidR="00FD2727" w:rsidRPr="00410588" w:rsidRDefault="00FD2727">
      <w:pPr>
        <w:pStyle w:val="FootnoteText"/>
        <w:rPr>
          <w:lang w:val="en-US"/>
        </w:rPr>
      </w:pPr>
      <w:r>
        <w:rPr>
          <w:rStyle w:val="FootnoteReference"/>
        </w:rPr>
        <w:footnoteRef/>
      </w:r>
      <w:r>
        <w:t xml:space="preserve"> Panel Report, </w:t>
      </w:r>
      <w:r w:rsidRPr="00AF3D63">
        <w:t>para. </w:t>
      </w:r>
      <w:r>
        <w:t>6.1806. (emphasis original)</w:t>
      </w:r>
    </w:p>
  </w:footnote>
  <w:footnote w:id="2050">
    <w:p w:rsidR="00FD2727" w:rsidRPr="00410588" w:rsidRDefault="00FD2727" w:rsidP="00C752B3">
      <w:pPr>
        <w:pStyle w:val="FootnoteText"/>
        <w:keepNext/>
        <w:keepLines/>
        <w:rPr>
          <w:lang w:val="en-US"/>
        </w:rPr>
      </w:pPr>
      <w:r>
        <w:rPr>
          <w:rStyle w:val="FootnoteReference"/>
        </w:rPr>
        <w:footnoteRef/>
      </w:r>
      <w:r>
        <w:t xml:space="preserve"> Panel Report, fn 1547 to </w:t>
      </w:r>
      <w:r w:rsidRPr="00AF3D63">
        <w:t>para. </w:t>
      </w:r>
      <w:r>
        <w:t xml:space="preserve">6.879. As </w:t>
      </w:r>
      <w:r w:rsidRPr="00145239">
        <w:t xml:space="preserve">noted in paras. 5.389-5.390 and fn 978 of this Report, the European Union submitted two methodologies for estimating the </w:t>
      </w:r>
      <w:r w:rsidRPr="00145239">
        <w:rPr>
          <w:i/>
        </w:rPr>
        <w:t>ex ante</w:t>
      </w:r>
      <w:r w:rsidRPr="00145239">
        <w:t xml:space="preserve"> lives of the LA/MSF subsidies – the Loan Life approach and the Marketing Life approach. The Panel expressed doubt as to whether the Loan Life approach would be the most appropriate methodology for determining the "</w:t>
      </w:r>
      <w:r w:rsidRPr="00145239">
        <w:rPr>
          <w:i/>
        </w:rPr>
        <w:t>ex ante</w:t>
      </w:r>
      <w:r>
        <w:t>" lives, and noted that "it </w:t>
      </w:r>
      <w:r w:rsidRPr="00145239">
        <w:t>would be at least equally appropriate" to utilize the Marketing Life approach</w:t>
      </w:r>
      <w:r>
        <w:t xml:space="preserve">. (Ibid., </w:t>
      </w:r>
      <w:r w:rsidRPr="00AF3D63">
        <w:t>para. </w:t>
      </w:r>
      <w:r>
        <w:t xml:space="preserve">6.878) Ultimately, the Panel found that the </w:t>
      </w:r>
      <w:r>
        <w:rPr>
          <w:i/>
        </w:rPr>
        <w:t>ex </w:t>
      </w:r>
      <w:r w:rsidRPr="00F663EB">
        <w:rPr>
          <w:i/>
        </w:rPr>
        <w:t>ante</w:t>
      </w:r>
      <w:r>
        <w:t xml:space="preserve"> life of the A330-200 expired in</w:t>
      </w:r>
      <w:r w:rsidRPr="00E034F6">
        <w:rPr>
          <w:b/>
        </w:rPr>
        <w:t xml:space="preserve"> [</w:t>
      </w:r>
      <w:r w:rsidRPr="00C8434D">
        <w:rPr>
          <w:b/>
          <w:szCs w:val="16"/>
        </w:rPr>
        <w:t>BCI</w:t>
      </w:r>
      <w:r w:rsidRPr="00E034F6">
        <w:rPr>
          <w:b/>
        </w:rPr>
        <w:t>]</w:t>
      </w:r>
      <w:r>
        <w:t xml:space="preserve"> on the basis of the Loan Life approach, even though, under the Marketing Life approach, the </w:t>
      </w:r>
      <w:r w:rsidRPr="00F663EB">
        <w:rPr>
          <w:i/>
        </w:rPr>
        <w:t>ex ante</w:t>
      </w:r>
      <w:r>
        <w:t xml:space="preserve"> life of the A330-200 LA/MSF would have expired by </w:t>
      </w:r>
      <w:r w:rsidRPr="00B83639">
        <w:rPr>
          <w:b/>
        </w:rPr>
        <w:t>[</w:t>
      </w:r>
      <w:r w:rsidRPr="00C8434D">
        <w:rPr>
          <w:b/>
          <w:szCs w:val="16"/>
        </w:rPr>
        <w:t>BCI</w:t>
      </w:r>
      <w:r w:rsidRPr="00B83639">
        <w:rPr>
          <w:b/>
        </w:rPr>
        <w:t>]</w:t>
      </w:r>
      <w:r>
        <w:t xml:space="preserve">, that is, </w:t>
      </w:r>
      <w:r w:rsidRPr="00B83639">
        <w:rPr>
          <w:i/>
        </w:rPr>
        <w:t>before</w:t>
      </w:r>
      <w:r>
        <w:t xml:space="preserve"> the end of the implementation period. (Ibid., para. 6.872, Table 11: PwC </w:t>
      </w:r>
      <w:r>
        <w:rPr>
          <w:i/>
        </w:rPr>
        <w:t>ex ante</w:t>
      </w:r>
      <w:r>
        <w:t xml:space="preserve"> "lives" analysis for LA/MSF, and fn 1547 to </w:t>
      </w:r>
      <w:r w:rsidRPr="00AF3D63">
        <w:t>para. </w:t>
      </w:r>
      <w:r>
        <w:t>6.879)</w:t>
      </w:r>
    </w:p>
  </w:footnote>
  <w:footnote w:id="2051">
    <w:p w:rsidR="00FD2727" w:rsidRPr="00410588" w:rsidRDefault="00FD2727" w:rsidP="001C6A42">
      <w:pPr>
        <w:pStyle w:val="FootnoteText"/>
        <w:keepNext/>
        <w:keepLines/>
        <w:rPr>
          <w:lang w:val="en-US"/>
        </w:rPr>
      </w:pPr>
      <w:r>
        <w:rPr>
          <w:rStyle w:val="FootnoteReference"/>
        </w:rPr>
        <w:footnoteRef/>
      </w:r>
      <w:r>
        <w:t xml:space="preserve"> Original Panel Report, paras. 7.371 and 7.376-7.377; Appellate Body Report, </w:t>
      </w:r>
      <w:r w:rsidRPr="00E034F6">
        <w:rPr>
          <w:i/>
        </w:rPr>
        <w:t>EC and certain member States – Large Civil Aircraft</w:t>
      </w:r>
      <w:r>
        <w:t xml:space="preserve">, </w:t>
      </w:r>
      <w:r w:rsidRPr="00AF3D63">
        <w:t>paras. </w:t>
      </w:r>
      <w:r>
        <w:t xml:space="preserve">829, 925, and 929. The original panel found that the amount of financial </w:t>
      </w:r>
      <w:r w:rsidRPr="004B1FF7">
        <w:t xml:space="preserve">contribution was 330 million French </w:t>
      </w:r>
      <w:r>
        <w:t>f</w:t>
      </w:r>
      <w:r w:rsidRPr="004B1FF7">
        <w:t>rancs</w:t>
      </w:r>
      <w:r>
        <w:t>. (Original Panel Report, para. 7.380, Table 1: Approximate amount of funding provided for under the challenged LA/MSF measures (fn omitted))</w:t>
      </w:r>
    </w:p>
  </w:footnote>
  <w:footnote w:id="2052">
    <w:p w:rsidR="00FD2727" w:rsidRDefault="00FD2727">
      <w:pPr>
        <w:pStyle w:val="FootnoteText"/>
      </w:pPr>
      <w:r>
        <w:rPr>
          <w:rStyle w:val="FootnoteReference"/>
        </w:rPr>
        <w:footnoteRef/>
      </w:r>
      <w:r>
        <w:t xml:space="preserve"> Original Panel Report, para. 7.1940.</w:t>
      </w:r>
    </w:p>
  </w:footnote>
  <w:footnote w:id="2053">
    <w:p w:rsidR="00FD2727" w:rsidRPr="00410588" w:rsidRDefault="00FD2727">
      <w:pPr>
        <w:pStyle w:val="FootnoteText"/>
        <w:rPr>
          <w:lang w:val="en-US"/>
        </w:rPr>
      </w:pPr>
      <w:r>
        <w:rPr>
          <w:rStyle w:val="FootnoteReference"/>
        </w:rPr>
        <w:footnoteRef/>
      </w:r>
      <w:r>
        <w:t xml:space="preserve"> For references to order data, including for the A350XWB described in various sections of the Panel Report, s</w:t>
      </w:r>
      <w:r w:rsidRPr="00AF3D63">
        <w:t>ee </w:t>
      </w:r>
      <w:r>
        <w:t>Panel Report</w:t>
      </w:r>
      <w:r w:rsidRPr="00B85D0B">
        <w:t xml:space="preserve"> </w:t>
      </w:r>
      <w:r w:rsidRPr="00AF3D63">
        <w:t>para. </w:t>
      </w:r>
      <w:r>
        <w:t xml:space="preserve">6.1781 and fn 3258 thereto. </w:t>
      </w:r>
      <w:r w:rsidRPr="008B4AB3">
        <w:t>See</w:t>
      </w:r>
      <w:r>
        <w:t xml:space="preserve"> also</w:t>
      </w:r>
      <w:r w:rsidRPr="008B4AB3">
        <w:t xml:space="preserve"> para</w:t>
      </w:r>
      <w:r>
        <w:t>s</w:t>
      </w:r>
      <w:r w:rsidRPr="008B4AB3">
        <w:t>. 6.561</w:t>
      </w:r>
      <w:r>
        <w:t xml:space="preserve"> and</w:t>
      </w:r>
      <w:r w:rsidRPr="008B4AB3">
        <w:t xml:space="preserve"> 6.681.</w:t>
      </w:r>
    </w:p>
  </w:footnote>
  <w:footnote w:id="2054">
    <w:p w:rsidR="00FD2727" w:rsidRPr="007629B5" w:rsidRDefault="00FD2727">
      <w:pPr>
        <w:pStyle w:val="FootnoteText"/>
        <w:rPr>
          <w:lang w:val="en-US"/>
        </w:rPr>
      </w:pPr>
      <w:r>
        <w:rPr>
          <w:rStyle w:val="FootnoteReference"/>
        </w:rPr>
        <w:footnoteRef/>
      </w:r>
      <w:r>
        <w:t xml:space="preserve"> Panel Report, </w:t>
      </w:r>
      <w:r w:rsidRPr="00AF3D63">
        <w:t>para. </w:t>
      </w:r>
      <w:r>
        <w:t xml:space="preserve">6.1805. The Panel noted that the United States had submitted data over the period 2001-2013. However, the Panel considered that its examination of serious prejudice should focus on the alleged market phenomena occurring in the post-implementation period, i.e. from December 2011. (Ibid., fn 3258 to </w:t>
      </w:r>
      <w:r w:rsidRPr="00AF3D63">
        <w:t>para. </w:t>
      </w:r>
      <w:r>
        <w:t>6.1781</w:t>
      </w:r>
      <w:r w:rsidRPr="007629B5">
        <w:t>, and para. 6.1805)</w:t>
      </w:r>
    </w:p>
  </w:footnote>
  <w:footnote w:id="2055">
    <w:p w:rsidR="00FD2727" w:rsidRPr="00145239" w:rsidRDefault="00FD2727" w:rsidP="00C20066">
      <w:pPr>
        <w:pStyle w:val="FootnoteText"/>
        <w:keepNext/>
        <w:keepLines/>
      </w:pPr>
      <w:r w:rsidRPr="007629B5">
        <w:rPr>
          <w:rStyle w:val="FootnoteReference"/>
        </w:rPr>
        <w:footnoteRef/>
      </w:r>
      <w:r w:rsidRPr="007629B5">
        <w:t xml:space="preserve"> B</w:t>
      </w:r>
      <w:r w:rsidRPr="007629B5">
        <w:rPr>
          <w:rFonts w:eastAsia="Times New Roman"/>
          <w:lang w:val="en-US"/>
        </w:rPr>
        <w:t>efore the Panel, the United States argued that an examination of order data is "appropriate for assessing claims of significant lost sales and threat of displacement or impedance, while the text</w:t>
      </w:r>
      <w:r>
        <w:rPr>
          <w:rFonts w:eastAsia="Times New Roman"/>
          <w:lang w:val="en-US"/>
        </w:rPr>
        <w:t>s</w:t>
      </w:r>
      <w:r w:rsidRPr="007629B5">
        <w:rPr>
          <w:rFonts w:eastAsia="Times New Roman"/>
          <w:lang w:val="en-US"/>
        </w:rPr>
        <w:t xml:space="preserve"> of Articles</w:t>
      </w:r>
      <w:r>
        <w:rPr>
          <w:rFonts w:eastAsia="Times New Roman"/>
          <w:lang w:val="en-US"/>
        </w:rPr>
        <w:t> </w:t>
      </w:r>
      <w:r w:rsidRPr="007629B5">
        <w:rPr>
          <w:rFonts w:eastAsia="Times New Roman"/>
          <w:lang w:val="en-US"/>
        </w:rPr>
        <w:t>6.3(a) and 6.3(b) on displacement or impedance require a focus on market shares and volumes derived from delivery data</w:t>
      </w:r>
      <w:r>
        <w:rPr>
          <w:rFonts w:eastAsia="Times New Roman"/>
          <w:lang w:val="en-US"/>
        </w:rPr>
        <w:t>."</w:t>
      </w:r>
      <w:r w:rsidRPr="007629B5">
        <w:rPr>
          <w:rFonts w:eastAsia="Times New Roman"/>
          <w:lang w:val="en-US"/>
        </w:rPr>
        <w:t xml:space="preserve"> (United States' first written submission to the Panel, para. 299 (referring to Original Panel Report, paras. 7.1748-7.1750); </w:t>
      </w:r>
      <w:r>
        <w:rPr>
          <w:rFonts w:eastAsia="Times New Roman"/>
          <w:lang w:val="en-US"/>
        </w:rPr>
        <w:t>s</w:t>
      </w:r>
      <w:r w:rsidRPr="007629B5">
        <w:rPr>
          <w:rFonts w:eastAsia="Times New Roman"/>
          <w:lang w:val="en-US"/>
        </w:rPr>
        <w:t>ee also para. 514) However, the United States did not claim threat of impedance or displacement with respect to the twin-aisle LCA market. We further note that</w:t>
      </w:r>
      <w:r>
        <w:rPr>
          <w:rFonts w:eastAsia="Times New Roman"/>
          <w:lang w:val="en-US"/>
        </w:rPr>
        <w:t>,</w:t>
      </w:r>
      <w:r w:rsidRPr="007629B5">
        <w:rPr>
          <w:rFonts w:eastAsia="Times New Roman"/>
          <w:lang w:val="en-US"/>
        </w:rPr>
        <w:t xml:space="preserve"> with respect to the single-aisle LCA market in the European Union, the United States request</w:t>
      </w:r>
      <w:r>
        <w:rPr>
          <w:rFonts w:eastAsia="Times New Roman"/>
          <w:lang w:val="en-US"/>
        </w:rPr>
        <w:t>s</w:t>
      </w:r>
      <w:r w:rsidRPr="007629B5">
        <w:rPr>
          <w:rFonts w:eastAsia="Times New Roman"/>
          <w:lang w:val="en-US"/>
        </w:rPr>
        <w:t xml:space="preserve"> that we "conduct a threat analysis of displacement and impedance based</w:t>
      </w:r>
      <w:r w:rsidRPr="00F31F16">
        <w:rPr>
          <w:rFonts w:eastAsia="Times New Roman"/>
          <w:lang w:val="en-US"/>
        </w:rPr>
        <w:t xml:space="preserve"> on order data" to the </w:t>
      </w:r>
      <w:r w:rsidRPr="00145239">
        <w:rPr>
          <w:rFonts w:eastAsia="Times New Roman"/>
          <w:lang w:val="en-US"/>
        </w:rPr>
        <w:t xml:space="preserve">extent that we find that "there is no impedance of Boeing single-aisle LCA based on the delivery data". </w:t>
      </w:r>
      <w:r w:rsidRPr="00145239">
        <w:t xml:space="preserve">(United States' appellee's submission, para. 577 (referring to Panel Report, para. 6.1818)) We address the United States' claim concerning the threat of displacement and impedance in the single-aisle LCA market in the European Union in section 5.6.4.7 of this Report. </w:t>
      </w:r>
    </w:p>
  </w:footnote>
  <w:footnote w:id="2056">
    <w:p w:rsidR="00FD2727" w:rsidRDefault="00FD2727">
      <w:pPr>
        <w:pStyle w:val="FootnoteText"/>
      </w:pPr>
      <w:r w:rsidRPr="00145239">
        <w:rPr>
          <w:rStyle w:val="FootnoteReference"/>
        </w:rPr>
        <w:footnoteRef/>
      </w:r>
      <w:r w:rsidRPr="00145239">
        <w:t xml:space="preserve"> We recall that all LA/MSF subsidies granted for LCA up to and including the A330 were found by the Panel to have expired. (See paras. 5.402 and 5.552 above). With respect to the A330-200 LA/MSF subsidies, see para. 5.719 above and fns thereto.</w:t>
      </w:r>
    </w:p>
  </w:footnote>
  <w:footnote w:id="2057">
    <w:p w:rsidR="00FD2727" w:rsidRPr="00410588" w:rsidRDefault="00FD2727">
      <w:pPr>
        <w:pStyle w:val="FootnoteText"/>
        <w:rPr>
          <w:lang w:val="en-US"/>
        </w:rPr>
      </w:pPr>
      <w:r>
        <w:rPr>
          <w:rStyle w:val="FootnoteReference"/>
        </w:rPr>
        <w:footnoteRef/>
      </w:r>
      <w:r>
        <w:t xml:space="preserve"> Panel Report, </w:t>
      </w:r>
      <w:r w:rsidRPr="00AF3D63">
        <w:t>para. </w:t>
      </w:r>
      <w:r>
        <w:t>6.1789.</w:t>
      </w:r>
    </w:p>
  </w:footnote>
  <w:footnote w:id="2058">
    <w:p w:rsidR="00FD2727" w:rsidRPr="00410588" w:rsidRDefault="00FD2727">
      <w:pPr>
        <w:pStyle w:val="FootnoteText"/>
        <w:rPr>
          <w:lang w:val="en-US"/>
        </w:rPr>
      </w:pPr>
      <w:r>
        <w:rPr>
          <w:rStyle w:val="FootnoteReference"/>
        </w:rPr>
        <w:footnoteRef/>
      </w:r>
      <w:r>
        <w:t xml:space="preserve"> Panel Report, </w:t>
      </w:r>
      <w:r w:rsidRPr="00AF3D63">
        <w:t>para. </w:t>
      </w:r>
      <w:r>
        <w:t>6.1789.</w:t>
      </w:r>
    </w:p>
  </w:footnote>
  <w:footnote w:id="2059">
    <w:p w:rsidR="00FD2727" w:rsidRPr="00410588" w:rsidRDefault="00FD2727" w:rsidP="008E37B6">
      <w:pPr>
        <w:pStyle w:val="FootnoteText"/>
        <w:keepNext/>
        <w:keepLines/>
        <w:rPr>
          <w:lang w:val="en-US"/>
        </w:rPr>
      </w:pPr>
      <w:r>
        <w:rPr>
          <w:rStyle w:val="FootnoteReference"/>
        </w:rPr>
        <w:footnoteRef/>
      </w:r>
      <w:r>
        <w:t xml:space="preserve"> Original Panel Report, </w:t>
      </w:r>
      <w:r w:rsidRPr="00AF3D63">
        <w:t>para. </w:t>
      </w:r>
      <w:r>
        <w:t xml:space="preserve">7.378 (referring to French A380 contract (Original Panel Exhibit US-116 (BCI)), Annexe 3; </w:t>
      </w:r>
      <w:r w:rsidRPr="00896214">
        <w:t>German A380</w:t>
      </w:r>
      <w:r>
        <w:t xml:space="preserve"> LA/MSF</w:t>
      </w:r>
      <w:r w:rsidRPr="00896214">
        <w:t xml:space="preserve"> contract</w:t>
      </w:r>
      <w:r>
        <w:t xml:space="preserve"> (Original Panel E</w:t>
      </w:r>
      <w:r w:rsidRPr="00896214">
        <w:t>xhibit</w:t>
      </w:r>
      <w:r>
        <w:t xml:space="preserve"> US-72 (BCI) (English translation))</w:t>
      </w:r>
      <w:r w:rsidRPr="00896214">
        <w:t xml:space="preserve">, clause </w:t>
      </w:r>
      <w:r>
        <w:t>4.2; BT-Drs. 14/10002</w:t>
      </w:r>
      <w:r w:rsidRPr="00896214">
        <w:t xml:space="preserve"> </w:t>
      </w:r>
      <w:r>
        <w:t>(Original Panel E</w:t>
      </w:r>
      <w:r w:rsidRPr="00896214">
        <w:t>xhibit</w:t>
      </w:r>
      <w:r>
        <w:t xml:space="preserve"> US-124 (English translation)), p. 3;</w:t>
      </w:r>
      <w:r w:rsidRPr="00896214">
        <w:t xml:space="preserve"> Spanish A3</w:t>
      </w:r>
      <w:r>
        <w:t>80 LA/MSF contract (Original Panel E</w:t>
      </w:r>
      <w:r w:rsidRPr="00896214">
        <w:t>xhibit US-73 (BCI)</w:t>
      </w:r>
      <w:r>
        <w:t>), 3rd clause).</w:t>
      </w:r>
    </w:p>
  </w:footnote>
  <w:footnote w:id="2060">
    <w:p w:rsidR="00FD2727" w:rsidRPr="00410588" w:rsidRDefault="00FD2727">
      <w:pPr>
        <w:pStyle w:val="FootnoteText"/>
        <w:rPr>
          <w:lang w:val="en-US"/>
        </w:rPr>
      </w:pPr>
      <w:r>
        <w:rPr>
          <w:rStyle w:val="FootnoteReference"/>
        </w:rPr>
        <w:footnoteRef/>
      </w:r>
      <w:r>
        <w:t xml:space="preserve"> Panel Report, </w:t>
      </w:r>
      <w:r w:rsidRPr="00AF3D63">
        <w:t>para. </w:t>
      </w:r>
      <w:r>
        <w:t>6.1789.</w:t>
      </w:r>
    </w:p>
  </w:footnote>
  <w:footnote w:id="2061">
    <w:p w:rsidR="00FD2727" w:rsidRPr="00410588" w:rsidRDefault="00FD2727">
      <w:pPr>
        <w:pStyle w:val="FootnoteText"/>
        <w:rPr>
          <w:lang w:val="en-US"/>
        </w:rPr>
      </w:pPr>
      <w:r>
        <w:rPr>
          <w:rStyle w:val="FootnoteReference"/>
        </w:rPr>
        <w:footnoteRef/>
      </w:r>
      <w:r>
        <w:t xml:space="preserve"> </w:t>
      </w:r>
      <w:r w:rsidRPr="00D44E62">
        <w:t xml:space="preserve">Panel Report, </w:t>
      </w:r>
      <w:r w:rsidRPr="00AF3D63">
        <w:t>para. </w:t>
      </w:r>
      <w:r w:rsidRPr="00D44E62">
        <w:t>6.1408.</w:t>
      </w:r>
    </w:p>
  </w:footnote>
  <w:footnote w:id="2062">
    <w:p w:rsidR="00FD2727" w:rsidRPr="00410588" w:rsidRDefault="00FD2727">
      <w:pPr>
        <w:pStyle w:val="FootnoteText"/>
        <w:rPr>
          <w:lang w:val="en-US"/>
        </w:rPr>
      </w:pPr>
      <w:r>
        <w:rPr>
          <w:rStyle w:val="FootnoteReference"/>
        </w:rPr>
        <w:footnoteRef/>
      </w:r>
      <w:r>
        <w:t xml:space="preserve"> </w:t>
      </w:r>
      <w:r w:rsidRPr="00D44E62">
        <w:t xml:space="preserve">Panel Report, </w:t>
      </w:r>
      <w:r w:rsidRPr="00AF3D63">
        <w:t>para. </w:t>
      </w:r>
      <w:r w:rsidRPr="00D44E62">
        <w:t>6.1383.</w:t>
      </w:r>
    </w:p>
  </w:footnote>
  <w:footnote w:id="2063">
    <w:p w:rsidR="00FD2727" w:rsidRPr="00410588" w:rsidRDefault="00FD2727">
      <w:pPr>
        <w:pStyle w:val="FootnoteText"/>
        <w:rPr>
          <w:lang w:val="en-US"/>
        </w:rPr>
      </w:pPr>
      <w:r>
        <w:rPr>
          <w:rStyle w:val="FootnoteReference"/>
        </w:rPr>
        <w:footnoteRef/>
      </w:r>
      <w:r>
        <w:t xml:space="preserve"> </w:t>
      </w:r>
      <w:r w:rsidRPr="00D44E62">
        <w:t xml:space="preserve">Panel Report, </w:t>
      </w:r>
      <w:r w:rsidRPr="00AF3D63">
        <w:t>para. </w:t>
      </w:r>
      <w:r w:rsidRPr="00D44E62">
        <w:t>6.1408.</w:t>
      </w:r>
    </w:p>
  </w:footnote>
  <w:footnote w:id="2064">
    <w:p w:rsidR="00FD2727" w:rsidRPr="00410588" w:rsidRDefault="00FD2727">
      <w:pPr>
        <w:pStyle w:val="FootnoteText"/>
        <w:rPr>
          <w:lang w:val="en-US"/>
        </w:rPr>
      </w:pPr>
      <w:r>
        <w:rPr>
          <w:rStyle w:val="FootnoteReference"/>
        </w:rPr>
        <w:footnoteRef/>
      </w:r>
      <w:r>
        <w:t xml:space="preserve"> </w:t>
      </w:r>
      <w:r w:rsidRPr="00D44E62">
        <w:t xml:space="preserve">Panel Report, </w:t>
      </w:r>
      <w:r w:rsidRPr="00AF3D63">
        <w:t>para. </w:t>
      </w:r>
      <w:r w:rsidRPr="00D44E62">
        <w:t>6.1409.</w:t>
      </w:r>
    </w:p>
  </w:footnote>
  <w:footnote w:id="2065">
    <w:p w:rsidR="00FD2727" w:rsidRPr="00410588" w:rsidRDefault="00FD2727">
      <w:pPr>
        <w:pStyle w:val="FootnoteText"/>
        <w:rPr>
          <w:lang w:val="en-US"/>
        </w:rPr>
      </w:pPr>
      <w:r>
        <w:rPr>
          <w:rStyle w:val="FootnoteReference"/>
        </w:rPr>
        <w:footnoteRef/>
      </w:r>
      <w:r>
        <w:t xml:space="preserve"> </w:t>
      </w:r>
      <w:r w:rsidRPr="00D44E62">
        <w:t xml:space="preserve">Panel Report, </w:t>
      </w:r>
      <w:r w:rsidRPr="00AF3D63">
        <w:t>para. </w:t>
      </w:r>
      <w:r w:rsidRPr="00D44E62">
        <w:t>6.1409.</w:t>
      </w:r>
    </w:p>
  </w:footnote>
  <w:footnote w:id="2066">
    <w:p w:rsidR="00FD2727" w:rsidRPr="00410588" w:rsidRDefault="00FD2727">
      <w:pPr>
        <w:pStyle w:val="FootnoteText"/>
        <w:rPr>
          <w:lang w:val="en-US"/>
        </w:rPr>
      </w:pPr>
      <w:r>
        <w:rPr>
          <w:rStyle w:val="FootnoteReference"/>
        </w:rPr>
        <w:footnoteRef/>
      </w:r>
      <w:r>
        <w:t xml:space="preserve"> </w:t>
      </w:r>
      <w:r w:rsidRPr="00D44E62">
        <w:t xml:space="preserve">Panel Report, </w:t>
      </w:r>
      <w:r w:rsidRPr="00AF3D63">
        <w:t>para</w:t>
      </w:r>
      <w:r>
        <w:t>s</w:t>
      </w:r>
      <w:r w:rsidRPr="00AF3D63">
        <w:t>.</w:t>
      </w:r>
      <w:r>
        <w:t xml:space="preserve"> 6.1404 (referring to European Union's response to Panel question No. 55, fn 440 and para. 263) and 6.1405</w:t>
      </w:r>
      <w:r w:rsidRPr="00D44E62">
        <w:t>.</w:t>
      </w:r>
      <w:r>
        <w:t xml:space="preserve"> See also European Union's second written submission to the Panel, paras. 1551-1552.</w:t>
      </w:r>
    </w:p>
  </w:footnote>
  <w:footnote w:id="2067">
    <w:p w:rsidR="00FD2727" w:rsidRPr="00410588" w:rsidRDefault="00FD2727">
      <w:pPr>
        <w:pStyle w:val="FootnoteText"/>
        <w:rPr>
          <w:lang w:val="en-US"/>
        </w:rPr>
      </w:pPr>
      <w:r>
        <w:rPr>
          <w:rStyle w:val="FootnoteReference"/>
        </w:rPr>
        <w:footnoteRef/>
      </w:r>
      <w:r>
        <w:t xml:space="preserve"> Panel Report, </w:t>
      </w:r>
      <w:r w:rsidRPr="00AF3D63">
        <w:t>para. </w:t>
      </w:r>
      <w:r>
        <w:t>6.1790.</w:t>
      </w:r>
    </w:p>
  </w:footnote>
  <w:footnote w:id="2068">
    <w:p w:rsidR="00FD2727" w:rsidRPr="00145239" w:rsidRDefault="00FD2727" w:rsidP="00C752B3">
      <w:pPr>
        <w:pStyle w:val="FootnoteText"/>
        <w:rPr>
          <w:lang w:val="en-US"/>
        </w:rPr>
      </w:pPr>
      <w:r>
        <w:rPr>
          <w:rStyle w:val="FootnoteReference"/>
        </w:rPr>
        <w:footnoteRef/>
      </w:r>
      <w:r>
        <w:t xml:space="preserve"> </w:t>
      </w:r>
      <w:r w:rsidRPr="00145239">
        <w:t>See section 5.4.2.2 of this Report.</w:t>
      </w:r>
    </w:p>
  </w:footnote>
  <w:footnote w:id="2069">
    <w:p w:rsidR="00FD2727" w:rsidRPr="00145239" w:rsidRDefault="00FD2727">
      <w:pPr>
        <w:pStyle w:val="FootnoteText"/>
        <w:rPr>
          <w:lang w:val="en-US"/>
        </w:rPr>
      </w:pPr>
      <w:r w:rsidRPr="00145239">
        <w:rPr>
          <w:rStyle w:val="FootnoteReference"/>
        </w:rPr>
        <w:footnoteRef/>
      </w:r>
      <w:r w:rsidRPr="00145239">
        <w:t xml:space="preserve"> United States' appellee's submission, paras. 581, 585, 597, and 601. </w:t>
      </w:r>
    </w:p>
  </w:footnote>
  <w:footnote w:id="2070">
    <w:p w:rsidR="00FD2727" w:rsidRPr="00410588" w:rsidRDefault="00FD2727">
      <w:pPr>
        <w:pStyle w:val="FootnoteText"/>
        <w:rPr>
          <w:lang w:val="en-US"/>
        </w:rPr>
      </w:pPr>
      <w:r w:rsidRPr="00145239">
        <w:rPr>
          <w:rStyle w:val="FootnoteReference"/>
        </w:rPr>
        <w:footnoteRef/>
      </w:r>
      <w:r w:rsidRPr="00145239">
        <w:t xml:space="preserve"> United States' appellee's submission</w:t>
      </w:r>
      <w:r>
        <w:t xml:space="preserve">, </w:t>
      </w:r>
      <w:r w:rsidRPr="00AF3D63">
        <w:t>paras. </w:t>
      </w:r>
      <w:r>
        <w:t xml:space="preserve">591 and 603. </w:t>
      </w:r>
    </w:p>
  </w:footnote>
  <w:footnote w:id="2071">
    <w:p w:rsidR="00FD2727" w:rsidRPr="006516E7" w:rsidRDefault="00FD2727">
      <w:pPr>
        <w:pStyle w:val="FootnoteText"/>
        <w:rPr>
          <w:lang w:val="en-US"/>
        </w:rPr>
      </w:pPr>
      <w:r>
        <w:rPr>
          <w:rStyle w:val="FootnoteReference"/>
        </w:rPr>
        <w:footnoteRef/>
      </w:r>
      <w:r>
        <w:t xml:space="preserve"> </w:t>
      </w:r>
      <w:r>
        <w:rPr>
          <w:lang w:val="en-US"/>
        </w:rPr>
        <w:t>Panel Report, para. 6.1805, Table 22: Market for very large LCA (containing data from Ascend database, Deliveries made, data request as of 7 April 2014 (Panel Exhibit EU-512)). See also Ascend database, Boeing and Airbus Deliveries in Units (2001-2013), commercial operators, data request as of 30 March 2014 (Panel Exhibit USA-577), referred to in Panel Report, fn 2313 to para. 6.1368.</w:t>
      </w:r>
    </w:p>
  </w:footnote>
  <w:footnote w:id="2072">
    <w:p w:rsidR="00FD2727" w:rsidRPr="00410588" w:rsidRDefault="00FD2727">
      <w:pPr>
        <w:pStyle w:val="FootnoteText"/>
        <w:rPr>
          <w:lang w:val="en-US"/>
        </w:rPr>
      </w:pPr>
      <w:r>
        <w:rPr>
          <w:rStyle w:val="FootnoteReference"/>
        </w:rPr>
        <w:footnoteRef/>
      </w:r>
      <w:r>
        <w:t xml:space="preserve"> Panel Report, </w:t>
      </w:r>
      <w:r w:rsidRPr="00AF3D63">
        <w:t>para. </w:t>
      </w:r>
      <w:r>
        <w:t>6.1806.</w:t>
      </w:r>
    </w:p>
  </w:footnote>
  <w:footnote w:id="2073">
    <w:p w:rsidR="00FD2727" w:rsidRPr="00145239" w:rsidRDefault="00FD2727">
      <w:pPr>
        <w:pStyle w:val="FootnoteText"/>
        <w:rPr>
          <w:lang w:val="en-US"/>
        </w:rPr>
      </w:pPr>
      <w:r>
        <w:rPr>
          <w:rStyle w:val="FootnoteReference"/>
        </w:rPr>
        <w:footnoteRef/>
      </w:r>
      <w:r>
        <w:t xml:space="preserve"> </w:t>
      </w:r>
      <w:r w:rsidRPr="00145239">
        <w:t>Panel Report, para. 6.1806. (emphasis original)</w:t>
      </w:r>
    </w:p>
  </w:footnote>
  <w:footnote w:id="2074">
    <w:p w:rsidR="00FD2727" w:rsidRPr="00145239" w:rsidRDefault="00FD2727">
      <w:pPr>
        <w:pStyle w:val="FootnoteText"/>
        <w:rPr>
          <w:lang w:val="en-US"/>
        </w:rPr>
      </w:pPr>
      <w:r w:rsidRPr="00145239">
        <w:rPr>
          <w:rStyle w:val="FootnoteReference"/>
        </w:rPr>
        <w:footnoteRef/>
      </w:r>
      <w:r w:rsidRPr="00145239">
        <w:t xml:space="preserve"> See paras. 5.725-5.726 above.</w:t>
      </w:r>
    </w:p>
  </w:footnote>
  <w:footnote w:id="2075">
    <w:p w:rsidR="00FD2727" w:rsidRPr="00145239" w:rsidRDefault="00FD2727">
      <w:pPr>
        <w:pStyle w:val="FootnoteText"/>
        <w:rPr>
          <w:lang w:val="en-US"/>
        </w:rPr>
      </w:pPr>
      <w:r w:rsidRPr="00145239">
        <w:rPr>
          <w:rStyle w:val="FootnoteReference"/>
        </w:rPr>
        <w:footnoteRef/>
      </w:r>
      <w:r w:rsidRPr="00145239">
        <w:t xml:space="preserve"> See paras. 5.727-5.728 above. See also Panel Report, paras. 6.1371-6.1410.</w:t>
      </w:r>
    </w:p>
  </w:footnote>
  <w:footnote w:id="2076">
    <w:p w:rsidR="00FD2727" w:rsidRPr="00145239" w:rsidRDefault="00FD2727">
      <w:pPr>
        <w:pStyle w:val="FootnoteText"/>
        <w:rPr>
          <w:lang w:val="en-US"/>
        </w:rPr>
      </w:pPr>
      <w:r w:rsidRPr="00145239">
        <w:rPr>
          <w:rStyle w:val="FootnoteReference"/>
        </w:rPr>
        <w:footnoteRef/>
      </w:r>
      <w:r w:rsidRPr="00145239">
        <w:t xml:space="preserve"> Panel Report, para. 6.1813. (fn omitted) See also European Union's</w:t>
      </w:r>
      <w:r>
        <w:t xml:space="preserve"> appellant's submission, paras. </w:t>
      </w:r>
      <w:r w:rsidRPr="00145239">
        <w:t>951 and 953-956.</w:t>
      </w:r>
    </w:p>
  </w:footnote>
  <w:footnote w:id="2077">
    <w:p w:rsidR="00FD2727" w:rsidRPr="00145239" w:rsidRDefault="00FD2727">
      <w:pPr>
        <w:pStyle w:val="FootnoteText"/>
        <w:rPr>
          <w:lang w:val="en-US"/>
        </w:rPr>
      </w:pPr>
      <w:r w:rsidRPr="00145239">
        <w:rPr>
          <w:rStyle w:val="FootnoteReference"/>
        </w:rPr>
        <w:footnoteRef/>
      </w:r>
      <w:r w:rsidRPr="00145239">
        <w:t xml:space="preserve"> Panel Report, para. 6.1816.</w:t>
      </w:r>
    </w:p>
  </w:footnote>
  <w:footnote w:id="2078">
    <w:p w:rsidR="00FD2727" w:rsidRPr="00145239" w:rsidRDefault="00FD2727">
      <w:pPr>
        <w:pStyle w:val="FootnoteText"/>
        <w:rPr>
          <w:lang w:val="en-US"/>
        </w:rPr>
      </w:pPr>
      <w:r w:rsidRPr="00145239">
        <w:rPr>
          <w:rStyle w:val="FootnoteReference"/>
        </w:rPr>
        <w:footnoteRef/>
      </w:r>
      <w:r w:rsidRPr="00145239">
        <w:t xml:space="preserve"> Panel Report, fn 3326 to para. 6.1816.</w:t>
      </w:r>
    </w:p>
  </w:footnote>
  <w:footnote w:id="2079">
    <w:p w:rsidR="00FD2727" w:rsidRPr="00145239" w:rsidRDefault="00FD2727">
      <w:pPr>
        <w:pStyle w:val="FootnoteText"/>
        <w:rPr>
          <w:lang w:val="en-US"/>
        </w:rPr>
      </w:pPr>
      <w:r w:rsidRPr="00145239">
        <w:rPr>
          <w:rStyle w:val="FootnoteReference"/>
        </w:rPr>
        <w:footnoteRef/>
      </w:r>
      <w:r w:rsidRPr="00145239">
        <w:t xml:space="preserve"> Panel Report, para. 6.1816.</w:t>
      </w:r>
    </w:p>
  </w:footnote>
  <w:footnote w:id="2080">
    <w:p w:rsidR="00FD2727" w:rsidRPr="00410588" w:rsidRDefault="00FD2727">
      <w:pPr>
        <w:pStyle w:val="FootnoteText"/>
        <w:rPr>
          <w:lang w:val="en-US"/>
        </w:rPr>
      </w:pPr>
      <w:r w:rsidRPr="00145239">
        <w:rPr>
          <w:rStyle w:val="FootnoteReference"/>
        </w:rPr>
        <w:footnoteRef/>
      </w:r>
      <w:r w:rsidRPr="00145239">
        <w:t xml:space="preserve"> European Union's appellant's</w:t>
      </w:r>
      <w:r w:rsidRPr="00BD4698">
        <w:t xml:space="preserve"> submission, </w:t>
      </w:r>
      <w:r w:rsidRPr="00AF3D63">
        <w:t>para. </w:t>
      </w:r>
      <w:r w:rsidRPr="00BD4698">
        <w:t>968.</w:t>
      </w:r>
    </w:p>
  </w:footnote>
  <w:footnote w:id="2081">
    <w:p w:rsidR="00FD2727" w:rsidRPr="00410588" w:rsidRDefault="00FD2727">
      <w:pPr>
        <w:pStyle w:val="FootnoteText"/>
        <w:rPr>
          <w:lang w:val="en-US"/>
        </w:rPr>
      </w:pPr>
      <w:r>
        <w:rPr>
          <w:rStyle w:val="FootnoteReference"/>
        </w:rPr>
        <w:footnoteRef/>
      </w:r>
      <w:r>
        <w:t xml:space="preserve"> Panel Report, para</w:t>
      </w:r>
      <w:r w:rsidRPr="00AF3D63">
        <w:t>. </w:t>
      </w:r>
      <w:r>
        <w:t xml:space="preserve">6.1817. We recall that, for the VLA markets in China and the United Arab Emirates, the United States claims only impedance. </w:t>
      </w:r>
      <w:r w:rsidRPr="00145239">
        <w:t xml:space="preserve">(See </w:t>
      </w:r>
      <w:r w:rsidRPr="00145239">
        <w:rPr>
          <w:i/>
        </w:rPr>
        <w:t>supra</w:t>
      </w:r>
      <w:r w:rsidRPr="00145239">
        <w:t xml:space="preserve"> fn 1984) We therefore understand that the Panel's finding on displacement does not cover these two markets.</w:t>
      </w:r>
    </w:p>
  </w:footnote>
  <w:footnote w:id="2082">
    <w:p w:rsidR="00FD2727" w:rsidRPr="007629B5" w:rsidRDefault="00FD2727">
      <w:pPr>
        <w:pStyle w:val="FootnoteText"/>
        <w:rPr>
          <w:lang w:val="en-US"/>
        </w:rPr>
      </w:pPr>
      <w:r>
        <w:rPr>
          <w:rStyle w:val="FootnoteReference"/>
        </w:rPr>
        <w:footnoteRef/>
      </w:r>
      <w:r>
        <w:t xml:space="preserve"> </w:t>
      </w:r>
      <w:r w:rsidRPr="007629B5">
        <w:t xml:space="preserve">Appellate Body Report, </w:t>
      </w:r>
      <w:r w:rsidRPr="007629B5">
        <w:rPr>
          <w:i/>
        </w:rPr>
        <w:t>EC and certain member States – Large Civil Aircraft</w:t>
      </w:r>
      <w:r w:rsidRPr="007629B5">
        <w:t>, para. 1161.</w:t>
      </w:r>
    </w:p>
  </w:footnote>
  <w:footnote w:id="2083">
    <w:p w:rsidR="00FD2727" w:rsidRPr="007629B5" w:rsidRDefault="00FD2727">
      <w:pPr>
        <w:pStyle w:val="FootnoteText"/>
        <w:rPr>
          <w:lang w:val="en-US"/>
        </w:rPr>
      </w:pPr>
      <w:r w:rsidRPr="007629B5">
        <w:rPr>
          <w:rStyle w:val="FootnoteReference"/>
        </w:rPr>
        <w:footnoteRef/>
      </w:r>
      <w:r w:rsidRPr="007629B5">
        <w:t xml:space="preserve"> Panel Report, para.</w:t>
      </w:r>
      <w:r>
        <w:t xml:space="preserve"> </w:t>
      </w:r>
      <w:r w:rsidRPr="007629B5">
        <w:t>6.1805, fn 3312 to Table 22: Market for very l</w:t>
      </w:r>
      <w:r>
        <w:t>arge LCA (referring to European </w:t>
      </w:r>
      <w:r w:rsidRPr="007629B5">
        <w:t>Union's comments on the United States' response to Panel question</w:t>
      </w:r>
      <w:r>
        <w:t>s</w:t>
      </w:r>
      <w:r w:rsidRPr="007629B5">
        <w:t xml:space="preserve"> N</w:t>
      </w:r>
      <w:r>
        <w:t>o</w:t>
      </w:r>
      <w:r w:rsidRPr="007629B5">
        <w:t>. 162</w:t>
      </w:r>
      <w:r>
        <w:t>, para. 145, and No. 40, fn 321</w:t>
      </w:r>
      <w:r w:rsidRPr="007629B5">
        <w:t>).</w:t>
      </w:r>
    </w:p>
  </w:footnote>
  <w:footnote w:id="2084">
    <w:p w:rsidR="00FD2727" w:rsidRPr="00410588" w:rsidRDefault="00FD2727">
      <w:pPr>
        <w:pStyle w:val="FootnoteText"/>
        <w:rPr>
          <w:lang w:val="en-US"/>
        </w:rPr>
      </w:pPr>
      <w:r w:rsidRPr="007629B5">
        <w:rPr>
          <w:rStyle w:val="FootnoteReference"/>
        </w:rPr>
        <w:footnoteRef/>
      </w:r>
      <w:r w:rsidRPr="007629B5">
        <w:t xml:space="preserve"> European Union's</w:t>
      </w:r>
      <w:r>
        <w:t xml:space="preserve"> appellant's submission, </w:t>
      </w:r>
      <w:r w:rsidRPr="00AF3D63">
        <w:t>para. </w:t>
      </w:r>
      <w:r>
        <w:t>1055.</w:t>
      </w:r>
    </w:p>
  </w:footnote>
  <w:footnote w:id="2085">
    <w:p w:rsidR="00FD2727" w:rsidRPr="00145239" w:rsidRDefault="00FD2727">
      <w:pPr>
        <w:pStyle w:val="FootnoteText"/>
      </w:pPr>
      <w:r>
        <w:rPr>
          <w:rStyle w:val="FootnoteReference"/>
        </w:rPr>
        <w:footnoteRef/>
      </w:r>
      <w:r>
        <w:t xml:space="preserve"> We recall that,</w:t>
      </w:r>
      <w:r w:rsidRPr="001A427A">
        <w:t xml:space="preserve"> </w:t>
      </w:r>
      <w:r w:rsidRPr="00F04D00">
        <w:t xml:space="preserve">unlike the </w:t>
      </w:r>
      <w:r>
        <w:t>pre</w:t>
      </w:r>
      <w:r>
        <w:noBreakHyphen/>
      </w:r>
      <w:r w:rsidRPr="00F04D00">
        <w:t xml:space="preserve">A380 subsidies, which were </w:t>
      </w:r>
      <w:r w:rsidRPr="00145239">
        <w:t>disbursed decades ago, the disbursements of the A380 LA/MSF subsidies continued well beyond the original reference period. (See para. 5.607 above)</w:t>
      </w:r>
    </w:p>
  </w:footnote>
  <w:footnote w:id="2086">
    <w:p w:rsidR="00FD2727" w:rsidRPr="00145239" w:rsidRDefault="00FD2727">
      <w:pPr>
        <w:pStyle w:val="FootnoteText"/>
      </w:pPr>
      <w:r w:rsidRPr="00145239">
        <w:rPr>
          <w:rStyle w:val="FootnoteReference"/>
        </w:rPr>
        <w:footnoteRef/>
      </w:r>
      <w:r w:rsidRPr="00145239">
        <w:t xml:space="preserve"> We recall that, in claiming displacement and/or impedance in the twin-aisle LCA market, the United States did not rely on orders of the A350XWB, whereas the subsidies existing in the post</w:t>
      </w:r>
      <w:r w:rsidRPr="00145239">
        <w:noBreakHyphen/>
        <w:t xml:space="preserve">implementation period are essentially those under the A380 and A350XWB programmes. Regarding the A330-200 and A340-500/600 LA/MSF subsidies, see fn 2030 and para. 5.719 above. </w:t>
      </w:r>
    </w:p>
  </w:footnote>
  <w:footnote w:id="2087">
    <w:p w:rsidR="00FD2727" w:rsidRPr="00410588" w:rsidRDefault="00FD2727">
      <w:pPr>
        <w:pStyle w:val="FootnoteText"/>
        <w:rPr>
          <w:lang w:val="en-US"/>
        </w:rPr>
      </w:pPr>
      <w:r w:rsidRPr="00145239">
        <w:rPr>
          <w:rStyle w:val="FootnoteReference"/>
        </w:rPr>
        <w:footnoteRef/>
      </w:r>
      <w:r w:rsidRPr="00145239">
        <w:t xml:space="preserve"> Panel Report, para. 6.1806.</w:t>
      </w:r>
    </w:p>
  </w:footnote>
  <w:footnote w:id="2088">
    <w:p w:rsidR="00FD2727" w:rsidRPr="00145239" w:rsidRDefault="00FD2727" w:rsidP="00C752B3">
      <w:pPr>
        <w:pStyle w:val="FootnoteText"/>
        <w:rPr>
          <w:lang w:val="en-US"/>
        </w:rPr>
      </w:pPr>
      <w:r>
        <w:rPr>
          <w:rStyle w:val="FootnoteReference"/>
        </w:rPr>
        <w:footnoteRef/>
      </w:r>
      <w:r>
        <w:t xml:space="preserve"> </w:t>
      </w:r>
      <w:r w:rsidRPr="00145239">
        <w:t>See section 5.4.2.2 of this Report.</w:t>
      </w:r>
    </w:p>
  </w:footnote>
  <w:footnote w:id="2089">
    <w:p w:rsidR="00FD2727" w:rsidRPr="00145239" w:rsidRDefault="00FD2727">
      <w:pPr>
        <w:pStyle w:val="FootnoteText"/>
        <w:rPr>
          <w:lang w:val="en-US"/>
        </w:rPr>
      </w:pPr>
      <w:r w:rsidRPr="00145239">
        <w:rPr>
          <w:rStyle w:val="FootnoteReference"/>
        </w:rPr>
        <w:footnoteRef/>
      </w:r>
      <w:r w:rsidRPr="00145239">
        <w:t xml:space="preserve"> Panel Report, para. 6.1817.</w:t>
      </w:r>
    </w:p>
  </w:footnote>
  <w:footnote w:id="2090">
    <w:p w:rsidR="00FD2727" w:rsidRPr="00410588" w:rsidRDefault="00FD2727">
      <w:pPr>
        <w:pStyle w:val="FootnoteText"/>
        <w:rPr>
          <w:lang w:val="en-US"/>
        </w:rPr>
      </w:pPr>
      <w:r w:rsidRPr="00145239">
        <w:rPr>
          <w:rStyle w:val="FootnoteReference"/>
        </w:rPr>
        <w:footnoteRef/>
      </w:r>
      <w:r w:rsidRPr="00145239">
        <w:t xml:space="preserve"> United States' appellee's</w:t>
      </w:r>
      <w:r>
        <w:t xml:space="preserve"> submission, </w:t>
      </w:r>
      <w:r w:rsidRPr="00AF3D63">
        <w:t>para. </w:t>
      </w:r>
      <w:r>
        <w:t>573 (referring to United States' response to Panel questions No. 40 and No. 162; Summary Table of Updated Ascend Aircraft Database (Panel Exhibit USA</w:t>
      </w:r>
      <w:r>
        <w:noBreakHyphen/>
        <w:t>578 (BCI))).</w:t>
      </w:r>
    </w:p>
  </w:footnote>
  <w:footnote w:id="2091">
    <w:p w:rsidR="00FD2727" w:rsidRPr="00410588" w:rsidRDefault="00FD2727" w:rsidP="00C752B3">
      <w:pPr>
        <w:pStyle w:val="FootnoteText"/>
        <w:keepNext/>
        <w:keepLines/>
        <w:rPr>
          <w:lang w:val="en-US"/>
        </w:rPr>
      </w:pPr>
      <w:r>
        <w:rPr>
          <w:rStyle w:val="FootnoteReference"/>
        </w:rPr>
        <w:footnoteRef/>
      </w:r>
      <w:r>
        <w:t xml:space="preserve"> United States' appellee's submission, </w:t>
      </w:r>
      <w:r w:rsidRPr="00AF3D63">
        <w:t>para. </w:t>
      </w:r>
      <w:r>
        <w:t xml:space="preserve">574 (referring to United States' response to Panel question No. 162, </w:t>
      </w:r>
      <w:r w:rsidRPr="00AF3D63">
        <w:t>paras. </w:t>
      </w:r>
      <w:r>
        <w:t>10-32; Summary Table of Updated Ascend Aircraft Database (Panel Exhibit USA</w:t>
      </w:r>
      <w:r>
        <w:noBreakHyphen/>
        <w:t xml:space="preserve">578 (BCI)); European Union's comments on the United States' response to Panel question No. 162, </w:t>
      </w:r>
      <w:r w:rsidRPr="00AF3D63">
        <w:t>paras. </w:t>
      </w:r>
      <w:r>
        <w:t>57-146). We note that, for the Appellate Body's reference, the United States has reproduced these data in the Data Appendix attached to its appellee's submission.</w:t>
      </w:r>
    </w:p>
  </w:footnote>
  <w:footnote w:id="2092">
    <w:p w:rsidR="00FD2727" w:rsidRPr="00410588" w:rsidRDefault="00FD2727">
      <w:pPr>
        <w:pStyle w:val="FootnoteText"/>
        <w:rPr>
          <w:lang w:val="en-US"/>
        </w:rPr>
      </w:pPr>
      <w:r>
        <w:rPr>
          <w:rStyle w:val="FootnoteReference"/>
        </w:rPr>
        <w:footnoteRef/>
      </w:r>
      <w:r>
        <w:t xml:space="preserve"> United States' appellee's submission, </w:t>
      </w:r>
      <w:r w:rsidRPr="00AF3D63">
        <w:t>para. </w:t>
      </w:r>
      <w:r>
        <w:t xml:space="preserve">574 (referring to Panel Report, </w:t>
      </w:r>
      <w:r w:rsidRPr="00AF3D63">
        <w:t>paras. </w:t>
      </w:r>
      <w:r>
        <w:t>6.1806, 6.1774, 6.1778, 6.1797, and 7.1.d.xii-xiii).</w:t>
      </w:r>
    </w:p>
  </w:footnote>
  <w:footnote w:id="2093">
    <w:p w:rsidR="00FD2727" w:rsidRPr="00410588" w:rsidRDefault="00FD2727">
      <w:pPr>
        <w:pStyle w:val="FootnoteText"/>
        <w:rPr>
          <w:lang w:val="en-US"/>
        </w:rPr>
      </w:pPr>
      <w:r>
        <w:rPr>
          <w:rStyle w:val="FootnoteReference"/>
        </w:rPr>
        <w:footnoteRef/>
      </w:r>
      <w:r>
        <w:t xml:space="preserve"> European Union's appellant's submission, </w:t>
      </w:r>
      <w:r w:rsidRPr="00AF3D63">
        <w:t>para. </w:t>
      </w:r>
      <w:r>
        <w:t>1098.</w:t>
      </w:r>
    </w:p>
  </w:footnote>
  <w:footnote w:id="2094">
    <w:p w:rsidR="00FD2727" w:rsidRPr="00410588" w:rsidRDefault="00FD2727">
      <w:pPr>
        <w:pStyle w:val="FootnoteText"/>
        <w:rPr>
          <w:lang w:val="en-US"/>
        </w:rPr>
      </w:pPr>
      <w:r>
        <w:rPr>
          <w:rStyle w:val="FootnoteReference"/>
        </w:rPr>
        <w:footnoteRef/>
      </w:r>
      <w:r>
        <w:t xml:space="preserve"> European Union's appellant's submission, </w:t>
      </w:r>
      <w:r w:rsidRPr="00AF3D63">
        <w:t>para. </w:t>
      </w:r>
      <w:r>
        <w:t>1098.</w:t>
      </w:r>
    </w:p>
  </w:footnote>
  <w:footnote w:id="2095">
    <w:p w:rsidR="00FD2727" w:rsidRPr="00410588" w:rsidRDefault="00FD2727">
      <w:pPr>
        <w:pStyle w:val="FootnoteText"/>
        <w:rPr>
          <w:lang w:val="en-US"/>
        </w:rPr>
      </w:pPr>
      <w:r>
        <w:rPr>
          <w:rStyle w:val="FootnoteReference"/>
        </w:rPr>
        <w:footnoteRef/>
      </w:r>
      <w:r>
        <w:t xml:space="preserve"> European Union's appellant's submission, </w:t>
      </w:r>
      <w:r w:rsidRPr="00AF3D63">
        <w:t>para. </w:t>
      </w:r>
      <w:r>
        <w:t>1098.</w:t>
      </w:r>
    </w:p>
  </w:footnote>
  <w:footnote w:id="2096">
    <w:p w:rsidR="00FD2727" w:rsidRPr="00410588" w:rsidRDefault="00FD2727">
      <w:pPr>
        <w:pStyle w:val="FootnoteText"/>
        <w:rPr>
          <w:lang w:val="en-US"/>
        </w:rPr>
      </w:pPr>
      <w:r>
        <w:rPr>
          <w:rStyle w:val="FootnoteReference"/>
        </w:rPr>
        <w:footnoteRef/>
      </w:r>
      <w:r>
        <w:t xml:space="preserve"> Appellate Body Report, </w:t>
      </w:r>
      <w:r w:rsidRPr="00C01BDD">
        <w:rPr>
          <w:i/>
        </w:rPr>
        <w:t>EC – Asbestos</w:t>
      </w:r>
      <w:r>
        <w:t xml:space="preserve">, </w:t>
      </w:r>
      <w:r w:rsidRPr="00AF3D63">
        <w:t>para. </w:t>
      </w:r>
      <w:r>
        <w:t>78.</w:t>
      </w:r>
    </w:p>
  </w:footnote>
  <w:footnote w:id="2097">
    <w:p w:rsidR="00FD2727" w:rsidRPr="00410588" w:rsidRDefault="00FD2727">
      <w:pPr>
        <w:pStyle w:val="FootnoteText"/>
        <w:rPr>
          <w:lang w:val="en-US"/>
        </w:rPr>
      </w:pPr>
      <w:r>
        <w:rPr>
          <w:rStyle w:val="FootnoteReference"/>
        </w:rPr>
        <w:footnoteRef/>
      </w:r>
      <w:r>
        <w:t xml:space="preserve"> </w:t>
      </w:r>
      <w:r w:rsidRPr="00AF3D63">
        <w:t>See </w:t>
      </w:r>
      <w:r>
        <w:t xml:space="preserve">Ascend database, Deliveries made, data request as of 7 April 2014 (Panel Exhibit EU-512); </w:t>
      </w:r>
      <w:r w:rsidRPr="00AB2E88">
        <w:t>Ascend database</w:t>
      </w:r>
      <w:r>
        <w:t>, Boeing and Airbus Deliveries in Units</w:t>
      </w:r>
      <w:r w:rsidRPr="00AB2E88">
        <w:t xml:space="preserve"> (2001-2013)</w:t>
      </w:r>
      <w:r>
        <w:t>,</w:t>
      </w:r>
      <w:r w:rsidRPr="00BD3E53">
        <w:t xml:space="preserve"> Commercial Operators, data request as of 30 March 2014</w:t>
      </w:r>
      <w:r w:rsidRPr="00AB2E88" w:rsidDel="002C3EE5">
        <w:t xml:space="preserve"> </w:t>
      </w:r>
      <w:r>
        <w:t>(Panel Exhibit USA</w:t>
      </w:r>
      <w:r>
        <w:noBreakHyphen/>
        <w:t>577).</w:t>
      </w:r>
    </w:p>
  </w:footnote>
  <w:footnote w:id="2098">
    <w:p w:rsidR="00FD2727" w:rsidRPr="00410588" w:rsidRDefault="00FD2727">
      <w:pPr>
        <w:pStyle w:val="FootnoteText"/>
        <w:rPr>
          <w:lang w:val="en-US"/>
        </w:rPr>
      </w:pPr>
      <w:r>
        <w:rPr>
          <w:rStyle w:val="FootnoteReference"/>
        </w:rPr>
        <w:footnoteRef/>
      </w:r>
      <w:r>
        <w:t xml:space="preserve"> Panel Report, </w:t>
      </w:r>
      <w:r w:rsidRPr="00AF3D63">
        <w:t>para. </w:t>
      </w:r>
      <w:r>
        <w:t>6.1444. (emphasis original)</w:t>
      </w:r>
    </w:p>
  </w:footnote>
  <w:footnote w:id="2099">
    <w:p w:rsidR="00FD2727" w:rsidRPr="00410588" w:rsidRDefault="00FD2727">
      <w:pPr>
        <w:pStyle w:val="FootnoteText"/>
        <w:rPr>
          <w:lang w:val="en-US"/>
        </w:rPr>
      </w:pPr>
      <w:r>
        <w:rPr>
          <w:rStyle w:val="FootnoteReference"/>
        </w:rPr>
        <w:footnoteRef/>
      </w:r>
      <w:r>
        <w:t xml:space="preserve"> </w:t>
      </w:r>
      <w:r w:rsidRPr="00145239">
        <w:t>See paras. 5.700-5.702 above.</w:t>
      </w:r>
    </w:p>
  </w:footnote>
  <w:footnote w:id="2100">
    <w:p w:rsidR="00FD2727" w:rsidRPr="00410588" w:rsidRDefault="00FD2727" w:rsidP="00AA339D">
      <w:pPr>
        <w:pStyle w:val="FootnoteText"/>
        <w:keepNext/>
        <w:keepLines/>
        <w:rPr>
          <w:lang w:val="en-US"/>
        </w:rPr>
      </w:pPr>
      <w:r>
        <w:rPr>
          <w:rStyle w:val="FootnoteReference"/>
        </w:rPr>
        <w:footnoteRef/>
      </w:r>
      <w:r>
        <w:t xml:space="preserve"> </w:t>
      </w:r>
      <w:r w:rsidRPr="000B1597">
        <w:t xml:space="preserve">We further recall that in respect of the </w:t>
      </w:r>
      <w:r>
        <w:t>United States</w:t>
      </w:r>
      <w:r w:rsidRPr="000B1597">
        <w:t xml:space="preserve">' claims of displacement, we engaged the participants at the oral hearing with questions regarding the existence or not of discernible trends in the relevant geographical and product markets on the basis of the market data for the </w:t>
      </w:r>
      <w:r>
        <w:t>post</w:t>
      </w:r>
      <w:r>
        <w:noBreakHyphen/>
      </w:r>
      <w:r w:rsidRPr="000B1597">
        <w:t xml:space="preserve">implementation period. However, </w:t>
      </w:r>
      <w:r w:rsidRPr="0000763B">
        <w:t xml:space="preserve">the participants </w:t>
      </w:r>
      <w:r>
        <w:t xml:space="preserve">could not come to an agreement </w:t>
      </w:r>
      <w:r w:rsidRPr="0000763B">
        <w:t>in this regard</w:t>
      </w:r>
      <w:r w:rsidRPr="000B1597">
        <w:t>. It is therefore our view that we cannot ourselves step into the shoes of the Panel to examine these issues in light of the insufficient analysis by the Panel</w:t>
      </w:r>
      <w:r>
        <w:t>,</w:t>
      </w:r>
      <w:r w:rsidRPr="000B1597">
        <w:t xml:space="preserve"> coupled with the participants' disagreement </w:t>
      </w:r>
      <w:r>
        <w:t>on this issue</w:t>
      </w:r>
      <w:r w:rsidRPr="000B1597">
        <w:t>.</w:t>
      </w:r>
    </w:p>
  </w:footnote>
  <w:footnote w:id="2101">
    <w:p w:rsidR="00FD2727" w:rsidRPr="00410588" w:rsidRDefault="00FD2727" w:rsidP="00C752B3">
      <w:pPr>
        <w:pStyle w:val="FootnoteText"/>
        <w:keepNext/>
        <w:keepLines/>
        <w:rPr>
          <w:lang w:val="en-US"/>
        </w:rPr>
      </w:pPr>
      <w:r>
        <w:rPr>
          <w:rStyle w:val="FootnoteReference"/>
        </w:rPr>
        <w:footnoteRef/>
      </w:r>
      <w:r>
        <w:t xml:space="preserve"> United States' appellee's submission, </w:t>
      </w:r>
      <w:r w:rsidRPr="00AF3D63">
        <w:t>para. </w:t>
      </w:r>
      <w:r>
        <w:t>577. (fn omitted)</w:t>
      </w:r>
    </w:p>
  </w:footnote>
  <w:footnote w:id="2102">
    <w:p w:rsidR="00FD2727" w:rsidRPr="00410588" w:rsidRDefault="00FD2727">
      <w:pPr>
        <w:pStyle w:val="FootnoteText"/>
        <w:rPr>
          <w:lang w:val="en-US"/>
        </w:rPr>
      </w:pPr>
      <w:r>
        <w:rPr>
          <w:rStyle w:val="FootnoteReference"/>
        </w:rPr>
        <w:footnoteRef/>
      </w:r>
      <w:r>
        <w:t xml:space="preserve"> Panel Report, </w:t>
      </w:r>
      <w:r w:rsidRPr="00AF3D63">
        <w:t>para. </w:t>
      </w:r>
      <w:r>
        <w:t xml:space="preserve">6.1818 (referring to United States' first written submission to the Panel, </w:t>
      </w:r>
      <w:r w:rsidRPr="00AF3D63">
        <w:t>para. </w:t>
      </w:r>
      <w:r>
        <w:t xml:space="preserve">514; second written submission to the Panel, </w:t>
      </w:r>
      <w:r w:rsidRPr="00AF3D63">
        <w:t>para. </w:t>
      </w:r>
      <w:r>
        <w:t>720; response to Panel question No. 162). (emphasis original)</w:t>
      </w:r>
    </w:p>
  </w:footnote>
  <w:footnote w:id="2103">
    <w:p w:rsidR="00FD2727" w:rsidRPr="00410588" w:rsidRDefault="00FD2727">
      <w:pPr>
        <w:pStyle w:val="FootnoteText"/>
        <w:rPr>
          <w:lang w:val="en-US"/>
        </w:rPr>
      </w:pPr>
      <w:r>
        <w:rPr>
          <w:rStyle w:val="FootnoteReference"/>
        </w:rPr>
        <w:footnoteRef/>
      </w:r>
      <w:r>
        <w:t xml:space="preserve"> United States</w:t>
      </w:r>
      <w:r w:rsidRPr="00C87DAB">
        <w:t xml:space="preserve">' appellee's submission, </w:t>
      </w:r>
      <w:r w:rsidRPr="00AF3D63">
        <w:t>para. </w:t>
      </w:r>
      <w:r w:rsidRPr="00C87DAB">
        <w:t xml:space="preserve">581, Figure 5: EU VLA – Volume Trendline Analysis (referring to </w:t>
      </w:r>
      <w:r>
        <w:t>United States</w:t>
      </w:r>
      <w:r w:rsidRPr="00C87DAB">
        <w:t xml:space="preserve">' response to Panel question No. 162, </w:t>
      </w:r>
      <w:r w:rsidRPr="00AF3D63">
        <w:t>para. </w:t>
      </w:r>
      <w:r w:rsidRPr="00C87DAB">
        <w:t xml:space="preserve">18; Summary Table of Updated Ascend Aircraft Database (Panel Exhibit </w:t>
      </w:r>
      <w:r>
        <w:t>USA</w:t>
      </w:r>
      <w:r>
        <w:noBreakHyphen/>
      </w:r>
      <w:r w:rsidRPr="00C87DAB">
        <w:t>578 (BCI)), p.</w:t>
      </w:r>
      <w:r>
        <w:t xml:space="preserve"> </w:t>
      </w:r>
      <w:r w:rsidRPr="00C87DAB">
        <w:t>4).</w:t>
      </w:r>
    </w:p>
  </w:footnote>
  <w:footnote w:id="2104">
    <w:p w:rsidR="00FD2727" w:rsidRPr="007629B5" w:rsidRDefault="00FD2727">
      <w:pPr>
        <w:pStyle w:val="FootnoteText"/>
        <w:rPr>
          <w:lang w:val="en-US"/>
        </w:rPr>
      </w:pPr>
      <w:r>
        <w:rPr>
          <w:rStyle w:val="FootnoteReference"/>
        </w:rPr>
        <w:footnoteRef/>
      </w:r>
      <w:r>
        <w:t xml:space="preserve"> United States</w:t>
      </w:r>
      <w:r w:rsidRPr="00C87DAB">
        <w:t xml:space="preserve">' appellee's submission, </w:t>
      </w:r>
      <w:r w:rsidRPr="00AF3D63">
        <w:t>para. </w:t>
      </w:r>
      <w:r w:rsidRPr="00C87DAB">
        <w:t xml:space="preserve">585, Figure 7: Australia VLA – Volume Trendline Analysis (referring to </w:t>
      </w:r>
      <w:r>
        <w:t>United States</w:t>
      </w:r>
      <w:r w:rsidRPr="00C87DAB">
        <w:t xml:space="preserve">' response to Panel question No. 162, </w:t>
      </w:r>
      <w:r w:rsidRPr="00AF3D63">
        <w:t>para. </w:t>
      </w:r>
      <w:r w:rsidRPr="00C87DAB">
        <w:t xml:space="preserve">20; Summary Table of Updated Ascend Aircraft Database (Panel Exhibit </w:t>
      </w:r>
      <w:r w:rsidRPr="007629B5">
        <w:t>USA</w:t>
      </w:r>
      <w:r w:rsidRPr="007629B5">
        <w:noBreakHyphen/>
        <w:t>578 (BCI)), p.</w:t>
      </w:r>
      <w:r>
        <w:t xml:space="preserve"> </w:t>
      </w:r>
      <w:r w:rsidRPr="007629B5">
        <w:t>6).</w:t>
      </w:r>
    </w:p>
  </w:footnote>
  <w:footnote w:id="2105">
    <w:p w:rsidR="00FD2727" w:rsidRPr="007629B5" w:rsidRDefault="00FD2727">
      <w:pPr>
        <w:pStyle w:val="FootnoteText"/>
        <w:rPr>
          <w:lang w:val="en-US"/>
        </w:rPr>
      </w:pPr>
      <w:r w:rsidRPr="007629B5">
        <w:rPr>
          <w:rStyle w:val="FootnoteReference"/>
        </w:rPr>
        <w:footnoteRef/>
      </w:r>
      <w:r w:rsidRPr="007629B5">
        <w:t xml:space="preserve"> United States' appellee's submission, para. 597, Table 2: </w:t>
      </w:r>
      <w:r>
        <w:t>U.S.</w:t>
      </w:r>
      <w:r w:rsidRPr="007629B5">
        <w:t xml:space="preserve"> Data – Korea VLA Market (referring to United States' response to Panel question No. 162, para. 28; Summary Table of Updated Ascend Aircraft Database (Panel Exhibit USA</w:t>
      </w:r>
      <w:r w:rsidRPr="007629B5">
        <w:noBreakHyphen/>
        <w:t>578 (BCI)), p.</w:t>
      </w:r>
      <w:r>
        <w:t xml:space="preserve"> </w:t>
      </w:r>
      <w:r w:rsidRPr="007629B5">
        <w:t>12).</w:t>
      </w:r>
    </w:p>
  </w:footnote>
  <w:footnote w:id="2106">
    <w:p w:rsidR="00FD2727" w:rsidRPr="00410588" w:rsidRDefault="00FD2727">
      <w:pPr>
        <w:pStyle w:val="FootnoteText"/>
        <w:rPr>
          <w:lang w:val="en-US"/>
        </w:rPr>
      </w:pPr>
      <w:r w:rsidRPr="007629B5">
        <w:rPr>
          <w:rStyle w:val="FootnoteReference"/>
        </w:rPr>
        <w:footnoteRef/>
      </w:r>
      <w:r w:rsidRPr="007629B5">
        <w:t xml:space="preserve"> United States' appellee's submission, para. 601, Figure 16: Singapore VLA – Volume Trendline Analysis (referring to United States' response to Panel question No. 162, para. 31; Summary Table of Updated Ascend Aircraft Database (Panel Exhibit</w:t>
      </w:r>
      <w:r w:rsidRPr="00C87DAB">
        <w:t xml:space="preserve"> </w:t>
      </w:r>
      <w:r>
        <w:t>USA</w:t>
      </w:r>
      <w:r>
        <w:noBreakHyphen/>
      </w:r>
      <w:r w:rsidRPr="00C87DAB">
        <w:t>578 (BCI)), p.</w:t>
      </w:r>
      <w:r>
        <w:t xml:space="preserve"> </w:t>
      </w:r>
      <w:r w:rsidRPr="00C87DAB">
        <w:t>14).</w:t>
      </w:r>
    </w:p>
  </w:footnote>
  <w:footnote w:id="2107">
    <w:p w:rsidR="00FD2727" w:rsidRPr="00410588" w:rsidRDefault="00FD2727">
      <w:pPr>
        <w:pStyle w:val="FootnoteText"/>
        <w:rPr>
          <w:lang w:val="en-US"/>
        </w:rPr>
      </w:pPr>
      <w:r>
        <w:rPr>
          <w:rStyle w:val="FootnoteReference"/>
        </w:rPr>
        <w:footnoteRef/>
      </w:r>
      <w:r>
        <w:t xml:space="preserve"> </w:t>
      </w:r>
      <w:r w:rsidRPr="000D6999">
        <w:t xml:space="preserve">We also recall that we engaged the participants at the oral hearing with questions regarding the existence or not of discernible trends in the relevant VLA markets on the basis of the market data for the </w:t>
      </w:r>
      <w:r>
        <w:t>post</w:t>
      </w:r>
      <w:r>
        <w:noBreakHyphen/>
      </w:r>
      <w:r w:rsidRPr="000D6999">
        <w:t xml:space="preserve">implementation period. However, the participants </w:t>
      </w:r>
      <w:r>
        <w:t>could not</w:t>
      </w:r>
      <w:r w:rsidRPr="000D6999">
        <w:t xml:space="preserve"> come to an agreement in this regard.</w:t>
      </w:r>
    </w:p>
  </w:footnote>
  <w:footnote w:id="2108">
    <w:p w:rsidR="00FD2727" w:rsidRDefault="00FD2727" w:rsidP="00C752B3">
      <w:pPr>
        <w:pStyle w:val="FootnoteText"/>
        <w:rPr>
          <w:lang w:val="en-US"/>
        </w:rPr>
      </w:pPr>
      <w:r>
        <w:rPr>
          <w:rStyle w:val="FootnoteReference"/>
        </w:rPr>
        <w:footnoteRef/>
      </w:r>
      <w:r>
        <w:t xml:space="preserve"> Panel Report, para. 6.1817. (emphasis added)</w:t>
      </w:r>
    </w:p>
  </w:footnote>
  <w:footnote w:id="2109">
    <w:p w:rsidR="00FD2727" w:rsidRDefault="00FD2727" w:rsidP="00C752B3">
      <w:pPr>
        <w:pStyle w:val="FootnoteText"/>
        <w:rPr>
          <w:lang w:val="en-US"/>
        </w:rPr>
      </w:pPr>
      <w:r>
        <w:rPr>
          <w:rStyle w:val="FootnoteReference"/>
        </w:rPr>
        <w:footnoteRef/>
      </w:r>
      <w:r>
        <w:t xml:space="preserve"> Panel Report, para. 6.1817. (emphasis added)</w:t>
      </w:r>
    </w:p>
  </w:footnote>
  <w:footnote w:id="2110">
    <w:p w:rsidR="00FD2727" w:rsidRDefault="00FD2727" w:rsidP="00C752B3">
      <w:pPr>
        <w:pStyle w:val="FootnoteText"/>
        <w:keepLines/>
      </w:pPr>
      <w:r>
        <w:rPr>
          <w:rStyle w:val="FootnoteReference"/>
        </w:rPr>
        <w:footnoteRef/>
      </w:r>
      <w:r>
        <w:t xml:space="preserve"> Panel Report, para. 6.389.</w:t>
      </w:r>
    </w:p>
  </w:footnote>
  <w:footnote w:id="2111">
    <w:p w:rsidR="00FD2727" w:rsidRDefault="00FD2727" w:rsidP="00C752B3">
      <w:pPr>
        <w:pStyle w:val="FootnoteText"/>
        <w:keepLines/>
      </w:pPr>
      <w:r>
        <w:rPr>
          <w:rStyle w:val="FootnoteReference"/>
        </w:rPr>
        <w:footnoteRef/>
      </w:r>
      <w:r>
        <w:t xml:space="preserve"> Panel Report, para. 6.389.</w:t>
      </w:r>
    </w:p>
  </w:footnote>
  <w:footnote w:id="2112">
    <w:p w:rsidR="00FD2727" w:rsidRPr="00161805" w:rsidRDefault="00FD2727">
      <w:pPr>
        <w:pStyle w:val="FootnoteText"/>
        <w:rPr>
          <w:lang w:val="en-US"/>
        </w:rPr>
      </w:pPr>
      <w:r>
        <w:rPr>
          <w:rStyle w:val="FootnoteReference"/>
        </w:rPr>
        <w:footnoteRef/>
      </w:r>
      <w:r>
        <w:t xml:space="preserve"> Panel Report, para. 6.389.</w:t>
      </w:r>
    </w:p>
  </w:footnote>
  <w:footnote w:id="2113">
    <w:p w:rsidR="00FD2727" w:rsidRDefault="00FD2727" w:rsidP="00C752B3">
      <w:pPr>
        <w:pStyle w:val="FootnoteText"/>
        <w:keepLines/>
      </w:pPr>
      <w:r>
        <w:rPr>
          <w:rStyle w:val="FootnoteReference"/>
        </w:rPr>
        <w:footnoteRef/>
      </w:r>
      <w:r>
        <w:t xml:space="preserve"> Panel Report, para. 6.389.</w:t>
      </w:r>
    </w:p>
  </w:footnote>
  <w:footnote w:id="2114">
    <w:p w:rsidR="00FD2727" w:rsidRPr="00145239" w:rsidRDefault="00FD2727" w:rsidP="00C752B3">
      <w:pPr>
        <w:pStyle w:val="FootnoteText"/>
      </w:pPr>
      <w:r>
        <w:rPr>
          <w:rStyle w:val="FootnoteReference"/>
        </w:rPr>
        <w:footnoteRef/>
      </w:r>
      <w:r>
        <w:t xml:space="preserve"> See </w:t>
      </w:r>
      <w:r w:rsidRPr="00145239">
        <w:rPr>
          <w:i/>
        </w:rPr>
        <w:t>supra</w:t>
      </w:r>
      <w:r w:rsidRPr="00145239">
        <w:t xml:space="preserve"> fns 330 and 514.</w:t>
      </w:r>
    </w:p>
  </w:footnote>
  <w:footnote w:id="2115">
    <w:p w:rsidR="00FD2727" w:rsidRPr="00145239" w:rsidRDefault="00FD2727" w:rsidP="00863780">
      <w:pPr>
        <w:pStyle w:val="FootnoteText"/>
        <w:keepLines/>
      </w:pPr>
      <w:r w:rsidRPr="00145239">
        <w:rPr>
          <w:rStyle w:val="FootnoteReference"/>
        </w:rPr>
        <w:footnoteRef/>
      </w:r>
      <w:r w:rsidRPr="00145239">
        <w:t xml:space="preserve"> European Union's appellant's submission, para. 405 (quoting Appellate Body Report, </w:t>
      </w:r>
      <w:r w:rsidRPr="00145239">
        <w:rPr>
          <w:i/>
        </w:rPr>
        <w:t>US ‒ Anti</w:t>
      </w:r>
      <w:r w:rsidRPr="00145239">
        <w:rPr>
          <w:i/>
        </w:rPr>
        <w:noBreakHyphen/>
        <w:t>Dumping and Countervailing Duties (China)</w:t>
      </w:r>
      <w:r w:rsidRPr="00145239">
        <w:t xml:space="preserve">, paras. 476 and 486; referring to Appellate Body Report, </w:t>
      </w:r>
      <w:r w:rsidRPr="00145239">
        <w:rPr>
          <w:i/>
        </w:rPr>
        <w:t>US – Carbon Steel (India)</w:t>
      </w:r>
      <w:r w:rsidRPr="00145239">
        <w:t xml:space="preserve">, para. </w:t>
      </w:r>
      <w:r>
        <w:t>4.</w:t>
      </w:r>
      <w:r w:rsidRPr="00145239">
        <w:t>345).</w:t>
      </w:r>
    </w:p>
  </w:footnote>
  <w:footnote w:id="2116">
    <w:p w:rsidR="00FD2727" w:rsidRPr="00145239" w:rsidRDefault="00FD2727" w:rsidP="00863780">
      <w:pPr>
        <w:pStyle w:val="FootnoteText"/>
        <w:keepLines/>
      </w:pPr>
      <w:r w:rsidRPr="00145239">
        <w:rPr>
          <w:rStyle w:val="FootnoteReference"/>
        </w:rPr>
        <w:footnoteRef/>
      </w:r>
      <w:r w:rsidRPr="00145239">
        <w:t xml:space="preserve"> See section 5.3.2.2.1 of this Report.</w:t>
      </w:r>
    </w:p>
  </w:footnote>
  <w:footnote w:id="2117">
    <w:p w:rsidR="00FD2727" w:rsidRPr="00097064" w:rsidRDefault="00FD2727" w:rsidP="00863780">
      <w:pPr>
        <w:pStyle w:val="FootnoteText"/>
        <w:keepLines/>
      </w:pPr>
      <w:r w:rsidRPr="00145239">
        <w:rPr>
          <w:rStyle w:val="FootnoteReference"/>
        </w:rPr>
        <w:footnoteRef/>
      </w:r>
      <w:r w:rsidRPr="00145239">
        <w:t xml:space="preserve"> European Union's appellant's</w:t>
      </w:r>
      <w:r w:rsidRPr="00A453EC">
        <w:t xml:space="preserve"> submission</w:t>
      </w:r>
      <w:r w:rsidRPr="00097064">
        <w:t xml:space="preserve">, </w:t>
      </w:r>
      <w:r>
        <w:t>para. </w:t>
      </w:r>
      <w:r w:rsidRPr="00097064">
        <w:t>423.</w:t>
      </w:r>
    </w:p>
  </w:footnote>
  <w:footnote w:id="2118">
    <w:p w:rsidR="00FD2727" w:rsidRDefault="00FD2727" w:rsidP="00C752B3">
      <w:pPr>
        <w:pStyle w:val="FootnoteText"/>
        <w:keepLines/>
      </w:pPr>
      <w:r>
        <w:rPr>
          <w:rStyle w:val="FootnoteReference"/>
        </w:rPr>
        <w:footnoteRef/>
      </w:r>
      <w:r>
        <w:t xml:space="preserve"> Panel Report, para. 6.459.</w:t>
      </w:r>
    </w:p>
  </w:footnote>
  <w:footnote w:id="2119">
    <w:p w:rsidR="00FD2727" w:rsidRDefault="00FD2727" w:rsidP="00C752B3">
      <w:pPr>
        <w:pStyle w:val="FootnoteText"/>
        <w:keepLines/>
      </w:pPr>
      <w:r>
        <w:rPr>
          <w:rStyle w:val="FootnoteReference"/>
        </w:rPr>
        <w:footnoteRef/>
      </w:r>
      <w:r>
        <w:t xml:space="preserve"> European Union's appellant's submission, paras. 517-518.</w:t>
      </w:r>
    </w:p>
  </w:footnote>
  <w:footnote w:id="2120">
    <w:p w:rsidR="00FD2727" w:rsidRDefault="00FD2727" w:rsidP="00C752B3">
      <w:pPr>
        <w:pStyle w:val="FootnoteText"/>
        <w:keepLines/>
      </w:pPr>
      <w:r>
        <w:rPr>
          <w:rStyle w:val="FootnoteReference"/>
        </w:rPr>
        <w:footnoteRef/>
      </w:r>
      <w:r>
        <w:t xml:space="preserve"> Panel Report, para. 6.604.</w:t>
      </w:r>
    </w:p>
  </w:footnote>
  <w:footnote w:id="2121">
    <w:p w:rsidR="00FD2727" w:rsidRDefault="00FD2727" w:rsidP="00C752B3">
      <w:pPr>
        <w:pStyle w:val="FootnoteText"/>
        <w:keepLines/>
      </w:pPr>
      <w:r>
        <w:rPr>
          <w:rStyle w:val="FootnoteReference"/>
        </w:rPr>
        <w:footnoteRef/>
      </w:r>
      <w:r>
        <w:t xml:space="preserve"> European Union's appellant's submission, para. 522.</w:t>
      </w:r>
    </w:p>
  </w:footnote>
  <w:footnote w:id="2122">
    <w:p w:rsidR="00FD2727" w:rsidRDefault="00FD2727" w:rsidP="00C752B3">
      <w:pPr>
        <w:pStyle w:val="FootnoteText"/>
      </w:pPr>
      <w:r>
        <w:rPr>
          <w:rStyle w:val="FootnoteReference"/>
        </w:rPr>
        <w:footnoteRef/>
      </w:r>
      <w:r>
        <w:t xml:space="preserve"> </w:t>
      </w:r>
      <w:r w:rsidRPr="00145239">
        <w:t>See Table 4</w:t>
      </w:r>
      <w:r>
        <w:t xml:space="preserve"> at</w:t>
      </w:r>
      <w:r w:rsidRPr="00145239">
        <w:t xml:space="preserve"> para. 5.350 above</w:t>
      </w:r>
      <w:r w:rsidRPr="00863780">
        <w:t>.</w:t>
      </w:r>
    </w:p>
  </w:footnote>
  <w:footnote w:id="2123">
    <w:p w:rsidR="00FD2727" w:rsidRDefault="00FD2727" w:rsidP="00C752B3">
      <w:pPr>
        <w:pStyle w:val="FootnoteText"/>
        <w:keepLines/>
      </w:pPr>
      <w:r>
        <w:rPr>
          <w:rStyle w:val="FootnoteReference"/>
          <w:szCs w:val="16"/>
        </w:rPr>
        <w:footnoteRef/>
      </w:r>
      <w:r>
        <w:t xml:space="preserve"> Appellate Body Report, </w:t>
      </w:r>
      <w:r>
        <w:rPr>
          <w:i/>
        </w:rPr>
        <w:t>EC and certain member States – Large Civil Aircraft</w:t>
      </w:r>
      <w:r>
        <w:t>, para. 709.</w:t>
      </w:r>
    </w:p>
  </w:footnote>
  <w:footnote w:id="2124">
    <w:p w:rsidR="00FD2727" w:rsidRPr="00C77BFB" w:rsidRDefault="00FD2727">
      <w:pPr>
        <w:pStyle w:val="FootnoteText"/>
        <w:rPr>
          <w:lang w:val="en-US"/>
        </w:rPr>
      </w:pPr>
      <w:r>
        <w:rPr>
          <w:rStyle w:val="FootnoteReference"/>
        </w:rPr>
        <w:footnoteRef/>
      </w:r>
      <w:r>
        <w:t xml:space="preserve"> Having said that, we recall that </w:t>
      </w:r>
      <w:r w:rsidRPr="006D5726">
        <w:rPr>
          <w:bCs/>
        </w:rPr>
        <w:t xml:space="preserve">the </w:t>
      </w:r>
      <w:r w:rsidRPr="006D5726">
        <w:t>expired subsidies remain relevant as part of a matrix of analysis that seeks to identify the effects of the subsidies existing in the post</w:t>
      </w:r>
      <w:r w:rsidRPr="006D5726">
        <w:noBreakHyphen/>
        <w:t>implementation period, in respect of which the European Union continues to have a compliance obligation.</w:t>
      </w:r>
      <w:r w:rsidRPr="006D5726">
        <w:rPr>
          <w:bCs/>
        </w:rPr>
        <w:t xml:space="preserve"> </w:t>
      </w:r>
      <w:r w:rsidRPr="006D5726">
        <w:t>Findings from the original proceedings concerning the design, structure</w:t>
      </w:r>
      <w:r>
        <w:t>,</w:t>
      </w:r>
      <w:r w:rsidRPr="006D5726">
        <w:t xml:space="preserve"> and operation of the expired subsidies, as well as how th</w:t>
      </w:r>
      <w:r>
        <w:t>o</w:t>
      </w:r>
      <w:r w:rsidRPr="006D5726">
        <w:t xml:space="preserve">se subsidies affected Airbus' operations until the end of 2006, </w:t>
      </w:r>
      <w:r>
        <w:t xml:space="preserve">can </w:t>
      </w:r>
      <w:r w:rsidRPr="006D5726">
        <w:t>help in understanding the extent to which the</w:t>
      </w:r>
      <w:r>
        <w:t xml:space="preserve"> existing subsidies</w:t>
      </w:r>
      <w:r w:rsidRPr="006D5726">
        <w:t xml:space="preserve"> may cause adverse effects in the post</w:t>
      </w:r>
      <w:r w:rsidRPr="006D5726">
        <w:noBreakHyphen/>
        <w:t>implementation period.</w:t>
      </w:r>
    </w:p>
  </w:footnote>
  <w:footnote w:id="2125">
    <w:p w:rsidR="00FD2727" w:rsidRDefault="00FD2727" w:rsidP="00C752B3">
      <w:pPr>
        <w:pStyle w:val="FootnoteText"/>
        <w:rPr>
          <w:lang w:val="en-US"/>
        </w:rPr>
      </w:pPr>
      <w:r>
        <w:rPr>
          <w:rStyle w:val="FootnoteReference"/>
        </w:rPr>
        <w:footnoteRef/>
      </w:r>
      <w:r>
        <w:t xml:space="preserve"> Panel Report, para. 6.1717. (emphasis original)</w:t>
      </w:r>
    </w:p>
  </w:footnote>
  <w:footnote w:id="2126">
    <w:p w:rsidR="00FD2727" w:rsidRDefault="00FD2727" w:rsidP="00C752B3">
      <w:pPr>
        <w:pStyle w:val="FootnoteText"/>
        <w:rPr>
          <w:lang w:val="en-US"/>
        </w:rPr>
      </w:pPr>
      <w:r>
        <w:rPr>
          <w:rStyle w:val="FootnoteReference"/>
        </w:rPr>
        <w:footnoteRef/>
      </w:r>
      <w:r>
        <w:t xml:space="preserve"> Panel Report, para. 6.1817. (emphasis added)</w:t>
      </w:r>
    </w:p>
  </w:footnote>
  <w:footnote w:id="2127">
    <w:p w:rsidR="00FD2727" w:rsidRDefault="00FD2727" w:rsidP="00C752B3">
      <w:pPr>
        <w:pStyle w:val="FootnoteText"/>
        <w:rPr>
          <w:lang w:val="en-US"/>
        </w:rPr>
      </w:pPr>
      <w:r>
        <w:rPr>
          <w:rStyle w:val="FootnoteReference"/>
        </w:rPr>
        <w:footnoteRef/>
      </w:r>
      <w:r>
        <w:t xml:space="preserve"> Panel Report, para. 6.1817. (emphasis added)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727" w:rsidRPr="0053030E" w:rsidRDefault="00FD2727" w:rsidP="0053030E">
    <w:pPr>
      <w:pStyle w:val="Header"/>
      <w:pBdr>
        <w:bottom w:val="single" w:sz="4" w:space="1" w:color="auto"/>
      </w:pBdr>
      <w:tabs>
        <w:tab w:val="clear" w:pos="4513"/>
        <w:tab w:val="clear" w:pos="9027"/>
      </w:tabs>
      <w:jc w:val="center"/>
    </w:pPr>
    <w:r w:rsidRPr="0053030E">
      <w:t>WT/DS316/AB/RW</w:t>
    </w:r>
  </w:p>
  <w:p w:rsidR="00FD2727" w:rsidRPr="0053030E" w:rsidRDefault="00FD2727" w:rsidP="0053030E">
    <w:pPr>
      <w:pStyle w:val="Header"/>
      <w:pBdr>
        <w:bottom w:val="single" w:sz="4" w:space="1" w:color="auto"/>
      </w:pBdr>
      <w:tabs>
        <w:tab w:val="clear" w:pos="4513"/>
        <w:tab w:val="clear" w:pos="9027"/>
      </w:tabs>
      <w:jc w:val="center"/>
    </w:pPr>
  </w:p>
  <w:p w:rsidR="00FD2727" w:rsidRDefault="00FD2727" w:rsidP="0053030E">
    <w:pPr>
      <w:pStyle w:val="Header"/>
      <w:pBdr>
        <w:bottom w:val="single" w:sz="4" w:space="1" w:color="auto"/>
      </w:pBdr>
      <w:tabs>
        <w:tab w:val="clear" w:pos="4513"/>
        <w:tab w:val="clear" w:pos="9027"/>
      </w:tabs>
      <w:jc w:val="center"/>
    </w:pPr>
    <w:r w:rsidRPr="0053030E">
      <w:t xml:space="preserve">- </w:t>
    </w:r>
    <w:r w:rsidRPr="0053030E">
      <w:fldChar w:fldCharType="begin"/>
    </w:r>
    <w:r w:rsidRPr="0053030E">
      <w:instrText xml:space="preserve"> PAGE </w:instrText>
    </w:r>
    <w:r w:rsidRPr="0053030E">
      <w:fldChar w:fldCharType="separate"/>
    </w:r>
    <w:r w:rsidR="00403084">
      <w:rPr>
        <w:noProof/>
      </w:rPr>
      <w:t>142</w:t>
    </w:r>
    <w:r w:rsidRPr="0053030E">
      <w:fldChar w:fldCharType="end"/>
    </w:r>
    <w:r w:rsidRPr="0053030E">
      <w:t xml:space="preserve"> </w:t>
    </w:r>
    <w:r>
      <w:t>–</w:t>
    </w:r>
  </w:p>
  <w:p w:rsidR="00FD2727" w:rsidRPr="000A724E" w:rsidRDefault="00FD2727" w:rsidP="006C0918">
    <w:pPr>
      <w:pStyle w:val="Header"/>
      <w:pBdr>
        <w:bottom w:val="single" w:sz="4" w:space="1" w:color="auto"/>
      </w:pBdr>
      <w:tabs>
        <w:tab w:val="left" w:pos="720"/>
      </w:tabs>
      <w:jc w:val="center"/>
    </w:pPr>
  </w:p>
  <w:p w:rsidR="00FD2727" w:rsidRPr="0053030E" w:rsidRDefault="00FD2727" w:rsidP="0053030E">
    <w:pPr>
      <w:pStyle w:val="Header"/>
      <w:tabs>
        <w:tab w:val="clear" w:pos="4513"/>
        <w:tab w:val="clear" w:pos="9027"/>
      </w:tabs>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727" w:rsidRPr="0053030E" w:rsidRDefault="00FD2727" w:rsidP="0053030E">
    <w:pPr>
      <w:pStyle w:val="Header"/>
      <w:pBdr>
        <w:bottom w:val="single" w:sz="4" w:space="1" w:color="auto"/>
      </w:pBdr>
      <w:tabs>
        <w:tab w:val="clear" w:pos="4513"/>
        <w:tab w:val="clear" w:pos="9027"/>
      </w:tabs>
      <w:jc w:val="center"/>
    </w:pPr>
    <w:r w:rsidRPr="0053030E">
      <w:t>WT/DS316/AB/RW</w:t>
    </w:r>
  </w:p>
  <w:p w:rsidR="00FD2727" w:rsidRPr="0053030E" w:rsidRDefault="00FD2727" w:rsidP="0053030E">
    <w:pPr>
      <w:pStyle w:val="Header"/>
      <w:pBdr>
        <w:bottom w:val="single" w:sz="4" w:space="1" w:color="auto"/>
      </w:pBdr>
      <w:tabs>
        <w:tab w:val="clear" w:pos="4513"/>
        <w:tab w:val="clear" w:pos="9027"/>
      </w:tabs>
      <w:jc w:val="center"/>
    </w:pPr>
  </w:p>
  <w:p w:rsidR="00FD2727" w:rsidRDefault="00FD2727" w:rsidP="0053030E">
    <w:pPr>
      <w:pStyle w:val="Header"/>
      <w:pBdr>
        <w:bottom w:val="single" w:sz="4" w:space="1" w:color="auto"/>
      </w:pBdr>
      <w:tabs>
        <w:tab w:val="clear" w:pos="4513"/>
        <w:tab w:val="clear" w:pos="9027"/>
      </w:tabs>
      <w:jc w:val="center"/>
    </w:pPr>
    <w:r w:rsidRPr="0053030E">
      <w:t xml:space="preserve">- </w:t>
    </w:r>
    <w:r w:rsidRPr="0053030E">
      <w:fldChar w:fldCharType="begin"/>
    </w:r>
    <w:r w:rsidRPr="0053030E">
      <w:instrText xml:space="preserve"> PAGE </w:instrText>
    </w:r>
    <w:r w:rsidRPr="0053030E">
      <w:fldChar w:fldCharType="separate"/>
    </w:r>
    <w:r w:rsidR="00403084">
      <w:rPr>
        <w:noProof/>
      </w:rPr>
      <w:t>141</w:t>
    </w:r>
    <w:r w:rsidRPr="0053030E">
      <w:fldChar w:fldCharType="end"/>
    </w:r>
    <w:r w:rsidRPr="0053030E">
      <w:t xml:space="preserve"> </w:t>
    </w:r>
    <w:r>
      <w:t>–</w:t>
    </w:r>
  </w:p>
  <w:p w:rsidR="00FD2727" w:rsidRPr="000A724E" w:rsidRDefault="00FD2727" w:rsidP="006C0918">
    <w:pPr>
      <w:pStyle w:val="Header"/>
      <w:pBdr>
        <w:bottom w:val="single" w:sz="4" w:space="1" w:color="auto"/>
      </w:pBdr>
      <w:tabs>
        <w:tab w:val="left" w:pos="720"/>
      </w:tabs>
      <w:jc w:val="center"/>
    </w:pPr>
  </w:p>
  <w:p w:rsidR="00FD2727" w:rsidRPr="0053030E" w:rsidRDefault="00FD2727" w:rsidP="004D2A4B">
    <w:pPr>
      <w:pStyle w:val="Header"/>
      <w:tabs>
        <w:tab w:val="clear" w:pos="4513"/>
        <w:tab w:val="clear" w:pos="902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FD2727" w:rsidRPr="003A36AB" w:rsidTr="00206326">
      <w:trPr>
        <w:trHeight w:val="240"/>
        <w:jc w:val="center"/>
      </w:trPr>
      <w:tc>
        <w:tcPr>
          <w:tcW w:w="3794" w:type="dxa"/>
          <w:shd w:val="clear" w:color="auto" w:fill="FFFFFF"/>
          <w:tcMar>
            <w:left w:w="108" w:type="dxa"/>
            <w:right w:w="108" w:type="dxa"/>
          </w:tcMar>
          <w:vAlign w:val="center"/>
        </w:tcPr>
        <w:p w:rsidR="00FD2727" w:rsidRPr="003A36AB" w:rsidRDefault="00FD2727" w:rsidP="00206326">
          <w:pPr>
            <w:rPr>
              <w:noProof/>
              <w:lang w:eastAsia="en-GB"/>
            </w:rPr>
          </w:pPr>
          <w:bookmarkStart w:id="232" w:name="bmkRestricted" w:colFirst="1" w:colLast="1"/>
        </w:p>
      </w:tc>
      <w:tc>
        <w:tcPr>
          <w:tcW w:w="5448" w:type="dxa"/>
          <w:gridSpan w:val="2"/>
          <w:shd w:val="clear" w:color="auto" w:fill="FFFFFF"/>
          <w:tcMar>
            <w:left w:w="108" w:type="dxa"/>
            <w:right w:w="108" w:type="dxa"/>
          </w:tcMar>
          <w:vAlign w:val="center"/>
        </w:tcPr>
        <w:p w:rsidR="00FD2727" w:rsidRPr="003A36AB" w:rsidRDefault="00FD2727" w:rsidP="00206326">
          <w:pPr>
            <w:jc w:val="right"/>
            <w:rPr>
              <w:b/>
              <w:color w:val="FF0000"/>
              <w:szCs w:val="16"/>
            </w:rPr>
          </w:pPr>
          <w:r>
            <w:rPr>
              <w:b/>
              <w:color w:val="FF0000"/>
              <w:szCs w:val="16"/>
            </w:rPr>
            <w:t xml:space="preserve"> </w:t>
          </w:r>
        </w:p>
      </w:tc>
    </w:tr>
    <w:bookmarkEnd w:id="232"/>
    <w:tr w:rsidR="00FD2727" w:rsidRPr="003A36AB" w:rsidTr="00206326">
      <w:trPr>
        <w:trHeight w:val="213"/>
        <w:jc w:val="center"/>
      </w:trPr>
      <w:tc>
        <w:tcPr>
          <w:tcW w:w="3794" w:type="dxa"/>
          <w:vMerge w:val="restart"/>
          <w:shd w:val="clear" w:color="auto" w:fill="FFFFFF"/>
          <w:tcMar>
            <w:left w:w="0" w:type="dxa"/>
            <w:right w:w="0" w:type="dxa"/>
          </w:tcMar>
        </w:tcPr>
        <w:p w:rsidR="00FD2727" w:rsidRPr="003A36AB" w:rsidRDefault="009A724D" w:rsidP="00206326">
          <w:pPr>
            <w:jc w:val="left"/>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15pt;height:56.3pt;visibility:visible">
                <v:imagedata r:id="rId1" o:title=""/>
              </v:shape>
            </w:pict>
          </w:r>
        </w:p>
      </w:tc>
      <w:tc>
        <w:tcPr>
          <w:tcW w:w="5448" w:type="dxa"/>
          <w:gridSpan w:val="2"/>
          <w:shd w:val="clear" w:color="auto" w:fill="FFFFFF"/>
          <w:tcMar>
            <w:left w:w="108" w:type="dxa"/>
            <w:right w:w="108" w:type="dxa"/>
          </w:tcMar>
        </w:tcPr>
        <w:p w:rsidR="00FD2727" w:rsidRPr="003A36AB" w:rsidRDefault="00FD2727" w:rsidP="00206326">
          <w:pPr>
            <w:jc w:val="right"/>
            <w:rPr>
              <w:b/>
              <w:szCs w:val="16"/>
            </w:rPr>
          </w:pPr>
        </w:p>
      </w:tc>
    </w:tr>
    <w:tr w:rsidR="00FD2727" w:rsidRPr="003A36AB" w:rsidTr="00206326">
      <w:trPr>
        <w:trHeight w:val="868"/>
        <w:jc w:val="center"/>
      </w:trPr>
      <w:tc>
        <w:tcPr>
          <w:tcW w:w="3794" w:type="dxa"/>
          <w:vMerge/>
          <w:shd w:val="clear" w:color="auto" w:fill="FFFFFF"/>
          <w:tcMar>
            <w:left w:w="108" w:type="dxa"/>
            <w:right w:w="108" w:type="dxa"/>
          </w:tcMar>
        </w:tcPr>
        <w:p w:rsidR="00FD2727" w:rsidRPr="003A36AB" w:rsidRDefault="00FD2727" w:rsidP="00206326">
          <w:pPr>
            <w:jc w:val="left"/>
            <w:rPr>
              <w:noProof/>
              <w:lang w:eastAsia="en-GB"/>
            </w:rPr>
          </w:pPr>
        </w:p>
      </w:tc>
      <w:tc>
        <w:tcPr>
          <w:tcW w:w="5448" w:type="dxa"/>
          <w:gridSpan w:val="2"/>
          <w:shd w:val="clear" w:color="auto" w:fill="FFFFFF"/>
          <w:tcMar>
            <w:left w:w="108" w:type="dxa"/>
            <w:right w:w="108" w:type="dxa"/>
          </w:tcMar>
        </w:tcPr>
        <w:p w:rsidR="00FD2727" w:rsidRDefault="00FD2727" w:rsidP="00206326">
          <w:pPr>
            <w:jc w:val="right"/>
            <w:rPr>
              <w:b/>
              <w:szCs w:val="16"/>
            </w:rPr>
          </w:pPr>
          <w:bookmarkStart w:id="233" w:name="bmkSymbols"/>
          <w:r>
            <w:rPr>
              <w:b/>
              <w:szCs w:val="16"/>
            </w:rPr>
            <w:t>WT/DS316/AB/RW</w:t>
          </w:r>
        </w:p>
        <w:bookmarkEnd w:id="233"/>
        <w:p w:rsidR="00FD2727" w:rsidRPr="003A36AB" w:rsidRDefault="00FD2727" w:rsidP="00206326">
          <w:pPr>
            <w:jc w:val="right"/>
            <w:rPr>
              <w:b/>
              <w:szCs w:val="16"/>
            </w:rPr>
          </w:pPr>
        </w:p>
      </w:tc>
    </w:tr>
    <w:tr w:rsidR="00FD2727" w:rsidRPr="003A36AB" w:rsidTr="00206326">
      <w:trPr>
        <w:trHeight w:val="240"/>
        <w:jc w:val="center"/>
      </w:trPr>
      <w:tc>
        <w:tcPr>
          <w:tcW w:w="3794" w:type="dxa"/>
          <w:vMerge/>
          <w:shd w:val="clear" w:color="auto" w:fill="FFFFFF"/>
          <w:tcMar>
            <w:left w:w="108" w:type="dxa"/>
            <w:right w:w="108" w:type="dxa"/>
          </w:tcMar>
          <w:vAlign w:val="center"/>
        </w:tcPr>
        <w:p w:rsidR="00FD2727" w:rsidRPr="003A36AB" w:rsidRDefault="00FD2727" w:rsidP="00206326"/>
      </w:tc>
      <w:tc>
        <w:tcPr>
          <w:tcW w:w="5448" w:type="dxa"/>
          <w:gridSpan w:val="2"/>
          <w:shd w:val="clear" w:color="auto" w:fill="FFFFFF"/>
          <w:tcMar>
            <w:left w:w="108" w:type="dxa"/>
            <w:right w:w="108" w:type="dxa"/>
          </w:tcMar>
          <w:vAlign w:val="center"/>
        </w:tcPr>
        <w:p w:rsidR="00FD2727" w:rsidRPr="003A36AB" w:rsidRDefault="00FD2727" w:rsidP="00FD2727">
          <w:pPr>
            <w:jc w:val="right"/>
            <w:rPr>
              <w:szCs w:val="16"/>
            </w:rPr>
          </w:pPr>
          <w:r>
            <w:rPr>
              <w:szCs w:val="16"/>
            </w:rPr>
            <w:t>15 May 2018</w:t>
          </w:r>
        </w:p>
      </w:tc>
    </w:tr>
    <w:tr w:rsidR="00FD2727" w:rsidRPr="003A36AB" w:rsidTr="0020632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FD2727" w:rsidRPr="003A36AB" w:rsidRDefault="00FD2727" w:rsidP="00206326">
          <w:pPr>
            <w:jc w:val="left"/>
            <w:rPr>
              <w:b/>
            </w:rPr>
          </w:pPr>
          <w:bookmarkStart w:id="234" w:name="bmkSerial" w:colFirst="0" w:colLast="0"/>
          <w:r>
            <w:rPr>
              <w:color w:val="FF0000"/>
              <w:szCs w:val="16"/>
            </w:rPr>
            <w:t>(18-2882</w:t>
          </w:r>
          <w:r w:rsidRPr="003A36AB">
            <w:rPr>
              <w:color w:val="FF0000"/>
              <w:szCs w:val="16"/>
            </w:rPr>
            <w:t>)</w:t>
          </w:r>
        </w:p>
      </w:tc>
      <w:tc>
        <w:tcPr>
          <w:tcW w:w="3325" w:type="dxa"/>
          <w:tcBorders>
            <w:bottom w:val="single" w:sz="4" w:space="0" w:color="auto"/>
          </w:tcBorders>
          <w:tcMar>
            <w:top w:w="0" w:type="dxa"/>
            <w:left w:w="108" w:type="dxa"/>
            <w:bottom w:w="57" w:type="dxa"/>
            <w:right w:w="108" w:type="dxa"/>
          </w:tcMar>
          <w:vAlign w:val="bottom"/>
        </w:tcPr>
        <w:p w:rsidR="00FD2727" w:rsidRPr="003A36AB" w:rsidRDefault="00FD2727" w:rsidP="00206326">
          <w:pPr>
            <w:jc w:val="right"/>
            <w:rPr>
              <w:szCs w:val="16"/>
            </w:rPr>
          </w:pPr>
          <w:bookmarkStart w:id="235" w:name="bmkTotPages"/>
          <w:r w:rsidRPr="003A36AB">
            <w:rPr>
              <w:bCs/>
              <w:szCs w:val="16"/>
            </w:rPr>
            <w:t xml:space="preserve">Page: </w:t>
          </w:r>
          <w:r w:rsidRPr="003A36AB">
            <w:rPr>
              <w:bCs/>
              <w:szCs w:val="16"/>
            </w:rPr>
            <w:fldChar w:fldCharType="begin"/>
          </w:r>
          <w:r w:rsidRPr="003A36AB">
            <w:rPr>
              <w:bCs/>
              <w:szCs w:val="16"/>
            </w:rPr>
            <w:instrText xml:space="preserve"> PAGE  \* Arabic  \* MERGEFORMAT </w:instrText>
          </w:r>
          <w:r w:rsidRPr="003A36AB">
            <w:rPr>
              <w:bCs/>
              <w:szCs w:val="16"/>
            </w:rPr>
            <w:fldChar w:fldCharType="separate"/>
          </w:r>
          <w:r w:rsidR="00345F73">
            <w:rPr>
              <w:bCs/>
              <w:noProof/>
              <w:szCs w:val="16"/>
            </w:rPr>
            <w:t>1</w:t>
          </w:r>
          <w:r w:rsidRPr="003A36AB">
            <w:rPr>
              <w:bCs/>
              <w:szCs w:val="16"/>
            </w:rPr>
            <w:fldChar w:fldCharType="end"/>
          </w:r>
          <w:r w:rsidRPr="003A36AB">
            <w:rPr>
              <w:bCs/>
              <w:szCs w:val="16"/>
            </w:rPr>
            <w:t>/</w:t>
          </w:r>
          <w:r w:rsidRPr="003A36AB">
            <w:rPr>
              <w:bCs/>
              <w:szCs w:val="16"/>
            </w:rPr>
            <w:fldChar w:fldCharType="begin"/>
          </w:r>
          <w:r w:rsidRPr="003A36AB">
            <w:rPr>
              <w:bCs/>
              <w:szCs w:val="16"/>
            </w:rPr>
            <w:instrText xml:space="preserve"> NUMPAGES  \* Arabic  \* MERGEFORMAT </w:instrText>
          </w:r>
          <w:r w:rsidRPr="003A36AB">
            <w:rPr>
              <w:bCs/>
              <w:szCs w:val="16"/>
            </w:rPr>
            <w:fldChar w:fldCharType="separate"/>
          </w:r>
          <w:r w:rsidR="00345F73">
            <w:rPr>
              <w:bCs/>
              <w:noProof/>
              <w:szCs w:val="16"/>
            </w:rPr>
            <w:t>1</w:t>
          </w:r>
          <w:r w:rsidRPr="003A36AB">
            <w:rPr>
              <w:bCs/>
              <w:szCs w:val="16"/>
            </w:rPr>
            <w:fldChar w:fldCharType="end"/>
          </w:r>
          <w:bookmarkEnd w:id="235"/>
        </w:p>
      </w:tc>
    </w:tr>
    <w:tr w:rsidR="00FD2727" w:rsidRPr="003A36AB" w:rsidTr="0020632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FD2727" w:rsidRPr="003A36AB" w:rsidRDefault="00FD2727" w:rsidP="00206326">
          <w:pPr>
            <w:jc w:val="left"/>
            <w:rPr>
              <w:sz w:val="14"/>
              <w:szCs w:val="16"/>
            </w:rPr>
          </w:pPr>
          <w:bookmarkStart w:id="236" w:name="bmkCommittee"/>
          <w:bookmarkStart w:id="237" w:name="bmkLanguage" w:colFirst="1" w:colLast="1"/>
          <w:bookmarkEnd w:id="234"/>
          <w:r>
            <w:rPr>
              <w:b/>
            </w:rPr>
            <w:t xml:space="preserve"> </w:t>
          </w:r>
          <w:bookmarkEnd w:id="236"/>
        </w:p>
      </w:tc>
      <w:tc>
        <w:tcPr>
          <w:tcW w:w="3325" w:type="dxa"/>
          <w:tcBorders>
            <w:top w:val="single" w:sz="4" w:space="0" w:color="auto"/>
          </w:tcBorders>
          <w:tcMar>
            <w:top w:w="113" w:type="dxa"/>
            <w:left w:w="108" w:type="dxa"/>
            <w:bottom w:w="57" w:type="dxa"/>
            <w:right w:w="108" w:type="dxa"/>
          </w:tcMar>
          <w:vAlign w:val="center"/>
        </w:tcPr>
        <w:p w:rsidR="00FD2727" w:rsidRPr="003A36AB" w:rsidRDefault="00FD2727" w:rsidP="00206326">
          <w:pPr>
            <w:jc w:val="right"/>
            <w:rPr>
              <w:bCs/>
              <w:szCs w:val="18"/>
            </w:rPr>
          </w:pPr>
          <w:r>
            <w:rPr>
              <w:szCs w:val="18"/>
            </w:rPr>
            <w:t xml:space="preserve"> </w:t>
          </w:r>
        </w:p>
      </w:tc>
    </w:tr>
    <w:bookmarkEnd w:id="237"/>
  </w:tbl>
  <w:p w:rsidR="00FD2727" w:rsidRDefault="00FD272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BC248D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10E6B3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306E5562"/>
    <w:lvl w:ilvl="0">
      <w:start w:val="1"/>
      <w:numFmt w:val="decimal"/>
      <w:pStyle w:val="ListNumber3"/>
      <w:lvlText w:val="%1."/>
      <w:lvlJc w:val="left"/>
      <w:pPr>
        <w:tabs>
          <w:tab w:val="num" w:pos="926"/>
        </w:tabs>
        <w:ind w:left="926" w:hanging="360"/>
      </w:pPr>
    </w:lvl>
  </w:abstractNum>
  <w:abstractNum w:abstractNumId="3">
    <w:nsid w:val="FFFFFF7F"/>
    <w:multiLevelType w:val="singleLevel"/>
    <w:tmpl w:val="B3A07E2A"/>
    <w:lvl w:ilvl="0">
      <w:start w:val="1"/>
      <w:numFmt w:val="decimal"/>
      <w:pStyle w:val="ListNumber2"/>
      <w:lvlText w:val="%1."/>
      <w:lvlJc w:val="left"/>
      <w:pPr>
        <w:tabs>
          <w:tab w:val="num" w:pos="643"/>
        </w:tabs>
        <w:ind w:left="643" w:hanging="360"/>
      </w:pPr>
    </w:lvl>
  </w:abstractNum>
  <w:abstractNum w:abstractNumId="4">
    <w:nsid w:val="FFFFFF88"/>
    <w:multiLevelType w:val="singleLevel"/>
    <w:tmpl w:val="982AF03C"/>
    <w:lvl w:ilvl="0">
      <w:start w:val="1"/>
      <w:numFmt w:val="decimal"/>
      <w:pStyle w:val="ListNumber"/>
      <w:lvlText w:val="%1."/>
      <w:lvlJc w:val="left"/>
      <w:pPr>
        <w:tabs>
          <w:tab w:val="num" w:pos="360"/>
        </w:tabs>
        <w:ind w:left="360" w:hanging="360"/>
      </w:pPr>
    </w:lvl>
  </w:abstractNum>
  <w:abstractNum w:abstractNumId="5">
    <w:nsid w:val="53E948C5"/>
    <w:multiLevelType w:val="multilevel"/>
    <w:tmpl w:val="5BDEB10A"/>
    <w:styleLink w:val="ListBullets"/>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907"/>
        </w:tabs>
        <w:ind w:left="907" w:hanging="340"/>
      </w:pPr>
      <w:rPr>
        <w:rFonts w:ascii="Symbol" w:hAnsi="Symbol" w:hint="default"/>
        <w:color w:val="auto"/>
      </w:rPr>
    </w:lvl>
    <w:lvl w:ilvl="2">
      <w:start w:val="1"/>
      <w:numFmt w:val="bullet"/>
      <w:pStyle w:val="ListBullet3"/>
      <w:lvlText w:val=""/>
      <w:lvlJc w:val="left"/>
      <w:pPr>
        <w:tabs>
          <w:tab w:val="num" w:pos="1247"/>
        </w:tabs>
        <w:ind w:left="1247" w:hanging="340"/>
      </w:pPr>
      <w:rPr>
        <w:rFonts w:ascii="Symbol" w:hAnsi="Symbol" w:hint="default"/>
        <w:color w:val="auto"/>
      </w:rPr>
    </w:lvl>
    <w:lvl w:ilvl="3">
      <w:start w:val="1"/>
      <w:numFmt w:val="bullet"/>
      <w:pStyle w:val="ListBullet4"/>
      <w:lvlText w:val=""/>
      <w:lvlJc w:val="left"/>
      <w:pPr>
        <w:tabs>
          <w:tab w:val="num" w:pos="1588"/>
        </w:tabs>
        <w:ind w:left="1588" w:hanging="341"/>
      </w:pPr>
      <w:rPr>
        <w:rFonts w:ascii="Symbol" w:hAnsi="Symbol" w:hint="default"/>
      </w:rPr>
    </w:lvl>
    <w:lvl w:ilvl="4">
      <w:start w:val="1"/>
      <w:numFmt w:val="bullet"/>
      <w:pStyle w:val="ListBullet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6">
    <w:nsid w:val="57454AB1"/>
    <w:multiLevelType w:val="multilevel"/>
    <w:tmpl w:val="46F23F4E"/>
    <w:lvl w:ilvl="0">
      <w:start w:val="1"/>
      <w:numFmt w:val="decimal"/>
      <w:pStyle w:val="Heading1"/>
      <w:isLgl/>
      <w:suff w:val="nothing"/>
      <w:lvlText w:val="%1  "/>
      <w:lvlJc w:val="left"/>
      <w:pPr>
        <w:ind w:left="0" w:firstLine="0"/>
      </w:pPr>
      <w:rPr>
        <w:rFonts w:hint="default"/>
      </w:rPr>
    </w:lvl>
    <w:lvl w:ilvl="1">
      <w:start w:val="1"/>
      <w:numFmt w:val="decimal"/>
      <w:pStyle w:val="Heading2"/>
      <w:isLgl/>
      <w:suff w:val="nothing"/>
      <w:lvlText w:val="%1.%2  "/>
      <w:lvlJc w:val="left"/>
      <w:pPr>
        <w:ind w:left="0" w:firstLine="0"/>
      </w:pPr>
      <w:rPr>
        <w:rFonts w:hint="default"/>
      </w:rPr>
    </w:lvl>
    <w:lvl w:ilvl="2">
      <w:start w:val="1"/>
      <w:numFmt w:val="decimal"/>
      <w:pStyle w:val="Heading3"/>
      <w:isLgl/>
      <w:suff w:val="nothing"/>
      <w:lvlText w:val="%1.%2.%3  "/>
      <w:lvlJc w:val="left"/>
      <w:pPr>
        <w:ind w:left="0" w:firstLine="0"/>
      </w:pPr>
      <w:rPr>
        <w:rFonts w:hint="default"/>
      </w:rPr>
    </w:lvl>
    <w:lvl w:ilvl="3">
      <w:start w:val="1"/>
      <w:numFmt w:val="decimal"/>
      <w:pStyle w:val="Heading4"/>
      <w:isLgl/>
      <w:suff w:val="nothing"/>
      <w:lvlText w:val="%1.%2.%3.%4  "/>
      <w:lvlJc w:val="left"/>
      <w:pPr>
        <w:ind w:left="0" w:firstLine="0"/>
      </w:pPr>
      <w:rPr>
        <w:rFonts w:hint="default"/>
      </w:rPr>
    </w:lvl>
    <w:lvl w:ilvl="4">
      <w:start w:val="1"/>
      <w:numFmt w:val="decimal"/>
      <w:pStyle w:val="Heading5"/>
      <w:isLgl/>
      <w:suff w:val="nothing"/>
      <w:lvlText w:val="%1.%2.%3.%4.%5  "/>
      <w:lvlJc w:val="left"/>
      <w:pPr>
        <w:ind w:left="0" w:firstLine="0"/>
      </w:pPr>
      <w:rPr>
        <w:rFonts w:hint="default"/>
      </w:rPr>
    </w:lvl>
    <w:lvl w:ilvl="5">
      <w:start w:val="1"/>
      <w:numFmt w:val="decimal"/>
      <w:pStyle w:val="Heading6"/>
      <w:isLgl/>
      <w:suff w:val="nothing"/>
      <w:lvlText w:val="%1.%2.%3.%4.%5.%6  "/>
      <w:lvlJc w:val="left"/>
      <w:pPr>
        <w:ind w:left="0" w:firstLine="0"/>
      </w:pPr>
      <w:rPr>
        <w:rFonts w:hint="default"/>
      </w:rPr>
    </w:lvl>
    <w:lvl w:ilvl="6">
      <w:start w:val="1"/>
      <w:numFmt w:val="decimal"/>
      <w:lvlRestart w:val="1"/>
      <w:pStyle w:val="BodyText"/>
      <w:isLgl/>
      <w:suff w:val="nothing"/>
      <w:lvlText w:val="%1.%7.  "/>
      <w:lvlJc w:val="left"/>
      <w:pPr>
        <w:ind w:left="0" w:firstLine="0"/>
      </w:pPr>
      <w:rPr>
        <w:rFonts w:hint="default"/>
      </w:rPr>
    </w:lvl>
    <w:lvl w:ilvl="7">
      <w:start w:val="1"/>
      <w:numFmt w:val="lowerLetter"/>
      <w:pStyle w:val="BodyText2"/>
      <w:lvlText w:val="%8."/>
      <w:lvlJc w:val="left"/>
      <w:pPr>
        <w:tabs>
          <w:tab w:val="num" w:pos="907"/>
        </w:tabs>
        <w:ind w:left="907" w:hanging="340"/>
      </w:pPr>
      <w:rPr>
        <w:rFonts w:hint="default"/>
      </w:rPr>
    </w:lvl>
    <w:lvl w:ilvl="8">
      <w:start w:val="1"/>
      <w:numFmt w:val="lowerRoman"/>
      <w:pStyle w:val="BodyText3"/>
      <w:lvlText w:val="%9."/>
      <w:lvlJc w:val="left"/>
      <w:pPr>
        <w:tabs>
          <w:tab w:val="num" w:pos="1247"/>
        </w:tabs>
        <w:ind w:left="1247" w:hanging="340"/>
      </w:pPr>
      <w:rPr>
        <w:rFonts w:hint="default"/>
      </w:rPr>
    </w:lvl>
  </w:abstractNum>
  <w:abstractNum w:abstractNumId="7">
    <w:nsid w:val="57551E12"/>
    <w:multiLevelType w:val="multilevel"/>
    <w:tmpl w:val="075A666C"/>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8">
    <w:nsid w:val="63D526BA"/>
    <w:multiLevelType w:val="hybridMultilevel"/>
    <w:tmpl w:val="5CB60482"/>
    <w:lvl w:ilvl="0" w:tplc="513E3446">
      <w:start w:val="1"/>
      <w:numFmt w:val="decimal"/>
      <w:pStyle w:val="SummaryTex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7"/>
  </w:num>
  <w:num w:numId="2">
    <w:abstractNumId w:val="6"/>
    <w:lvlOverride w:ilvl="0">
      <w:lvl w:ilvl="0">
        <w:start w:val="1"/>
        <w:numFmt w:val="decimal"/>
        <w:pStyle w:val="Heading1"/>
        <w:isLgl/>
        <w:suff w:val="nothing"/>
        <w:lvlText w:val="%1  "/>
        <w:lvlJc w:val="left"/>
        <w:pPr>
          <w:ind w:left="0" w:firstLine="0"/>
        </w:pPr>
        <w:rPr>
          <w:rFonts w:hint="default"/>
        </w:rPr>
      </w:lvl>
    </w:lvlOverride>
    <w:lvlOverride w:ilvl="1">
      <w:lvl w:ilvl="1">
        <w:start w:val="1"/>
        <w:numFmt w:val="decimal"/>
        <w:pStyle w:val="Heading2"/>
        <w:isLgl/>
        <w:suff w:val="nothing"/>
        <w:lvlText w:val="%1.%2  "/>
        <w:lvlJc w:val="left"/>
        <w:pPr>
          <w:ind w:left="0" w:firstLine="0"/>
        </w:pPr>
        <w:rPr>
          <w:rFonts w:hint="default"/>
        </w:rPr>
      </w:lvl>
    </w:lvlOverride>
    <w:lvlOverride w:ilvl="2">
      <w:lvl w:ilvl="2">
        <w:start w:val="1"/>
        <w:numFmt w:val="decimal"/>
        <w:pStyle w:val="Heading3"/>
        <w:isLgl/>
        <w:suff w:val="nothing"/>
        <w:lvlText w:val="%1.%2.%3  "/>
        <w:lvlJc w:val="left"/>
        <w:pPr>
          <w:ind w:left="0" w:firstLine="0"/>
        </w:pPr>
        <w:rPr>
          <w:rFonts w:hint="default"/>
        </w:rPr>
      </w:lvl>
    </w:lvlOverride>
    <w:lvlOverride w:ilvl="3">
      <w:lvl w:ilvl="3">
        <w:start w:val="1"/>
        <w:numFmt w:val="decimal"/>
        <w:pStyle w:val="Heading4"/>
        <w:isLgl/>
        <w:suff w:val="nothing"/>
        <w:lvlText w:val="%1.%2.%3.%4  "/>
        <w:lvlJc w:val="left"/>
        <w:pPr>
          <w:ind w:left="0" w:firstLine="0"/>
        </w:pPr>
        <w:rPr>
          <w:rFonts w:hint="default"/>
        </w:rPr>
      </w:lvl>
    </w:lvlOverride>
    <w:lvlOverride w:ilvl="4">
      <w:lvl w:ilvl="4">
        <w:start w:val="1"/>
        <w:numFmt w:val="decimal"/>
        <w:pStyle w:val="Heading5"/>
        <w:isLgl/>
        <w:suff w:val="nothing"/>
        <w:lvlText w:val="%1.%2.%3.%4.%5  "/>
        <w:lvlJc w:val="left"/>
        <w:pPr>
          <w:ind w:left="0" w:firstLine="0"/>
        </w:pPr>
        <w:rPr>
          <w:rFonts w:hint="default"/>
        </w:rPr>
      </w:lvl>
    </w:lvlOverride>
    <w:lvlOverride w:ilvl="5">
      <w:lvl w:ilvl="5">
        <w:start w:val="1"/>
        <w:numFmt w:val="decimal"/>
        <w:pStyle w:val="Heading6"/>
        <w:isLgl/>
        <w:suff w:val="nothing"/>
        <w:lvlText w:val="%1.%2.%3.%4.%5.%6  "/>
        <w:lvlJc w:val="left"/>
        <w:pPr>
          <w:ind w:left="0" w:firstLine="0"/>
        </w:pPr>
        <w:rPr>
          <w:rFonts w:hint="default"/>
        </w:rPr>
      </w:lvl>
    </w:lvlOverride>
    <w:lvlOverride w:ilvl="6">
      <w:lvl w:ilvl="6">
        <w:start w:val="1"/>
        <w:numFmt w:val="decimal"/>
        <w:lvlRestart w:val="1"/>
        <w:pStyle w:val="BodyText"/>
        <w:isLgl/>
        <w:suff w:val="nothing"/>
        <w:lvlText w:val="%1.%7.  "/>
        <w:lvlJc w:val="left"/>
        <w:pPr>
          <w:ind w:left="0" w:firstLine="0"/>
        </w:pPr>
        <w:rPr>
          <w:rFonts w:hint="default"/>
        </w:rPr>
      </w:lvl>
    </w:lvlOverride>
    <w:lvlOverride w:ilvl="7">
      <w:lvl w:ilvl="7">
        <w:start w:val="1"/>
        <w:numFmt w:val="lowerLetter"/>
        <w:pStyle w:val="BodyText2"/>
        <w:lvlText w:val="%8."/>
        <w:lvlJc w:val="left"/>
        <w:pPr>
          <w:tabs>
            <w:tab w:val="num" w:pos="907"/>
          </w:tabs>
          <w:ind w:left="907" w:hanging="340"/>
        </w:pPr>
        <w:rPr>
          <w:rFonts w:hint="default"/>
        </w:rPr>
      </w:lvl>
    </w:lvlOverride>
    <w:lvlOverride w:ilvl="8">
      <w:lvl w:ilvl="8">
        <w:start w:val="1"/>
        <w:numFmt w:val="lowerRoman"/>
        <w:pStyle w:val="BodyText3"/>
        <w:lvlText w:val="%9."/>
        <w:lvlJc w:val="left"/>
        <w:pPr>
          <w:tabs>
            <w:tab w:val="num" w:pos="1247"/>
          </w:tabs>
          <w:ind w:left="1247" w:hanging="340"/>
        </w:pPr>
        <w:rPr>
          <w:rFonts w:hint="default"/>
        </w:rPr>
      </w:lvl>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lvl w:ilvl="0">
        <w:start w:val="1"/>
        <w:numFmt w:val="decimal"/>
        <w:pStyle w:val="Heading1"/>
        <w:isLgl/>
        <w:suff w:val="nothing"/>
        <w:lvlText w:val="%1  "/>
        <w:lvlJc w:val="left"/>
        <w:pPr>
          <w:ind w:left="0" w:firstLine="0"/>
        </w:pPr>
        <w:rPr>
          <w:rFonts w:hint="default"/>
        </w:rPr>
      </w:lvl>
    </w:lvlOverride>
    <w:lvlOverride w:ilvl="1">
      <w:lvl w:ilvl="1">
        <w:start w:val="1"/>
        <w:numFmt w:val="decimal"/>
        <w:pStyle w:val="Heading2"/>
        <w:isLgl/>
        <w:suff w:val="nothing"/>
        <w:lvlText w:val="%1.%2  "/>
        <w:lvlJc w:val="left"/>
        <w:pPr>
          <w:ind w:left="0" w:firstLine="0"/>
        </w:pPr>
        <w:rPr>
          <w:rFonts w:hint="default"/>
        </w:rPr>
      </w:lvl>
    </w:lvlOverride>
    <w:lvlOverride w:ilvl="2">
      <w:lvl w:ilvl="2">
        <w:start w:val="1"/>
        <w:numFmt w:val="decimal"/>
        <w:pStyle w:val="Heading3"/>
        <w:isLgl/>
        <w:suff w:val="nothing"/>
        <w:lvlText w:val="%1.%2.%3  "/>
        <w:lvlJc w:val="left"/>
        <w:pPr>
          <w:ind w:left="0" w:firstLine="0"/>
        </w:pPr>
        <w:rPr>
          <w:rFonts w:hint="default"/>
        </w:rPr>
      </w:lvl>
    </w:lvlOverride>
    <w:lvlOverride w:ilvl="3">
      <w:lvl w:ilvl="3">
        <w:start w:val="1"/>
        <w:numFmt w:val="decimal"/>
        <w:pStyle w:val="Heading4"/>
        <w:isLgl/>
        <w:suff w:val="nothing"/>
        <w:lvlText w:val="%1.%2.%3.%4  "/>
        <w:lvlJc w:val="left"/>
        <w:pPr>
          <w:ind w:left="0" w:firstLine="0"/>
        </w:pPr>
        <w:rPr>
          <w:rFonts w:hint="default"/>
        </w:rPr>
      </w:lvl>
    </w:lvlOverride>
    <w:lvlOverride w:ilvl="4">
      <w:lvl w:ilvl="4">
        <w:start w:val="1"/>
        <w:numFmt w:val="decimal"/>
        <w:pStyle w:val="Heading5"/>
        <w:isLgl/>
        <w:suff w:val="nothing"/>
        <w:lvlText w:val="%1.%2.%3.%4.%5  "/>
        <w:lvlJc w:val="left"/>
        <w:pPr>
          <w:ind w:left="0" w:firstLine="0"/>
        </w:pPr>
        <w:rPr>
          <w:rFonts w:hint="default"/>
        </w:rPr>
      </w:lvl>
    </w:lvlOverride>
    <w:lvlOverride w:ilvl="5">
      <w:lvl w:ilvl="5">
        <w:start w:val="1"/>
        <w:numFmt w:val="decimal"/>
        <w:pStyle w:val="Heading6"/>
        <w:isLgl/>
        <w:suff w:val="nothing"/>
        <w:lvlText w:val="%1.%2.%3.%4.%5.%6  "/>
        <w:lvlJc w:val="left"/>
        <w:pPr>
          <w:ind w:left="0" w:firstLine="0"/>
        </w:pPr>
        <w:rPr>
          <w:rFonts w:hint="default"/>
        </w:rPr>
      </w:lvl>
    </w:lvlOverride>
    <w:lvlOverride w:ilvl="6">
      <w:lvl w:ilvl="6">
        <w:start w:val="1"/>
        <w:numFmt w:val="decimal"/>
        <w:lvlRestart w:val="1"/>
        <w:pStyle w:val="BodyText"/>
        <w:isLgl/>
        <w:suff w:val="nothing"/>
        <w:lvlText w:val="%1.%7.  "/>
        <w:lvlJc w:val="left"/>
        <w:pPr>
          <w:ind w:left="0" w:firstLine="0"/>
        </w:pPr>
        <w:rPr>
          <w:rFonts w:hint="default"/>
        </w:rPr>
      </w:lvl>
    </w:lvlOverride>
    <w:lvlOverride w:ilvl="7">
      <w:lvl w:ilvl="7">
        <w:start w:val="1"/>
        <w:numFmt w:val="lowerLetter"/>
        <w:pStyle w:val="BodyText2"/>
        <w:lvlText w:val="%8."/>
        <w:lvlJc w:val="left"/>
        <w:pPr>
          <w:tabs>
            <w:tab w:val="num" w:pos="907"/>
          </w:tabs>
          <w:ind w:left="907" w:hanging="340"/>
        </w:pPr>
        <w:rPr>
          <w:rFonts w:hint="default"/>
        </w:rPr>
      </w:lvl>
    </w:lvlOverride>
    <w:lvlOverride w:ilvl="8">
      <w:lvl w:ilvl="8">
        <w:start w:val="1"/>
        <w:numFmt w:val="lowerRoman"/>
        <w:pStyle w:val="BodyText3"/>
        <w:lvlText w:val="%9."/>
        <w:lvlJc w:val="left"/>
        <w:pPr>
          <w:tabs>
            <w:tab w:val="num" w:pos="1247"/>
          </w:tabs>
          <w:ind w:left="1247" w:hanging="340"/>
        </w:pPr>
        <w:rPr>
          <w:rFonts w:hint="default"/>
        </w:rPr>
      </w:lvl>
    </w:lvlOverride>
  </w:num>
  <w:num w:numId="5">
    <w:abstractNumId w:val="6"/>
    <w:lvlOverride w:ilvl="0">
      <w:lvl w:ilvl="0">
        <w:start w:val="1"/>
        <w:numFmt w:val="decimal"/>
        <w:pStyle w:val="Heading1"/>
        <w:isLgl/>
        <w:suff w:val="nothing"/>
        <w:lvlText w:val="%1  "/>
        <w:lvlJc w:val="left"/>
        <w:pPr>
          <w:ind w:left="0" w:firstLine="0"/>
        </w:pPr>
        <w:rPr>
          <w:rFonts w:hint="default"/>
        </w:rPr>
      </w:lvl>
    </w:lvlOverride>
    <w:lvlOverride w:ilvl="1">
      <w:lvl w:ilvl="1">
        <w:start w:val="1"/>
        <w:numFmt w:val="decimal"/>
        <w:pStyle w:val="Heading2"/>
        <w:isLgl/>
        <w:suff w:val="nothing"/>
        <w:lvlText w:val="%1.%2  "/>
        <w:lvlJc w:val="left"/>
        <w:pPr>
          <w:ind w:left="0" w:firstLine="0"/>
        </w:pPr>
        <w:rPr>
          <w:rFonts w:hint="default"/>
        </w:rPr>
      </w:lvl>
    </w:lvlOverride>
    <w:lvlOverride w:ilvl="2">
      <w:lvl w:ilvl="2">
        <w:start w:val="1"/>
        <w:numFmt w:val="decimal"/>
        <w:pStyle w:val="Heading3"/>
        <w:isLgl/>
        <w:suff w:val="nothing"/>
        <w:lvlText w:val="%1.%2.%3  "/>
        <w:lvlJc w:val="left"/>
        <w:pPr>
          <w:ind w:left="0" w:firstLine="0"/>
        </w:pPr>
        <w:rPr>
          <w:rFonts w:hint="default"/>
        </w:rPr>
      </w:lvl>
    </w:lvlOverride>
    <w:lvlOverride w:ilvl="3">
      <w:lvl w:ilvl="3">
        <w:start w:val="1"/>
        <w:numFmt w:val="decimal"/>
        <w:pStyle w:val="Heading4"/>
        <w:isLgl/>
        <w:suff w:val="nothing"/>
        <w:lvlText w:val="%1.%2.%3.%4  "/>
        <w:lvlJc w:val="left"/>
        <w:pPr>
          <w:ind w:left="0" w:firstLine="0"/>
        </w:pPr>
        <w:rPr>
          <w:rFonts w:hint="default"/>
        </w:rPr>
      </w:lvl>
    </w:lvlOverride>
    <w:lvlOverride w:ilvl="4">
      <w:lvl w:ilvl="4">
        <w:start w:val="1"/>
        <w:numFmt w:val="decimal"/>
        <w:pStyle w:val="Heading5"/>
        <w:isLgl/>
        <w:suff w:val="nothing"/>
        <w:lvlText w:val="%1.%2.%3.%4.%5  "/>
        <w:lvlJc w:val="left"/>
        <w:pPr>
          <w:ind w:left="0" w:firstLine="0"/>
        </w:pPr>
        <w:rPr>
          <w:rFonts w:hint="default"/>
        </w:rPr>
      </w:lvl>
    </w:lvlOverride>
    <w:lvlOverride w:ilvl="5">
      <w:lvl w:ilvl="5">
        <w:start w:val="1"/>
        <w:numFmt w:val="decimal"/>
        <w:pStyle w:val="Heading6"/>
        <w:isLgl/>
        <w:suff w:val="nothing"/>
        <w:lvlText w:val="%1.%2.%3.%4.%5.%6  "/>
        <w:lvlJc w:val="left"/>
        <w:pPr>
          <w:ind w:left="0" w:firstLine="0"/>
        </w:pPr>
        <w:rPr>
          <w:rFonts w:hint="default"/>
        </w:rPr>
      </w:lvl>
    </w:lvlOverride>
    <w:lvlOverride w:ilvl="6">
      <w:lvl w:ilvl="6">
        <w:start w:val="1"/>
        <w:numFmt w:val="decimal"/>
        <w:lvlRestart w:val="1"/>
        <w:pStyle w:val="BodyText"/>
        <w:isLgl/>
        <w:suff w:val="nothing"/>
        <w:lvlText w:val="%1.%7.  "/>
        <w:lvlJc w:val="left"/>
        <w:pPr>
          <w:ind w:left="0" w:firstLine="0"/>
        </w:pPr>
        <w:rPr>
          <w:rFonts w:hint="default"/>
        </w:rPr>
      </w:lvl>
    </w:lvlOverride>
    <w:lvlOverride w:ilvl="7">
      <w:lvl w:ilvl="7">
        <w:start w:val="1"/>
        <w:numFmt w:val="lowerLetter"/>
        <w:pStyle w:val="BodyText2"/>
        <w:lvlText w:val="%8."/>
        <w:lvlJc w:val="left"/>
        <w:pPr>
          <w:tabs>
            <w:tab w:val="num" w:pos="907"/>
          </w:tabs>
          <w:ind w:left="907" w:hanging="340"/>
        </w:pPr>
        <w:rPr>
          <w:rFonts w:hint="default"/>
        </w:rPr>
      </w:lvl>
    </w:lvlOverride>
    <w:lvlOverride w:ilvl="8">
      <w:lvl w:ilvl="8">
        <w:start w:val="1"/>
        <w:numFmt w:val="lowerRoman"/>
        <w:pStyle w:val="BodyText3"/>
        <w:lvlText w:val="%9."/>
        <w:lvlJc w:val="left"/>
        <w:pPr>
          <w:tabs>
            <w:tab w:val="num" w:pos="1247"/>
          </w:tabs>
          <w:ind w:left="1247" w:hanging="340"/>
        </w:pPr>
        <w:rPr>
          <w:rFonts w:hint="default"/>
        </w:rPr>
      </w:lvl>
    </w:lvlOverride>
  </w:num>
  <w:num w:numId="6">
    <w:abstractNumId w:val="6"/>
    <w:lvlOverride w:ilvl="0">
      <w:lvl w:ilvl="0">
        <w:start w:val="1"/>
        <w:numFmt w:val="decimal"/>
        <w:pStyle w:val="Heading1"/>
        <w:isLgl/>
        <w:suff w:val="nothing"/>
        <w:lvlText w:val="%1  "/>
        <w:lvlJc w:val="left"/>
        <w:pPr>
          <w:ind w:left="0" w:firstLine="0"/>
        </w:pPr>
        <w:rPr>
          <w:rFonts w:hint="default"/>
        </w:rPr>
      </w:lvl>
    </w:lvlOverride>
    <w:lvlOverride w:ilvl="1">
      <w:lvl w:ilvl="1">
        <w:start w:val="1"/>
        <w:numFmt w:val="decimal"/>
        <w:pStyle w:val="Heading2"/>
        <w:isLgl/>
        <w:suff w:val="nothing"/>
        <w:lvlText w:val="%1.%2  "/>
        <w:lvlJc w:val="left"/>
        <w:pPr>
          <w:ind w:left="0" w:firstLine="0"/>
        </w:pPr>
        <w:rPr>
          <w:rFonts w:hint="default"/>
        </w:rPr>
      </w:lvl>
    </w:lvlOverride>
    <w:lvlOverride w:ilvl="2">
      <w:lvl w:ilvl="2">
        <w:start w:val="1"/>
        <w:numFmt w:val="decimal"/>
        <w:pStyle w:val="Heading3"/>
        <w:isLgl/>
        <w:suff w:val="nothing"/>
        <w:lvlText w:val="%1.%2.%3  "/>
        <w:lvlJc w:val="left"/>
        <w:pPr>
          <w:ind w:left="0" w:firstLine="0"/>
        </w:pPr>
        <w:rPr>
          <w:rFonts w:hint="default"/>
        </w:rPr>
      </w:lvl>
    </w:lvlOverride>
    <w:lvlOverride w:ilvl="3">
      <w:lvl w:ilvl="3">
        <w:start w:val="1"/>
        <w:numFmt w:val="decimal"/>
        <w:pStyle w:val="Heading4"/>
        <w:isLgl/>
        <w:suff w:val="nothing"/>
        <w:lvlText w:val="%1.%2.%3.%4  "/>
        <w:lvlJc w:val="left"/>
        <w:pPr>
          <w:ind w:left="0" w:firstLine="0"/>
        </w:pPr>
        <w:rPr>
          <w:rFonts w:hint="default"/>
        </w:rPr>
      </w:lvl>
    </w:lvlOverride>
    <w:lvlOverride w:ilvl="4">
      <w:lvl w:ilvl="4">
        <w:start w:val="1"/>
        <w:numFmt w:val="decimal"/>
        <w:pStyle w:val="Heading5"/>
        <w:isLgl/>
        <w:suff w:val="nothing"/>
        <w:lvlText w:val="%1.%2.%3.%4.%5  "/>
        <w:lvlJc w:val="left"/>
        <w:pPr>
          <w:ind w:left="0" w:firstLine="0"/>
        </w:pPr>
        <w:rPr>
          <w:rFonts w:hint="default"/>
        </w:rPr>
      </w:lvl>
    </w:lvlOverride>
    <w:lvlOverride w:ilvl="5">
      <w:lvl w:ilvl="5">
        <w:start w:val="1"/>
        <w:numFmt w:val="decimal"/>
        <w:pStyle w:val="Heading6"/>
        <w:isLgl/>
        <w:suff w:val="nothing"/>
        <w:lvlText w:val="%1.%2.%3.%4.%5.%6  "/>
        <w:lvlJc w:val="left"/>
        <w:pPr>
          <w:ind w:left="0" w:firstLine="0"/>
        </w:pPr>
        <w:rPr>
          <w:rFonts w:hint="default"/>
        </w:rPr>
      </w:lvl>
    </w:lvlOverride>
    <w:lvlOverride w:ilvl="6">
      <w:lvl w:ilvl="6">
        <w:start w:val="1"/>
        <w:numFmt w:val="decimal"/>
        <w:lvlRestart w:val="1"/>
        <w:pStyle w:val="BodyText"/>
        <w:isLgl/>
        <w:suff w:val="nothing"/>
        <w:lvlText w:val="%1.%7.  "/>
        <w:lvlJc w:val="left"/>
        <w:pPr>
          <w:ind w:left="0" w:firstLine="0"/>
        </w:pPr>
        <w:rPr>
          <w:rFonts w:hint="default"/>
          <w:lang w:val="en-US"/>
        </w:rPr>
      </w:lvl>
    </w:lvlOverride>
    <w:lvlOverride w:ilvl="7">
      <w:lvl w:ilvl="7">
        <w:start w:val="1"/>
        <w:numFmt w:val="lowerLetter"/>
        <w:pStyle w:val="BodyText2"/>
        <w:lvlText w:val="%8."/>
        <w:lvlJc w:val="left"/>
        <w:pPr>
          <w:tabs>
            <w:tab w:val="num" w:pos="907"/>
          </w:tabs>
          <w:ind w:left="907" w:hanging="340"/>
        </w:pPr>
        <w:rPr>
          <w:rFonts w:hint="default"/>
        </w:rPr>
      </w:lvl>
    </w:lvlOverride>
    <w:lvlOverride w:ilvl="8">
      <w:lvl w:ilvl="8">
        <w:start w:val="1"/>
        <w:numFmt w:val="lowerRoman"/>
        <w:pStyle w:val="BodyText3"/>
        <w:lvlText w:val="%9."/>
        <w:lvlJc w:val="left"/>
        <w:pPr>
          <w:tabs>
            <w:tab w:val="num" w:pos="1247"/>
          </w:tabs>
          <w:ind w:left="1247" w:hanging="340"/>
        </w:pPr>
        <w:rPr>
          <w:rFonts w:hint="default"/>
        </w:rPr>
      </w:lvl>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 w:ilvl="0">
        <w:start w:val="1"/>
        <w:numFmt w:val="decimal"/>
        <w:pStyle w:val="Heading1"/>
        <w:isLgl/>
        <w:suff w:val="nothing"/>
        <w:lvlText w:val="%1  "/>
        <w:lvlJc w:val="left"/>
        <w:pPr>
          <w:ind w:left="0" w:firstLine="0"/>
        </w:pPr>
        <w:rPr>
          <w:rFonts w:hint="default"/>
        </w:rPr>
      </w:lvl>
    </w:lvlOverride>
    <w:lvlOverride w:ilvl="1">
      <w:startOverride w:val="1"/>
      <w:lvl w:ilvl="1">
        <w:start w:val="1"/>
        <w:numFmt w:val="decimal"/>
        <w:pStyle w:val="Heading2"/>
        <w:isLgl/>
        <w:suff w:val="nothing"/>
        <w:lvlText w:val="%1.%2  "/>
        <w:lvlJc w:val="left"/>
        <w:pPr>
          <w:ind w:left="0" w:firstLine="0"/>
        </w:pPr>
        <w:rPr>
          <w:rFonts w:hint="default"/>
        </w:rPr>
      </w:lvl>
    </w:lvlOverride>
    <w:lvlOverride w:ilvl="2">
      <w:startOverride w:val="1"/>
      <w:lvl w:ilvl="2">
        <w:start w:val="1"/>
        <w:numFmt w:val="decimal"/>
        <w:pStyle w:val="Heading3"/>
        <w:isLgl/>
        <w:suff w:val="nothing"/>
        <w:lvlText w:val="%1.%2.%3  "/>
        <w:lvlJc w:val="left"/>
        <w:pPr>
          <w:ind w:left="0" w:firstLine="0"/>
        </w:pPr>
        <w:rPr>
          <w:rFonts w:hint="default"/>
        </w:rPr>
      </w:lvl>
    </w:lvlOverride>
    <w:lvlOverride w:ilvl="3">
      <w:startOverride w:val="1"/>
      <w:lvl w:ilvl="3">
        <w:start w:val="1"/>
        <w:numFmt w:val="decimal"/>
        <w:pStyle w:val="Heading4"/>
        <w:isLgl/>
        <w:suff w:val="nothing"/>
        <w:lvlText w:val="%1.%2.%3.%4  "/>
        <w:lvlJc w:val="left"/>
        <w:pPr>
          <w:ind w:left="0" w:firstLine="0"/>
        </w:pPr>
        <w:rPr>
          <w:rFonts w:hint="default"/>
        </w:rPr>
      </w:lvl>
    </w:lvlOverride>
    <w:lvlOverride w:ilvl="4">
      <w:startOverride w:val="1"/>
      <w:lvl w:ilvl="4">
        <w:start w:val="1"/>
        <w:numFmt w:val="decimal"/>
        <w:pStyle w:val="Heading5"/>
        <w:isLgl/>
        <w:suff w:val="nothing"/>
        <w:lvlText w:val="%1.%2.%3.%4.%5  "/>
        <w:lvlJc w:val="left"/>
        <w:pPr>
          <w:ind w:left="0" w:firstLine="0"/>
        </w:pPr>
        <w:rPr>
          <w:rFonts w:hint="default"/>
        </w:rPr>
      </w:lvl>
    </w:lvlOverride>
    <w:lvlOverride w:ilvl="5">
      <w:startOverride w:val="1"/>
      <w:lvl w:ilvl="5">
        <w:start w:val="1"/>
        <w:numFmt w:val="decimal"/>
        <w:pStyle w:val="Heading6"/>
        <w:isLgl/>
        <w:suff w:val="nothing"/>
        <w:lvlText w:val="%1.%2.%3.%4.%5.%6  "/>
        <w:lvlJc w:val="left"/>
        <w:pPr>
          <w:ind w:left="0" w:firstLine="0"/>
        </w:pPr>
        <w:rPr>
          <w:rFonts w:hint="default"/>
        </w:rPr>
      </w:lvl>
    </w:lvlOverride>
    <w:lvlOverride w:ilvl="6">
      <w:startOverride w:val="1"/>
      <w:lvl w:ilvl="6">
        <w:start w:val="1"/>
        <w:numFmt w:val="decimal"/>
        <w:lvlRestart w:val="1"/>
        <w:pStyle w:val="BodyText"/>
        <w:isLgl/>
        <w:suff w:val="nothing"/>
        <w:lvlText w:val="%1.%7.  "/>
        <w:lvlJc w:val="left"/>
        <w:pPr>
          <w:ind w:left="0" w:firstLine="0"/>
        </w:pPr>
        <w:rPr>
          <w:rFonts w:hint="default"/>
        </w:rPr>
      </w:lvl>
    </w:lvlOverride>
    <w:lvlOverride w:ilvl="7">
      <w:startOverride w:val="1"/>
      <w:lvl w:ilvl="7">
        <w:start w:val="1"/>
        <w:numFmt w:val="lowerLetter"/>
        <w:pStyle w:val="BodyText2"/>
        <w:lvlText w:val="%8."/>
        <w:lvlJc w:val="left"/>
        <w:pPr>
          <w:tabs>
            <w:tab w:val="num" w:pos="907"/>
          </w:tabs>
          <w:ind w:left="907" w:hanging="340"/>
        </w:pPr>
        <w:rPr>
          <w:rFonts w:hint="default"/>
        </w:rPr>
      </w:lvl>
    </w:lvlOverride>
    <w:lvlOverride w:ilvl="8">
      <w:startOverride w:val="1"/>
      <w:lvl w:ilvl="8">
        <w:start w:val="1"/>
        <w:numFmt w:val="lowerRoman"/>
        <w:pStyle w:val="BodyText3"/>
        <w:lvlText w:val="%9."/>
        <w:lvlJc w:val="left"/>
        <w:pPr>
          <w:tabs>
            <w:tab w:val="num" w:pos="1247"/>
          </w:tabs>
          <w:ind w:left="1247" w:hanging="340"/>
        </w:pPr>
        <w:rPr>
          <w:rFonts w:hint="default"/>
        </w:rPr>
      </w:lvl>
    </w:lvlOverride>
  </w:num>
  <w:num w:numId="23">
    <w:abstractNumId w:val="6"/>
    <w:lvlOverride w:ilvl="0">
      <w:lvl w:ilvl="0">
        <w:start w:val="1"/>
        <w:numFmt w:val="decimal"/>
        <w:lvlRestart w:val="0"/>
        <w:pStyle w:val="Heading1"/>
        <w:isLgl/>
        <w:suff w:val="nothing"/>
        <w:lvlText w:val="%1  "/>
        <w:lvlJc w:val="left"/>
        <w:pPr>
          <w:ind w:left="0" w:firstLine="0"/>
        </w:pPr>
        <w:rPr>
          <w:rFonts w:hint="default"/>
        </w:rPr>
      </w:lvl>
    </w:lvlOverride>
    <w:lvlOverride w:ilvl="1">
      <w:lvl w:ilvl="1">
        <w:start w:val="1"/>
        <w:numFmt w:val="decimal"/>
        <w:pStyle w:val="Heading2"/>
        <w:isLgl/>
        <w:suff w:val="nothing"/>
        <w:lvlText w:val="%1.%2  "/>
        <w:lvlJc w:val="left"/>
        <w:pPr>
          <w:ind w:left="0" w:firstLine="0"/>
        </w:pPr>
        <w:rPr>
          <w:rFonts w:hint="default"/>
        </w:rPr>
      </w:lvl>
    </w:lvlOverride>
    <w:lvlOverride w:ilvl="2">
      <w:lvl w:ilvl="2">
        <w:start w:val="1"/>
        <w:numFmt w:val="decimal"/>
        <w:pStyle w:val="Heading3"/>
        <w:isLgl/>
        <w:suff w:val="nothing"/>
        <w:lvlText w:val="%1.%2.%3  "/>
        <w:lvlJc w:val="left"/>
        <w:pPr>
          <w:ind w:left="0" w:firstLine="0"/>
        </w:pPr>
        <w:rPr>
          <w:rFonts w:hint="default"/>
        </w:rPr>
      </w:lvl>
    </w:lvlOverride>
    <w:lvlOverride w:ilvl="3">
      <w:lvl w:ilvl="3">
        <w:start w:val="1"/>
        <w:numFmt w:val="decimal"/>
        <w:pStyle w:val="Heading4"/>
        <w:isLgl/>
        <w:suff w:val="nothing"/>
        <w:lvlText w:val="%1.%2.%3.%4  "/>
        <w:lvlJc w:val="left"/>
        <w:pPr>
          <w:ind w:left="0" w:firstLine="0"/>
        </w:pPr>
        <w:rPr>
          <w:rFonts w:hint="default"/>
        </w:rPr>
      </w:lvl>
    </w:lvlOverride>
    <w:lvlOverride w:ilvl="4">
      <w:lvl w:ilvl="4">
        <w:start w:val="1"/>
        <w:numFmt w:val="decimal"/>
        <w:pStyle w:val="Heading5"/>
        <w:isLgl/>
        <w:suff w:val="nothing"/>
        <w:lvlText w:val="%1.%2.%3.%4.%5  "/>
        <w:lvlJc w:val="left"/>
        <w:pPr>
          <w:ind w:left="0" w:firstLine="0"/>
        </w:pPr>
        <w:rPr>
          <w:rFonts w:hint="default"/>
        </w:rPr>
      </w:lvl>
    </w:lvlOverride>
    <w:lvlOverride w:ilvl="5">
      <w:lvl w:ilvl="5">
        <w:start w:val="1"/>
        <w:numFmt w:val="decimal"/>
        <w:pStyle w:val="Heading6"/>
        <w:isLgl/>
        <w:suff w:val="nothing"/>
        <w:lvlText w:val="%1.%2.%3.%4.%5.%6  "/>
        <w:lvlJc w:val="left"/>
        <w:pPr>
          <w:ind w:left="0" w:firstLine="0"/>
        </w:pPr>
        <w:rPr>
          <w:rFonts w:hint="default"/>
        </w:rPr>
      </w:lvl>
    </w:lvlOverride>
    <w:lvlOverride w:ilvl="6">
      <w:lvl w:ilvl="6">
        <w:start w:val="1"/>
        <w:numFmt w:val="decimal"/>
        <w:lvlRestart w:val="1"/>
        <w:pStyle w:val="BodyText"/>
        <w:isLgl/>
        <w:suff w:val="nothing"/>
        <w:lvlText w:val="%1.%7.  "/>
        <w:lvlJc w:val="left"/>
        <w:pPr>
          <w:ind w:left="0" w:firstLine="0"/>
        </w:pPr>
        <w:rPr>
          <w:rFonts w:hint="default"/>
        </w:rPr>
      </w:lvl>
    </w:lvlOverride>
    <w:lvlOverride w:ilvl="7">
      <w:lvl w:ilvl="7">
        <w:start w:val="1"/>
        <w:numFmt w:val="lowerLetter"/>
        <w:pStyle w:val="BodyText2"/>
        <w:lvlText w:val="%8."/>
        <w:lvlJc w:val="left"/>
        <w:pPr>
          <w:tabs>
            <w:tab w:val="num" w:pos="907"/>
          </w:tabs>
          <w:ind w:left="907" w:hanging="340"/>
        </w:pPr>
        <w:rPr>
          <w:rFonts w:hint="default"/>
        </w:rPr>
      </w:lvl>
    </w:lvlOverride>
    <w:lvlOverride w:ilvl="8">
      <w:lvl w:ilvl="8">
        <w:start w:val="1"/>
        <w:numFmt w:val="lowerRoman"/>
        <w:pStyle w:val="BodyText3"/>
        <w:lvlText w:val="%9."/>
        <w:lvlJc w:val="left"/>
        <w:pPr>
          <w:tabs>
            <w:tab w:val="num" w:pos="1247"/>
          </w:tabs>
          <w:ind w:left="1247" w:hanging="340"/>
        </w:pPr>
        <w:rPr>
          <w:rFonts w:hint="default"/>
        </w:rPr>
      </w:lvl>
    </w:lvlOverride>
  </w:num>
  <w:num w:numId="24">
    <w:abstractNumId w:val="6"/>
    <w:lvlOverride w:ilvl="0">
      <w:startOverride w:val="1"/>
      <w:lvl w:ilvl="0">
        <w:start w:val="1"/>
        <w:numFmt w:val="decimal"/>
        <w:pStyle w:val="Heading1"/>
        <w:isLgl/>
        <w:suff w:val="nothing"/>
        <w:lvlText w:val="%1  "/>
        <w:lvlJc w:val="left"/>
        <w:pPr>
          <w:ind w:left="0" w:firstLine="0"/>
        </w:pPr>
        <w:rPr>
          <w:rFonts w:hint="default"/>
        </w:rPr>
      </w:lvl>
    </w:lvlOverride>
    <w:lvlOverride w:ilvl="1">
      <w:startOverride w:val="1"/>
      <w:lvl w:ilvl="1">
        <w:start w:val="1"/>
        <w:numFmt w:val="decimal"/>
        <w:pStyle w:val="Heading2"/>
        <w:isLgl/>
        <w:suff w:val="nothing"/>
        <w:lvlText w:val="%1.%2  "/>
        <w:lvlJc w:val="left"/>
        <w:pPr>
          <w:ind w:left="0" w:firstLine="0"/>
        </w:pPr>
        <w:rPr>
          <w:rFonts w:hint="default"/>
        </w:rPr>
      </w:lvl>
    </w:lvlOverride>
    <w:lvlOverride w:ilvl="2">
      <w:startOverride w:val="1"/>
      <w:lvl w:ilvl="2">
        <w:start w:val="1"/>
        <w:numFmt w:val="decimal"/>
        <w:pStyle w:val="Heading3"/>
        <w:isLgl/>
        <w:suff w:val="nothing"/>
        <w:lvlText w:val="%1.%2.%3  "/>
        <w:lvlJc w:val="left"/>
        <w:pPr>
          <w:ind w:left="0" w:firstLine="0"/>
        </w:pPr>
        <w:rPr>
          <w:rFonts w:hint="default"/>
        </w:rPr>
      </w:lvl>
    </w:lvlOverride>
    <w:lvlOverride w:ilvl="3">
      <w:startOverride w:val="1"/>
      <w:lvl w:ilvl="3">
        <w:start w:val="1"/>
        <w:numFmt w:val="decimal"/>
        <w:pStyle w:val="Heading4"/>
        <w:isLgl/>
        <w:suff w:val="nothing"/>
        <w:lvlText w:val="%1.%2.%3.%4  "/>
        <w:lvlJc w:val="left"/>
        <w:pPr>
          <w:ind w:left="0" w:firstLine="0"/>
        </w:pPr>
        <w:rPr>
          <w:rFonts w:hint="default"/>
        </w:rPr>
      </w:lvl>
    </w:lvlOverride>
    <w:lvlOverride w:ilvl="4">
      <w:startOverride w:val="1"/>
      <w:lvl w:ilvl="4">
        <w:start w:val="1"/>
        <w:numFmt w:val="decimal"/>
        <w:pStyle w:val="Heading5"/>
        <w:isLgl/>
        <w:suff w:val="nothing"/>
        <w:lvlText w:val="%1.%2.%3.%4.%5  "/>
        <w:lvlJc w:val="left"/>
        <w:pPr>
          <w:ind w:left="0" w:firstLine="0"/>
        </w:pPr>
        <w:rPr>
          <w:rFonts w:hint="default"/>
        </w:rPr>
      </w:lvl>
    </w:lvlOverride>
    <w:lvlOverride w:ilvl="5">
      <w:startOverride w:val="1"/>
      <w:lvl w:ilvl="5">
        <w:start w:val="1"/>
        <w:numFmt w:val="decimal"/>
        <w:pStyle w:val="Heading6"/>
        <w:isLgl/>
        <w:suff w:val="nothing"/>
        <w:lvlText w:val="%1.%2.%3.%4.%5.%6  "/>
        <w:lvlJc w:val="left"/>
        <w:pPr>
          <w:ind w:left="0" w:firstLine="0"/>
        </w:pPr>
        <w:rPr>
          <w:rFonts w:hint="default"/>
        </w:rPr>
      </w:lvl>
    </w:lvlOverride>
    <w:lvlOverride w:ilvl="6">
      <w:startOverride w:val="1"/>
      <w:lvl w:ilvl="6">
        <w:start w:val="1"/>
        <w:numFmt w:val="decimal"/>
        <w:lvlRestart w:val="1"/>
        <w:pStyle w:val="BodyText"/>
        <w:isLgl/>
        <w:suff w:val="nothing"/>
        <w:lvlText w:val="%1.%7.  "/>
        <w:lvlJc w:val="left"/>
        <w:pPr>
          <w:ind w:left="0" w:firstLine="0"/>
        </w:pPr>
        <w:rPr>
          <w:rFonts w:hint="default"/>
        </w:rPr>
      </w:lvl>
    </w:lvlOverride>
    <w:lvlOverride w:ilvl="7">
      <w:startOverride w:val="1"/>
      <w:lvl w:ilvl="7">
        <w:start w:val="1"/>
        <w:numFmt w:val="lowerLetter"/>
        <w:pStyle w:val="BodyText2"/>
        <w:lvlText w:val="%8."/>
        <w:lvlJc w:val="left"/>
        <w:pPr>
          <w:tabs>
            <w:tab w:val="num" w:pos="907"/>
          </w:tabs>
          <w:ind w:left="907" w:hanging="340"/>
        </w:pPr>
        <w:rPr>
          <w:rFonts w:hint="default"/>
        </w:rPr>
      </w:lvl>
    </w:lvlOverride>
    <w:lvlOverride w:ilvl="8">
      <w:startOverride w:val="1"/>
      <w:lvl w:ilvl="8">
        <w:start w:val="1"/>
        <w:numFmt w:val="lowerRoman"/>
        <w:pStyle w:val="BodyText3"/>
        <w:lvlText w:val="%9."/>
        <w:lvlJc w:val="left"/>
        <w:pPr>
          <w:tabs>
            <w:tab w:val="num" w:pos="1247"/>
          </w:tabs>
          <w:ind w:left="1247" w:hanging="340"/>
        </w:pPr>
        <w:rPr>
          <w:rFonts w:hint="default"/>
        </w:rPr>
      </w:lvl>
    </w:lvlOverride>
  </w:num>
  <w:num w:numId="25">
    <w:abstractNumId w:val="6"/>
    <w:lvlOverride w:ilvl="0">
      <w:startOverride w:val="1"/>
      <w:lvl w:ilvl="0">
        <w:start w:val="1"/>
        <w:numFmt w:val="decimal"/>
        <w:pStyle w:val="Heading1"/>
        <w:isLgl/>
        <w:suff w:val="nothing"/>
        <w:lvlText w:val="%1  "/>
        <w:lvlJc w:val="left"/>
        <w:pPr>
          <w:ind w:left="0" w:firstLine="0"/>
        </w:pPr>
        <w:rPr>
          <w:rFonts w:hint="default"/>
        </w:rPr>
      </w:lvl>
    </w:lvlOverride>
    <w:lvlOverride w:ilvl="1">
      <w:startOverride w:val="1"/>
      <w:lvl w:ilvl="1">
        <w:start w:val="1"/>
        <w:numFmt w:val="decimal"/>
        <w:pStyle w:val="Heading2"/>
        <w:isLgl/>
        <w:suff w:val="nothing"/>
        <w:lvlText w:val="%1.%2  "/>
        <w:lvlJc w:val="left"/>
        <w:pPr>
          <w:ind w:left="0" w:firstLine="0"/>
        </w:pPr>
        <w:rPr>
          <w:rFonts w:hint="default"/>
        </w:rPr>
      </w:lvl>
    </w:lvlOverride>
    <w:lvlOverride w:ilvl="2">
      <w:startOverride w:val="1"/>
      <w:lvl w:ilvl="2">
        <w:start w:val="1"/>
        <w:numFmt w:val="decimal"/>
        <w:pStyle w:val="Heading3"/>
        <w:isLgl/>
        <w:suff w:val="nothing"/>
        <w:lvlText w:val="%1.%2.%3  "/>
        <w:lvlJc w:val="left"/>
        <w:pPr>
          <w:ind w:left="0" w:firstLine="0"/>
        </w:pPr>
        <w:rPr>
          <w:rFonts w:hint="default"/>
        </w:rPr>
      </w:lvl>
    </w:lvlOverride>
    <w:lvlOverride w:ilvl="3">
      <w:startOverride w:val="1"/>
      <w:lvl w:ilvl="3">
        <w:start w:val="1"/>
        <w:numFmt w:val="decimal"/>
        <w:pStyle w:val="Heading4"/>
        <w:isLgl/>
        <w:suff w:val="nothing"/>
        <w:lvlText w:val="%1.%2.%3.%4  "/>
        <w:lvlJc w:val="left"/>
        <w:pPr>
          <w:ind w:left="0" w:firstLine="0"/>
        </w:pPr>
        <w:rPr>
          <w:rFonts w:hint="default"/>
        </w:rPr>
      </w:lvl>
    </w:lvlOverride>
    <w:lvlOverride w:ilvl="4">
      <w:startOverride w:val="1"/>
      <w:lvl w:ilvl="4">
        <w:start w:val="1"/>
        <w:numFmt w:val="decimal"/>
        <w:pStyle w:val="Heading5"/>
        <w:isLgl/>
        <w:suff w:val="nothing"/>
        <w:lvlText w:val="%1.%2.%3.%4.%5  "/>
        <w:lvlJc w:val="left"/>
        <w:pPr>
          <w:ind w:left="0" w:firstLine="0"/>
        </w:pPr>
        <w:rPr>
          <w:rFonts w:hint="default"/>
        </w:rPr>
      </w:lvl>
    </w:lvlOverride>
    <w:lvlOverride w:ilvl="5">
      <w:startOverride w:val="1"/>
      <w:lvl w:ilvl="5">
        <w:start w:val="1"/>
        <w:numFmt w:val="decimal"/>
        <w:pStyle w:val="Heading6"/>
        <w:isLgl/>
        <w:suff w:val="nothing"/>
        <w:lvlText w:val="%1.%2.%3.%4.%5.%6  "/>
        <w:lvlJc w:val="left"/>
        <w:pPr>
          <w:ind w:left="0" w:firstLine="0"/>
        </w:pPr>
        <w:rPr>
          <w:rFonts w:hint="default"/>
        </w:rPr>
      </w:lvl>
    </w:lvlOverride>
    <w:lvlOverride w:ilvl="6">
      <w:startOverride w:val="1"/>
      <w:lvl w:ilvl="6">
        <w:start w:val="1"/>
        <w:numFmt w:val="decimal"/>
        <w:lvlRestart w:val="1"/>
        <w:pStyle w:val="BodyText"/>
        <w:isLgl/>
        <w:suff w:val="nothing"/>
        <w:lvlText w:val="%1.%7.  "/>
        <w:lvlJc w:val="left"/>
        <w:pPr>
          <w:ind w:left="0" w:firstLine="0"/>
        </w:pPr>
        <w:rPr>
          <w:rFonts w:hint="default"/>
        </w:rPr>
      </w:lvl>
    </w:lvlOverride>
    <w:lvlOverride w:ilvl="7">
      <w:startOverride w:val="1"/>
      <w:lvl w:ilvl="7">
        <w:start w:val="1"/>
        <w:numFmt w:val="lowerLetter"/>
        <w:pStyle w:val="BodyText2"/>
        <w:lvlText w:val="%8."/>
        <w:lvlJc w:val="left"/>
        <w:pPr>
          <w:tabs>
            <w:tab w:val="num" w:pos="907"/>
          </w:tabs>
          <w:ind w:left="907" w:hanging="340"/>
        </w:pPr>
        <w:rPr>
          <w:rFonts w:hint="default"/>
        </w:rPr>
      </w:lvl>
    </w:lvlOverride>
    <w:lvlOverride w:ilvl="8">
      <w:startOverride w:val="1"/>
      <w:lvl w:ilvl="8">
        <w:start w:val="1"/>
        <w:numFmt w:val="lowerRoman"/>
        <w:pStyle w:val="BodyText3"/>
        <w:lvlText w:val="%9."/>
        <w:lvlJc w:val="left"/>
        <w:pPr>
          <w:tabs>
            <w:tab w:val="num" w:pos="1247"/>
          </w:tabs>
          <w:ind w:left="1247" w:hanging="340"/>
        </w:pPr>
        <w:rPr>
          <w:rFonts w:hint="default"/>
        </w:rPr>
      </w:lvl>
    </w:lvlOverride>
  </w:num>
  <w:num w:numId="26">
    <w:abstractNumId w:val="6"/>
    <w:lvlOverride w:ilvl="0">
      <w:startOverride w:val="1"/>
      <w:lvl w:ilvl="0">
        <w:start w:val="1"/>
        <w:numFmt w:val="decimal"/>
        <w:pStyle w:val="Heading1"/>
        <w:isLgl/>
        <w:suff w:val="nothing"/>
        <w:lvlText w:val="%1  "/>
        <w:lvlJc w:val="left"/>
        <w:pPr>
          <w:ind w:left="0" w:firstLine="0"/>
        </w:pPr>
        <w:rPr>
          <w:rFonts w:hint="default"/>
        </w:rPr>
      </w:lvl>
    </w:lvlOverride>
    <w:lvlOverride w:ilvl="1">
      <w:startOverride w:val="1"/>
      <w:lvl w:ilvl="1">
        <w:start w:val="1"/>
        <w:numFmt w:val="decimal"/>
        <w:pStyle w:val="Heading2"/>
        <w:isLgl/>
        <w:suff w:val="nothing"/>
        <w:lvlText w:val="%1.%2  "/>
        <w:lvlJc w:val="left"/>
        <w:pPr>
          <w:ind w:left="0" w:firstLine="0"/>
        </w:pPr>
        <w:rPr>
          <w:rFonts w:hint="default"/>
        </w:rPr>
      </w:lvl>
    </w:lvlOverride>
    <w:lvlOverride w:ilvl="2">
      <w:startOverride w:val="1"/>
      <w:lvl w:ilvl="2">
        <w:start w:val="1"/>
        <w:numFmt w:val="decimal"/>
        <w:pStyle w:val="Heading3"/>
        <w:isLgl/>
        <w:suff w:val="nothing"/>
        <w:lvlText w:val="%1.%2.%3  "/>
        <w:lvlJc w:val="left"/>
        <w:pPr>
          <w:ind w:left="0" w:firstLine="0"/>
        </w:pPr>
        <w:rPr>
          <w:rFonts w:hint="default"/>
        </w:rPr>
      </w:lvl>
    </w:lvlOverride>
    <w:lvlOverride w:ilvl="3">
      <w:startOverride w:val="1"/>
      <w:lvl w:ilvl="3">
        <w:start w:val="1"/>
        <w:numFmt w:val="decimal"/>
        <w:pStyle w:val="Heading4"/>
        <w:isLgl/>
        <w:suff w:val="nothing"/>
        <w:lvlText w:val="%1.%2.%3.%4  "/>
        <w:lvlJc w:val="left"/>
        <w:pPr>
          <w:ind w:left="0" w:firstLine="0"/>
        </w:pPr>
        <w:rPr>
          <w:rFonts w:hint="default"/>
        </w:rPr>
      </w:lvl>
    </w:lvlOverride>
    <w:lvlOverride w:ilvl="4">
      <w:startOverride w:val="1"/>
      <w:lvl w:ilvl="4">
        <w:start w:val="1"/>
        <w:numFmt w:val="decimal"/>
        <w:pStyle w:val="Heading5"/>
        <w:isLgl/>
        <w:suff w:val="nothing"/>
        <w:lvlText w:val="%1.%2.%3.%4.%5  "/>
        <w:lvlJc w:val="left"/>
        <w:pPr>
          <w:ind w:left="0" w:firstLine="0"/>
        </w:pPr>
        <w:rPr>
          <w:rFonts w:hint="default"/>
        </w:rPr>
      </w:lvl>
    </w:lvlOverride>
    <w:lvlOverride w:ilvl="5">
      <w:startOverride w:val="1"/>
      <w:lvl w:ilvl="5">
        <w:start w:val="1"/>
        <w:numFmt w:val="decimal"/>
        <w:pStyle w:val="Heading6"/>
        <w:isLgl/>
        <w:suff w:val="nothing"/>
        <w:lvlText w:val="%1.%2.%3.%4.%5.%6  "/>
        <w:lvlJc w:val="left"/>
        <w:pPr>
          <w:ind w:left="0" w:firstLine="0"/>
        </w:pPr>
        <w:rPr>
          <w:rFonts w:hint="default"/>
        </w:rPr>
      </w:lvl>
    </w:lvlOverride>
    <w:lvlOverride w:ilvl="6">
      <w:startOverride w:val="1"/>
      <w:lvl w:ilvl="6">
        <w:start w:val="1"/>
        <w:numFmt w:val="decimal"/>
        <w:lvlRestart w:val="1"/>
        <w:pStyle w:val="BodyText"/>
        <w:isLgl/>
        <w:suff w:val="nothing"/>
        <w:lvlText w:val="%1.%7.  "/>
        <w:lvlJc w:val="left"/>
        <w:pPr>
          <w:ind w:left="0" w:firstLine="0"/>
        </w:pPr>
        <w:rPr>
          <w:rFonts w:hint="default"/>
        </w:rPr>
      </w:lvl>
    </w:lvlOverride>
    <w:lvlOverride w:ilvl="7">
      <w:startOverride w:val="1"/>
      <w:lvl w:ilvl="7">
        <w:start w:val="1"/>
        <w:numFmt w:val="lowerLetter"/>
        <w:pStyle w:val="BodyText2"/>
        <w:lvlText w:val="%8."/>
        <w:lvlJc w:val="left"/>
        <w:pPr>
          <w:tabs>
            <w:tab w:val="num" w:pos="907"/>
          </w:tabs>
          <w:ind w:left="907" w:hanging="340"/>
        </w:pPr>
        <w:rPr>
          <w:rFonts w:hint="default"/>
        </w:rPr>
      </w:lvl>
    </w:lvlOverride>
    <w:lvlOverride w:ilvl="8">
      <w:startOverride w:val="1"/>
      <w:lvl w:ilvl="8">
        <w:start w:val="1"/>
        <w:numFmt w:val="lowerRoman"/>
        <w:pStyle w:val="BodyText3"/>
        <w:lvlText w:val="%9."/>
        <w:lvlJc w:val="left"/>
        <w:pPr>
          <w:tabs>
            <w:tab w:val="num" w:pos="1247"/>
          </w:tabs>
          <w:ind w:left="1247" w:hanging="340"/>
        </w:pPr>
        <w:rPr>
          <w:rFonts w:hint="default"/>
        </w:rPr>
      </w:lvl>
    </w:lvlOverride>
  </w:num>
  <w:num w:numId="27">
    <w:abstractNumId w:val="6"/>
    <w:lvlOverride w:ilvl="0">
      <w:startOverride w:val="1"/>
      <w:lvl w:ilvl="0">
        <w:start w:val="1"/>
        <w:numFmt w:val="decimal"/>
        <w:lvlRestart w:val="0"/>
        <w:pStyle w:val="Heading1"/>
        <w:isLgl/>
        <w:suff w:val="nothing"/>
        <w:lvlText w:val="%1  "/>
        <w:lvlJc w:val="left"/>
        <w:pPr>
          <w:ind w:left="0" w:firstLine="0"/>
        </w:pPr>
        <w:rPr>
          <w:rFonts w:hint="default"/>
        </w:rPr>
      </w:lvl>
    </w:lvlOverride>
    <w:lvlOverride w:ilvl="1">
      <w:startOverride w:val="1"/>
      <w:lvl w:ilvl="1">
        <w:start w:val="1"/>
        <w:numFmt w:val="decimal"/>
        <w:pStyle w:val="Heading2"/>
        <w:isLgl/>
        <w:suff w:val="nothing"/>
        <w:lvlText w:val="%1.%2  "/>
        <w:lvlJc w:val="left"/>
        <w:pPr>
          <w:ind w:left="0" w:firstLine="0"/>
        </w:pPr>
        <w:rPr>
          <w:rFonts w:hint="default"/>
        </w:rPr>
      </w:lvl>
    </w:lvlOverride>
    <w:lvlOverride w:ilvl="2">
      <w:startOverride w:val="1"/>
      <w:lvl w:ilvl="2">
        <w:start w:val="1"/>
        <w:numFmt w:val="decimal"/>
        <w:pStyle w:val="Heading3"/>
        <w:isLgl/>
        <w:suff w:val="nothing"/>
        <w:lvlText w:val="%1.%2.%3  "/>
        <w:lvlJc w:val="left"/>
        <w:pPr>
          <w:ind w:left="0" w:firstLine="0"/>
        </w:pPr>
        <w:rPr>
          <w:rFonts w:hint="default"/>
        </w:rPr>
      </w:lvl>
    </w:lvlOverride>
    <w:lvlOverride w:ilvl="3">
      <w:startOverride w:val="1"/>
      <w:lvl w:ilvl="3">
        <w:start w:val="1"/>
        <w:numFmt w:val="decimal"/>
        <w:pStyle w:val="Heading4"/>
        <w:isLgl/>
        <w:suff w:val="nothing"/>
        <w:lvlText w:val="%1.%2.%3.%4  "/>
        <w:lvlJc w:val="left"/>
        <w:pPr>
          <w:ind w:left="0" w:firstLine="0"/>
        </w:pPr>
        <w:rPr>
          <w:rFonts w:hint="default"/>
        </w:rPr>
      </w:lvl>
    </w:lvlOverride>
    <w:lvlOverride w:ilvl="4">
      <w:startOverride w:val="1"/>
      <w:lvl w:ilvl="4">
        <w:start w:val="1"/>
        <w:numFmt w:val="decimal"/>
        <w:pStyle w:val="Heading5"/>
        <w:isLgl/>
        <w:suff w:val="nothing"/>
        <w:lvlText w:val="%1.%2.%3.%4.%5  "/>
        <w:lvlJc w:val="left"/>
        <w:pPr>
          <w:ind w:left="0" w:firstLine="0"/>
        </w:pPr>
        <w:rPr>
          <w:rFonts w:hint="default"/>
        </w:rPr>
      </w:lvl>
    </w:lvlOverride>
    <w:lvlOverride w:ilvl="5">
      <w:startOverride w:val="1"/>
      <w:lvl w:ilvl="5">
        <w:start w:val="1"/>
        <w:numFmt w:val="decimal"/>
        <w:pStyle w:val="Heading6"/>
        <w:isLgl/>
        <w:suff w:val="nothing"/>
        <w:lvlText w:val="%1.%2.%3.%4.%5.%6  "/>
        <w:lvlJc w:val="left"/>
        <w:pPr>
          <w:ind w:left="0" w:firstLine="0"/>
        </w:pPr>
        <w:rPr>
          <w:rFonts w:hint="default"/>
        </w:rPr>
      </w:lvl>
    </w:lvlOverride>
    <w:lvlOverride w:ilvl="6">
      <w:startOverride w:val="1"/>
      <w:lvl w:ilvl="6">
        <w:start w:val="1"/>
        <w:numFmt w:val="decimal"/>
        <w:lvlRestart w:val="1"/>
        <w:pStyle w:val="BodyText"/>
        <w:isLgl/>
        <w:suff w:val="nothing"/>
        <w:lvlText w:val="%1.%7.  "/>
        <w:lvlJc w:val="left"/>
        <w:pPr>
          <w:ind w:left="0" w:firstLine="0"/>
        </w:pPr>
        <w:rPr>
          <w:rFonts w:hint="default"/>
        </w:rPr>
      </w:lvl>
    </w:lvlOverride>
    <w:lvlOverride w:ilvl="7">
      <w:startOverride w:val="1"/>
      <w:lvl w:ilvl="7">
        <w:start w:val="1"/>
        <w:numFmt w:val="lowerLetter"/>
        <w:pStyle w:val="BodyText2"/>
        <w:lvlText w:val="%8."/>
        <w:lvlJc w:val="left"/>
        <w:pPr>
          <w:tabs>
            <w:tab w:val="num" w:pos="907"/>
          </w:tabs>
          <w:ind w:left="907" w:hanging="340"/>
        </w:pPr>
        <w:rPr>
          <w:rFonts w:hint="default"/>
        </w:rPr>
      </w:lvl>
    </w:lvlOverride>
    <w:lvlOverride w:ilvl="8">
      <w:startOverride w:val="1"/>
      <w:lvl w:ilvl="8">
        <w:start w:val="1"/>
        <w:numFmt w:val="lowerRoman"/>
        <w:pStyle w:val="BodyText3"/>
        <w:lvlText w:val="%9."/>
        <w:lvlJc w:val="left"/>
        <w:pPr>
          <w:tabs>
            <w:tab w:val="num" w:pos="1247"/>
          </w:tabs>
          <w:ind w:left="1247" w:hanging="340"/>
        </w:pPr>
        <w:rPr>
          <w:rFonts w:hint="default"/>
        </w:rPr>
      </w:lvl>
    </w:lvlOverride>
  </w:num>
  <w:num w:numId="28">
    <w:abstractNumId w:val="6"/>
    <w:lvlOverride w:ilvl="0">
      <w:startOverride w:val="1"/>
      <w:lvl w:ilvl="0">
        <w:start w:val="1"/>
        <w:numFmt w:val="decimal"/>
        <w:pStyle w:val="Heading1"/>
        <w:isLgl/>
        <w:suff w:val="nothing"/>
        <w:lvlText w:val="%1  "/>
        <w:lvlJc w:val="left"/>
        <w:pPr>
          <w:ind w:left="0" w:firstLine="0"/>
        </w:pPr>
        <w:rPr>
          <w:rFonts w:hint="default"/>
        </w:rPr>
      </w:lvl>
    </w:lvlOverride>
    <w:lvlOverride w:ilvl="1">
      <w:startOverride w:val="1"/>
      <w:lvl w:ilvl="1">
        <w:start w:val="1"/>
        <w:numFmt w:val="decimal"/>
        <w:pStyle w:val="Heading2"/>
        <w:isLgl/>
        <w:suff w:val="nothing"/>
        <w:lvlText w:val="%1.%2  "/>
        <w:lvlJc w:val="left"/>
        <w:pPr>
          <w:ind w:left="0" w:firstLine="0"/>
        </w:pPr>
        <w:rPr>
          <w:rFonts w:hint="default"/>
        </w:rPr>
      </w:lvl>
    </w:lvlOverride>
    <w:lvlOverride w:ilvl="2">
      <w:startOverride w:val="1"/>
      <w:lvl w:ilvl="2">
        <w:start w:val="1"/>
        <w:numFmt w:val="decimal"/>
        <w:pStyle w:val="Heading3"/>
        <w:isLgl/>
        <w:suff w:val="nothing"/>
        <w:lvlText w:val="%1.%2.%3  "/>
        <w:lvlJc w:val="left"/>
        <w:pPr>
          <w:ind w:left="0" w:firstLine="0"/>
        </w:pPr>
        <w:rPr>
          <w:rFonts w:hint="default"/>
        </w:rPr>
      </w:lvl>
    </w:lvlOverride>
    <w:lvlOverride w:ilvl="3">
      <w:startOverride w:val="1"/>
      <w:lvl w:ilvl="3">
        <w:start w:val="1"/>
        <w:numFmt w:val="decimal"/>
        <w:pStyle w:val="Heading4"/>
        <w:isLgl/>
        <w:suff w:val="nothing"/>
        <w:lvlText w:val="%1.%2.%3.%4  "/>
        <w:lvlJc w:val="left"/>
        <w:pPr>
          <w:ind w:left="0" w:firstLine="0"/>
        </w:pPr>
        <w:rPr>
          <w:rFonts w:hint="default"/>
        </w:rPr>
      </w:lvl>
    </w:lvlOverride>
    <w:lvlOverride w:ilvl="4">
      <w:startOverride w:val="1"/>
      <w:lvl w:ilvl="4">
        <w:start w:val="1"/>
        <w:numFmt w:val="decimal"/>
        <w:pStyle w:val="Heading5"/>
        <w:isLgl/>
        <w:suff w:val="nothing"/>
        <w:lvlText w:val="%1.%2.%3.%4.%5  "/>
        <w:lvlJc w:val="left"/>
        <w:pPr>
          <w:ind w:left="0" w:firstLine="0"/>
        </w:pPr>
        <w:rPr>
          <w:rFonts w:hint="default"/>
        </w:rPr>
      </w:lvl>
    </w:lvlOverride>
    <w:lvlOverride w:ilvl="5">
      <w:startOverride w:val="1"/>
      <w:lvl w:ilvl="5">
        <w:start w:val="1"/>
        <w:numFmt w:val="decimal"/>
        <w:pStyle w:val="Heading6"/>
        <w:isLgl/>
        <w:suff w:val="nothing"/>
        <w:lvlText w:val="%1.%2.%3.%4.%5.%6  "/>
        <w:lvlJc w:val="left"/>
        <w:pPr>
          <w:ind w:left="0" w:firstLine="0"/>
        </w:pPr>
        <w:rPr>
          <w:rFonts w:hint="default"/>
        </w:rPr>
      </w:lvl>
    </w:lvlOverride>
    <w:lvlOverride w:ilvl="6">
      <w:startOverride w:val="1"/>
      <w:lvl w:ilvl="6">
        <w:start w:val="1"/>
        <w:numFmt w:val="decimal"/>
        <w:lvlRestart w:val="1"/>
        <w:pStyle w:val="BodyText"/>
        <w:isLgl/>
        <w:suff w:val="nothing"/>
        <w:lvlText w:val="%1.%7.  "/>
        <w:lvlJc w:val="left"/>
        <w:pPr>
          <w:ind w:left="0" w:firstLine="0"/>
        </w:pPr>
        <w:rPr>
          <w:rFonts w:hint="default"/>
        </w:rPr>
      </w:lvl>
    </w:lvlOverride>
    <w:lvlOverride w:ilvl="7">
      <w:startOverride w:val="1"/>
      <w:lvl w:ilvl="7">
        <w:start w:val="1"/>
        <w:numFmt w:val="lowerLetter"/>
        <w:pStyle w:val="BodyText2"/>
        <w:lvlText w:val="%8."/>
        <w:lvlJc w:val="left"/>
        <w:pPr>
          <w:tabs>
            <w:tab w:val="num" w:pos="907"/>
          </w:tabs>
          <w:ind w:left="907" w:hanging="340"/>
        </w:pPr>
        <w:rPr>
          <w:rFonts w:hint="default"/>
        </w:rPr>
      </w:lvl>
    </w:lvlOverride>
    <w:lvlOverride w:ilvl="8">
      <w:startOverride w:val="1"/>
      <w:lvl w:ilvl="8">
        <w:start w:val="1"/>
        <w:numFmt w:val="lowerRoman"/>
        <w:pStyle w:val="BodyText3"/>
        <w:lvlText w:val="%9."/>
        <w:lvlJc w:val="left"/>
        <w:pPr>
          <w:tabs>
            <w:tab w:val="num" w:pos="1247"/>
          </w:tabs>
          <w:ind w:left="1247" w:hanging="340"/>
        </w:pPr>
        <w:rPr>
          <w:rFonts w:hint="default"/>
        </w:rPr>
      </w:lvl>
    </w:lvlOverride>
  </w:num>
  <w:num w:numId="29">
    <w:abstractNumId w:val="6"/>
    <w:lvlOverride w:ilvl="0">
      <w:startOverride w:val="1"/>
      <w:lvl w:ilvl="0">
        <w:start w:val="1"/>
        <w:numFmt w:val="decimal"/>
        <w:pStyle w:val="Heading1"/>
        <w:isLgl/>
        <w:suff w:val="nothing"/>
        <w:lvlText w:val="%1  "/>
        <w:lvlJc w:val="left"/>
        <w:pPr>
          <w:ind w:left="0" w:firstLine="0"/>
        </w:pPr>
        <w:rPr>
          <w:rFonts w:hint="default"/>
        </w:rPr>
      </w:lvl>
    </w:lvlOverride>
    <w:lvlOverride w:ilvl="1">
      <w:startOverride w:val="1"/>
      <w:lvl w:ilvl="1">
        <w:start w:val="1"/>
        <w:numFmt w:val="decimal"/>
        <w:pStyle w:val="Heading2"/>
        <w:isLgl/>
        <w:suff w:val="nothing"/>
        <w:lvlText w:val="%1.%2  "/>
        <w:lvlJc w:val="left"/>
        <w:pPr>
          <w:ind w:left="0" w:firstLine="0"/>
        </w:pPr>
        <w:rPr>
          <w:rFonts w:hint="default"/>
        </w:rPr>
      </w:lvl>
    </w:lvlOverride>
    <w:lvlOverride w:ilvl="2">
      <w:startOverride w:val="1"/>
      <w:lvl w:ilvl="2">
        <w:start w:val="1"/>
        <w:numFmt w:val="decimal"/>
        <w:pStyle w:val="Heading3"/>
        <w:isLgl/>
        <w:suff w:val="nothing"/>
        <w:lvlText w:val="%1.%2.%3  "/>
        <w:lvlJc w:val="left"/>
        <w:pPr>
          <w:ind w:left="0" w:firstLine="0"/>
        </w:pPr>
        <w:rPr>
          <w:rFonts w:hint="default"/>
        </w:rPr>
      </w:lvl>
    </w:lvlOverride>
    <w:lvlOverride w:ilvl="3">
      <w:startOverride w:val="1"/>
      <w:lvl w:ilvl="3">
        <w:start w:val="1"/>
        <w:numFmt w:val="decimal"/>
        <w:pStyle w:val="Heading4"/>
        <w:isLgl/>
        <w:suff w:val="nothing"/>
        <w:lvlText w:val="%1.%2.%3.%4  "/>
        <w:lvlJc w:val="left"/>
        <w:pPr>
          <w:ind w:left="0" w:firstLine="0"/>
        </w:pPr>
        <w:rPr>
          <w:rFonts w:hint="default"/>
        </w:rPr>
      </w:lvl>
    </w:lvlOverride>
    <w:lvlOverride w:ilvl="4">
      <w:startOverride w:val="1"/>
      <w:lvl w:ilvl="4">
        <w:start w:val="1"/>
        <w:numFmt w:val="decimal"/>
        <w:pStyle w:val="Heading5"/>
        <w:isLgl/>
        <w:suff w:val="nothing"/>
        <w:lvlText w:val="%1.%2.%3.%4.%5  "/>
        <w:lvlJc w:val="left"/>
        <w:pPr>
          <w:ind w:left="0" w:firstLine="0"/>
        </w:pPr>
        <w:rPr>
          <w:rFonts w:hint="default"/>
        </w:rPr>
      </w:lvl>
    </w:lvlOverride>
    <w:lvlOverride w:ilvl="5">
      <w:startOverride w:val="1"/>
      <w:lvl w:ilvl="5">
        <w:start w:val="1"/>
        <w:numFmt w:val="decimal"/>
        <w:pStyle w:val="Heading6"/>
        <w:isLgl/>
        <w:suff w:val="nothing"/>
        <w:lvlText w:val="%1.%2.%3.%4.%5.%6  "/>
        <w:lvlJc w:val="left"/>
        <w:pPr>
          <w:ind w:left="0" w:firstLine="0"/>
        </w:pPr>
        <w:rPr>
          <w:rFonts w:hint="default"/>
        </w:rPr>
      </w:lvl>
    </w:lvlOverride>
    <w:lvlOverride w:ilvl="6">
      <w:startOverride w:val="1"/>
      <w:lvl w:ilvl="6">
        <w:start w:val="1"/>
        <w:numFmt w:val="decimal"/>
        <w:lvlRestart w:val="1"/>
        <w:pStyle w:val="BodyText"/>
        <w:isLgl/>
        <w:suff w:val="nothing"/>
        <w:lvlText w:val="%1.%7.  "/>
        <w:lvlJc w:val="left"/>
        <w:pPr>
          <w:ind w:left="0" w:firstLine="0"/>
        </w:pPr>
        <w:rPr>
          <w:rFonts w:hint="default"/>
        </w:rPr>
      </w:lvl>
    </w:lvlOverride>
    <w:lvlOverride w:ilvl="7">
      <w:startOverride w:val="1"/>
      <w:lvl w:ilvl="7">
        <w:start w:val="1"/>
        <w:numFmt w:val="lowerLetter"/>
        <w:pStyle w:val="BodyText2"/>
        <w:lvlText w:val="%8."/>
        <w:lvlJc w:val="left"/>
        <w:pPr>
          <w:tabs>
            <w:tab w:val="num" w:pos="907"/>
          </w:tabs>
          <w:ind w:left="907" w:hanging="340"/>
        </w:pPr>
        <w:rPr>
          <w:rFonts w:hint="default"/>
        </w:rPr>
      </w:lvl>
    </w:lvlOverride>
    <w:lvlOverride w:ilvl="8">
      <w:startOverride w:val="1"/>
      <w:lvl w:ilvl="8">
        <w:start w:val="1"/>
        <w:numFmt w:val="lowerRoman"/>
        <w:pStyle w:val="BodyText3"/>
        <w:lvlText w:val="%9."/>
        <w:lvlJc w:val="left"/>
        <w:pPr>
          <w:tabs>
            <w:tab w:val="num" w:pos="1247"/>
          </w:tabs>
          <w:ind w:left="1247" w:hanging="340"/>
        </w:pPr>
        <w:rPr>
          <w:rFonts w:hint="default"/>
        </w:rPr>
      </w:lvl>
    </w:lvlOverride>
  </w:num>
  <w:num w:numId="30">
    <w:abstractNumId w:val="6"/>
    <w:lvlOverride w:ilvl="0">
      <w:startOverride w:val="1"/>
      <w:lvl w:ilvl="0">
        <w:start w:val="1"/>
        <w:numFmt w:val="decimal"/>
        <w:pStyle w:val="Heading1"/>
        <w:isLgl/>
        <w:suff w:val="nothing"/>
        <w:lvlText w:val="%1  "/>
        <w:lvlJc w:val="left"/>
        <w:pPr>
          <w:ind w:left="0" w:firstLine="0"/>
        </w:pPr>
        <w:rPr>
          <w:rFonts w:hint="default"/>
        </w:rPr>
      </w:lvl>
    </w:lvlOverride>
    <w:lvlOverride w:ilvl="1">
      <w:startOverride w:val="1"/>
      <w:lvl w:ilvl="1">
        <w:start w:val="1"/>
        <w:numFmt w:val="decimal"/>
        <w:pStyle w:val="Heading2"/>
        <w:isLgl/>
        <w:suff w:val="nothing"/>
        <w:lvlText w:val="%1.%2  "/>
        <w:lvlJc w:val="left"/>
        <w:pPr>
          <w:ind w:left="0" w:firstLine="0"/>
        </w:pPr>
        <w:rPr>
          <w:rFonts w:hint="default"/>
        </w:rPr>
      </w:lvl>
    </w:lvlOverride>
    <w:lvlOverride w:ilvl="2">
      <w:startOverride w:val="1"/>
      <w:lvl w:ilvl="2">
        <w:start w:val="1"/>
        <w:numFmt w:val="decimal"/>
        <w:pStyle w:val="Heading3"/>
        <w:isLgl/>
        <w:suff w:val="nothing"/>
        <w:lvlText w:val="%1.%2.%3  "/>
        <w:lvlJc w:val="left"/>
        <w:pPr>
          <w:ind w:left="0" w:firstLine="0"/>
        </w:pPr>
        <w:rPr>
          <w:rFonts w:hint="default"/>
        </w:rPr>
      </w:lvl>
    </w:lvlOverride>
    <w:lvlOverride w:ilvl="3">
      <w:startOverride w:val="1"/>
      <w:lvl w:ilvl="3">
        <w:start w:val="1"/>
        <w:numFmt w:val="decimal"/>
        <w:pStyle w:val="Heading4"/>
        <w:isLgl/>
        <w:suff w:val="nothing"/>
        <w:lvlText w:val="%1.%2.%3.%4  "/>
        <w:lvlJc w:val="left"/>
        <w:pPr>
          <w:ind w:left="0" w:firstLine="0"/>
        </w:pPr>
        <w:rPr>
          <w:rFonts w:hint="default"/>
        </w:rPr>
      </w:lvl>
    </w:lvlOverride>
    <w:lvlOverride w:ilvl="4">
      <w:startOverride w:val="1"/>
      <w:lvl w:ilvl="4">
        <w:start w:val="1"/>
        <w:numFmt w:val="decimal"/>
        <w:pStyle w:val="Heading5"/>
        <w:isLgl/>
        <w:suff w:val="nothing"/>
        <w:lvlText w:val="%1.%2.%3.%4.%5  "/>
        <w:lvlJc w:val="left"/>
        <w:pPr>
          <w:ind w:left="0" w:firstLine="0"/>
        </w:pPr>
        <w:rPr>
          <w:rFonts w:hint="default"/>
        </w:rPr>
      </w:lvl>
    </w:lvlOverride>
    <w:lvlOverride w:ilvl="5">
      <w:startOverride w:val="1"/>
      <w:lvl w:ilvl="5">
        <w:start w:val="1"/>
        <w:numFmt w:val="decimal"/>
        <w:pStyle w:val="Heading6"/>
        <w:isLgl/>
        <w:suff w:val="nothing"/>
        <w:lvlText w:val="%1.%2.%3.%4.%5.%6  "/>
        <w:lvlJc w:val="left"/>
        <w:pPr>
          <w:ind w:left="0" w:firstLine="0"/>
        </w:pPr>
        <w:rPr>
          <w:rFonts w:hint="default"/>
        </w:rPr>
      </w:lvl>
    </w:lvlOverride>
    <w:lvlOverride w:ilvl="6">
      <w:startOverride w:val="1"/>
      <w:lvl w:ilvl="6">
        <w:start w:val="1"/>
        <w:numFmt w:val="decimal"/>
        <w:lvlRestart w:val="1"/>
        <w:pStyle w:val="BodyText"/>
        <w:isLgl/>
        <w:suff w:val="nothing"/>
        <w:lvlText w:val="%1.%7.  "/>
        <w:lvlJc w:val="left"/>
        <w:pPr>
          <w:ind w:left="0" w:firstLine="0"/>
        </w:pPr>
        <w:rPr>
          <w:rFonts w:hint="default"/>
        </w:rPr>
      </w:lvl>
    </w:lvlOverride>
    <w:lvlOverride w:ilvl="7">
      <w:startOverride w:val="1"/>
      <w:lvl w:ilvl="7">
        <w:start w:val="1"/>
        <w:numFmt w:val="lowerLetter"/>
        <w:pStyle w:val="BodyText2"/>
        <w:lvlText w:val="%8."/>
        <w:lvlJc w:val="left"/>
        <w:pPr>
          <w:tabs>
            <w:tab w:val="num" w:pos="907"/>
          </w:tabs>
          <w:ind w:left="907" w:hanging="340"/>
        </w:pPr>
        <w:rPr>
          <w:rFonts w:hint="default"/>
        </w:rPr>
      </w:lvl>
    </w:lvlOverride>
    <w:lvlOverride w:ilvl="8">
      <w:startOverride w:val="1"/>
      <w:lvl w:ilvl="8">
        <w:start w:val="1"/>
        <w:numFmt w:val="lowerRoman"/>
        <w:pStyle w:val="BodyText3"/>
        <w:lvlText w:val="%9."/>
        <w:lvlJc w:val="left"/>
        <w:pPr>
          <w:tabs>
            <w:tab w:val="num" w:pos="1247"/>
          </w:tabs>
          <w:ind w:left="1247" w:hanging="340"/>
        </w:pPr>
        <w:rPr>
          <w:rFonts w:hint="default"/>
        </w:rPr>
      </w:lvl>
    </w:lvlOverride>
  </w:num>
  <w:num w:numId="31">
    <w:abstractNumId w:val="6"/>
    <w:lvlOverride w:ilvl="0">
      <w:startOverride w:val="1"/>
      <w:lvl w:ilvl="0">
        <w:start w:val="1"/>
        <w:numFmt w:val="decimal"/>
        <w:pStyle w:val="Heading1"/>
        <w:isLgl/>
        <w:suff w:val="nothing"/>
        <w:lvlText w:val="%1  "/>
        <w:lvlJc w:val="left"/>
        <w:pPr>
          <w:ind w:left="0" w:firstLine="0"/>
        </w:pPr>
        <w:rPr>
          <w:rFonts w:hint="default"/>
        </w:rPr>
      </w:lvl>
    </w:lvlOverride>
    <w:lvlOverride w:ilvl="1">
      <w:startOverride w:val="1"/>
      <w:lvl w:ilvl="1">
        <w:start w:val="1"/>
        <w:numFmt w:val="decimal"/>
        <w:pStyle w:val="Heading2"/>
        <w:isLgl/>
        <w:suff w:val="nothing"/>
        <w:lvlText w:val="%1.%2  "/>
        <w:lvlJc w:val="left"/>
        <w:pPr>
          <w:ind w:left="0" w:firstLine="0"/>
        </w:pPr>
        <w:rPr>
          <w:rFonts w:hint="default"/>
        </w:rPr>
      </w:lvl>
    </w:lvlOverride>
    <w:lvlOverride w:ilvl="2">
      <w:startOverride w:val="1"/>
      <w:lvl w:ilvl="2">
        <w:start w:val="1"/>
        <w:numFmt w:val="decimal"/>
        <w:pStyle w:val="Heading3"/>
        <w:isLgl/>
        <w:suff w:val="nothing"/>
        <w:lvlText w:val="%1.%2.%3  "/>
        <w:lvlJc w:val="left"/>
        <w:pPr>
          <w:ind w:left="0" w:firstLine="0"/>
        </w:pPr>
        <w:rPr>
          <w:rFonts w:hint="default"/>
        </w:rPr>
      </w:lvl>
    </w:lvlOverride>
    <w:lvlOverride w:ilvl="3">
      <w:startOverride w:val="1"/>
      <w:lvl w:ilvl="3">
        <w:start w:val="1"/>
        <w:numFmt w:val="decimal"/>
        <w:pStyle w:val="Heading4"/>
        <w:isLgl/>
        <w:suff w:val="nothing"/>
        <w:lvlText w:val="%1.%2.%3.%4  "/>
        <w:lvlJc w:val="left"/>
        <w:pPr>
          <w:ind w:left="0" w:firstLine="0"/>
        </w:pPr>
        <w:rPr>
          <w:rFonts w:hint="default"/>
        </w:rPr>
      </w:lvl>
    </w:lvlOverride>
    <w:lvlOverride w:ilvl="4">
      <w:startOverride w:val="1"/>
      <w:lvl w:ilvl="4">
        <w:start w:val="1"/>
        <w:numFmt w:val="decimal"/>
        <w:pStyle w:val="Heading5"/>
        <w:isLgl/>
        <w:suff w:val="nothing"/>
        <w:lvlText w:val="%1.%2.%3.%4.%5  "/>
        <w:lvlJc w:val="left"/>
        <w:pPr>
          <w:ind w:left="0" w:firstLine="0"/>
        </w:pPr>
        <w:rPr>
          <w:rFonts w:hint="default"/>
        </w:rPr>
      </w:lvl>
    </w:lvlOverride>
    <w:lvlOverride w:ilvl="5">
      <w:startOverride w:val="1"/>
      <w:lvl w:ilvl="5">
        <w:start w:val="1"/>
        <w:numFmt w:val="decimal"/>
        <w:pStyle w:val="Heading6"/>
        <w:isLgl/>
        <w:suff w:val="nothing"/>
        <w:lvlText w:val="%1.%2.%3.%4.%5.%6  "/>
        <w:lvlJc w:val="left"/>
        <w:pPr>
          <w:ind w:left="0" w:firstLine="0"/>
        </w:pPr>
        <w:rPr>
          <w:rFonts w:hint="default"/>
        </w:rPr>
      </w:lvl>
    </w:lvlOverride>
    <w:lvlOverride w:ilvl="6">
      <w:startOverride w:val="1"/>
      <w:lvl w:ilvl="6">
        <w:start w:val="1"/>
        <w:numFmt w:val="decimal"/>
        <w:lvlRestart w:val="1"/>
        <w:pStyle w:val="BodyText"/>
        <w:isLgl/>
        <w:suff w:val="nothing"/>
        <w:lvlText w:val="%1.%7.  "/>
        <w:lvlJc w:val="left"/>
        <w:pPr>
          <w:ind w:left="0" w:firstLine="0"/>
        </w:pPr>
        <w:rPr>
          <w:rFonts w:hint="default"/>
        </w:rPr>
      </w:lvl>
    </w:lvlOverride>
    <w:lvlOverride w:ilvl="7">
      <w:startOverride w:val="1"/>
      <w:lvl w:ilvl="7">
        <w:start w:val="1"/>
        <w:numFmt w:val="lowerLetter"/>
        <w:pStyle w:val="BodyText2"/>
        <w:lvlText w:val="%8."/>
        <w:lvlJc w:val="left"/>
        <w:pPr>
          <w:tabs>
            <w:tab w:val="num" w:pos="907"/>
          </w:tabs>
          <w:ind w:left="907" w:hanging="340"/>
        </w:pPr>
        <w:rPr>
          <w:rFonts w:hint="default"/>
        </w:rPr>
      </w:lvl>
    </w:lvlOverride>
    <w:lvlOverride w:ilvl="8">
      <w:startOverride w:val="1"/>
      <w:lvl w:ilvl="8">
        <w:start w:val="1"/>
        <w:numFmt w:val="lowerRoman"/>
        <w:pStyle w:val="BodyText3"/>
        <w:lvlText w:val="%9."/>
        <w:lvlJc w:val="left"/>
        <w:pPr>
          <w:tabs>
            <w:tab w:val="num" w:pos="1247"/>
          </w:tabs>
          <w:ind w:left="1247" w:hanging="340"/>
        </w:pPr>
        <w:rPr>
          <w:rFonts w:hint="default"/>
        </w:rPr>
      </w:lvl>
    </w:lvlOverride>
  </w:num>
  <w:num w:numId="32">
    <w:abstractNumId w:val="6"/>
    <w:lvlOverride w:ilvl="6">
      <w:lvl w:ilvl="6">
        <w:start w:val="1"/>
        <w:numFmt w:val="decimal"/>
        <w:lvlRestart w:val="1"/>
        <w:pStyle w:val="BodyText"/>
        <w:isLgl/>
        <w:suff w:val="nothing"/>
        <w:lvlText w:val="%1.%7.  "/>
        <w:lvlJc w:val="left"/>
        <w:pPr>
          <w:ind w:left="0" w:firstLine="0"/>
        </w:pPr>
        <w:rPr>
          <w:rFonts w:hint="default"/>
        </w:rPr>
      </w:lvl>
    </w:lvlOverride>
    <w:lvlOverride w:ilvl="7">
      <w:lvl w:ilvl="7">
        <w:start w:val="1"/>
        <w:numFmt w:val="lowerLetter"/>
        <w:pStyle w:val="BodyText2"/>
        <w:lvlText w:val="%8."/>
        <w:lvlJc w:val="left"/>
        <w:pPr>
          <w:tabs>
            <w:tab w:val="num" w:pos="907"/>
          </w:tabs>
          <w:ind w:left="907" w:hanging="340"/>
        </w:pPr>
        <w:rPr>
          <w:rFonts w:hint="default"/>
        </w:rPr>
      </w:lvl>
    </w:lvlOverride>
  </w:num>
  <w:num w:numId="33">
    <w:abstractNumId w:val="6"/>
    <w:lvlOverride w:ilvl="0">
      <w:lvl w:ilvl="0">
        <w:start w:val="1"/>
        <w:numFmt w:val="decimal"/>
        <w:pStyle w:val="Heading1"/>
        <w:isLgl/>
        <w:suff w:val="nothing"/>
        <w:lvlText w:val="%1  "/>
        <w:lvlJc w:val="left"/>
        <w:pPr>
          <w:ind w:left="0" w:firstLine="0"/>
        </w:pPr>
        <w:rPr>
          <w:rFonts w:hint="default"/>
        </w:rPr>
      </w:lvl>
    </w:lvlOverride>
    <w:lvlOverride w:ilvl="1">
      <w:lvl w:ilvl="1">
        <w:start w:val="1"/>
        <w:numFmt w:val="decimal"/>
        <w:pStyle w:val="Heading2"/>
        <w:isLgl/>
        <w:suff w:val="nothing"/>
        <w:lvlText w:val="%1.%2  "/>
        <w:lvlJc w:val="left"/>
        <w:pPr>
          <w:ind w:left="0" w:firstLine="0"/>
        </w:pPr>
        <w:rPr>
          <w:rFonts w:hint="default"/>
        </w:rPr>
      </w:lvl>
    </w:lvlOverride>
    <w:lvlOverride w:ilvl="2">
      <w:lvl w:ilvl="2">
        <w:start w:val="1"/>
        <w:numFmt w:val="decimal"/>
        <w:pStyle w:val="Heading3"/>
        <w:isLgl/>
        <w:suff w:val="nothing"/>
        <w:lvlText w:val="%1.%2.%3  "/>
        <w:lvlJc w:val="left"/>
        <w:pPr>
          <w:ind w:left="0" w:firstLine="0"/>
        </w:pPr>
        <w:rPr>
          <w:rFonts w:hint="default"/>
        </w:rPr>
      </w:lvl>
    </w:lvlOverride>
    <w:lvlOverride w:ilvl="3">
      <w:lvl w:ilvl="3">
        <w:start w:val="1"/>
        <w:numFmt w:val="decimal"/>
        <w:pStyle w:val="Heading4"/>
        <w:isLgl/>
        <w:suff w:val="nothing"/>
        <w:lvlText w:val="%1.%2.%3.%4  "/>
        <w:lvlJc w:val="left"/>
        <w:pPr>
          <w:ind w:left="0" w:firstLine="0"/>
        </w:pPr>
        <w:rPr>
          <w:rFonts w:hint="default"/>
        </w:rPr>
      </w:lvl>
    </w:lvlOverride>
    <w:lvlOverride w:ilvl="4">
      <w:lvl w:ilvl="4">
        <w:start w:val="1"/>
        <w:numFmt w:val="decimal"/>
        <w:pStyle w:val="Heading5"/>
        <w:isLgl/>
        <w:suff w:val="nothing"/>
        <w:lvlText w:val="%1.%2.%3.%4.%5  "/>
        <w:lvlJc w:val="left"/>
        <w:pPr>
          <w:ind w:left="0" w:firstLine="0"/>
        </w:pPr>
        <w:rPr>
          <w:rFonts w:hint="default"/>
        </w:rPr>
      </w:lvl>
    </w:lvlOverride>
    <w:lvlOverride w:ilvl="5">
      <w:lvl w:ilvl="5">
        <w:start w:val="1"/>
        <w:numFmt w:val="decimal"/>
        <w:pStyle w:val="Heading6"/>
        <w:isLgl/>
        <w:suff w:val="nothing"/>
        <w:lvlText w:val="%1.%2.%3.%4.%5.%6  "/>
        <w:lvlJc w:val="left"/>
        <w:pPr>
          <w:ind w:left="0" w:firstLine="0"/>
        </w:pPr>
        <w:rPr>
          <w:rFonts w:hint="default"/>
        </w:rPr>
      </w:lvl>
    </w:lvlOverride>
    <w:lvlOverride w:ilvl="6">
      <w:lvl w:ilvl="6">
        <w:start w:val="1"/>
        <w:numFmt w:val="decimal"/>
        <w:lvlRestart w:val="1"/>
        <w:pStyle w:val="BodyText"/>
        <w:isLgl/>
        <w:suff w:val="nothing"/>
        <w:lvlText w:val="%1.%7.  "/>
        <w:lvlJc w:val="left"/>
        <w:pPr>
          <w:ind w:left="0" w:firstLine="0"/>
        </w:pPr>
        <w:rPr>
          <w:rFonts w:hint="default"/>
        </w:rPr>
      </w:lvl>
    </w:lvlOverride>
    <w:lvlOverride w:ilvl="7">
      <w:lvl w:ilvl="7">
        <w:start w:val="1"/>
        <w:numFmt w:val="lowerLetter"/>
        <w:pStyle w:val="BodyText2"/>
        <w:lvlText w:val="%8."/>
        <w:lvlJc w:val="left"/>
        <w:pPr>
          <w:tabs>
            <w:tab w:val="num" w:pos="907"/>
          </w:tabs>
          <w:ind w:left="907" w:hanging="340"/>
        </w:pPr>
        <w:rPr>
          <w:rFonts w:hint="default"/>
        </w:rPr>
      </w:lvl>
    </w:lvlOverride>
    <w:lvlOverride w:ilvl="8">
      <w:lvl w:ilvl="8">
        <w:start w:val="1"/>
        <w:numFmt w:val="lowerRoman"/>
        <w:pStyle w:val="BodyText3"/>
        <w:lvlText w:val="%9."/>
        <w:lvlJc w:val="left"/>
        <w:pPr>
          <w:tabs>
            <w:tab w:val="num" w:pos="1247"/>
          </w:tabs>
          <w:ind w:left="1247" w:hanging="340"/>
        </w:pPr>
        <w:rPr>
          <w:rFonts w:hint="default"/>
        </w:rPr>
      </w:lvl>
    </w:lvlOverride>
  </w:num>
  <w:num w:numId="34">
    <w:abstractNumId w:val="4"/>
  </w:num>
  <w:num w:numId="35">
    <w:abstractNumId w:val="3"/>
  </w:num>
  <w:num w:numId="36">
    <w:abstractNumId w:val="2"/>
  </w:num>
  <w:num w:numId="37">
    <w:abstractNumId w:val="1"/>
  </w:num>
  <w:num w:numId="38">
    <w:abstractNumId w:val="0"/>
  </w:num>
  <w:num w:numId="39">
    <w:abstractNumId w:val="5"/>
  </w:num>
  <w:num w:numId="40">
    <w:abstractNumId w:val="8"/>
  </w:num>
  <w:num w:numId="41">
    <w:abstractNumId w:val="6"/>
  </w:num>
  <w:num w:numId="42">
    <w:abstractNumId w:val="6"/>
    <w:lvlOverride w:ilvl="0">
      <w:lvl w:ilvl="0">
        <w:start w:val="1"/>
        <w:numFmt w:val="decimal"/>
        <w:pStyle w:val="Heading1"/>
        <w:isLgl/>
        <w:suff w:val="nothing"/>
        <w:lvlText w:val="%1  "/>
        <w:lvlJc w:val="left"/>
        <w:pPr>
          <w:ind w:left="0" w:firstLine="0"/>
        </w:pPr>
        <w:rPr>
          <w:rFonts w:hint="default"/>
        </w:rPr>
      </w:lvl>
    </w:lvlOverride>
    <w:lvlOverride w:ilvl="1">
      <w:lvl w:ilvl="1">
        <w:start w:val="1"/>
        <w:numFmt w:val="decimal"/>
        <w:pStyle w:val="Heading2"/>
        <w:isLgl/>
        <w:suff w:val="nothing"/>
        <w:lvlText w:val="%1.%2  "/>
        <w:lvlJc w:val="left"/>
        <w:pPr>
          <w:ind w:left="0" w:firstLine="0"/>
        </w:pPr>
        <w:rPr>
          <w:rFonts w:hint="default"/>
        </w:rPr>
      </w:lvl>
    </w:lvlOverride>
    <w:lvlOverride w:ilvl="2">
      <w:lvl w:ilvl="2">
        <w:start w:val="1"/>
        <w:numFmt w:val="decimal"/>
        <w:pStyle w:val="Heading3"/>
        <w:isLgl/>
        <w:suff w:val="nothing"/>
        <w:lvlText w:val="%1.%2.%3  "/>
        <w:lvlJc w:val="left"/>
        <w:pPr>
          <w:ind w:left="0" w:firstLine="0"/>
        </w:pPr>
        <w:rPr>
          <w:rFonts w:hint="default"/>
        </w:rPr>
      </w:lvl>
    </w:lvlOverride>
    <w:lvlOverride w:ilvl="3">
      <w:lvl w:ilvl="3">
        <w:start w:val="1"/>
        <w:numFmt w:val="decimal"/>
        <w:pStyle w:val="Heading4"/>
        <w:isLgl/>
        <w:suff w:val="nothing"/>
        <w:lvlText w:val="%1.%2.%3.%4  "/>
        <w:lvlJc w:val="left"/>
        <w:pPr>
          <w:ind w:left="0" w:firstLine="0"/>
        </w:pPr>
        <w:rPr>
          <w:rFonts w:hint="default"/>
        </w:rPr>
      </w:lvl>
    </w:lvlOverride>
    <w:lvlOverride w:ilvl="4">
      <w:lvl w:ilvl="4">
        <w:start w:val="1"/>
        <w:numFmt w:val="decimal"/>
        <w:pStyle w:val="Heading5"/>
        <w:isLgl/>
        <w:suff w:val="nothing"/>
        <w:lvlText w:val="%1.%2.%3.%4.%5  "/>
        <w:lvlJc w:val="left"/>
        <w:pPr>
          <w:ind w:left="0" w:firstLine="0"/>
        </w:pPr>
        <w:rPr>
          <w:rFonts w:hint="default"/>
        </w:rPr>
      </w:lvl>
    </w:lvlOverride>
    <w:lvlOverride w:ilvl="5">
      <w:lvl w:ilvl="5">
        <w:start w:val="1"/>
        <w:numFmt w:val="decimal"/>
        <w:pStyle w:val="Heading6"/>
        <w:isLgl/>
        <w:suff w:val="nothing"/>
        <w:lvlText w:val="%1.%2.%3.%4.%5.%6  "/>
        <w:lvlJc w:val="left"/>
        <w:pPr>
          <w:ind w:left="0" w:firstLine="0"/>
        </w:pPr>
        <w:rPr>
          <w:rFonts w:hint="default"/>
        </w:rPr>
      </w:lvl>
    </w:lvlOverride>
    <w:lvlOverride w:ilvl="6">
      <w:lvl w:ilvl="6">
        <w:start w:val="1"/>
        <w:numFmt w:val="decimal"/>
        <w:lvlRestart w:val="1"/>
        <w:pStyle w:val="BodyText"/>
        <w:isLgl/>
        <w:suff w:val="nothing"/>
        <w:lvlText w:val="%1.%7.  "/>
        <w:lvlJc w:val="left"/>
        <w:pPr>
          <w:ind w:left="0" w:firstLine="0"/>
        </w:pPr>
        <w:rPr>
          <w:rFonts w:hint="default"/>
        </w:rPr>
      </w:lvl>
    </w:lvlOverride>
    <w:lvlOverride w:ilvl="7">
      <w:lvl w:ilvl="7">
        <w:start w:val="1"/>
        <w:numFmt w:val="lowerLetter"/>
        <w:pStyle w:val="BodyText2"/>
        <w:lvlText w:val="%8."/>
        <w:lvlJc w:val="left"/>
        <w:pPr>
          <w:tabs>
            <w:tab w:val="num" w:pos="907"/>
          </w:tabs>
          <w:ind w:left="907" w:hanging="340"/>
        </w:pPr>
        <w:rPr>
          <w:rFonts w:hint="default"/>
        </w:rPr>
      </w:lvl>
    </w:lvlOverride>
    <w:lvlOverride w:ilvl="8">
      <w:lvl w:ilvl="8">
        <w:start w:val="1"/>
        <w:numFmt w:val="lowerRoman"/>
        <w:pStyle w:val="BodyText3"/>
        <w:lvlText w:val="%9."/>
        <w:lvlJc w:val="left"/>
        <w:pPr>
          <w:tabs>
            <w:tab w:val="num" w:pos="1247"/>
          </w:tabs>
          <w:ind w:left="1247" w:hanging="340"/>
        </w:pPr>
        <w:rPr>
          <w:rFonts w:hint="default"/>
        </w:rPr>
      </w:lvl>
    </w:lvlOverride>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attachedTemplate r:id="rId1"/>
  <w:defaultTabStop w:val="567"/>
  <w:evenAndOddHeaders/>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61B"/>
    <w:rsid w:val="00004C56"/>
    <w:rsid w:val="000122D3"/>
    <w:rsid w:val="00020D1E"/>
    <w:rsid w:val="000242F7"/>
    <w:rsid w:val="00026DB1"/>
    <w:rsid w:val="000272F6"/>
    <w:rsid w:val="000352B8"/>
    <w:rsid w:val="00036088"/>
    <w:rsid w:val="00037AC4"/>
    <w:rsid w:val="000405DB"/>
    <w:rsid w:val="000423BF"/>
    <w:rsid w:val="0004735D"/>
    <w:rsid w:val="00051C68"/>
    <w:rsid w:val="0007161B"/>
    <w:rsid w:val="00075669"/>
    <w:rsid w:val="00080B9E"/>
    <w:rsid w:val="000A10EA"/>
    <w:rsid w:val="000A18DA"/>
    <w:rsid w:val="000A1C11"/>
    <w:rsid w:val="000A4945"/>
    <w:rsid w:val="000A724E"/>
    <w:rsid w:val="000B31E1"/>
    <w:rsid w:val="000B5D3C"/>
    <w:rsid w:val="000C099B"/>
    <w:rsid w:val="000C5A3C"/>
    <w:rsid w:val="000E065A"/>
    <w:rsid w:val="000E3BE4"/>
    <w:rsid w:val="000E5423"/>
    <w:rsid w:val="000E71D5"/>
    <w:rsid w:val="000F095A"/>
    <w:rsid w:val="000F4E37"/>
    <w:rsid w:val="0010540B"/>
    <w:rsid w:val="001115A6"/>
    <w:rsid w:val="00111715"/>
    <w:rsid w:val="0011356B"/>
    <w:rsid w:val="0013337F"/>
    <w:rsid w:val="001357BA"/>
    <w:rsid w:val="00144B10"/>
    <w:rsid w:val="00145239"/>
    <w:rsid w:val="00147EC4"/>
    <w:rsid w:val="00161805"/>
    <w:rsid w:val="00165630"/>
    <w:rsid w:val="00166B5F"/>
    <w:rsid w:val="001763C0"/>
    <w:rsid w:val="001778BE"/>
    <w:rsid w:val="001806FB"/>
    <w:rsid w:val="0018136C"/>
    <w:rsid w:val="00182B84"/>
    <w:rsid w:val="0019072C"/>
    <w:rsid w:val="00193515"/>
    <w:rsid w:val="00193F30"/>
    <w:rsid w:val="001942DB"/>
    <w:rsid w:val="001946F2"/>
    <w:rsid w:val="00196AE2"/>
    <w:rsid w:val="001A4322"/>
    <w:rsid w:val="001B20A8"/>
    <w:rsid w:val="001B458F"/>
    <w:rsid w:val="001C3E76"/>
    <w:rsid w:val="001C6A42"/>
    <w:rsid w:val="001D0F5C"/>
    <w:rsid w:val="001D4A2B"/>
    <w:rsid w:val="001D5A50"/>
    <w:rsid w:val="001E08C2"/>
    <w:rsid w:val="001E291F"/>
    <w:rsid w:val="001E506A"/>
    <w:rsid w:val="00203411"/>
    <w:rsid w:val="00204CC6"/>
    <w:rsid w:val="002050EA"/>
    <w:rsid w:val="00206309"/>
    <w:rsid w:val="00206326"/>
    <w:rsid w:val="0020771B"/>
    <w:rsid w:val="002139E2"/>
    <w:rsid w:val="00214C93"/>
    <w:rsid w:val="002154B1"/>
    <w:rsid w:val="0022164F"/>
    <w:rsid w:val="00226496"/>
    <w:rsid w:val="00233408"/>
    <w:rsid w:val="00234B56"/>
    <w:rsid w:val="00234B93"/>
    <w:rsid w:val="00251ADE"/>
    <w:rsid w:val="00257CEF"/>
    <w:rsid w:val="00266469"/>
    <w:rsid w:val="00267BCB"/>
    <w:rsid w:val="0027067B"/>
    <w:rsid w:val="00271FA3"/>
    <w:rsid w:val="002778D6"/>
    <w:rsid w:val="00281CC1"/>
    <w:rsid w:val="002A15FB"/>
    <w:rsid w:val="002A2CE1"/>
    <w:rsid w:val="002A79B9"/>
    <w:rsid w:val="002B57E0"/>
    <w:rsid w:val="002C0F6B"/>
    <w:rsid w:val="002C6848"/>
    <w:rsid w:val="002D336E"/>
    <w:rsid w:val="002D7B61"/>
    <w:rsid w:val="002E0F1D"/>
    <w:rsid w:val="002E2B33"/>
    <w:rsid w:val="002E5003"/>
    <w:rsid w:val="00304385"/>
    <w:rsid w:val="00312916"/>
    <w:rsid w:val="00314B00"/>
    <w:rsid w:val="0033013B"/>
    <w:rsid w:val="0033086F"/>
    <w:rsid w:val="00331882"/>
    <w:rsid w:val="00332223"/>
    <w:rsid w:val="003421E2"/>
    <w:rsid w:val="00345F73"/>
    <w:rsid w:val="003560D6"/>
    <w:rsid w:val="003572B4"/>
    <w:rsid w:val="0036720C"/>
    <w:rsid w:val="00370459"/>
    <w:rsid w:val="00371154"/>
    <w:rsid w:val="003726F0"/>
    <w:rsid w:val="00373D41"/>
    <w:rsid w:val="0037619D"/>
    <w:rsid w:val="003828EC"/>
    <w:rsid w:val="00382E2F"/>
    <w:rsid w:val="00383F10"/>
    <w:rsid w:val="00385476"/>
    <w:rsid w:val="003A1A96"/>
    <w:rsid w:val="003A629B"/>
    <w:rsid w:val="003B220E"/>
    <w:rsid w:val="003B4A4C"/>
    <w:rsid w:val="003B6E3D"/>
    <w:rsid w:val="003C1ECC"/>
    <w:rsid w:val="003C50A6"/>
    <w:rsid w:val="003E0892"/>
    <w:rsid w:val="003E25CC"/>
    <w:rsid w:val="003E45D1"/>
    <w:rsid w:val="003E713F"/>
    <w:rsid w:val="003E742D"/>
    <w:rsid w:val="003E77EE"/>
    <w:rsid w:val="003F0609"/>
    <w:rsid w:val="003F2EA4"/>
    <w:rsid w:val="003F3C56"/>
    <w:rsid w:val="003F7A72"/>
    <w:rsid w:val="00403084"/>
    <w:rsid w:val="00412491"/>
    <w:rsid w:val="00413A0B"/>
    <w:rsid w:val="004354C7"/>
    <w:rsid w:val="004526E3"/>
    <w:rsid w:val="004551EC"/>
    <w:rsid w:val="00461A2F"/>
    <w:rsid w:val="004647D4"/>
    <w:rsid w:val="00467032"/>
    <w:rsid w:val="0046754A"/>
    <w:rsid w:val="004728B7"/>
    <w:rsid w:val="00475026"/>
    <w:rsid w:val="00477264"/>
    <w:rsid w:val="004A31FF"/>
    <w:rsid w:val="004B44FD"/>
    <w:rsid w:val="004D0A0F"/>
    <w:rsid w:val="004D0A48"/>
    <w:rsid w:val="004D2A4B"/>
    <w:rsid w:val="004D6109"/>
    <w:rsid w:val="004E700A"/>
    <w:rsid w:val="004F1C53"/>
    <w:rsid w:val="004F203A"/>
    <w:rsid w:val="004F61FD"/>
    <w:rsid w:val="004F63D0"/>
    <w:rsid w:val="004F720F"/>
    <w:rsid w:val="005122C9"/>
    <w:rsid w:val="00512FF5"/>
    <w:rsid w:val="005219AE"/>
    <w:rsid w:val="00526697"/>
    <w:rsid w:val="0053030E"/>
    <w:rsid w:val="005325D1"/>
    <w:rsid w:val="005336B8"/>
    <w:rsid w:val="00533E55"/>
    <w:rsid w:val="00560553"/>
    <w:rsid w:val="005673E7"/>
    <w:rsid w:val="005675D4"/>
    <w:rsid w:val="005755A4"/>
    <w:rsid w:val="00584272"/>
    <w:rsid w:val="005927FF"/>
    <w:rsid w:val="005A1966"/>
    <w:rsid w:val="005B04B9"/>
    <w:rsid w:val="005B2508"/>
    <w:rsid w:val="005B68C7"/>
    <w:rsid w:val="005B7054"/>
    <w:rsid w:val="005B7B22"/>
    <w:rsid w:val="005B7BEB"/>
    <w:rsid w:val="005C06FD"/>
    <w:rsid w:val="005C19B8"/>
    <w:rsid w:val="005C1D1F"/>
    <w:rsid w:val="005C4379"/>
    <w:rsid w:val="005C5926"/>
    <w:rsid w:val="005D38DF"/>
    <w:rsid w:val="005D430E"/>
    <w:rsid w:val="005D5981"/>
    <w:rsid w:val="005E0B77"/>
    <w:rsid w:val="005E1145"/>
    <w:rsid w:val="005F30CB"/>
    <w:rsid w:val="00601130"/>
    <w:rsid w:val="00603D28"/>
    <w:rsid w:val="00612644"/>
    <w:rsid w:val="006136D9"/>
    <w:rsid w:val="00624133"/>
    <w:rsid w:val="00624167"/>
    <w:rsid w:val="00626A85"/>
    <w:rsid w:val="006307A1"/>
    <w:rsid w:val="006320EC"/>
    <w:rsid w:val="0063745E"/>
    <w:rsid w:val="0063783E"/>
    <w:rsid w:val="006516E7"/>
    <w:rsid w:val="00653AA1"/>
    <w:rsid w:val="00657B57"/>
    <w:rsid w:val="00662E2C"/>
    <w:rsid w:val="00663F03"/>
    <w:rsid w:val="00664FDE"/>
    <w:rsid w:val="0067373F"/>
    <w:rsid w:val="00674CCD"/>
    <w:rsid w:val="006758E7"/>
    <w:rsid w:val="0068470C"/>
    <w:rsid w:val="006A3819"/>
    <w:rsid w:val="006A52C8"/>
    <w:rsid w:val="006B1423"/>
    <w:rsid w:val="006C0918"/>
    <w:rsid w:val="006C25EB"/>
    <w:rsid w:val="006C312F"/>
    <w:rsid w:val="006C406F"/>
    <w:rsid w:val="006D144D"/>
    <w:rsid w:val="006E2E12"/>
    <w:rsid w:val="006E3654"/>
    <w:rsid w:val="006E38ED"/>
    <w:rsid w:val="006F5826"/>
    <w:rsid w:val="00700181"/>
    <w:rsid w:val="007065C3"/>
    <w:rsid w:val="007141CF"/>
    <w:rsid w:val="00721BD0"/>
    <w:rsid w:val="00734335"/>
    <w:rsid w:val="00736366"/>
    <w:rsid w:val="00745146"/>
    <w:rsid w:val="00745A37"/>
    <w:rsid w:val="00746DB9"/>
    <w:rsid w:val="00756B56"/>
    <w:rsid w:val="007577E3"/>
    <w:rsid w:val="00760DB3"/>
    <w:rsid w:val="0076346B"/>
    <w:rsid w:val="007653D5"/>
    <w:rsid w:val="00767204"/>
    <w:rsid w:val="00770406"/>
    <w:rsid w:val="00783DB8"/>
    <w:rsid w:val="007860BB"/>
    <w:rsid w:val="007B2F7C"/>
    <w:rsid w:val="007B58CD"/>
    <w:rsid w:val="007C79F0"/>
    <w:rsid w:val="007D1D27"/>
    <w:rsid w:val="007D520A"/>
    <w:rsid w:val="007E6507"/>
    <w:rsid w:val="007F2B8E"/>
    <w:rsid w:val="007F6080"/>
    <w:rsid w:val="007F63F0"/>
    <w:rsid w:val="007F7CF2"/>
    <w:rsid w:val="00807247"/>
    <w:rsid w:val="00813952"/>
    <w:rsid w:val="008215DF"/>
    <w:rsid w:val="0082278D"/>
    <w:rsid w:val="00825D68"/>
    <w:rsid w:val="008304B3"/>
    <w:rsid w:val="00837581"/>
    <w:rsid w:val="00840C2B"/>
    <w:rsid w:val="008452D5"/>
    <w:rsid w:val="00846F05"/>
    <w:rsid w:val="00847104"/>
    <w:rsid w:val="00852C9D"/>
    <w:rsid w:val="00863780"/>
    <w:rsid w:val="00873259"/>
    <w:rsid w:val="008739FD"/>
    <w:rsid w:val="0087451C"/>
    <w:rsid w:val="00875B43"/>
    <w:rsid w:val="00885974"/>
    <w:rsid w:val="00891A73"/>
    <w:rsid w:val="008923E4"/>
    <w:rsid w:val="00894AD8"/>
    <w:rsid w:val="008A2E90"/>
    <w:rsid w:val="008A5F34"/>
    <w:rsid w:val="008A6943"/>
    <w:rsid w:val="008A6BDD"/>
    <w:rsid w:val="008A789C"/>
    <w:rsid w:val="008B5CFE"/>
    <w:rsid w:val="008B7D9D"/>
    <w:rsid w:val="008C1433"/>
    <w:rsid w:val="008C3574"/>
    <w:rsid w:val="008C597E"/>
    <w:rsid w:val="008D43FF"/>
    <w:rsid w:val="008E372C"/>
    <w:rsid w:val="008E37B6"/>
    <w:rsid w:val="008E4C88"/>
    <w:rsid w:val="008E5705"/>
    <w:rsid w:val="008E7A20"/>
    <w:rsid w:val="008F5114"/>
    <w:rsid w:val="00901B2F"/>
    <w:rsid w:val="00910BF9"/>
    <w:rsid w:val="00923EB7"/>
    <w:rsid w:val="009257A6"/>
    <w:rsid w:val="00933169"/>
    <w:rsid w:val="009343AF"/>
    <w:rsid w:val="00935D4E"/>
    <w:rsid w:val="00942D44"/>
    <w:rsid w:val="00943F44"/>
    <w:rsid w:val="00944042"/>
    <w:rsid w:val="00965FEB"/>
    <w:rsid w:val="00970C22"/>
    <w:rsid w:val="0097113E"/>
    <w:rsid w:val="00972302"/>
    <w:rsid w:val="00981B18"/>
    <w:rsid w:val="00991063"/>
    <w:rsid w:val="009A0676"/>
    <w:rsid w:val="009A5A7F"/>
    <w:rsid w:val="009A6F54"/>
    <w:rsid w:val="009A724D"/>
    <w:rsid w:val="009A7E67"/>
    <w:rsid w:val="009B6B2E"/>
    <w:rsid w:val="009C0F61"/>
    <w:rsid w:val="009C518E"/>
    <w:rsid w:val="009D100A"/>
    <w:rsid w:val="009E298E"/>
    <w:rsid w:val="009E382C"/>
    <w:rsid w:val="009E6402"/>
    <w:rsid w:val="00A03352"/>
    <w:rsid w:val="00A06FE9"/>
    <w:rsid w:val="00A179A0"/>
    <w:rsid w:val="00A2011D"/>
    <w:rsid w:val="00A2233B"/>
    <w:rsid w:val="00A31945"/>
    <w:rsid w:val="00A3212A"/>
    <w:rsid w:val="00A35FD0"/>
    <w:rsid w:val="00A44458"/>
    <w:rsid w:val="00A453EC"/>
    <w:rsid w:val="00A476E5"/>
    <w:rsid w:val="00A53DCE"/>
    <w:rsid w:val="00A55232"/>
    <w:rsid w:val="00A56AD8"/>
    <w:rsid w:val="00A57472"/>
    <w:rsid w:val="00A576B5"/>
    <w:rsid w:val="00A6057A"/>
    <w:rsid w:val="00A74017"/>
    <w:rsid w:val="00A7405E"/>
    <w:rsid w:val="00A824DE"/>
    <w:rsid w:val="00A902A9"/>
    <w:rsid w:val="00A97A1E"/>
    <w:rsid w:val="00AA2C33"/>
    <w:rsid w:val="00AA332C"/>
    <w:rsid w:val="00AA339D"/>
    <w:rsid w:val="00AC27F8"/>
    <w:rsid w:val="00AC2FB9"/>
    <w:rsid w:val="00AC63B6"/>
    <w:rsid w:val="00AC7716"/>
    <w:rsid w:val="00AD03FA"/>
    <w:rsid w:val="00AD2E12"/>
    <w:rsid w:val="00AD4C72"/>
    <w:rsid w:val="00AE20ED"/>
    <w:rsid w:val="00AE2AEE"/>
    <w:rsid w:val="00AE2E7A"/>
    <w:rsid w:val="00AE34F6"/>
    <w:rsid w:val="00AE4A50"/>
    <w:rsid w:val="00AE4AC1"/>
    <w:rsid w:val="00AF6DFE"/>
    <w:rsid w:val="00B032E3"/>
    <w:rsid w:val="00B0558B"/>
    <w:rsid w:val="00B06608"/>
    <w:rsid w:val="00B076A6"/>
    <w:rsid w:val="00B17B13"/>
    <w:rsid w:val="00B2156D"/>
    <w:rsid w:val="00B230EC"/>
    <w:rsid w:val="00B23811"/>
    <w:rsid w:val="00B2732F"/>
    <w:rsid w:val="00B31D1A"/>
    <w:rsid w:val="00B34267"/>
    <w:rsid w:val="00B36EF2"/>
    <w:rsid w:val="00B542A9"/>
    <w:rsid w:val="00B5513B"/>
    <w:rsid w:val="00B55BE7"/>
    <w:rsid w:val="00B56EDC"/>
    <w:rsid w:val="00B65E07"/>
    <w:rsid w:val="00B67EA7"/>
    <w:rsid w:val="00B74B31"/>
    <w:rsid w:val="00B7794D"/>
    <w:rsid w:val="00B83DBC"/>
    <w:rsid w:val="00B93898"/>
    <w:rsid w:val="00B96691"/>
    <w:rsid w:val="00BA1DDE"/>
    <w:rsid w:val="00BB1F84"/>
    <w:rsid w:val="00BB61C1"/>
    <w:rsid w:val="00BB61EA"/>
    <w:rsid w:val="00BC11C7"/>
    <w:rsid w:val="00BC12D5"/>
    <w:rsid w:val="00BC27BE"/>
    <w:rsid w:val="00BC385B"/>
    <w:rsid w:val="00BD79DD"/>
    <w:rsid w:val="00BE5468"/>
    <w:rsid w:val="00BE5EFE"/>
    <w:rsid w:val="00BF33D9"/>
    <w:rsid w:val="00BF6FC6"/>
    <w:rsid w:val="00C033D0"/>
    <w:rsid w:val="00C04E4A"/>
    <w:rsid w:val="00C11EAC"/>
    <w:rsid w:val="00C15B0F"/>
    <w:rsid w:val="00C20066"/>
    <w:rsid w:val="00C24EF8"/>
    <w:rsid w:val="00C30503"/>
    <w:rsid w:val="00C305D7"/>
    <w:rsid w:val="00C30B09"/>
    <w:rsid w:val="00C30F2A"/>
    <w:rsid w:val="00C31A58"/>
    <w:rsid w:val="00C35490"/>
    <w:rsid w:val="00C43456"/>
    <w:rsid w:val="00C656D9"/>
    <w:rsid w:val="00C65C0C"/>
    <w:rsid w:val="00C752B3"/>
    <w:rsid w:val="00C77BFB"/>
    <w:rsid w:val="00C77C98"/>
    <w:rsid w:val="00C808FC"/>
    <w:rsid w:val="00C812AF"/>
    <w:rsid w:val="00C826B3"/>
    <w:rsid w:val="00C8434D"/>
    <w:rsid w:val="00C920D3"/>
    <w:rsid w:val="00C94315"/>
    <w:rsid w:val="00C95391"/>
    <w:rsid w:val="00C97063"/>
    <w:rsid w:val="00CB69E6"/>
    <w:rsid w:val="00CC075D"/>
    <w:rsid w:val="00CC5DCA"/>
    <w:rsid w:val="00CD0706"/>
    <w:rsid w:val="00CD3B99"/>
    <w:rsid w:val="00CD7D97"/>
    <w:rsid w:val="00CE0C1F"/>
    <w:rsid w:val="00CE3EE6"/>
    <w:rsid w:val="00CE4BA1"/>
    <w:rsid w:val="00CE6586"/>
    <w:rsid w:val="00CE773F"/>
    <w:rsid w:val="00CE78CE"/>
    <w:rsid w:val="00CF0D11"/>
    <w:rsid w:val="00D000C7"/>
    <w:rsid w:val="00D06514"/>
    <w:rsid w:val="00D111A4"/>
    <w:rsid w:val="00D15139"/>
    <w:rsid w:val="00D1727C"/>
    <w:rsid w:val="00D26146"/>
    <w:rsid w:val="00D26FEE"/>
    <w:rsid w:val="00D27F64"/>
    <w:rsid w:val="00D31074"/>
    <w:rsid w:val="00D3408E"/>
    <w:rsid w:val="00D34FAF"/>
    <w:rsid w:val="00D4037C"/>
    <w:rsid w:val="00D442FC"/>
    <w:rsid w:val="00D46126"/>
    <w:rsid w:val="00D506D0"/>
    <w:rsid w:val="00D511D3"/>
    <w:rsid w:val="00D52557"/>
    <w:rsid w:val="00D52A9D"/>
    <w:rsid w:val="00D55AAD"/>
    <w:rsid w:val="00D65D60"/>
    <w:rsid w:val="00D713DE"/>
    <w:rsid w:val="00D747AE"/>
    <w:rsid w:val="00D9226C"/>
    <w:rsid w:val="00DA1A8D"/>
    <w:rsid w:val="00DA20BD"/>
    <w:rsid w:val="00DB081B"/>
    <w:rsid w:val="00DB6EEA"/>
    <w:rsid w:val="00DB71AD"/>
    <w:rsid w:val="00DC2F8A"/>
    <w:rsid w:val="00DC449F"/>
    <w:rsid w:val="00DC4FDF"/>
    <w:rsid w:val="00DD5C67"/>
    <w:rsid w:val="00DE50DB"/>
    <w:rsid w:val="00DF6AE1"/>
    <w:rsid w:val="00E0124C"/>
    <w:rsid w:val="00E01DBF"/>
    <w:rsid w:val="00E052A4"/>
    <w:rsid w:val="00E05F1C"/>
    <w:rsid w:val="00E06C75"/>
    <w:rsid w:val="00E070AF"/>
    <w:rsid w:val="00E113E6"/>
    <w:rsid w:val="00E23FE2"/>
    <w:rsid w:val="00E30092"/>
    <w:rsid w:val="00E32A9C"/>
    <w:rsid w:val="00E3461D"/>
    <w:rsid w:val="00E46FD5"/>
    <w:rsid w:val="00E544BB"/>
    <w:rsid w:val="00E54AAA"/>
    <w:rsid w:val="00E5524C"/>
    <w:rsid w:val="00E56545"/>
    <w:rsid w:val="00E657A5"/>
    <w:rsid w:val="00E726EF"/>
    <w:rsid w:val="00E73E4B"/>
    <w:rsid w:val="00E74153"/>
    <w:rsid w:val="00E80D8D"/>
    <w:rsid w:val="00E81667"/>
    <w:rsid w:val="00E8168B"/>
    <w:rsid w:val="00E85004"/>
    <w:rsid w:val="00E90B11"/>
    <w:rsid w:val="00EA5D4F"/>
    <w:rsid w:val="00EA71C7"/>
    <w:rsid w:val="00EA7D45"/>
    <w:rsid w:val="00EB1B12"/>
    <w:rsid w:val="00EB6C56"/>
    <w:rsid w:val="00ED54E0"/>
    <w:rsid w:val="00ED691F"/>
    <w:rsid w:val="00EE4F39"/>
    <w:rsid w:val="00EE71A5"/>
    <w:rsid w:val="00EF7412"/>
    <w:rsid w:val="00F044D9"/>
    <w:rsid w:val="00F14912"/>
    <w:rsid w:val="00F15CB7"/>
    <w:rsid w:val="00F3083B"/>
    <w:rsid w:val="00F32397"/>
    <w:rsid w:val="00F3583D"/>
    <w:rsid w:val="00F3695C"/>
    <w:rsid w:val="00F40595"/>
    <w:rsid w:val="00F45D71"/>
    <w:rsid w:val="00F5081C"/>
    <w:rsid w:val="00F56EEF"/>
    <w:rsid w:val="00F61C98"/>
    <w:rsid w:val="00F63C5E"/>
    <w:rsid w:val="00F663EB"/>
    <w:rsid w:val="00F73A03"/>
    <w:rsid w:val="00F866C9"/>
    <w:rsid w:val="00F91606"/>
    <w:rsid w:val="00F945B6"/>
    <w:rsid w:val="00FA1C93"/>
    <w:rsid w:val="00FA1E5D"/>
    <w:rsid w:val="00FA5EBC"/>
    <w:rsid w:val="00FD224A"/>
    <w:rsid w:val="00FD2727"/>
    <w:rsid w:val="00FD79BF"/>
    <w:rsid w:val="00FF051C"/>
    <w:rsid w:val="00FF4616"/>
    <w:rsid w:val="00FF5DA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qFormat="1"/>
    <w:lsdException w:name="heading 8" w:semiHidden="0" w:uiPriority="2" w:unhideWhenUsed="0" w:qFormat="1"/>
    <w:lsdException w:name="heading 9" w:semiHidden="0" w:uiPriority="2" w:unhideWhenUsed="0"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1"/>
    <w:lsdException w:name="header" w:uiPriority="5"/>
    <w:lsdException w:name="footer" w:uiPriority="5"/>
    <w:lsdException w:name="caption" w:uiPriority="6" w:qFormat="1"/>
    <w:lsdException w:name="table of figures" w:uiPriority="39"/>
    <w:lsdException w:name="footnote reference" w:uiPriority="0"/>
    <w:lsdException w:name="endnote reference"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11" w:unhideWhenUsed="0" w:qFormat="1"/>
    <w:lsdException w:name="Body Text 2" w:semiHidden="0" w:uiPriority="1" w:unhideWhenUsed="0" w:qFormat="1"/>
    <w:lsdException w:name="Body Text 3" w:semiHidden="0" w:uiPriority="1" w:unhideWhenUsed="0" w:qFormat="1"/>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0" w:unhideWhenUsed="0"/>
    <w:lsdException w:name="Dark List" w:semiHidden="0" w:uiPriority="61"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5"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uiPriority="59" w:unhideWhenUsed="0" w:qFormat="1"/>
    <w:lsdException w:name="Quote" w:unhideWhenUsed="0" w:qFormat="1"/>
    <w:lsdException w:name="Intense Quote" w:unhideWhenUsed="0" w:qFormat="1"/>
    <w:lsdException w:name="Medium List 2 Accent 1" w:semiHidden="0" w:uiPriority="61"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0" w:unhideWhenUsed="0"/>
    <w:lsdException w:name="Medium List 1 Accent 2" w:semiHidden="0" w:uiPriority="61"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0" w:unhideWhenUsed="0" w:qFormat="1"/>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7" w:unhideWhenUsed="0"/>
    <w:lsdException w:name="Medium Shading 1 Accent 3" w:semiHidden="0" w:uiPriority="63" w:unhideWhenUsed="0"/>
    <w:lsdException w:name="Medium Shading 2 Accent 3" w:semiHidden="0" w:uiPriority="64" w:unhideWhenUsed="0"/>
    <w:lsdException w:name="Medium List 1 Accent 3" w:semiHidden="0" w:uiPriority="61"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0"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0" w:unhideWhenUsed="0"/>
    <w:lsdException w:name="Medium Grid 3 Accent 4" w:semiHidden="0" w:uiPriority="60"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7"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0"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0"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F3083B"/>
    <w:pPr>
      <w:spacing w:after="0" w:line="240" w:lineRule="auto"/>
      <w:jc w:val="both"/>
    </w:pPr>
    <w:rPr>
      <w:rFonts w:ascii="Verdana" w:eastAsia="Calibri" w:hAnsi="Verdana" w:cs="Times New Roman"/>
      <w:sz w:val="18"/>
    </w:rPr>
  </w:style>
  <w:style w:type="paragraph" w:styleId="Heading1">
    <w:name w:val="heading 1"/>
    <w:basedOn w:val="Normal"/>
    <w:next w:val="Heading2"/>
    <w:link w:val="Heading1Char"/>
    <w:uiPriority w:val="2"/>
    <w:qFormat/>
    <w:rsid w:val="00DC4FDF"/>
    <w:pPr>
      <w:keepNext/>
      <w:keepLines/>
      <w:numPr>
        <w:numId w:val="33"/>
      </w:numPr>
      <w:spacing w:after="240"/>
      <w:outlineLvl w:val="0"/>
    </w:pPr>
    <w:rPr>
      <w:rFonts w:eastAsia="Times New Roman"/>
      <w:b/>
      <w:bCs/>
      <w:caps/>
      <w:color w:val="006283"/>
      <w:szCs w:val="28"/>
      <w:lang w:eastAsia="en-GB"/>
    </w:rPr>
  </w:style>
  <w:style w:type="paragraph" w:styleId="Heading2">
    <w:name w:val="heading 2"/>
    <w:basedOn w:val="Normal"/>
    <w:next w:val="Heading3"/>
    <w:link w:val="Heading2Char"/>
    <w:uiPriority w:val="2"/>
    <w:qFormat/>
    <w:rsid w:val="00F3083B"/>
    <w:pPr>
      <w:keepNext/>
      <w:keepLines/>
      <w:numPr>
        <w:ilvl w:val="1"/>
        <w:numId w:val="33"/>
      </w:numPr>
      <w:spacing w:after="240"/>
      <w:outlineLvl w:val="1"/>
    </w:pPr>
    <w:rPr>
      <w:rFonts w:eastAsia="Times New Roman"/>
      <w:b/>
      <w:bCs/>
      <w:color w:val="006283"/>
      <w:szCs w:val="26"/>
      <w:lang w:eastAsia="en-GB"/>
    </w:rPr>
  </w:style>
  <w:style w:type="paragraph" w:styleId="Heading3">
    <w:name w:val="heading 3"/>
    <w:basedOn w:val="Normal"/>
    <w:next w:val="Heading4"/>
    <w:link w:val="Heading3Char"/>
    <w:uiPriority w:val="2"/>
    <w:qFormat/>
    <w:rsid w:val="00F3083B"/>
    <w:pPr>
      <w:keepNext/>
      <w:keepLines/>
      <w:numPr>
        <w:ilvl w:val="2"/>
        <w:numId w:val="33"/>
      </w:numPr>
      <w:spacing w:after="240"/>
      <w:outlineLvl w:val="2"/>
    </w:pPr>
    <w:rPr>
      <w:rFonts w:eastAsia="Times New Roman"/>
      <w:b/>
      <w:bCs/>
      <w:color w:val="006283"/>
      <w:szCs w:val="20"/>
      <w:lang w:eastAsia="en-GB"/>
    </w:rPr>
  </w:style>
  <w:style w:type="paragraph" w:styleId="Heading4">
    <w:name w:val="heading 4"/>
    <w:basedOn w:val="Normal"/>
    <w:next w:val="Heading5"/>
    <w:link w:val="Heading4Char"/>
    <w:uiPriority w:val="2"/>
    <w:qFormat/>
    <w:rsid w:val="00F3083B"/>
    <w:pPr>
      <w:keepNext/>
      <w:keepLines/>
      <w:numPr>
        <w:ilvl w:val="3"/>
        <w:numId w:val="33"/>
      </w:numPr>
      <w:spacing w:after="240"/>
      <w:outlineLvl w:val="3"/>
    </w:pPr>
    <w:rPr>
      <w:rFonts w:eastAsia="Times New Roman"/>
      <w:b/>
      <w:bCs/>
      <w:iCs/>
      <w:color w:val="006283"/>
      <w:szCs w:val="20"/>
      <w:lang w:eastAsia="en-GB"/>
    </w:rPr>
  </w:style>
  <w:style w:type="paragraph" w:styleId="Heading5">
    <w:name w:val="heading 5"/>
    <w:basedOn w:val="Normal"/>
    <w:next w:val="Heading6"/>
    <w:link w:val="Heading5Char"/>
    <w:uiPriority w:val="2"/>
    <w:qFormat/>
    <w:rsid w:val="00F3083B"/>
    <w:pPr>
      <w:keepNext/>
      <w:keepLines/>
      <w:numPr>
        <w:ilvl w:val="4"/>
        <w:numId w:val="33"/>
      </w:numPr>
      <w:spacing w:after="240"/>
      <w:outlineLvl w:val="4"/>
    </w:pPr>
    <w:rPr>
      <w:rFonts w:eastAsia="Times New Roman"/>
      <w:b/>
      <w:color w:val="006283"/>
      <w:szCs w:val="20"/>
      <w:lang w:eastAsia="en-GB"/>
    </w:rPr>
  </w:style>
  <w:style w:type="paragraph" w:styleId="Heading6">
    <w:name w:val="heading 6"/>
    <w:basedOn w:val="Normal"/>
    <w:next w:val="BodyText"/>
    <w:link w:val="Heading6Char"/>
    <w:uiPriority w:val="2"/>
    <w:qFormat/>
    <w:rsid w:val="00F3083B"/>
    <w:pPr>
      <w:keepNext/>
      <w:keepLines/>
      <w:numPr>
        <w:ilvl w:val="5"/>
        <w:numId w:val="33"/>
      </w:numPr>
      <w:spacing w:after="240"/>
      <w:outlineLvl w:val="5"/>
    </w:pPr>
    <w:rPr>
      <w:rFonts w:eastAsia="Times New Roman"/>
      <w:b/>
      <w:iCs/>
      <w:color w:val="006283"/>
      <w:szCs w:val="20"/>
      <w:lang w:eastAsia="en-GB"/>
    </w:rPr>
  </w:style>
  <w:style w:type="paragraph" w:styleId="Heading7">
    <w:name w:val="heading 7"/>
    <w:basedOn w:val="Normal"/>
    <w:next w:val="Normal"/>
    <w:link w:val="Heading7Char"/>
    <w:uiPriority w:val="2"/>
    <w:rsid w:val="00F3083B"/>
    <w:pPr>
      <w:keepNext/>
      <w:keepLines/>
      <w:spacing w:after="240"/>
      <w:outlineLvl w:val="6"/>
    </w:pPr>
    <w:rPr>
      <w:rFonts w:eastAsia="Times New Roman"/>
      <w:b/>
      <w:iCs/>
      <w:color w:val="006283"/>
      <w:szCs w:val="20"/>
      <w:lang w:eastAsia="en-GB"/>
    </w:rPr>
  </w:style>
  <w:style w:type="paragraph" w:styleId="Heading8">
    <w:name w:val="heading 8"/>
    <w:basedOn w:val="Normal"/>
    <w:next w:val="Normal"/>
    <w:link w:val="Heading8Char"/>
    <w:uiPriority w:val="2"/>
    <w:rsid w:val="00F3083B"/>
    <w:pPr>
      <w:keepNext/>
      <w:keepLines/>
      <w:spacing w:after="240"/>
      <w:outlineLvl w:val="7"/>
    </w:pPr>
    <w:rPr>
      <w:rFonts w:eastAsia="Times New Roman"/>
      <w:b/>
      <w:i/>
      <w:color w:val="006283"/>
      <w:szCs w:val="20"/>
      <w:lang w:eastAsia="en-GB"/>
    </w:rPr>
  </w:style>
  <w:style w:type="paragraph" w:styleId="Heading9">
    <w:name w:val="heading 9"/>
    <w:basedOn w:val="Normal"/>
    <w:next w:val="Normal"/>
    <w:link w:val="Heading9Char"/>
    <w:uiPriority w:val="2"/>
    <w:rsid w:val="00F3083B"/>
    <w:pPr>
      <w:keepNext/>
      <w:keepLines/>
      <w:spacing w:after="240"/>
      <w:outlineLvl w:val="8"/>
    </w:pPr>
    <w:rPr>
      <w:rFonts w:eastAsia="Times New Roman"/>
      <w:b/>
      <w:iCs/>
      <w:color w:val="006283"/>
      <w:szCs w:val="20"/>
      <w:u w:val="single"/>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5"/>
    <w:qFormat/>
    <w:rsid w:val="00F3083B"/>
    <w:pPr>
      <w:spacing w:before="480" w:after="240"/>
      <w:contextualSpacing/>
      <w:jc w:val="center"/>
    </w:pPr>
    <w:rPr>
      <w:rFonts w:eastAsia="Times New Roman"/>
      <w:b/>
      <w:caps/>
      <w:color w:val="006283"/>
      <w:kern w:val="28"/>
      <w:szCs w:val="52"/>
      <w:lang w:eastAsia="en-GB"/>
    </w:rPr>
  </w:style>
  <w:style w:type="paragraph" w:styleId="BodyText">
    <w:name w:val="Body Text"/>
    <w:basedOn w:val="Normal"/>
    <w:link w:val="BodyTextChar"/>
    <w:uiPriority w:val="1"/>
    <w:qFormat/>
    <w:rsid w:val="00DC4FDF"/>
    <w:pPr>
      <w:numPr>
        <w:ilvl w:val="6"/>
        <w:numId w:val="33"/>
      </w:numPr>
      <w:spacing w:after="240"/>
    </w:pPr>
    <w:rPr>
      <w:szCs w:val="20"/>
      <w:lang w:eastAsia="en-GB"/>
    </w:rPr>
  </w:style>
  <w:style w:type="paragraph" w:styleId="BodyText2">
    <w:name w:val="Body Text 2"/>
    <w:basedOn w:val="Normal"/>
    <w:link w:val="BodyText2Char"/>
    <w:autoRedefine/>
    <w:uiPriority w:val="1"/>
    <w:qFormat/>
    <w:rsid w:val="00526697"/>
    <w:pPr>
      <w:numPr>
        <w:ilvl w:val="7"/>
        <w:numId w:val="33"/>
      </w:numPr>
      <w:spacing w:after="240"/>
    </w:pPr>
    <w:rPr>
      <w:szCs w:val="20"/>
      <w:lang w:eastAsia="en-GB"/>
    </w:rPr>
  </w:style>
  <w:style w:type="paragraph" w:styleId="BodyText3">
    <w:name w:val="Body Text 3"/>
    <w:basedOn w:val="Normal"/>
    <w:link w:val="BodyText3Char"/>
    <w:uiPriority w:val="1"/>
    <w:qFormat/>
    <w:rsid w:val="00F3083B"/>
    <w:pPr>
      <w:numPr>
        <w:ilvl w:val="8"/>
        <w:numId w:val="33"/>
      </w:numPr>
      <w:spacing w:after="240"/>
    </w:pPr>
    <w:rPr>
      <w:szCs w:val="16"/>
      <w:lang w:eastAsia="en-GB"/>
    </w:rPr>
  </w:style>
  <w:style w:type="numbering" w:customStyle="1" w:styleId="LegalHeadings">
    <w:name w:val="LegalHeadings"/>
    <w:uiPriority w:val="99"/>
    <w:rsid w:val="00F3083B"/>
    <w:pPr>
      <w:numPr>
        <w:numId w:val="1"/>
      </w:numPr>
    </w:pPr>
  </w:style>
  <w:style w:type="paragraph" w:styleId="ListBullet">
    <w:name w:val="List Bullet"/>
    <w:basedOn w:val="Normal"/>
    <w:uiPriority w:val="1"/>
    <w:rsid w:val="00F3083B"/>
    <w:pPr>
      <w:numPr>
        <w:numId w:val="39"/>
      </w:numPr>
      <w:spacing w:after="240"/>
    </w:pPr>
  </w:style>
  <w:style w:type="paragraph" w:styleId="ListBullet2">
    <w:name w:val="List Bullet 2"/>
    <w:basedOn w:val="Normal"/>
    <w:uiPriority w:val="1"/>
    <w:rsid w:val="00F3083B"/>
    <w:pPr>
      <w:numPr>
        <w:ilvl w:val="1"/>
        <w:numId w:val="39"/>
      </w:numPr>
      <w:spacing w:after="240"/>
    </w:pPr>
  </w:style>
  <w:style w:type="paragraph" w:styleId="ListBullet3">
    <w:name w:val="List Bullet 3"/>
    <w:basedOn w:val="Normal"/>
    <w:uiPriority w:val="1"/>
    <w:rsid w:val="00F3083B"/>
    <w:pPr>
      <w:numPr>
        <w:ilvl w:val="2"/>
        <w:numId w:val="39"/>
      </w:numPr>
      <w:spacing w:after="240"/>
    </w:pPr>
  </w:style>
  <w:style w:type="paragraph" w:styleId="ListBullet4">
    <w:name w:val="List Bullet 4"/>
    <w:basedOn w:val="Normal"/>
    <w:uiPriority w:val="1"/>
    <w:rsid w:val="00F3083B"/>
    <w:pPr>
      <w:numPr>
        <w:ilvl w:val="3"/>
        <w:numId w:val="39"/>
      </w:numPr>
      <w:spacing w:after="240"/>
    </w:pPr>
  </w:style>
  <w:style w:type="paragraph" w:styleId="ListBullet5">
    <w:name w:val="List Bullet 5"/>
    <w:basedOn w:val="Normal"/>
    <w:uiPriority w:val="1"/>
    <w:rsid w:val="00F3083B"/>
    <w:pPr>
      <w:numPr>
        <w:ilvl w:val="4"/>
        <w:numId w:val="39"/>
      </w:numPr>
      <w:spacing w:after="240"/>
    </w:pPr>
  </w:style>
  <w:style w:type="numbering" w:customStyle="1" w:styleId="ListBullets">
    <w:name w:val="ListBullets"/>
    <w:uiPriority w:val="99"/>
    <w:rsid w:val="00F3083B"/>
    <w:pPr>
      <w:numPr>
        <w:numId w:val="39"/>
      </w:numPr>
    </w:pPr>
  </w:style>
  <w:style w:type="paragraph" w:customStyle="1" w:styleId="Answer">
    <w:name w:val="Answer"/>
    <w:basedOn w:val="Normal"/>
    <w:link w:val="AnswerChar"/>
    <w:uiPriority w:val="6"/>
    <w:qFormat/>
    <w:rsid w:val="00F3083B"/>
    <w:pPr>
      <w:spacing w:after="240"/>
      <w:ind w:left="1077"/>
    </w:pPr>
    <w:rPr>
      <w:szCs w:val="20"/>
      <w:lang w:eastAsia="en-GB"/>
    </w:rPr>
  </w:style>
  <w:style w:type="paragraph" w:styleId="Caption">
    <w:name w:val="caption"/>
    <w:basedOn w:val="Normal"/>
    <w:next w:val="Normal"/>
    <w:uiPriority w:val="6"/>
    <w:qFormat/>
    <w:rsid w:val="00F3083B"/>
    <w:pPr>
      <w:keepNext/>
      <w:spacing w:before="120" w:after="120"/>
      <w:jc w:val="left"/>
    </w:pPr>
    <w:rPr>
      <w:rFonts w:eastAsia="Times New Roman"/>
      <w:b/>
      <w:bCs/>
      <w:color w:val="006283"/>
      <w:szCs w:val="20"/>
      <w:lang w:eastAsia="en-GB"/>
    </w:rPr>
  </w:style>
  <w:style w:type="character" w:styleId="EndnoteReference">
    <w:name w:val="endnote reference"/>
    <w:uiPriority w:val="49"/>
    <w:rsid w:val="00F3083B"/>
    <w:rPr>
      <w:vertAlign w:val="superscript"/>
    </w:rPr>
  </w:style>
  <w:style w:type="paragraph" w:styleId="FootnoteText">
    <w:name w:val="footnote text"/>
    <w:basedOn w:val="Normal"/>
    <w:link w:val="FootnoteTextChar"/>
    <w:uiPriority w:val="1"/>
    <w:rsid w:val="00F3083B"/>
    <w:pPr>
      <w:ind w:firstLine="567"/>
      <w:jc w:val="left"/>
    </w:pPr>
    <w:rPr>
      <w:sz w:val="16"/>
      <w:szCs w:val="18"/>
      <w:lang w:eastAsia="en-GB"/>
    </w:rPr>
  </w:style>
  <w:style w:type="paragraph" w:styleId="EndnoteText">
    <w:name w:val="endnote text"/>
    <w:basedOn w:val="FootnoteText"/>
    <w:link w:val="EndnoteTextChar"/>
    <w:uiPriority w:val="99"/>
    <w:rsid w:val="00F3083B"/>
    <w:rPr>
      <w:szCs w:val="20"/>
    </w:rPr>
  </w:style>
  <w:style w:type="paragraph" w:customStyle="1" w:styleId="FollowUp">
    <w:name w:val="FollowUp"/>
    <w:basedOn w:val="Normal"/>
    <w:link w:val="FollowUpChar"/>
    <w:uiPriority w:val="6"/>
    <w:qFormat/>
    <w:rsid w:val="00F3083B"/>
    <w:pPr>
      <w:spacing w:after="240"/>
      <w:ind w:left="720"/>
    </w:pPr>
    <w:rPr>
      <w:i/>
      <w:szCs w:val="20"/>
      <w:lang w:eastAsia="en-GB"/>
    </w:rPr>
  </w:style>
  <w:style w:type="paragraph" w:styleId="Footer">
    <w:name w:val="footer"/>
    <w:basedOn w:val="Normal"/>
    <w:link w:val="FooterChar"/>
    <w:uiPriority w:val="5"/>
    <w:rsid w:val="00F3083B"/>
    <w:pPr>
      <w:tabs>
        <w:tab w:val="center" w:pos="4513"/>
        <w:tab w:val="right" w:pos="9027"/>
      </w:tabs>
    </w:pPr>
    <w:rPr>
      <w:szCs w:val="18"/>
      <w:lang w:eastAsia="en-GB"/>
    </w:rPr>
  </w:style>
  <w:style w:type="paragraph" w:customStyle="1" w:styleId="FootnoteQuotation">
    <w:name w:val="Footnote Quotation"/>
    <w:basedOn w:val="FootnoteText"/>
    <w:uiPriority w:val="5"/>
    <w:rsid w:val="00F3083B"/>
    <w:pPr>
      <w:ind w:left="567" w:right="567" w:firstLine="0"/>
    </w:pPr>
  </w:style>
  <w:style w:type="character" w:styleId="FootnoteReference">
    <w:name w:val="footnote reference"/>
    <w:rsid w:val="00F3083B"/>
    <w:rPr>
      <w:vertAlign w:val="superscript"/>
    </w:rPr>
  </w:style>
  <w:style w:type="paragraph" w:styleId="Header">
    <w:name w:val="header"/>
    <w:basedOn w:val="Normal"/>
    <w:link w:val="HeaderChar"/>
    <w:uiPriority w:val="5"/>
    <w:rsid w:val="00F3083B"/>
    <w:pPr>
      <w:tabs>
        <w:tab w:val="center" w:pos="4513"/>
        <w:tab w:val="right" w:pos="9027"/>
      </w:tabs>
      <w:jc w:val="left"/>
    </w:pPr>
    <w:rPr>
      <w:szCs w:val="18"/>
      <w:lang w:eastAsia="en-GB"/>
    </w:rPr>
  </w:style>
  <w:style w:type="paragraph" w:customStyle="1" w:styleId="Quotation">
    <w:name w:val="Quotation"/>
    <w:basedOn w:val="Normal"/>
    <w:uiPriority w:val="5"/>
    <w:rsid w:val="00F3083B"/>
    <w:pPr>
      <w:spacing w:after="240"/>
      <w:ind w:left="567" w:right="567"/>
    </w:pPr>
    <w:rPr>
      <w:szCs w:val="18"/>
      <w:lang w:eastAsia="en-GB"/>
    </w:rPr>
  </w:style>
  <w:style w:type="paragraph" w:customStyle="1" w:styleId="QuotationDouble">
    <w:name w:val="Quotation Double"/>
    <w:basedOn w:val="Normal"/>
    <w:uiPriority w:val="5"/>
    <w:rsid w:val="00F3083B"/>
    <w:pPr>
      <w:spacing w:after="240"/>
      <w:ind w:left="1134" w:right="1134"/>
    </w:pPr>
    <w:rPr>
      <w:szCs w:val="18"/>
      <w:lang w:eastAsia="en-GB"/>
    </w:rPr>
  </w:style>
  <w:style w:type="paragraph" w:styleId="TableofAuthorities">
    <w:name w:val="table of authorities"/>
    <w:basedOn w:val="Normal"/>
    <w:next w:val="Normal"/>
    <w:uiPriority w:val="39"/>
    <w:rsid w:val="00F3083B"/>
    <w:pPr>
      <w:tabs>
        <w:tab w:val="left" w:pos="720"/>
        <w:tab w:val="right" w:leader="dot" w:pos="9027"/>
      </w:tabs>
      <w:ind w:right="720"/>
    </w:pPr>
    <w:rPr>
      <w:rFonts w:eastAsia="Times New Roman"/>
      <w:szCs w:val="20"/>
      <w:lang w:eastAsia="en-GB"/>
    </w:rPr>
  </w:style>
  <w:style w:type="paragraph" w:styleId="TableofFigures">
    <w:name w:val="table of figures"/>
    <w:basedOn w:val="Normal"/>
    <w:next w:val="Normal"/>
    <w:uiPriority w:val="39"/>
    <w:rsid w:val="00F3083B"/>
    <w:pPr>
      <w:tabs>
        <w:tab w:val="left" w:pos="567"/>
        <w:tab w:val="right" w:leader="dot" w:pos="9027"/>
      </w:tabs>
      <w:spacing w:after="120"/>
      <w:ind w:right="720"/>
    </w:pPr>
    <w:rPr>
      <w:rFonts w:eastAsia="Times New Roman"/>
      <w:szCs w:val="20"/>
      <w:lang w:eastAsia="en-GB"/>
    </w:rPr>
  </w:style>
  <w:style w:type="paragraph" w:customStyle="1" w:styleId="Title2">
    <w:name w:val="Title 2"/>
    <w:basedOn w:val="Normal"/>
    <w:next w:val="Normal"/>
    <w:uiPriority w:val="5"/>
    <w:qFormat/>
    <w:rsid w:val="00F3083B"/>
    <w:pPr>
      <w:spacing w:after="360"/>
      <w:jc w:val="center"/>
    </w:pPr>
    <w:rPr>
      <w:caps/>
      <w:color w:val="006283"/>
      <w:szCs w:val="18"/>
      <w:lang w:eastAsia="en-GB"/>
    </w:rPr>
  </w:style>
  <w:style w:type="paragraph" w:customStyle="1" w:styleId="Title3">
    <w:name w:val="Title 3"/>
    <w:basedOn w:val="Normal"/>
    <w:next w:val="Normal"/>
    <w:uiPriority w:val="5"/>
    <w:qFormat/>
    <w:rsid w:val="00F3083B"/>
    <w:pPr>
      <w:spacing w:after="360"/>
      <w:jc w:val="center"/>
    </w:pPr>
    <w:rPr>
      <w:i/>
      <w:color w:val="006283"/>
      <w:szCs w:val="18"/>
      <w:lang w:eastAsia="en-GB"/>
    </w:rPr>
  </w:style>
  <w:style w:type="paragraph" w:customStyle="1" w:styleId="TitleCountry">
    <w:name w:val="Title Country"/>
    <w:basedOn w:val="Normal"/>
    <w:next w:val="Normal"/>
    <w:uiPriority w:val="5"/>
    <w:qFormat/>
    <w:rsid w:val="00F3083B"/>
    <w:pPr>
      <w:spacing w:after="360"/>
      <w:jc w:val="center"/>
    </w:pPr>
    <w:rPr>
      <w:smallCaps/>
      <w:color w:val="006283"/>
      <w:szCs w:val="18"/>
      <w:lang w:eastAsia="en-GB"/>
    </w:rPr>
  </w:style>
  <w:style w:type="paragraph" w:styleId="TOC1">
    <w:name w:val="toc 1"/>
    <w:basedOn w:val="Normal"/>
    <w:next w:val="Normal"/>
    <w:autoRedefine/>
    <w:uiPriority w:val="39"/>
    <w:rsid w:val="00F3083B"/>
    <w:pPr>
      <w:tabs>
        <w:tab w:val="right" w:leader="dot" w:pos="9027"/>
      </w:tabs>
      <w:spacing w:before="120" w:after="120"/>
      <w:ind w:right="851"/>
      <w:jc w:val="left"/>
    </w:pPr>
    <w:rPr>
      <w:b/>
      <w:caps/>
      <w:szCs w:val="18"/>
      <w:lang w:eastAsia="en-GB"/>
    </w:rPr>
  </w:style>
  <w:style w:type="paragraph" w:styleId="TOC2">
    <w:name w:val="toc 2"/>
    <w:basedOn w:val="Normal"/>
    <w:next w:val="Normal"/>
    <w:autoRedefine/>
    <w:uiPriority w:val="39"/>
    <w:rsid w:val="00F3083B"/>
    <w:pPr>
      <w:tabs>
        <w:tab w:val="right" w:leader="dot" w:pos="9027"/>
      </w:tabs>
      <w:spacing w:before="120" w:after="120"/>
      <w:ind w:right="851"/>
      <w:jc w:val="left"/>
    </w:pPr>
    <w:rPr>
      <w:szCs w:val="18"/>
      <w:lang w:eastAsia="en-GB"/>
    </w:rPr>
  </w:style>
  <w:style w:type="paragraph" w:styleId="TOC3">
    <w:name w:val="toc 3"/>
    <w:basedOn w:val="Normal"/>
    <w:next w:val="Normal"/>
    <w:autoRedefine/>
    <w:uiPriority w:val="39"/>
    <w:rsid w:val="00F3083B"/>
    <w:pPr>
      <w:tabs>
        <w:tab w:val="right" w:leader="dot" w:pos="9027"/>
      </w:tabs>
      <w:spacing w:before="120" w:after="120"/>
      <w:ind w:right="851"/>
      <w:jc w:val="left"/>
    </w:pPr>
    <w:rPr>
      <w:szCs w:val="18"/>
      <w:lang w:eastAsia="en-GB"/>
    </w:rPr>
  </w:style>
  <w:style w:type="paragraph" w:styleId="TOC4">
    <w:name w:val="toc 4"/>
    <w:basedOn w:val="Normal"/>
    <w:next w:val="Normal"/>
    <w:autoRedefine/>
    <w:uiPriority w:val="39"/>
    <w:rsid w:val="00F3083B"/>
    <w:pPr>
      <w:tabs>
        <w:tab w:val="right" w:leader="dot" w:pos="9027"/>
      </w:tabs>
      <w:spacing w:before="120" w:after="120"/>
      <w:ind w:right="851"/>
      <w:jc w:val="left"/>
    </w:pPr>
    <w:rPr>
      <w:szCs w:val="18"/>
      <w:lang w:eastAsia="en-GB"/>
    </w:rPr>
  </w:style>
  <w:style w:type="paragraph" w:styleId="TOC5">
    <w:name w:val="toc 5"/>
    <w:basedOn w:val="Normal"/>
    <w:next w:val="Normal"/>
    <w:autoRedefine/>
    <w:uiPriority w:val="39"/>
    <w:rsid w:val="00F3083B"/>
    <w:pPr>
      <w:tabs>
        <w:tab w:val="right" w:leader="dot" w:pos="9027"/>
      </w:tabs>
      <w:spacing w:before="120" w:after="120"/>
      <w:ind w:right="851"/>
      <w:jc w:val="left"/>
    </w:pPr>
    <w:rPr>
      <w:szCs w:val="18"/>
      <w:lang w:eastAsia="en-GB"/>
    </w:rPr>
  </w:style>
  <w:style w:type="paragraph" w:styleId="TOC6">
    <w:name w:val="toc 6"/>
    <w:basedOn w:val="Normal"/>
    <w:next w:val="Normal"/>
    <w:autoRedefine/>
    <w:uiPriority w:val="39"/>
    <w:rsid w:val="00F3083B"/>
    <w:pPr>
      <w:tabs>
        <w:tab w:val="right" w:leader="dot" w:pos="9027"/>
      </w:tabs>
      <w:spacing w:before="120" w:after="120"/>
      <w:ind w:right="851"/>
      <w:jc w:val="left"/>
    </w:pPr>
    <w:rPr>
      <w:szCs w:val="18"/>
      <w:lang w:eastAsia="en-GB"/>
    </w:rPr>
  </w:style>
  <w:style w:type="paragraph" w:styleId="TOC7">
    <w:name w:val="toc 7"/>
    <w:basedOn w:val="Normal"/>
    <w:next w:val="Normal"/>
    <w:autoRedefine/>
    <w:uiPriority w:val="39"/>
    <w:rsid w:val="00F3083B"/>
    <w:pPr>
      <w:tabs>
        <w:tab w:val="left" w:pos="851"/>
        <w:tab w:val="right" w:leader="dot" w:pos="9027"/>
      </w:tabs>
      <w:spacing w:before="120" w:after="120"/>
      <w:ind w:left="567" w:right="851"/>
      <w:jc w:val="left"/>
    </w:pPr>
    <w:rPr>
      <w:szCs w:val="18"/>
      <w:lang w:eastAsia="en-GB"/>
    </w:rPr>
  </w:style>
  <w:style w:type="paragraph" w:styleId="TOC8">
    <w:name w:val="toc 8"/>
    <w:basedOn w:val="Normal"/>
    <w:next w:val="Normal"/>
    <w:autoRedefine/>
    <w:uiPriority w:val="39"/>
    <w:rsid w:val="00F3083B"/>
    <w:pPr>
      <w:tabs>
        <w:tab w:val="left" w:pos="851"/>
        <w:tab w:val="left" w:pos="1134"/>
        <w:tab w:val="right" w:leader="dot" w:pos="9027"/>
      </w:tabs>
      <w:spacing w:before="120" w:after="120"/>
      <w:ind w:left="851" w:right="851"/>
      <w:jc w:val="left"/>
    </w:pPr>
    <w:rPr>
      <w:szCs w:val="18"/>
      <w:lang w:eastAsia="en-GB"/>
    </w:rPr>
  </w:style>
  <w:style w:type="paragraph" w:styleId="TOC9">
    <w:name w:val="toc 9"/>
    <w:basedOn w:val="Normal"/>
    <w:next w:val="Normal"/>
    <w:autoRedefine/>
    <w:uiPriority w:val="39"/>
    <w:rsid w:val="00F3083B"/>
    <w:pPr>
      <w:tabs>
        <w:tab w:val="left" w:pos="851"/>
        <w:tab w:val="left" w:pos="1134"/>
        <w:tab w:val="left" w:pos="1418"/>
        <w:tab w:val="right" w:leader="dot" w:pos="9027"/>
      </w:tabs>
      <w:spacing w:before="120" w:after="120"/>
      <w:ind w:left="1134" w:right="851"/>
      <w:jc w:val="left"/>
    </w:pPr>
    <w:rPr>
      <w:szCs w:val="18"/>
      <w:lang w:eastAsia="en-GB"/>
    </w:rPr>
  </w:style>
  <w:style w:type="paragraph" w:styleId="TOCHeading">
    <w:name w:val="TOC Heading"/>
    <w:basedOn w:val="Normal"/>
    <w:next w:val="Normal"/>
    <w:uiPriority w:val="39"/>
    <w:qFormat/>
    <w:rsid w:val="00F3083B"/>
    <w:pPr>
      <w:spacing w:before="240"/>
      <w:jc w:val="center"/>
    </w:pPr>
    <w:rPr>
      <w:rFonts w:eastAsia="Times New Roman"/>
      <w:b/>
      <w:bCs/>
      <w:szCs w:val="28"/>
      <w:lang w:eastAsia="en-GB"/>
    </w:rPr>
  </w:style>
  <w:style w:type="table" w:customStyle="1" w:styleId="WTOTable2">
    <w:name w:val="WTOTable2"/>
    <w:basedOn w:val="TableNormal"/>
    <w:uiPriority w:val="99"/>
    <w:rsid w:val="00F3083B"/>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F3083B"/>
    <w:rPr>
      <w:rFonts w:ascii="Tahoma" w:hAnsi="Tahoma" w:cs="Tahoma"/>
      <w:sz w:val="16"/>
      <w:szCs w:val="16"/>
      <w:lang w:eastAsia="en-GB"/>
    </w:rPr>
  </w:style>
  <w:style w:type="paragraph" w:styleId="Subtitle">
    <w:name w:val="Subtitle"/>
    <w:basedOn w:val="Normal"/>
    <w:next w:val="Normal"/>
    <w:link w:val="SubtitleChar"/>
    <w:uiPriority w:val="11"/>
    <w:qFormat/>
    <w:rsid w:val="00F3083B"/>
    <w:pPr>
      <w:numPr>
        <w:ilvl w:val="1"/>
      </w:numPr>
    </w:pPr>
    <w:rPr>
      <w:rFonts w:eastAsia="Times New Roman"/>
      <w:b/>
      <w:iCs/>
      <w:szCs w:val="24"/>
      <w:lang w:eastAsia="en-GB"/>
    </w:rPr>
  </w:style>
  <w:style w:type="paragraph" w:customStyle="1" w:styleId="SummaryHeader">
    <w:name w:val="SummaryHeader"/>
    <w:basedOn w:val="Normal"/>
    <w:uiPriority w:val="4"/>
    <w:qFormat/>
    <w:rsid w:val="00F3083B"/>
    <w:pPr>
      <w:spacing w:after="240"/>
      <w:outlineLvl w:val="0"/>
    </w:pPr>
    <w:rPr>
      <w:b/>
      <w:caps/>
      <w:color w:val="006283"/>
    </w:rPr>
  </w:style>
  <w:style w:type="paragraph" w:customStyle="1" w:styleId="SummarySubheader">
    <w:name w:val="SummarySubheader"/>
    <w:basedOn w:val="Normal"/>
    <w:uiPriority w:val="4"/>
    <w:qFormat/>
    <w:rsid w:val="00F3083B"/>
    <w:pPr>
      <w:spacing w:after="240"/>
      <w:outlineLvl w:val="1"/>
    </w:pPr>
    <w:rPr>
      <w:b/>
      <w:color w:val="006283"/>
    </w:rPr>
  </w:style>
  <w:style w:type="paragraph" w:customStyle="1" w:styleId="SummaryText">
    <w:name w:val="SummaryText"/>
    <w:basedOn w:val="Normal"/>
    <w:uiPriority w:val="4"/>
    <w:qFormat/>
    <w:rsid w:val="00F3083B"/>
    <w:pPr>
      <w:numPr>
        <w:numId w:val="40"/>
      </w:numPr>
      <w:spacing w:after="240"/>
    </w:pPr>
  </w:style>
  <w:style w:type="paragraph" w:styleId="ListParagraph">
    <w:name w:val="List Paragraph"/>
    <w:basedOn w:val="Normal"/>
    <w:uiPriority w:val="59"/>
    <w:qFormat/>
    <w:rsid w:val="00F3083B"/>
    <w:pPr>
      <w:ind w:left="720"/>
      <w:contextualSpacing/>
    </w:pPr>
  </w:style>
  <w:style w:type="table" w:customStyle="1" w:styleId="WTOBox1">
    <w:name w:val="WTOBox1"/>
    <w:basedOn w:val="TableNormal"/>
    <w:uiPriority w:val="99"/>
    <w:rsid w:val="00F3083B"/>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F3083B"/>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F3083B"/>
    <w:pPr>
      <w:keepNext/>
      <w:keepLines/>
      <w:spacing w:after="240"/>
      <w:jc w:val="left"/>
    </w:pPr>
    <w:rPr>
      <w:rFonts w:eastAsia="Times New Roman"/>
      <w:b/>
      <w:caps/>
      <w:color w:val="006283"/>
      <w:sz w:val="28"/>
      <w:lang w:val="x-none"/>
    </w:rPr>
  </w:style>
  <w:style w:type="table" w:styleId="TableGrid">
    <w:name w:val="Table Grid"/>
    <w:basedOn w:val="TableNormal"/>
    <w:uiPriority w:val="59"/>
    <w:rsid w:val="00F308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F3083B"/>
    <w:pPr>
      <w:tabs>
        <w:tab w:val="left" w:pos="851"/>
      </w:tabs>
      <w:ind w:left="851" w:hanging="851"/>
      <w:jc w:val="left"/>
    </w:pPr>
    <w:rPr>
      <w:rFonts w:eastAsiaTheme="minorHAnsi" w:cstheme="minorBidi"/>
      <w:sz w:val="16"/>
    </w:rPr>
  </w:style>
  <w:style w:type="character" w:styleId="Hyperlink">
    <w:name w:val="Hyperlink"/>
    <w:basedOn w:val="DefaultParagraphFont"/>
    <w:uiPriority w:val="99"/>
    <w:unhideWhenUsed/>
    <w:rsid w:val="00F3083B"/>
    <w:rPr>
      <w:color w:val="0000FF" w:themeColor="hyperlink"/>
      <w:u w:val="single"/>
    </w:rPr>
  </w:style>
  <w:style w:type="paragraph" w:styleId="Bibliography">
    <w:name w:val="Bibliography"/>
    <w:basedOn w:val="Normal"/>
    <w:next w:val="Normal"/>
    <w:uiPriority w:val="49"/>
    <w:unhideWhenUsed/>
    <w:rsid w:val="00F3083B"/>
  </w:style>
  <w:style w:type="paragraph" w:styleId="BlockText">
    <w:name w:val="Block Text"/>
    <w:basedOn w:val="Normal"/>
    <w:uiPriority w:val="99"/>
    <w:semiHidden/>
    <w:unhideWhenUsed/>
    <w:rsid w:val="00F3083B"/>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cstheme="minorBidi"/>
      <w:i/>
      <w:iCs/>
      <w:color w:val="4F81BD" w:themeColor="accent1"/>
    </w:rPr>
  </w:style>
  <w:style w:type="paragraph" w:styleId="BodyTextFirstIndent">
    <w:name w:val="Body Text First Indent"/>
    <w:basedOn w:val="BodyText"/>
    <w:link w:val="BodyTextFirstIndentChar"/>
    <w:uiPriority w:val="99"/>
    <w:semiHidden/>
    <w:unhideWhenUsed/>
    <w:rsid w:val="00F3083B"/>
    <w:pPr>
      <w:numPr>
        <w:ilvl w:val="0"/>
        <w:numId w:val="0"/>
      </w:numPr>
      <w:spacing w:after="0"/>
      <w:ind w:firstLine="360"/>
    </w:pPr>
  </w:style>
  <w:style w:type="paragraph" w:styleId="BodyTextIndent">
    <w:name w:val="Body Text Indent"/>
    <w:basedOn w:val="Normal"/>
    <w:link w:val="BodyTextIndentChar"/>
    <w:uiPriority w:val="99"/>
    <w:semiHidden/>
    <w:unhideWhenUsed/>
    <w:rsid w:val="00F3083B"/>
    <w:pPr>
      <w:spacing w:after="120"/>
      <w:ind w:left="283"/>
    </w:pPr>
  </w:style>
  <w:style w:type="paragraph" w:styleId="BodyTextFirstIndent2">
    <w:name w:val="Body Text First Indent 2"/>
    <w:basedOn w:val="BodyTextIndent"/>
    <w:link w:val="BodyTextFirstIndent2Char"/>
    <w:uiPriority w:val="99"/>
    <w:semiHidden/>
    <w:unhideWhenUsed/>
    <w:rsid w:val="00F3083B"/>
    <w:pPr>
      <w:spacing w:after="0"/>
      <w:ind w:left="360" w:firstLine="360"/>
    </w:pPr>
  </w:style>
  <w:style w:type="paragraph" w:styleId="BodyTextIndent2">
    <w:name w:val="Body Text Indent 2"/>
    <w:basedOn w:val="Normal"/>
    <w:link w:val="BodyTextIndent2Char"/>
    <w:uiPriority w:val="99"/>
    <w:semiHidden/>
    <w:unhideWhenUsed/>
    <w:rsid w:val="00F3083B"/>
    <w:pPr>
      <w:spacing w:after="120" w:line="480" w:lineRule="auto"/>
      <w:ind w:left="283"/>
    </w:pPr>
  </w:style>
  <w:style w:type="paragraph" w:styleId="BodyTextIndent3">
    <w:name w:val="Body Text Indent 3"/>
    <w:basedOn w:val="Normal"/>
    <w:link w:val="BodyTextIndent3Char"/>
    <w:uiPriority w:val="99"/>
    <w:semiHidden/>
    <w:unhideWhenUsed/>
    <w:rsid w:val="00F3083B"/>
    <w:pPr>
      <w:spacing w:after="120"/>
      <w:ind w:left="283"/>
    </w:pPr>
    <w:rPr>
      <w:sz w:val="16"/>
      <w:szCs w:val="16"/>
    </w:rPr>
  </w:style>
  <w:style w:type="character" w:styleId="BookTitle">
    <w:name w:val="Book Title"/>
    <w:basedOn w:val="DefaultParagraphFont"/>
    <w:uiPriority w:val="99"/>
    <w:qFormat/>
    <w:rsid w:val="00F3083B"/>
    <w:rPr>
      <w:b/>
      <w:bCs/>
      <w:smallCaps/>
      <w:spacing w:val="5"/>
    </w:rPr>
  </w:style>
  <w:style w:type="paragraph" w:styleId="Closing">
    <w:name w:val="Closing"/>
    <w:basedOn w:val="Normal"/>
    <w:link w:val="ClosingChar"/>
    <w:uiPriority w:val="99"/>
    <w:semiHidden/>
    <w:unhideWhenUsed/>
    <w:rsid w:val="00F3083B"/>
    <w:pPr>
      <w:ind w:left="4252"/>
    </w:pPr>
  </w:style>
  <w:style w:type="character" w:styleId="CommentReference">
    <w:name w:val="annotation reference"/>
    <w:basedOn w:val="DefaultParagraphFont"/>
    <w:uiPriority w:val="99"/>
    <w:semiHidden/>
    <w:unhideWhenUsed/>
    <w:rsid w:val="00F3083B"/>
    <w:rPr>
      <w:sz w:val="16"/>
      <w:szCs w:val="16"/>
    </w:rPr>
  </w:style>
  <w:style w:type="paragraph" w:styleId="CommentText">
    <w:name w:val="annotation text"/>
    <w:basedOn w:val="Normal"/>
    <w:link w:val="CommentTextChar"/>
    <w:uiPriority w:val="99"/>
    <w:unhideWhenUsed/>
    <w:rsid w:val="00F3083B"/>
    <w:rPr>
      <w:sz w:val="20"/>
      <w:szCs w:val="20"/>
    </w:rPr>
  </w:style>
  <w:style w:type="paragraph" w:styleId="CommentSubject">
    <w:name w:val="annotation subject"/>
    <w:basedOn w:val="CommentText"/>
    <w:next w:val="CommentText"/>
    <w:link w:val="CommentSubjectChar"/>
    <w:uiPriority w:val="99"/>
    <w:unhideWhenUsed/>
    <w:rsid w:val="00F3083B"/>
    <w:rPr>
      <w:b/>
      <w:bCs/>
    </w:rPr>
  </w:style>
  <w:style w:type="paragraph" w:styleId="Date">
    <w:name w:val="Date"/>
    <w:basedOn w:val="Normal"/>
    <w:next w:val="Normal"/>
    <w:link w:val="DateChar"/>
    <w:uiPriority w:val="99"/>
    <w:semiHidden/>
    <w:unhideWhenUsed/>
    <w:rsid w:val="00F3083B"/>
  </w:style>
  <w:style w:type="paragraph" w:styleId="DocumentMap">
    <w:name w:val="Document Map"/>
    <w:basedOn w:val="Normal"/>
    <w:link w:val="DocumentMapChar"/>
    <w:uiPriority w:val="99"/>
    <w:semiHidden/>
    <w:unhideWhenUsed/>
    <w:rsid w:val="00F3083B"/>
    <w:rPr>
      <w:rFonts w:ascii="Tahoma" w:hAnsi="Tahoma" w:cs="Tahoma"/>
      <w:sz w:val="16"/>
      <w:szCs w:val="16"/>
    </w:rPr>
  </w:style>
  <w:style w:type="paragraph" w:styleId="E-mailSignature">
    <w:name w:val="E-mail Signature"/>
    <w:basedOn w:val="Normal"/>
    <w:link w:val="E-mailSignatureChar"/>
    <w:uiPriority w:val="99"/>
    <w:semiHidden/>
    <w:unhideWhenUsed/>
    <w:rsid w:val="00F3083B"/>
  </w:style>
  <w:style w:type="character" w:styleId="Emphasis">
    <w:name w:val="Emphasis"/>
    <w:basedOn w:val="DefaultParagraphFont"/>
    <w:uiPriority w:val="99"/>
    <w:qFormat/>
    <w:rsid w:val="00F3083B"/>
    <w:rPr>
      <w:i/>
      <w:iCs/>
    </w:rPr>
  </w:style>
  <w:style w:type="paragraph" w:styleId="EnvelopeAddress">
    <w:name w:val="envelope address"/>
    <w:basedOn w:val="Normal"/>
    <w:uiPriority w:val="99"/>
    <w:semiHidden/>
    <w:unhideWhenUsed/>
    <w:rsid w:val="00F3083B"/>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F3083B"/>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F3083B"/>
    <w:rPr>
      <w:color w:val="800080" w:themeColor="followedHyperlink"/>
      <w:u w:val="single"/>
    </w:rPr>
  </w:style>
  <w:style w:type="character" w:styleId="HTMLAcronym">
    <w:name w:val="HTML Acronym"/>
    <w:basedOn w:val="DefaultParagraphFont"/>
    <w:uiPriority w:val="99"/>
    <w:semiHidden/>
    <w:unhideWhenUsed/>
    <w:rsid w:val="00F3083B"/>
  </w:style>
  <w:style w:type="paragraph" w:styleId="HTMLAddress">
    <w:name w:val="HTML Address"/>
    <w:basedOn w:val="Normal"/>
    <w:link w:val="HTMLAddressChar"/>
    <w:uiPriority w:val="99"/>
    <w:semiHidden/>
    <w:unhideWhenUsed/>
    <w:rsid w:val="00F3083B"/>
    <w:rPr>
      <w:i/>
      <w:iCs/>
    </w:rPr>
  </w:style>
  <w:style w:type="character" w:styleId="HTMLCite">
    <w:name w:val="HTML Cite"/>
    <w:basedOn w:val="DefaultParagraphFont"/>
    <w:uiPriority w:val="99"/>
    <w:semiHidden/>
    <w:unhideWhenUsed/>
    <w:rsid w:val="00F3083B"/>
    <w:rPr>
      <w:i/>
      <w:iCs/>
    </w:rPr>
  </w:style>
  <w:style w:type="character" w:styleId="HTMLCode">
    <w:name w:val="HTML Code"/>
    <w:basedOn w:val="DefaultParagraphFont"/>
    <w:uiPriority w:val="99"/>
    <w:semiHidden/>
    <w:unhideWhenUsed/>
    <w:rsid w:val="00F3083B"/>
    <w:rPr>
      <w:rFonts w:ascii="Consolas" w:hAnsi="Consolas" w:cs="Consolas"/>
      <w:sz w:val="20"/>
      <w:szCs w:val="20"/>
    </w:rPr>
  </w:style>
  <w:style w:type="character" w:styleId="HTMLDefinition">
    <w:name w:val="HTML Definition"/>
    <w:basedOn w:val="DefaultParagraphFont"/>
    <w:uiPriority w:val="99"/>
    <w:unhideWhenUsed/>
    <w:rsid w:val="00F3083B"/>
    <w:rPr>
      <w:i/>
      <w:iCs/>
    </w:rPr>
  </w:style>
  <w:style w:type="character" w:styleId="HTMLKeyboard">
    <w:name w:val="HTML Keyboard"/>
    <w:basedOn w:val="DefaultParagraphFont"/>
    <w:uiPriority w:val="99"/>
    <w:semiHidden/>
    <w:unhideWhenUsed/>
    <w:rsid w:val="00F3083B"/>
    <w:rPr>
      <w:rFonts w:ascii="Consolas" w:hAnsi="Consolas" w:cs="Consolas"/>
      <w:sz w:val="20"/>
      <w:szCs w:val="20"/>
    </w:rPr>
  </w:style>
  <w:style w:type="paragraph" w:styleId="HTMLPreformatted">
    <w:name w:val="HTML Preformatted"/>
    <w:basedOn w:val="Normal"/>
    <w:link w:val="HTMLPreformattedChar"/>
    <w:uiPriority w:val="99"/>
    <w:semiHidden/>
    <w:unhideWhenUsed/>
    <w:rsid w:val="00F3083B"/>
    <w:rPr>
      <w:rFonts w:ascii="Consolas" w:hAnsi="Consolas" w:cs="Consolas"/>
      <w:sz w:val="20"/>
      <w:szCs w:val="20"/>
    </w:rPr>
  </w:style>
  <w:style w:type="character" w:styleId="HTMLSample">
    <w:name w:val="HTML Sample"/>
    <w:basedOn w:val="DefaultParagraphFont"/>
    <w:uiPriority w:val="99"/>
    <w:semiHidden/>
    <w:unhideWhenUsed/>
    <w:rsid w:val="00F3083B"/>
    <w:rPr>
      <w:rFonts w:ascii="Consolas" w:hAnsi="Consolas" w:cs="Consolas"/>
      <w:sz w:val="24"/>
      <w:szCs w:val="24"/>
    </w:rPr>
  </w:style>
  <w:style w:type="character" w:styleId="HTMLTypewriter">
    <w:name w:val="HTML Typewriter"/>
    <w:basedOn w:val="DefaultParagraphFont"/>
    <w:uiPriority w:val="99"/>
    <w:semiHidden/>
    <w:unhideWhenUsed/>
    <w:rsid w:val="00F3083B"/>
    <w:rPr>
      <w:rFonts w:ascii="Consolas" w:hAnsi="Consolas" w:cs="Consolas"/>
      <w:sz w:val="20"/>
      <w:szCs w:val="20"/>
    </w:rPr>
  </w:style>
  <w:style w:type="character" w:styleId="HTMLVariable">
    <w:name w:val="HTML Variable"/>
    <w:basedOn w:val="DefaultParagraphFont"/>
    <w:uiPriority w:val="99"/>
    <w:semiHidden/>
    <w:unhideWhenUsed/>
    <w:rsid w:val="00F3083B"/>
    <w:rPr>
      <w:i/>
      <w:iCs/>
    </w:rPr>
  </w:style>
  <w:style w:type="paragraph" w:styleId="Index1">
    <w:name w:val="index 1"/>
    <w:basedOn w:val="Normal"/>
    <w:next w:val="Normal"/>
    <w:autoRedefine/>
    <w:uiPriority w:val="99"/>
    <w:semiHidden/>
    <w:unhideWhenUsed/>
    <w:rsid w:val="00F3083B"/>
    <w:pPr>
      <w:ind w:left="180" w:hanging="180"/>
    </w:pPr>
  </w:style>
  <w:style w:type="paragraph" w:styleId="Index2">
    <w:name w:val="index 2"/>
    <w:basedOn w:val="Normal"/>
    <w:next w:val="Normal"/>
    <w:autoRedefine/>
    <w:uiPriority w:val="99"/>
    <w:semiHidden/>
    <w:unhideWhenUsed/>
    <w:rsid w:val="00F3083B"/>
    <w:pPr>
      <w:ind w:left="360" w:hanging="180"/>
    </w:pPr>
  </w:style>
  <w:style w:type="paragraph" w:styleId="Index3">
    <w:name w:val="index 3"/>
    <w:basedOn w:val="Normal"/>
    <w:next w:val="Normal"/>
    <w:autoRedefine/>
    <w:uiPriority w:val="99"/>
    <w:semiHidden/>
    <w:unhideWhenUsed/>
    <w:rsid w:val="00F3083B"/>
    <w:pPr>
      <w:ind w:left="540" w:hanging="180"/>
    </w:pPr>
  </w:style>
  <w:style w:type="paragraph" w:styleId="Index4">
    <w:name w:val="index 4"/>
    <w:basedOn w:val="Normal"/>
    <w:next w:val="Normal"/>
    <w:autoRedefine/>
    <w:uiPriority w:val="99"/>
    <w:semiHidden/>
    <w:unhideWhenUsed/>
    <w:rsid w:val="00F3083B"/>
    <w:pPr>
      <w:ind w:left="720" w:hanging="180"/>
    </w:pPr>
  </w:style>
  <w:style w:type="paragraph" w:styleId="Index5">
    <w:name w:val="index 5"/>
    <w:basedOn w:val="Normal"/>
    <w:next w:val="Normal"/>
    <w:autoRedefine/>
    <w:uiPriority w:val="99"/>
    <w:semiHidden/>
    <w:unhideWhenUsed/>
    <w:rsid w:val="00F3083B"/>
    <w:pPr>
      <w:ind w:left="900" w:hanging="180"/>
    </w:pPr>
  </w:style>
  <w:style w:type="paragraph" w:styleId="Index6">
    <w:name w:val="index 6"/>
    <w:basedOn w:val="Normal"/>
    <w:next w:val="Normal"/>
    <w:autoRedefine/>
    <w:uiPriority w:val="99"/>
    <w:semiHidden/>
    <w:unhideWhenUsed/>
    <w:rsid w:val="00F3083B"/>
    <w:pPr>
      <w:ind w:left="1080" w:hanging="180"/>
    </w:pPr>
  </w:style>
  <w:style w:type="paragraph" w:styleId="Index7">
    <w:name w:val="index 7"/>
    <w:basedOn w:val="Normal"/>
    <w:next w:val="Normal"/>
    <w:autoRedefine/>
    <w:uiPriority w:val="99"/>
    <w:semiHidden/>
    <w:unhideWhenUsed/>
    <w:rsid w:val="00F3083B"/>
    <w:pPr>
      <w:ind w:left="1260" w:hanging="180"/>
    </w:pPr>
  </w:style>
  <w:style w:type="paragraph" w:styleId="Index8">
    <w:name w:val="index 8"/>
    <w:basedOn w:val="Normal"/>
    <w:next w:val="Normal"/>
    <w:autoRedefine/>
    <w:uiPriority w:val="99"/>
    <w:semiHidden/>
    <w:unhideWhenUsed/>
    <w:rsid w:val="00F3083B"/>
    <w:pPr>
      <w:ind w:left="1440" w:hanging="180"/>
    </w:pPr>
  </w:style>
  <w:style w:type="paragraph" w:styleId="Index9">
    <w:name w:val="index 9"/>
    <w:basedOn w:val="Normal"/>
    <w:next w:val="Normal"/>
    <w:autoRedefine/>
    <w:uiPriority w:val="99"/>
    <w:semiHidden/>
    <w:unhideWhenUsed/>
    <w:rsid w:val="00F3083B"/>
    <w:pPr>
      <w:ind w:left="1620" w:hanging="180"/>
    </w:pPr>
  </w:style>
  <w:style w:type="paragraph" w:styleId="IndexHeading">
    <w:name w:val="index heading"/>
    <w:basedOn w:val="Normal"/>
    <w:next w:val="Index1"/>
    <w:uiPriority w:val="99"/>
    <w:semiHidden/>
    <w:unhideWhenUsed/>
    <w:rsid w:val="00F3083B"/>
    <w:rPr>
      <w:rFonts w:asciiTheme="majorHAnsi" w:eastAsiaTheme="majorEastAsia" w:hAnsiTheme="majorHAnsi" w:cstheme="majorBidi"/>
      <w:b/>
      <w:bCs/>
    </w:rPr>
  </w:style>
  <w:style w:type="character" w:styleId="IntenseEmphasis">
    <w:name w:val="Intense Emphasis"/>
    <w:basedOn w:val="DefaultParagraphFont"/>
    <w:uiPriority w:val="99"/>
    <w:qFormat/>
    <w:rsid w:val="00F3083B"/>
    <w:rPr>
      <w:b/>
      <w:bCs/>
      <w:i/>
      <w:iCs/>
      <w:color w:val="4F81BD" w:themeColor="accent1"/>
    </w:rPr>
  </w:style>
  <w:style w:type="paragraph" w:styleId="IntenseQuote">
    <w:name w:val="Intense Quote"/>
    <w:basedOn w:val="Normal"/>
    <w:next w:val="Normal"/>
    <w:link w:val="IntenseQuoteChar"/>
    <w:uiPriority w:val="99"/>
    <w:qFormat/>
    <w:rsid w:val="00F3083B"/>
    <w:pPr>
      <w:pBdr>
        <w:bottom w:val="single" w:sz="4" w:space="4" w:color="4F81BD" w:themeColor="accent1"/>
      </w:pBdr>
      <w:spacing w:before="200" w:after="280"/>
      <w:ind w:left="936" w:right="936"/>
    </w:pPr>
    <w:rPr>
      <w:b/>
      <w:bCs/>
      <w:i/>
      <w:iCs/>
      <w:color w:val="4F81BD" w:themeColor="accent1"/>
    </w:rPr>
  </w:style>
  <w:style w:type="character" w:styleId="IntenseReference">
    <w:name w:val="Intense Reference"/>
    <w:basedOn w:val="DefaultParagraphFont"/>
    <w:uiPriority w:val="99"/>
    <w:qFormat/>
    <w:rsid w:val="00F3083B"/>
    <w:rPr>
      <w:b/>
      <w:bCs/>
      <w:smallCaps/>
      <w:color w:val="C0504D" w:themeColor="accent2"/>
      <w:spacing w:val="5"/>
      <w:u w:val="single"/>
    </w:rPr>
  </w:style>
  <w:style w:type="character" w:styleId="LineNumber">
    <w:name w:val="line number"/>
    <w:basedOn w:val="DefaultParagraphFont"/>
    <w:uiPriority w:val="99"/>
    <w:semiHidden/>
    <w:unhideWhenUsed/>
    <w:rsid w:val="00F3083B"/>
  </w:style>
  <w:style w:type="paragraph" w:styleId="List">
    <w:name w:val="List"/>
    <w:basedOn w:val="Normal"/>
    <w:uiPriority w:val="99"/>
    <w:semiHidden/>
    <w:unhideWhenUsed/>
    <w:rsid w:val="00F3083B"/>
    <w:pPr>
      <w:ind w:left="283" w:hanging="283"/>
      <w:contextualSpacing/>
    </w:pPr>
  </w:style>
  <w:style w:type="paragraph" w:styleId="List2">
    <w:name w:val="List 2"/>
    <w:basedOn w:val="Normal"/>
    <w:uiPriority w:val="99"/>
    <w:semiHidden/>
    <w:unhideWhenUsed/>
    <w:rsid w:val="00F3083B"/>
    <w:pPr>
      <w:ind w:left="566" w:hanging="283"/>
      <w:contextualSpacing/>
    </w:pPr>
  </w:style>
  <w:style w:type="paragraph" w:styleId="List3">
    <w:name w:val="List 3"/>
    <w:basedOn w:val="Normal"/>
    <w:uiPriority w:val="99"/>
    <w:semiHidden/>
    <w:unhideWhenUsed/>
    <w:rsid w:val="00F3083B"/>
    <w:pPr>
      <w:ind w:left="849" w:hanging="283"/>
      <w:contextualSpacing/>
    </w:pPr>
  </w:style>
  <w:style w:type="paragraph" w:styleId="List4">
    <w:name w:val="List 4"/>
    <w:basedOn w:val="Normal"/>
    <w:uiPriority w:val="99"/>
    <w:semiHidden/>
    <w:unhideWhenUsed/>
    <w:rsid w:val="00F3083B"/>
    <w:pPr>
      <w:ind w:left="1132" w:hanging="283"/>
      <w:contextualSpacing/>
    </w:pPr>
  </w:style>
  <w:style w:type="paragraph" w:styleId="List5">
    <w:name w:val="List 5"/>
    <w:basedOn w:val="Normal"/>
    <w:uiPriority w:val="99"/>
    <w:semiHidden/>
    <w:unhideWhenUsed/>
    <w:rsid w:val="00F3083B"/>
    <w:pPr>
      <w:ind w:left="1415" w:hanging="283"/>
      <w:contextualSpacing/>
    </w:pPr>
  </w:style>
  <w:style w:type="paragraph" w:styleId="ListContinue">
    <w:name w:val="List Continue"/>
    <w:basedOn w:val="Normal"/>
    <w:uiPriority w:val="99"/>
    <w:semiHidden/>
    <w:unhideWhenUsed/>
    <w:rsid w:val="00F3083B"/>
    <w:pPr>
      <w:spacing w:after="120"/>
      <w:ind w:left="283"/>
      <w:contextualSpacing/>
    </w:pPr>
  </w:style>
  <w:style w:type="paragraph" w:styleId="ListContinue2">
    <w:name w:val="List Continue 2"/>
    <w:basedOn w:val="Normal"/>
    <w:uiPriority w:val="99"/>
    <w:semiHidden/>
    <w:unhideWhenUsed/>
    <w:rsid w:val="00F3083B"/>
    <w:pPr>
      <w:spacing w:after="120"/>
      <w:ind w:left="566"/>
      <w:contextualSpacing/>
    </w:pPr>
  </w:style>
  <w:style w:type="paragraph" w:styleId="ListContinue3">
    <w:name w:val="List Continue 3"/>
    <w:basedOn w:val="Normal"/>
    <w:uiPriority w:val="99"/>
    <w:semiHidden/>
    <w:unhideWhenUsed/>
    <w:rsid w:val="00F3083B"/>
    <w:pPr>
      <w:spacing w:after="120"/>
      <w:ind w:left="849"/>
      <w:contextualSpacing/>
    </w:pPr>
  </w:style>
  <w:style w:type="paragraph" w:styleId="ListContinue4">
    <w:name w:val="List Continue 4"/>
    <w:basedOn w:val="Normal"/>
    <w:uiPriority w:val="99"/>
    <w:semiHidden/>
    <w:unhideWhenUsed/>
    <w:rsid w:val="00F3083B"/>
    <w:pPr>
      <w:spacing w:after="120"/>
      <w:ind w:left="1132"/>
      <w:contextualSpacing/>
    </w:pPr>
  </w:style>
  <w:style w:type="paragraph" w:styleId="ListContinue5">
    <w:name w:val="List Continue 5"/>
    <w:basedOn w:val="Normal"/>
    <w:uiPriority w:val="99"/>
    <w:semiHidden/>
    <w:unhideWhenUsed/>
    <w:rsid w:val="00F3083B"/>
    <w:pPr>
      <w:spacing w:after="120"/>
      <w:ind w:left="1415"/>
      <w:contextualSpacing/>
    </w:pPr>
  </w:style>
  <w:style w:type="paragraph" w:styleId="ListNumber">
    <w:name w:val="List Number"/>
    <w:basedOn w:val="Normal"/>
    <w:uiPriority w:val="49"/>
    <w:unhideWhenUsed/>
    <w:rsid w:val="00F3083B"/>
    <w:pPr>
      <w:numPr>
        <w:numId w:val="34"/>
      </w:numPr>
      <w:contextualSpacing/>
    </w:pPr>
  </w:style>
  <w:style w:type="paragraph" w:styleId="ListNumber2">
    <w:name w:val="List Number 2"/>
    <w:basedOn w:val="Normal"/>
    <w:uiPriority w:val="49"/>
    <w:semiHidden/>
    <w:unhideWhenUsed/>
    <w:rsid w:val="00F3083B"/>
    <w:pPr>
      <w:numPr>
        <w:numId w:val="35"/>
      </w:numPr>
      <w:contextualSpacing/>
    </w:pPr>
  </w:style>
  <w:style w:type="paragraph" w:styleId="ListNumber3">
    <w:name w:val="List Number 3"/>
    <w:basedOn w:val="Normal"/>
    <w:uiPriority w:val="49"/>
    <w:semiHidden/>
    <w:unhideWhenUsed/>
    <w:rsid w:val="00F3083B"/>
    <w:pPr>
      <w:numPr>
        <w:numId w:val="36"/>
      </w:numPr>
      <w:contextualSpacing/>
    </w:pPr>
  </w:style>
  <w:style w:type="paragraph" w:styleId="ListNumber4">
    <w:name w:val="List Number 4"/>
    <w:basedOn w:val="Normal"/>
    <w:uiPriority w:val="49"/>
    <w:semiHidden/>
    <w:unhideWhenUsed/>
    <w:rsid w:val="00F3083B"/>
    <w:pPr>
      <w:numPr>
        <w:numId w:val="37"/>
      </w:numPr>
      <w:contextualSpacing/>
    </w:pPr>
  </w:style>
  <w:style w:type="paragraph" w:styleId="ListNumber5">
    <w:name w:val="List Number 5"/>
    <w:basedOn w:val="Normal"/>
    <w:uiPriority w:val="49"/>
    <w:semiHidden/>
    <w:unhideWhenUsed/>
    <w:rsid w:val="00F3083B"/>
    <w:pPr>
      <w:numPr>
        <w:numId w:val="38"/>
      </w:numPr>
      <w:contextualSpacing/>
    </w:pPr>
  </w:style>
  <w:style w:type="paragraph" w:styleId="MacroText">
    <w:name w:val="macro"/>
    <w:link w:val="MacroTextChar"/>
    <w:uiPriority w:val="99"/>
    <w:semiHidden/>
    <w:unhideWhenUsed/>
    <w:rsid w:val="00F3083B"/>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eastAsia="Calibri" w:hAnsi="Consolas" w:cs="Consolas"/>
      <w:sz w:val="20"/>
      <w:szCs w:val="20"/>
    </w:rPr>
  </w:style>
  <w:style w:type="paragraph" w:styleId="MessageHeader">
    <w:name w:val="Message Header"/>
    <w:basedOn w:val="Normal"/>
    <w:link w:val="MessageHeaderChar"/>
    <w:uiPriority w:val="99"/>
    <w:semiHidden/>
    <w:unhideWhenUsed/>
    <w:rsid w:val="00F3083B"/>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paragraph" w:styleId="NoSpacing">
    <w:name w:val="No Spacing"/>
    <w:uiPriority w:val="1"/>
    <w:qFormat/>
    <w:rsid w:val="00F3083B"/>
    <w:pPr>
      <w:spacing w:after="0" w:line="240" w:lineRule="auto"/>
      <w:jc w:val="both"/>
    </w:pPr>
    <w:rPr>
      <w:rFonts w:ascii="Verdana" w:eastAsia="Calibri" w:hAnsi="Verdana" w:cs="Times New Roman"/>
      <w:sz w:val="18"/>
    </w:rPr>
  </w:style>
  <w:style w:type="paragraph" w:styleId="NormalWeb">
    <w:name w:val="Normal (Web)"/>
    <w:basedOn w:val="Normal"/>
    <w:uiPriority w:val="99"/>
    <w:semiHidden/>
    <w:unhideWhenUsed/>
    <w:rsid w:val="00F3083B"/>
    <w:rPr>
      <w:rFonts w:ascii="Times New Roman" w:hAnsi="Times New Roman"/>
      <w:sz w:val="24"/>
      <w:szCs w:val="24"/>
    </w:rPr>
  </w:style>
  <w:style w:type="paragraph" w:styleId="NormalIndent">
    <w:name w:val="Normal Indent"/>
    <w:basedOn w:val="Normal"/>
    <w:uiPriority w:val="99"/>
    <w:semiHidden/>
    <w:unhideWhenUsed/>
    <w:rsid w:val="00F3083B"/>
    <w:pPr>
      <w:ind w:left="567"/>
    </w:pPr>
  </w:style>
  <w:style w:type="paragraph" w:styleId="NoteHeading">
    <w:name w:val="Note Heading"/>
    <w:basedOn w:val="Normal"/>
    <w:next w:val="Normal"/>
    <w:link w:val="NoteHeadingChar"/>
    <w:uiPriority w:val="99"/>
    <w:semiHidden/>
    <w:unhideWhenUsed/>
    <w:rsid w:val="00F3083B"/>
  </w:style>
  <w:style w:type="character" w:styleId="PageNumber">
    <w:name w:val="page number"/>
    <w:basedOn w:val="DefaultParagraphFont"/>
    <w:uiPriority w:val="99"/>
    <w:unhideWhenUsed/>
    <w:rsid w:val="00F3083B"/>
  </w:style>
  <w:style w:type="character" w:styleId="PlaceholderText">
    <w:name w:val="Placeholder Text"/>
    <w:basedOn w:val="DefaultParagraphFont"/>
    <w:uiPriority w:val="99"/>
    <w:semiHidden/>
    <w:rsid w:val="00F3083B"/>
    <w:rPr>
      <w:color w:val="808080"/>
    </w:rPr>
  </w:style>
  <w:style w:type="paragraph" w:styleId="PlainText">
    <w:name w:val="Plain Text"/>
    <w:basedOn w:val="Normal"/>
    <w:link w:val="PlainTextChar"/>
    <w:uiPriority w:val="99"/>
    <w:unhideWhenUsed/>
    <w:rsid w:val="00F3083B"/>
    <w:rPr>
      <w:rFonts w:ascii="Consolas" w:hAnsi="Consolas" w:cs="Consolas"/>
      <w:sz w:val="21"/>
      <w:szCs w:val="21"/>
    </w:rPr>
  </w:style>
  <w:style w:type="paragraph" w:styleId="Quote">
    <w:name w:val="Quote"/>
    <w:basedOn w:val="Normal"/>
    <w:next w:val="Normal"/>
    <w:link w:val="QuoteChar"/>
    <w:uiPriority w:val="99"/>
    <w:qFormat/>
    <w:rsid w:val="00F3083B"/>
    <w:rPr>
      <w:i/>
      <w:iCs/>
      <w:color w:val="000000" w:themeColor="text1"/>
    </w:rPr>
  </w:style>
  <w:style w:type="paragraph" w:styleId="Salutation">
    <w:name w:val="Salutation"/>
    <w:basedOn w:val="Normal"/>
    <w:next w:val="Normal"/>
    <w:link w:val="SalutationChar"/>
    <w:uiPriority w:val="99"/>
    <w:semiHidden/>
    <w:unhideWhenUsed/>
    <w:rsid w:val="00F3083B"/>
  </w:style>
  <w:style w:type="paragraph" w:styleId="Signature">
    <w:name w:val="Signature"/>
    <w:basedOn w:val="Normal"/>
    <w:link w:val="SignatureChar"/>
    <w:uiPriority w:val="99"/>
    <w:semiHidden/>
    <w:unhideWhenUsed/>
    <w:rsid w:val="00F3083B"/>
    <w:pPr>
      <w:ind w:left="4252"/>
    </w:pPr>
  </w:style>
  <w:style w:type="character" w:styleId="Strong">
    <w:name w:val="Strong"/>
    <w:basedOn w:val="DefaultParagraphFont"/>
    <w:uiPriority w:val="99"/>
    <w:qFormat/>
    <w:rsid w:val="00F3083B"/>
    <w:rPr>
      <w:b/>
      <w:bCs/>
    </w:rPr>
  </w:style>
  <w:style w:type="character" w:styleId="SubtleEmphasis">
    <w:name w:val="Subtle Emphasis"/>
    <w:basedOn w:val="DefaultParagraphFont"/>
    <w:uiPriority w:val="99"/>
    <w:qFormat/>
    <w:rsid w:val="00F3083B"/>
    <w:rPr>
      <w:i/>
      <w:iCs/>
      <w:color w:val="808080" w:themeColor="text1" w:themeTint="7F"/>
    </w:rPr>
  </w:style>
  <w:style w:type="character" w:styleId="SubtleReference">
    <w:name w:val="Subtle Reference"/>
    <w:basedOn w:val="DefaultParagraphFont"/>
    <w:uiPriority w:val="99"/>
    <w:qFormat/>
    <w:rsid w:val="00F3083B"/>
    <w:rPr>
      <w:smallCaps/>
      <w:color w:val="C0504D" w:themeColor="accent2"/>
      <w:u w:val="single"/>
    </w:rPr>
  </w:style>
  <w:style w:type="paragraph" w:styleId="TOAHeading">
    <w:name w:val="toa heading"/>
    <w:basedOn w:val="Normal"/>
    <w:next w:val="Normal"/>
    <w:uiPriority w:val="39"/>
    <w:unhideWhenUsed/>
    <w:rsid w:val="00F3083B"/>
    <w:pPr>
      <w:spacing w:before="120"/>
    </w:pPr>
    <w:rPr>
      <w:rFonts w:asciiTheme="majorHAnsi" w:eastAsiaTheme="majorEastAsia" w:hAnsiTheme="majorHAnsi" w:cstheme="majorBidi"/>
      <w:b/>
      <w:bCs/>
      <w:sz w:val="24"/>
      <w:szCs w:val="24"/>
    </w:rPr>
  </w:style>
  <w:style w:type="paragraph" w:customStyle="1" w:styleId="PanelTitle">
    <w:name w:val="PanelTitle"/>
    <w:basedOn w:val="Normal"/>
    <w:uiPriority w:val="49"/>
    <w:qFormat/>
    <w:rsid w:val="00F3083B"/>
    <w:pPr>
      <w:spacing w:before="480" w:after="240"/>
      <w:contextualSpacing/>
      <w:jc w:val="center"/>
    </w:pPr>
    <w:rPr>
      <w:b/>
      <w:caps/>
      <w:color w:val="006283"/>
      <w:kern w:val="28"/>
      <w:sz w:val="22"/>
    </w:rPr>
  </w:style>
  <w:style w:type="paragraph" w:styleId="Revision">
    <w:name w:val="Revision"/>
    <w:hidden/>
    <w:uiPriority w:val="71"/>
    <w:rsid w:val="0007161B"/>
    <w:pPr>
      <w:spacing w:after="0" w:line="240" w:lineRule="auto"/>
    </w:pPr>
    <w:rPr>
      <w:rFonts w:ascii="Verdana" w:eastAsia="Calibri" w:hAnsi="Verdana" w:cs="Times New Roman"/>
      <w:sz w:val="18"/>
    </w:rPr>
  </w:style>
  <w:style w:type="paragraph" w:customStyle="1" w:styleId="MediumList2-Accent21">
    <w:name w:val="Medium List 2 - Accent 21"/>
    <w:hidden/>
    <w:uiPriority w:val="99"/>
    <w:rsid w:val="0007161B"/>
    <w:pPr>
      <w:spacing w:after="0" w:line="240" w:lineRule="auto"/>
    </w:pPr>
    <w:rPr>
      <w:rFonts w:ascii="Verdana" w:eastAsia="Calibri" w:hAnsi="Verdana" w:cs="Times New Roman"/>
      <w:sz w:val="18"/>
    </w:rPr>
  </w:style>
  <w:style w:type="character" w:customStyle="1" w:styleId="3">
    <w:name w:val="3"/>
    <w:uiPriority w:val="99"/>
    <w:semiHidden/>
    <w:qFormat/>
    <w:rsid w:val="0007161B"/>
    <w:rPr>
      <w:b/>
      <w:bCs/>
      <w:smallCaps/>
      <w:color w:val="C0504D"/>
      <w:spacing w:val="5"/>
      <w:u w:val="single"/>
    </w:rPr>
  </w:style>
  <w:style w:type="character" w:customStyle="1" w:styleId="2">
    <w:name w:val="2"/>
    <w:uiPriority w:val="99"/>
    <w:semiHidden/>
    <w:qFormat/>
    <w:rsid w:val="0007161B"/>
    <w:rPr>
      <w:i/>
      <w:iCs/>
      <w:color w:val="808080"/>
    </w:rPr>
  </w:style>
  <w:style w:type="character" w:customStyle="1" w:styleId="1">
    <w:name w:val="1"/>
    <w:uiPriority w:val="99"/>
    <w:semiHidden/>
    <w:qFormat/>
    <w:rsid w:val="0007161B"/>
    <w:rPr>
      <w:smallCaps/>
      <w:color w:val="C0504D"/>
      <w:u w:val="single"/>
    </w:rPr>
  </w:style>
  <w:style w:type="paragraph" w:customStyle="1" w:styleId="ColorfulShading-Accent11">
    <w:name w:val="Colorful Shading - Accent 11"/>
    <w:hidden/>
    <w:uiPriority w:val="99"/>
    <w:semiHidden/>
    <w:rsid w:val="0007161B"/>
    <w:pPr>
      <w:spacing w:after="0" w:line="240" w:lineRule="auto"/>
    </w:pPr>
    <w:rPr>
      <w:rFonts w:ascii="Verdana" w:eastAsia="Calibri" w:hAnsi="Verdana" w:cs="Times New Roman"/>
      <w:sz w:val="18"/>
    </w:rPr>
  </w:style>
  <w:style w:type="table" w:styleId="MediumList1-Accent2">
    <w:name w:val="Medium List 1 Accent 2"/>
    <w:basedOn w:val="TableNormal"/>
    <w:uiPriority w:val="61"/>
    <w:rsid w:val="00AE4AC1"/>
    <w:pPr>
      <w:spacing w:after="0" w:line="240" w:lineRule="auto"/>
    </w:pPr>
    <w:rPr>
      <w:rFonts w:ascii="Calibri" w:eastAsia="Calibri" w:hAnsi="Calibri" w:cs="Times New Roman"/>
      <w:sz w:val="20"/>
      <w:szCs w:val="20"/>
      <w:lang w:eastAsia="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MediumList1-Accent3">
    <w:name w:val="Medium List 1 Accent 3"/>
    <w:basedOn w:val="TableNormal"/>
    <w:uiPriority w:val="61"/>
    <w:rsid w:val="00AE4AC1"/>
    <w:pPr>
      <w:spacing w:after="0" w:line="240" w:lineRule="auto"/>
    </w:pPr>
    <w:rPr>
      <w:rFonts w:ascii="Calibri" w:eastAsia="Calibri" w:hAnsi="Calibri" w:cs="Times New Roman"/>
      <w:sz w:val="20"/>
      <w:szCs w:val="20"/>
      <w:lang w:eastAsia="en-GB"/>
    </w:rPr>
    <w:tblPr>
      <w:tblStyleRowBandSize w:val="1"/>
      <w:tblStyleColBandSize w:val="1"/>
      <w:tblBorders>
        <w:top w:val="single" w:sz="8" w:space="0" w:color="1F497D"/>
        <w:left w:val="single" w:sz="8" w:space="0" w:color="1F497D"/>
        <w:bottom w:val="single" w:sz="8" w:space="0" w:color="1F497D"/>
        <w:right w:val="single" w:sz="8" w:space="0" w:color="1F497D"/>
      </w:tblBorders>
    </w:tblPr>
    <w:tblStylePr w:type="firstRow">
      <w:pPr>
        <w:spacing w:before="0" w:after="0" w:line="240" w:lineRule="auto"/>
      </w:pPr>
      <w:rPr>
        <w:b/>
        <w:bCs/>
        <w:color w:val="FFFFFF"/>
      </w:rPr>
      <w:tblPr/>
      <w:tcPr>
        <w:shd w:val="clear" w:color="auto" w:fill="1F497D"/>
      </w:tcPr>
    </w:tblStylePr>
    <w:tblStylePr w:type="lastRow">
      <w:pPr>
        <w:spacing w:before="0" w:after="0" w:line="240" w:lineRule="auto"/>
      </w:pPr>
      <w:rPr>
        <w:b/>
        <w:bCs/>
      </w:rPr>
      <w:tblPr/>
      <w:tcPr>
        <w:tcBorders>
          <w:top w:val="double" w:sz="6" w:space="0" w:color="1F497D"/>
          <w:left w:val="single" w:sz="8" w:space="0" w:color="1F497D"/>
          <w:bottom w:val="single" w:sz="8" w:space="0" w:color="1F497D"/>
          <w:right w:val="single" w:sz="8" w:space="0" w:color="1F497D"/>
        </w:tcBorders>
      </w:tcPr>
    </w:tblStylePr>
    <w:tblStylePr w:type="firstCol">
      <w:rPr>
        <w:b/>
        <w:bCs/>
      </w:rPr>
    </w:tblStylePr>
    <w:tblStylePr w:type="lastCol">
      <w:rPr>
        <w:b/>
        <w:bCs/>
      </w:rPr>
    </w:tblStylePr>
    <w:tblStylePr w:type="band1Vert">
      <w:tblPr/>
      <w:tcPr>
        <w:tcBorders>
          <w:top w:val="single" w:sz="8" w:space="0" w:color="1F497D"/>
          <w:left w:val="single" w:sz="8" w:space="0" w:color="1F497D"/>
          <w:bottom w:val="single" w:sz="8" w:space="0" w:color="1F497D"/>
          <w:right w:val="single" w:sz="8" w:space="0" w:color="1F497D"/>
        </w:tcBorders>
      </w:tcPr>
    </w:tblStylePr>
    <w:tblStylePr w:type="band1Horz">
      <w:tblPr/>
      <w:tcPr>
        <w:tcBorders>
          <w:top w:val="single" w:sz="8" w:space="0" w:color="1F497D"/>
          <w:left w:val="single" w:sz="8" w:space="0" w:color="1F497D"/>
          <w:bottom w:val="single" w:sz="8" w:space="0" w:color="1F497D"/>
          <w:right w:val="single" w:sz="8" w:space="0" w:color="1F497D"/>
        </w:tcBorders>
      </w:tcPr>
    </w:tblStylePr>
  </w:style>
  <w:style w:type="table" w:styleId="MediumShading2-Accent2">
    <w:name w:val="Medium Shading 2 Accent 2"/>
    <w:basedOn w:val="TableNormal"/>
    <w:uiPriority w:val="60"/>
    <w:rsid w:val="00AE4AC1"/>
    <w:pPr>
      <w:spacing w:after="0" w:line="240" w:lineRule="auto"/>
    </w:pPr>
    <w:rPr>
      <w:rFonts w:ascii="Verdana" w:eastAsia="Calibri" w:hAnsi="Verdana" w:cs="Times New Roman"/>
      <w:color w:val="000000"/>
      <w:sz w:val="18"/>
      <w:szCs w:val="18"/>
      <w:lang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MediumGrid2-Accent4">
    <w:name w:val="Medium Grid 2 Accent 4"/>
    <w:basedOn w:val="TableNormal"/>
    <w:uiPriority w:val="60"/>
    <w:rsid w:val="00AE4AC1"/>
    <w:pPr>
      <w:spacing w:after="0" w:line="240" w:lineRule="auto"/>
    </w:pPr>
    <w:rPr>
      <w:rFonts w:ascii="Verdana" w:eastAsia="Calibri" w:hAnsi="Verdana" w:cs="Times New Roman"/>
      <w:color w:val="943634"/>
      <w:sz w:val="18"/>
      <w:szCs w:val="18"/>
      <w:lang w:eastAsia="en-GB"/>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MediumGrid2-Accent5">
    <w:name w:val="Medium Grid 2 Accent 5"/>
    <w:basedOn w:val="TableNormal"/>
    <w:uiPriority w:val="60"/>
    <w:rsid w:val="00AE4AC1"/>
    <w:pPr>
      <w:spacing w:after="0" w:line="240" w:lineRule="auto"/>
    </w:pPr>
    <w:rPr>
      <w:rFonts w:ascii="Verdana" w:eastAsia="Calibri" w:hAnsi="Verdana" w:cs="Times New Roman"/>
      <w:color w:val="76923C"/>
      <w:sz w:val="18"/>
      <w:szCs w:val="18"/>
      <w:lang w:eastAsia="en-GB"/>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MediumGrid2-Accent6">
    <w:name w:val="Medium Grid 2 Accent 6"/>
    <w:basedOn w:val="TableNormal"/>
    <w:uiPriority w:val="60"/>
    <w:rsid w:val="00AE4AC1"/>
    <w:pPr>
      <w:spacing w:after="0" w:line="240" w:lineRule="auto"/>
    </w:pPr>
    <w:rPr>
      <w:rFonts w:ascii="Calibri" w:eastAsia="Calibri" w:hAnsi="Calibri" w:cs="Times New Roman"/>
      <w:color w:val="5F497A"/>
      <w:sz w:val="20"/>
      <w:szCs w:val="20"/>
      <w:lang w:eastAsia="en-GB"/>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List-Accent5">
    <w:name w:val="Light List Accent 5"/>
    <w:basedOn w:val="TableNormal"/>
    <w:uiPriority w:val="67"/>
    <w:rsid w:val="00AE4AC1"/>
    <w:pPr>
      <w:spacing w:after="0" w:line="240" w:lineRule="auto"/>
    </w:pPr>
    <w:rPr>
      <w:rFonts w:ascii="Verdana" w:eastAsia="Calibri" w:hAnsi="Verdana" w:cs="Times New Roman"/>
      <w:sz w:val="18"/>
      <w:szCs w:val="18"/>
      <w:lang w:eastAsia="en-GB"/>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3-Accent2">
    <w:name w:val="Medium Grid 3 Accent 2"/>
    <w:basedOn w:val="TableNormal"/>
    <w:uiPriority w:val="60"/>
    <w:qFormat/>
    <w:rsid w:val="00AE4AC1"/>
    <w:pPr>
      <w:spacing w:after="0" w:line="240" w:lineRule="auto"/>
    </w:pPr>
    <w:rPr>
      <w:rFonts w:ascii="Calibri" w:eastAsia="Calibri" w:hAnsi="Calibri" w:cs="Times New Roman"/>
      <w:color w:val="000000"/>
      <w:sz w:val="20"/>
      <w:szCs w:val="20"/>
      <w:lang w:eastAsia="en-GB"/>
    </w:rPr>
    <w:tblPr>
      <w:tblStyleRowBandSize w:val="1"/>
      <w:tblStyleColBandSize w:val="1"/>
      <w:tblBorders>
        <w:top w:val="single" w:sz="8" w:space="0" w:color="000000"/>
        <w:bottom w:val="single" w:sz="8" w:space="0" w:color="000000"/>
      </w:tblBorders>
    </w:tblPr>
    <w:tblStylePr w:type="firstRow">
      <w:rPr>
        <w:rFonts w:ascii="New York" w:eastAsia="Times New Roman" w:hAnsi="New York"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DarkList">
    <w:name w:val="Dark List"/>
    <w:basedOn w:val="TableNormal"/>
    <w:uiPriority w:val="61"/>
    <w:rsid w:val="00AE4AC1"/>
    <w:pPr>
      <w:spacing w:after="0" w:line="240" w:lineRule="auto"/>
    </w:pPr>
    <w:rPr>
      <w:rFonts w:ascii="Calibri" w:eastAsia="Calibri" w:hAnsi="Calibri" w:cs="Times New Roman"/>
      <w:sz w:val="20"/>
      <w:szCs w:val="20"/>
      <w:lang w:eastAsia="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MediumList2-Accent1">
    <w:name w:val="Medium List 2 Accent 1"/>
    <w:basedOn w:val="TableNormal"/>
    <w:uiPriority w:val="61"/>
    <w:rsid w:val="00AE4AC1"/>
    <w:pPr>
      <w:spacing w:after="0" w:line="240" w:lineRule="auto"/>
    </w:pPr>
    <w:rPr>
      <w:rFonts w:ascii="Calibri" w:eastAsia="Calibri" w:hAnsi="Calibri" w:cs="Times New Roman"/>
      <w:sz w:val="20"/>
      <w:szCs w:val="20"/>
      <w:lang w:eastAsia="en-GB"/>
    </w:rPr>
    <w:tblPr>
      <w:tblStyleRowBandSize w:val="1"/>
      <w:tblStyleColBandSize w:val="1"/>
      <w:tblBorders>
        <w:top w:val="single" w:sz="8" w:space="0" w:color="1F497D"/>
        <w:left w:val="single" w:sz="8" w:space="0" w:color="1F497D"/>
        <w:bottom w:val="single" w:sz="8" w:space="0" w:color="1F497D"/>
        <w:right w:val="single" w:sz="8" w:space="0" w:color="1F497D"/>
      </w:tblBorders>
    </w:tblPr>
    <w:tblStylePr w:type="firstRow">
      <w:pPr>
        <w:spacing w:before="0" w:after="0" w:line="240" w:lineRule="auto"/>
      </w:pPr>
      <w:rPr>
        <w:b/>
        <w:bCs/>
        <w:color w:val="FFFFFF"/>
      </w:rPr>
      <w:tblPr/>
      <w:tcPr>
        <w:shd w:val="clear" w:color="auto" w:fill="1F497D"/>
      </w:tcPr>
    </w:tblStylePr>
    <w:tblStylePr w:type="lastRow">
      <w:pPr>
        <w:spacing w:before="0" w:after="0" w:line="240" w:lineRule="auto"/>
      </w:pPr>
      <w:rPr>
        <w:b/>
        <w:bCs/>
      </w:rPr>
      <w:tblPr/>
      <w:tcPr>
        <w:tcBorders>
          <w:top w:val="double" w:sz="6" w:space="0" w:color="1F497D"/>
          <w:left w:val="single" w:sz="8" w:space="0" w:color="1F497D"/>
          <w:bottom w:val="single" w:sz="8" w:space="0" w:color="1F497D"/>
          <w:right w:val="single" w:sz="8" w:space="0" w:color="1F497D"/>
        </w:tcBorders>
      </w:tcPr>
    </w:tblStylePr>
    <w:tblStylePr w:type="firstCol">
      <w:rPr>
        <w:b/>
        <w:bCs/>
      </w:rPr>
    </w:tblStylePr>
    <w:tblStylePr w:type="lastCol">
      <w:rPr>
        <w:b/>
        <w:bCs/>
      </w:rPr>
    </w:tblStylePr>
    <w:tblStylePr w:type="band1Vert">
      <w:tblPr/>
      <w:tcPr>
        <w:tcBorders>
          <w:top w:val="single" w:sz="8" w:space="0" w:color="1F497D"/>
          <w:left w:val="single" w:sz="8" w:space="0" w:color="1F497D"/>
          <w:bottom w:val="single" w:sz="8" w:space="0" w:color="1F497D"/>
          <w:right w:val="single" w:sz="8" w:space="0" w:color="1F497D"/>
        </w:tcBorders>
      </w:tcPr>
    </w:tblStylePr>
    <w:tblStylePr w:type="band1Horz">
      <w:tblPr/>
      <w:tcPr>
        <w:tcBorders>
          <w:top w:val="single" w:sz="8" w:space="0" w:color="1F497D"/>
          <w:left w:val="single" w:sz="8" w:space="0" w:color="1F497D"/>
          <w:bottom w:val="single" w:sz="8" w:space="0" w:color="1F497D"/>
          <w:right w:val="single" w:sz="8" w:space="0" w:color="1F497D"/>
        </w:tcBorders>
      </w:tcPr>
    </w:tblStylePr>
  </w:style>
  <w:style w:type="table" w:styleId="MediumGrid3">
    <w:name w:val="Medium Grid 3"/>
    <w:basedOn w:val="TableNormal"/>
    <w:uiPriority w:val="60"/>
    <w:rsid w:val="00AE4AC1"/>
    <w:pPr>
      <w:spacing w:after="0" w:line="240" w:lineRule="auto"/>
    </w:pPr>
    <w:rPr>
      <w:rFonts w:ascii="Verdana" w:eastAsia="Calibri" w:hAnsi="Verdana" w:cs="Times New Roman"/>
      <w:color w:val="000000"/>
      <w:sz w:val="18"/>
      <w:szCs w:val="18"/>
      <w:lang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MediumGrid3-Accent3">
    <w:name w:val="Medium Grid 3 Accent 3"/>
    <w:basedOn w:val="TableNormal"/>
    <w:uiPriority w:val="60"/>
    <w:rsid w:val="00AE4AC1"/>
    <w:pPr>
      <w:spacing w:after="0" w:line="240" w:lineRule="auto"/>
    </w:pPr>
    <w:rPr>
      <w:rFonts w:ascii="Verdana" w:eastAsia="Calibri" w:hAnsi="Verdana" w:cs="Times New Roman"/>
      <w:color w:val="76923C"/>
      <w:sz w:val="18"/>
      <w:szCs w:val="18"/>
      <w:lang w:eastAsia="en-GB"/>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MediumGrid3-Accent4">
    <w:name w:val="Medium Grid 3 Accent 4"/>
    <w:basedOn w:val="TableNormal"/>
    <w:uiPriority w:val="60"/>
    <w:rsid w:val="00AE4AC1"/>
    <w:pPr>
      <w:spacing w:after="0" w:line="240" w:lineRule="auto"/>
    </w:pPr>
    <w:rPr>
      <w:rFonts w:ascii="Calibri" w:eastAsia="Calibri" w:hAnsi="Calibri" w:cs="Times New Roman"/>
      <w:color w:val="5F497A"/>
      <w:sz w:val="20"/>
      <w:szCs w:val="20"/>
      <w:lang w:eastAsia="en-GB"/>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Grid-Accent3">
    <w:name w:val="Light Grid Accent 3"/>
    <w:basedOn w:val="TableNormal"/>
    <w:uiPriority w:val="67"/>
    <w:rsid w:val="00AE4AC1"/>
    <w:pPr>
      <w:spacing w:after="0" w:line="240" w:lineRule="auto"/>
    </w:pPr>
    <w:rPr>
      <w:rFonts w:ascii="Verdana" w:eastAsia="Calibri" w:hAnsi="Verdana" w:cs="Times New Roman"/>
      <w:sz w:val="18"/>
      <w:szCs w:val="18"/>
      <w:lang w:eastAsia="en-GB"/>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LightShading-Accent1">
    <w:name w:val="Light Shading Accent 1"/>
    <w:basedOn w:val="TableNormal"/>
    <w:uiPriority w:val="65"/>
    <w:rsid w:val="00AE4AC1"/>
    <w:pPr>
      <w:spacing w:after="0" w:line="240" w:lineRule="auto"/>
    </w:pPr>
    <w:rPr>
      <w:rFonts w:ascii="Calibri" w:eastAsia="Calibri" w:hAnsi="Calibri" w:cs="Times New Roman"/>
      <w:color w:val="000000"/>
      <w:sz w:val="20"/>
      <w:szCs w:val="20"/>
      <w:lang w:eastAsia="en-GB"/>
    </w:rPr>
    <w:tblPr>
      <w:tblStyleRowBandSize w:val="1"/>
      <w:tblStyleColBandSize w:val="1"/>
      <w:tblBorders>
        <w:top w:val="single" w:sz="8" w:space="0" w:color="000000"/>
        <w:bottom w:val="single" w:sz="8" w:space="0" w:color="000000"/>
      </w:tblBorders>
    </w:tblPr>
    <w:tblStylePr w:type="firstRow">
      <w:rPr>
        <w:rFonts w:ascii="New York" w:eastAsia="Times New Roman" w:hAnsi="New York"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ghtList">
    <w:name w:val="Light List"/>
    <w:basedOn w:val="TableNormal"/>
    <w:uiPriority w:val="61"/>
    <w:rsid w:val="00AE4AC1"/>
    <w:pPr>
      <w:spacing w:after="0" w:line="240" w:lineRule="auto"/>
    </w:pPr>
    <w:rPr>
      <w:rFonts w:ascii="Calibri" w:eastAsia="Calibri" w:hAnsi="Calibri" w:cs="Times New Roman"/>
      <w:sz w:val="20"/>
      <w:szCs w:val="20"/>
      <w:lang w:eastAsia="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AE4AC1"/>
    <w:pPr>
      <w:spacing w:after="0" w:line="240" w:lineRule="auto"/>
    </w:pPr>
    <w:rPr>
      <w:rFonts w:ascii="Calibri" w:eastAsia="Calibri" w:hAnsi="Calibri" w:cs="Times New Roman"/>
      <w:sz w:val="20"/>
      <w:szCs w:val="20"/>
      <w:lang w:eastAsia="en-GB"/>
    </w:rPr>
    <w:tblPr>
      <w:tblStyleRowBandSize w:val="1"/>
      <w:tblStyleColBandSize w:val="1"/>
      <w:tblBorders>
        <w:top w:val="single" w:sz="8" w:space="0" w:color="1F497D"/>
        <w:left w:val="single" w:sz="8" w:space="0" w:color="1F497D"/>
        <w:bottom w:val="single" w:sz="8" w:space="0" w:color="1F497D"/>
        <w:right w:val="single" w:sz="8" w:space="0" w:color="1F497D"/>
      </w:tblBorders>
    </w:tblPr>
    <w:tblStylePr w:type="firstRow">
      <w:pPr>
        <w:spacing w:before="0" w:after="0" w:line="240" w:lineRule="auto"/>
      </w:pPr>
      <w:rPr>
        <w:b/>
        <w:bCs/>
        <w:color w:val="FFFFFF"/>
      </w:rPr>
      <w:tblPr/>
      <w:tcPr>
        <w:shd w:val="clear" w:color="auto" w:fill="1F497D"/>
      </w:tcPr>
    </w:tblStylePr>
    <w:tblStylePr w:type="lastRow">
      <w:pPr>
        <w:spacing w:before="0" w:after="0" w:line="240" w:lineRule="auto"/>
      </w:pPr>
      <w:rPr>
        <w:b/>
        <w:bCs/>
      </w:rPr>
      <w:tblPr/>
      <w:tcPr>
        <w:tcBorders>
          <w:top w:val="double" w:sz="6" w:space="0" w:color="1F497D"/>
          <w:left w:val="single" w:sz="8" w:space="0" w:color="1F497D"/>
          <w:bottom w:val="single" w:sz="8" w:space="0" w:color="1F497D"/>
          <w:right w:val="single" w:sz="8" w:space="0" w:color="1F497D"/>
        </w:tcBorders>
      </w:tcPr>
    </w:tblStylePr>
    <w:tblStylePr w:type="firstCol">
      <w:rPr>
        <w:b/>
        <w:bCs/>
      </w:rPr>
    </w:tblStylePr>
    <w:tblStylePr w:type="lastCol">
      <w:rPr>
        <w:b/>
        <w:bCs/>
      </w:rPr>
    </w:tblStylePr>
    <w:tblStylePr w:type="band1Vert">
      <w:tblPr/>
      <w:tcPr>
        <w:tcBorders>
          <w:top w:val="single" w:sz="8" w:space="0" w:color="1F497D"/>
          <w:left w:val="single" w:sz="8" w:space="0" w:color="1F497D"/>
          <w:bottom w:val="single" w:sz="8" w:space="0" w:color="1F497D"/>
          <w:right w:val="single" w:sz="8" w:space="0" w:color="1F497D"/>
        </w:tcBorders>
      </w:tcPr>
    </w:tblStylePr>
    <w:tblStylePr w:type="band1Horz">
      <w:tblPr/>
      <w:tcPr>
        <w:tcBorders>
          <w:top w:val="single" w:sz="8" w:space="0" w:color="1F497D"/>
          <w:left w:val="single" w:sz="8" w:space="0" w:color="1F497D"/>
          <w:bottom w:val="single" w:sz="8" w:space="0" w:color="1F497D"/>
          <w:right w:val="single" w:sz="8" w:space="0" w:color="1F497D"/>
        </w:tcBorders>
      </w:tcPr>
    </w:tblStylePr>
  </w:style>
  <w:style w:type="table" w:styleId="LightShading">
    <w:name w:val="Light Shading"/>
    <w:basedOn w:val="TableNormal"/>
    <w:uiPriority w:val="60"/>
    <w:rsid w:val="00AE4AC1"/>
    <w:pPr>
      <w:spacing w:after="0" w:line="240" w:lineRule="auto"/>
    </w:pPr>
    <w:rPr>
      <w:rFonts w:ascii="Verdana" w:eastAsia="Calibri" w:hAnsi="Verdana" w:cs="Times New Roman"/>
      <w:color w:val="000000"/>
      <w:sz w:val="18"/>
      <w:szCs w:val="18"/>
      <w:lang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3">
    <w:name w:val="Light Shading Accent 3"/>
    <w:basedOn w:val="TableNormal"/>
    <w:uiPriority w:val="60"/>
    <w:rsid w:val="00AE4AC1"/>
    <w:pPr>
      <w:spacing w:after="0" w:line="240" w:lineRule="auto"/>
    </w:pPr>
    <w:rPr>
      <w:rFonts w:ascii="Verdana" w:eastAsia="Calibri" w:hAnsi="Verdana" w:cs="Times New Roman"/>
      <w:color w:val="76923C"/>
      <w:sz w:val="18"/>
      <w:szCs w:val="18"/>
      <w:lang w:eastAsia="en-GB"/>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AE4AC1"/>
    <w:pPr>
      <w:spacing w:after="0" w:line="240" w:lineRule="auto"/>
    </w:pPr>
    <w:rPr>
      <w:rFonts w:ascii="Calibri" w:eastAsia="Calibri" w:hAnsi="Calibri" w:cs="Times New Roman"/>
      <w:color w:val="5F497A"/>
      <w:sz w:val="20"/>
      <w:szCs w:val="20"/>
      <w:lang w:eastAsia="en-GB"/>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MediumGrid1-Accent2">
    <w:name w:val="Medium Grid 1 Accent 2"/>
    <w:basedOn w:val="TableNormal"/>
    <w:uiPriority w:val="67"/>
    <w:rsid w:val="00AE4AC1"/>
    <w:pPr>
      <w:spacing w:after="0" w:line="240" w:lineRule="auto"/>
    </w:pPr>
    <w:rPr>
      <w:rFonts w:ascii="Verdana" w:eastAsia="Calibri" w:hAnsi="Verdana" w:cs="Times New Roman"/>
      <w:sz w:val="18"/>
      <w:szCs w:val="18"/>
      <w:lang w:eastAsia="en-GB"/>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List1">
    <w:name w:val="Medium List 1"/>
    <w:basedOn w:val="TableNormal"/>
    <w:uiPriority w:val="65"/>
    <w:rsid w:val="00AE4AC1"/>
    <w:pPr>
      <w:spacing w:after="0" w:line="240" w:lineRule="auto"/>
    </w:pPr>
    <w:rPr>
      <w:rFonts w:ascii="Calibri" w:eastAsia="Calibri" w:hAnsi="Calibri" w:cs="Times New Roman"/>
      <w:color w:val="000000"/>
      <w:sz w:val="20"/>
      <w:szCs w:val="20"/>
      <w:lang w:eastAsia="en-GB"/>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character" w:customStyle="1" w:styleId="AnswerChar">
    <w:name w:val="Answer Char"/>
    <w:link w:val="Answer"/>
    <w:uiPriority w:val="6"/>
    <w:rsid w:val="00F3083B"/>
    <w:rPr>
      <w:rFonts w:ascii="Verdana" w:eastAsia="Calibri" w:hAnsi="Verdana" w:cs="Times New Roman"/>
      <w:sz w:val="18"/>
      <w:szCs w:val="20"/>
      <w:lang w:eastAsia="en-GB"/>
    </w:rPr>
  </w:style>
  <w:style w:type="character" w:customStyle="1" w:styleId="BalloonTextChar">
    <w:name w:val="Balloon Text Char"/>
    <w:link w:val="BalloonText"/>
    <w:uiPriority w:val="99"/>
    <w:semiHidden/>
    <w:rsid w:val="00F3083B"/>
    <w:rPr>
      <w:rFonts w:ascii="Tahoma" w:eastAsia="Calibri" w:hAnsi="Tahoma" w:cs="Tahoma"/>
      <w:sz w:val="16"/>
      <w:szCs w:val="16"/>
      <w:lang w:eastAsia="en-GB"/>
    </w:rPr>
  </w:style>
  <w:style w:type="character" w:customStyle="1" w:styleId="BodyTextChar">
    <w:name w:val="Body Text Char"/>
    <w:link w:val="BodyText"/>
    <w:uiPriority w:val="1"/>
    <w:rsid w:val="00DC4FDF"/>
    <w:rPr>
      <w:rFonts w:ascii="Verdana" w:eastAsia="Calibri" w:hAnsi="Verdana" w:cs="Times New Roman"/>
      <w:sz w:val="18"/>
      <w:szCs w:val="20"/>
      <w:lang w:eastAsia="en-GB"/>
    </w:rPr>
  </w:style>
  <w:style w:type="character" w:customStyle="1" w:styleId="BodyText2Char">
    <w:name w:val="Body Text 2 Char"/>
    <w:link w:val="BodyText2"/>
    <w:uiPriority w:val="1"/>
    <w:rsid w:val="00526697"/>
    <w:rPr>
      <w:rFonts w:ascii="Verdana" w:eastAsia="Calibri" w:hAnsi="Verdana" w:cs="Times New Roman"/>
      <w:sz w:val="18"/>
      <w:szCs w:val="20"/>
      <w:lang w:eastAsia="en-GB"/>
    </w:rPr>
  </w:style>
  <w:style w:type="character" w:customStyle="1" w:styleId="BodyText3Char">
    <w:name w:val="Body Text 3 Char"/>
    <w:link w:val="BodyText3"/>
    <w:uiPriority w:val="1"/>
    <w:rsid w:val="00F3083B"/>
    <w:rPr>
      <w:rFonts w:ascii="Verdana" w:eastAsia="Calibri" w:hAnsi="Verdana" w:cs="Times New Roman"/>
      <w:sz w:val="18"/>
      <w:szCs w:val="16"/>
      <w:lang w:eastAsia="en-GB"/>
    </w:rPr>
  </w:style>
  <w:style w:type="character" w:customStyle="1" w:styleId="BodyTextFirstIndentChar">
    <w:name w:val="Body Text First Indent Char"/>
    <w:basedOn w:val="BodyTextChar"/>
    <w:link w:val="BodyTextFirstIndent"/>
    <w:uiPriority w:val="99"/>
    <w:semiHidden/>
    <w:rsid w:val="00F3083B"/>
    <w:rPr>
      <w:rFonts w:ascii="Verdana" w:eastAsia="Calibri" w:hAnsi="Verdana" w:cs="Times New Roman"/>
      <w:sz w:val="18"/>
      <w:szCs w:val="20"/>
      <w:lang w:eastAsia="en-GB"/>
    </w:rPr>
  </w:style>
  <w:style w:type="character" w:customStyle="1" w:styleId="BodyTextFirstIndent2Char">
    <w:name w:val="Body Text First Indent 2 Char"/>
    <w:basedOn w:val="BodyTextIndentChar"/>
    <w:link w:val="BodyTextFirstIndent2"/>
    <w:uiPriority w:val="99"/>
    <w:semiHidden/>
    <w:rsid w:val="00F3083B"/>
    <w:rPr>
      <w:rFonts w:ascii="Verdana" w:eastAsia="Calibri" w:hAnsi="Verdana" w:cs="Times New Roman"/>
      <w:sz w:val="18"/>
    </w:rPr>
  </w:style>
  <w:style w:type="character" w:customStyle="1" w:styleId="BodyTextIndentChar">
    <w:name w:val="Body Text Indent Char"/>
    <w:basedOn w:val="DefaultParagraphFont"/>
    <w:link w:val="BodyTextIndent"/>
    <w:uiPriority w:val="99"/>
    <w:semiHidden/>
    <w:rsid w:val="00F3083B"/>
    <w:rPr>
      <w:rFonts w:ascii="Verdana" w:eastAsia="Calibri" w:hAnsi="Verdana" w:cs="Times New Roman"/>
      <w:sz w:val="18"/>
    </w:rPr>
  </w:style>
  <w:style w:type="character" w:customStyle="1" w:styleId="BodyTextIndent2Char">
    <w:name w:val="Body Text Indent 2 Char"/>
    <w:basedOn w:val="DefaultParagraphFont"/>
    <w:link w:val="BodyTextIndent2"/>
    <w:uiPriority w:val="99"/>
    <w:semiHidden/>
    <w:rsid w:val="00F3083B"/>
    <w:rPr>
      <w:rFonts w:ascii="Verdana" w:eastAsia="Calibri" w:hAnsi="Verdana" w:cs="Times New Roman"/>
      <w:sz w:val="18"/>
    </w:rPr>
  </w:style>
  <w:style w:type="character" w:customStyle="1" w:styleId="BodyTextIndent3Char">
    <w:name w:val="Body Text Indent 3 Char"/>
    <w:basedOn w:val="DefaultParagraphFont"/>
    <w:link w:val="BodyTextIndent3"/>
    <w:uiPriority w:val="99"/>
    <w:semiHidden/>
    <w:rsid w:val="00F3083B"/>
    <w:rPr>
      <w:rFonts w:ascii="Verdana" w:eastAsia="Calibri" w:hAnsi="Verdana" w:cs="Times New Roman"/>
      <w:sz w:val="16"/>
      <w:szCs w:val="16"/>
    </w:rPr>
  </w:style>
  <w:style w:type="character" w:customStyle="1" w:styleId="ClosingChar">
    <w:name w:val="Closing Char"/>
    <w:basedOn w:val="DefaultParagraphFont"/>
    <w:link w:val="Closing"/>
    <w:uiPriority w:val="99"/>
    <w:semiHidden/>
    <w:rsid w:val="00F3083B"/>
    <w:rPr>
      <w:rFonts w:ascii="Verdana" w:eastAsia="Calibri" w:hAnsi="Verdana" w:cs="Times New Roman"/>
      <w:sz w:val="18"/>
    </w:rPr>
  </w:style>
  <w:style w:type="character" w:customStyle="1" w:styleId="CommentSubjectChar">
    <w:name w:val="Comment Subject Char"/>
    <w:basedOn w:val="CommentTextChar"/>
    <w:link w:val="CommentSubject"/>
    <w:uiPriority w:val="99"/>
    <w:rsid w:val="00F3083B"/>
    <w:rPr>
      <w:rFonts w:ascii="Verdana" w:eastAsia="Calibri" w:hAnsi="Verdana" w:cs="Times New Roman"/>
      <w:b/>
      <w:bCs/>
      <w:sz w:val="20"/>
      <w:szCs w:val="20"/>
    </w:rPr>
  </w:style>
  <w:style w:type="character" w:customStyle="1" w:styleId="CommentTextChar">
    <w:name w:val="Comment Text Char"/>
    <w:basedOn w:val="DefaultParagraphFont"/>
    <w:link w:val="CommentText"/>
    <w:uiPriority w:val="99"/>
    <w:rsid w:val="00F3083B"/>
    <w:rPr>
      <w:rFonts w:ascii="Verdana" w:eastAsia="Calibri" w:hAnsi="Verdana" w:cs="Times New Roman"/>
      <w:sz w:val="20"/>
      <w:szCs w:val="20"/>
    </w:rPr>
  </w:style>
  <w:style w:type="character" w:customStyle="1" w:styleId="DateChar">
    <w:name w:val="Date Char"/>
    <w:basedOn w:val="DefaultParagraphFont"/>
    <w:link w:val="Date"/>
    <w:uiPriority w:val="99"/>
    <w:semiHidden/>
    <w:rsid w:val="00F3083B"/>
    <w:rPr>
      <w:rFonts w:ascii="Verdana" w:eastAsia="Calibri" w:hAnsi="Verdana" w:cs="Times New Roman"/>
      <w:sz w:val="18"/>
    </w:rPr>
  </w:style>
  <w:style w:type="character" w:customStyle="1" w:styleId="DocumentMapChar">
    <w:name w:val="Document Map Char"/>
    <w:basedOn w:val="DefaultParagraphFont"/>
    <w:link w:val="DocumentMap"/>
    <w:uiPriority w:val="99"/>
    <w:semiHidden/>
    <w:rsid w:val="00F3083B"/>
    <w:rPr>
      <w:rFonts w:ascii="Tahoma" w:eastAsia="Calibri" w:hAnsi="Tahoma" w:cs="Tahoma"/>
      <w:sz w:val="16"/>
      <w:szCs w:val="16"/>
    </w:rPr>
  </w:style>
  <w:style w:type="character" w:customStyle="1" w:styleId="E-mailSignatureChar">
    <w:name w:val="E-mail Signature Char"/>
    <w:basedOn w:val="DefaultParagraphFont"/>
    <w:link w:val="E-mailSignature"/>
    <w:uiPriority w:val="99"/>
    <w:semiHidden/>
    <w:rsid w:val="00F3083B"/>
    <w:rPr>
      <w:rFonts w:ascii="Verdana" w:eastAsia="Calibri" w:hAnsi="Verdana" w:cs="Times New Roman"/>
      <w:sz w:val="18"/>
    </w:rPr>
  </w:style>
  <w:style w:type="character" w:customStyle="1" w:styleId="EndnoteTextChar">
    <w:name w:val="Endnote Text Char"/>
    <w:link w:val="EndnoteText"/>
    <w:uiPriority w:val="99"/>
    <w:rsid w:val="00F3083B"/>
    <w:rPr>
      <w:rFonts w:ascii="Verdana" w:eastAsia="Calibri" w:hAnsi="Verdana" w:cs="Times New Roman"/>
      <w:sz w:val="16"/>
      <w:szCs w:val="20"/>
      <w:lang w:eastAsia="en-GB"/>
    </w:rPr>
  </w:style>
  <w:style w:type="character" w:customStyle="1" w:styleId="FollowUpChar">
    <w:name w:val="FollowUp Char"/>
    <w:link w:val="FollowUp"/>
    <w:uiPriority w:val="6"/>
    <w:rsid w:val="00F3083B"/>
    <w:rPr>
      <w:rFonts w:ascii="Verdana" w:eastAsia="Calibri" w:hAnsi="Verdana" w:cs="Times New Roman"/>
      <w:i/>
      <w:sz w:val="18"/>
      <w:szCs w:val="20"/>
      <w:lang w:eastAsia="en-GB"/>
    </w:rPr>
  </w:style>
  <w:style w:type="character" w:customStyle="1" w:styleId="FooterChar">
    <w:name w:val="Footer Char"/>
    <w:link w:val="Footer"/>
    <w:uiPriority w:val="5"/>
    <w:rsid w:val="00F3083B"/>
    <w:rPr>
      <w:rFonts w:ascii="Verdana" w:eastAsia="Calibri" w:hAnsi="Verdana" w:cs="Times New Roman"/>
      <w:sz w:val="18"/>
      <w:szCs w:val="18"/>
      <w:lang w:eastAsia="en-GB"/>
    </w:rPr>
  </w:style>
  <w:style w:type="character" w:customStyle="1" w:styleId="FootnoteTextChar">
    <w:name w:val="Footnote Text Char"/>
    <w:link w:val="FootnoteText"/>
    <w:uiPriority w:val="1"/>
    <w:rsid w:val="00F3083B"/>
    <w:rPr>
      <w:rFonts w:ascii="Verdana" w:eastAsia="Calibri" w:hAnsi="Verdana" w:cs="Times New Roman"/>
      <w:sz w:val="16"/>
      <w:szCs w:val="18"/>
      <w:lang w:eastAsia="en-GB"/>
    </w:rPr>
  </w:style>
  <w:style w:type="character" w:customStyle="1" w:styleId="HeaderChar">
    <w:name w:val="Header Char"/>
    <w:link w:val="Header"/>
    <w:uiPriority w:val="5"/>
    <w:rsid w:val="00F3083B"/>
    <w:rPr>
      <w:rFonts w:ascii="Verdana" w:eastAsia="Calibri" w:hAnsi="Verdana" w:cs="Times New Roman"/>
      <w:sz w:val="18"/>
      <w:szCs w:val="18"/>
      <w:lang w:eastAsia="en-GB"/>
    </w:rPr>
  </w:style>
  <w:style w:type="character" w:customStyle="1" w:styleId="Heading1Char">
    <w:name w:val="Heading 1 Char"/>
    <w:link w:val="Heading1"/>
    <w:uiPriority w:val="2"/>
    <w:rsid w:val="00DC4FDF"/>
    <w:rPr>
      <w:rFonts w:ascii="Verdana" w:eastAsia="Times New Roman" w:hAnsi="Verdana" w:cs="Times New Roman"/>
      <w:b/>
      <w:bCs/>
      <w:caps/>
      <w:color w:val="006283"/>
      <w:sz w:val="18"/>
      <w:szCs w:val="28"/>
      <w:lang w:eastAsia="en-GB"/>
    </w:rPr>
  </w:style>
  <w:style w:type="character" w:customStyle="1" w:styleId="Heading2Char">
    <w:name w:val="Heading 2 Char"/>
    <w:link w:val="Heading2"/>
    <w:uiPriority w:val="2"/>
    <w:rsid w:val="00F3083B"/>
    <w:rPr>
      <w:rFonts w:ascii="Verdana" w:eastAsia="Times New Roman" w:hAnsi="Verdana" w:cs="Times New Roman"/>
      <w:b/>
      <w:bCs/>
      <w:color w:val="006283"/>
      <w:sz w:val="18"/>
      <w:szCs w:val="26"/>
      <w:lang w:eastAsia="en-GB"/>
    </w:rPr>
  </w:style>
  <w:style w:type="character" w:customStyle="1" w:styleId="Heading3Char">
    <w:name w:val="Heading 3 Char"/>
    <w:link w:val="Heading3"/>
    <w:uiPriority w:val="2"/>
    <w:rsid w:val="00F3083B"/>
    <w:rPr>
      <w:rFonts w:ascii="Verdana" w:eastAsia="Times New Roman" w:hAnsi="Verdana" w:cs="Times New Roman"/>
      <w:b/>
      <w:bCs/>
      <w:color w:val="006283"/>
      <w:sz w:val="18"/>
      <w:szCs w:val="20"/>
      <w:lang w:eastAsia="en-GB"/>
    </w:rPr>
  </w:style>
  <w:style w:type="character" w:customStyle="1" w:styleId="Heading4Char">
    <w:name w:val="Heading 4 Char"/>
    <w:link w:val="Heading4"/>
    <w:uiPriority w:val="2"/>
    <w:rsid w:val="00F3083B"/>
    <w:rPr>
      <w:rFonts w:ascii="Verdana" w:eastAsia="Times New Roman" w:hAnsi="Verdana" w:cs="Times New Roman"/>
      <w:b/>
      <w:bCs/>
      <w:iCs/>
      <w:color w:val="006283"/>
      <w:sz w:val="18"/>
      <w:szCs w:val="20"/>
      <w:lang w:eastAsia="en-GB"/>
    </w:rPr>
  </w:style>
  <w:style w:type="character" w:customStyle="1" w:styleId="Heading5Char">
    <w:name w:val="Heading 5 Char"/>
    <w:link w:val="Heading5"/>
    <w:uiPriority w:val="2"/>
    <w:rsid w:val="00F3083B"/>
    <w:rPr>
      <w:rFonts w:ascii="Verdana" w:eastAsia="Times New Roman" w:hAnsi="Verdana" w:cs="Times New Roman"/>
      <w:b/>
      <w:color w:val="006283"/>
      <w:sz w:val="18"/>
      <w:szCs w:val="20"/>
      <w:lang w:eastAsia="en-GB"/>
    </w:rPr>
  </w:style>
  <w:style w:type="character" w:customStyle="1" w:styleId="Heading6Char">
    <w:name w:val="Heading 6 Char"/>
    <w:link w:val="Heading6"/>
    <w:uiPriority w:val="2"/>
    <w:rsid w:val="00F3083B"/>
    <w:rPr>
      <w:rFonts w:ascii="Verdana" w:eastAsia="Times New Roman" w:hAnsi="Verdana" w:cs="Times New Roman"/>
      <w:b/>
      <w:iCs/>
      <w:color w:val="006283"/>
      <w:sz w:val="18"/>
      <w:szCs w:val="20"/>
      <w:lang w:eastAsia="en-GB"/>
    </w:rPr>
  </w:style>
  <w:style w:type="character" w:customStyle="1" w:styleId="Heading7Char">
    <w:name w:val="Heading 7 Char"/>
    <w:link w:val="Heading7"/>
    <w:uiPriority w:val="2"/>
    <w:rsid w:val="00F3083B"/>
    <w:rPr>
      <w:rFonts w:ascii="Verdana" w:eastAsia="Times New Roman" w:hAnsi="Verdana" w:cs="Times New Roman"/>
      <w:b/>
      <w:iCs/>
      <w:color w:val="006283"/>
      <w:sz w:val="18"/>
      <w:szCs w:val="20"/>
      <w:lang w:eastAsia="en-GB"/>
    </w:rPr>
  </w:style>
  <w:style w:type="character" w:customStyle="1" w:styleId="Heading8Char">
    <w:name w:val="Heading 8 Char"/>
    <w:link w:val="Heading8"/>
    <w:uiPriority w:val="2"/>
    <w:rsid w:val="00F3083B"/>
    <w:rPr>
      <w:rFonts w:ascii="Verdana" w:eastAsia="Times New Roman" w:hAnsi="Verdana" w:cs="Times New Roman"/>
      <w:b/>
      <w:i/>
      <w:color w:val="006283"/>
      <w:sz w:val="18"/>
      <w:szCs w:val="20"/>
      <w:lang w:eastAsia="en-GB"/>
    </w:rPr>
  </w:style>
  <w:style w:type="character" w:customStyle="1" w:styleId="Heading9Char">
    <w:name w:val="Heading 9 Char"/>
    <w:link w:val="Heading9"/>
    <w:uiPriority w:val="2"/>
    <w:rsid w:val="00F3083B"/>
    <w:rPr>
      <w:rFonts w:ascii="Verdana" w:eastAsia="Times New Roman" w:hAnsi="Verdana" w:cs="Times New Roman"/>
      <w:b/>
      <w:iCs/>
      <w:color w:val="006283"/>
      <w:sz w:val="18"/>
      <w:szCs w:val="20"/>
      <w:u w:val="single"/>
      <w:lang w:eastAsia="en-GB"/>
    </w:rPr>
  </w:style>
  <w:style w:type="character" w:customStyle="1" w:styleId="HTMLAddressChar">
    <w:name w:val="HTML Address Char"/>
    <w:basedOn w:val="DefaultParagraphFont"/>
    <w:link w:val="HTMLAddress"/>
    <w:uiPriority w:val="99"/>
    <w:semiHidden/>
    <w:rsid w:val="00F3083B"/>
    <w:rPr>
      <w:rFonts w:ascii="Verdana" w:eastAsia="Calibri" w:hAnsi="Verdana" w:cs="Times New Roman"/>
      <w:i/>
      <w:iCs/>
      <w:sz w:val="18"/>
    </w:rPr>
  </w:style>
  <w:style w:type="character" w:customStyle="1" w:styleId="HTMLPreformattedChar">
    <w:name w:val="HTML Preformatted Char"/>
    <w:basedOn w:val="DefaultParagraphFont"/>
    <w:link w:val="HTMLPreformatted"/>
    <w:uiPriority w:val="99"/>
    <w:semiHidden/>
    <w:rsid w:val="00F3083B"/>
    <w:rPr>
      <w:rFonts w:ascii="Consolas" w:eastAsia="Calibri" w:hAnsi="Consolas" w:cs="Consolas"/>
      <w:sz w:val="20"/>
      <w:szCs w:val="20"/>
    </w:rPr>
  </w:style>
  <w:style w:type="character" w:customStyle="1" w:styleId="IntenseQuoteChar">
    <w:name w:val="Intense Quote Char"/>
    <w:basedOn w:val="DefaultParagraphFont"/>
    <w:link w:val="IntenseQuote"/>
    <w:uiPriority w:val="99"/>
    <w:rsid w:val="00F3083B"/>
    <w:rPr>
      <w:rFonts w:ascii="Verdana" w:eastAsia="Calibri" w:hAnsi="Verdana" w:cs="Times New Roman"/>
      <w:b/>
      <w:bCs/>
      <w:i/>
      <w:iCs/>
      <w:color w:val="4F81BD" w:themeColor="accent1"/>
      <w:sz w:val="18"/>
    </w:rPr>
  </w:style>
  <w:style w:type="character" w:customStyle="1" w:styleId="MacroTextChar">
    <w:name w:val="Macro Text Char"/>
    <w:basedOn w:val="DefaultParagraphFont"/>
    <w:link w:val="MacroText"/>
    <w:uiPriority w:val="99"/>
    <w:semiHidden/>
    <w:rsid w:val="00F3083B"/>
    <w:rPr>
      <w:rFonts w:ascii="Consolas" w:eastAsia="Calibri" w:hAnsi="Consolas" w:cs="Consolas"/>
      <w:sz w:val="20"/>
      <w:szCs w:val="20"/>
    </w:rPr>
  </w:style>
  <w:style w:type="character" w:customStyle="1" w:styleId="MessageHeaderChar">
    <w:name w:val="Message Header Char"/>
    <w:basedOn w:val="DefaultParagraphFont"/>
    <w:link w:val="MessageHeader"/>
    <w:uiPriority w:val="99"/>
    <w:semiHidden/>
    <w:rsid w:val="00F3083B"/>
    <w:rPr>
      <w:rFonts w:asciiTheme="majorHAnsi" w:eastAsiaTheme="majorEastAsia" w:hAnsiTheme="majorHAnsi" w:cstheme="majorBidi"/>
      <w:sz w:val="24"/>
      <w:szCs w:val="24"/>
      <w:shd w:val="pct20" w:color="auto" w:fill="auto"/>
    </w:rPr>
  </w:style>
  <w:style w:type="character" w:customStyle="1" w:styleId="NoteHeadingChar">
    <w:name w:val="Note Heading Char"/>
    <w:basedOn w:val="DefaultParagraphFont"/>
    <w:link w:val="NoteHeading"/>
    <w:uiPriority w:val="99"/>
    <w:semiHidden/>
    <w:rsid w:val="00F3083B"/>
    <w:rPr>
      <w:rFonts w:ascii="Verdana" w:eastAsia="Calibri" w:hAnsi="Verdana" w:cs="Times New Roman"/>
      <w:sz w:val="18"/>
    </w:rPr>
  </w:style>
  <w:style w:type="character" w:customStyle="1" w:styleId="PlainTextChar">
    <w:name w:val="Plain Text Char"/>
    <w:basedOn w:val="DefaultParagraphFont"/>
    <w:link w:val="PlainText"/>
    <w:uiPriority w:val="99"/>
    <w:rsid w:val="00F3083B"/>
    <w:rPr>
      <w:rFonts w:ascii="Consolas" w:eastAsia="Calibri" w:hAnsi="Consolas" w:cs="Consolas"/>
      <w:sz w:val="21"/>
      <w:szCs w:val="21"/>
    </w:rPr>
  </w:style>
  <w:style w:type="character" w:customStyle="1" w:styleId="QuoteChar">
    <w:name w:val="Quote Char"/>
    <w:basedOn w:val="DefaultParagraphFont"/>
    <w:link w:val="Quote"/>
    <w:uiPriority w:val="99"/>
    <w:rsid w:val="00F3083B"/>
    <w:rPr>
      <w:rFonts w:ascii="Verdana" w:eastAsia="Calibri" w:hAnsi="Verdana" w:cs="Times New Roman"/>
      <w:i/>
      <w:iCs/>
      <w:color w:val="000000" w:themeColor="text1"/>
      <w:sz w:val="18"/>
    </w:rPr>
  </w:style>
  <w:style w:type="character" w:customStyle="1" w:styleId="SalutationChar">
    <w:name w:val="Salutation Char"/>
    <w:basedOn w:val="DefaultParagraphFont"/>
    <w:link w:val="Salutation"/>
    <w:uiPriority w:val="99"/>
    <w:semiHidden/>
    <w:rsid w:val="00F3083B"/>
    <w:rPr>
      <w:rFonts w:ascii="Verdana" w:eastAsia="Calibri" w:hAnsi="Verdana" w:cs="Times New Roman"/>
      <w:sz w:val="18"/>
    </w:rPr>
  </w:style>
  <w:style w:type="character" w:customStyle="1" w:styleId="SignatureChar">
    <w:name w:val="Signature Char"/>
    <w:basedOn w:val="DefaultParagraphFont"/>
    <w:link w:val="Signature"/>
    <w:uiPriority w:val="99"/>
    <w:semiHidden/>
    <w:rsid w:val="00F3083B"/>
    <w:rPr>
      <w:rFonts w:ascii="Verdana" w:eastAsia="Calibri" w:hAnsi="Verdana" w:cs="Times New Roman"/>
      <w:sz w:val="18"/>
    </w:rPr>
  </w:style>
  <w:style w:type="character" w:customStyle="1" w:styleId="SubtitleChar">
    <w:name w:val="Subtitle Char"/>
    <w:link w:val="Subtitle"/>
    <w:uiPriority w:val="11"/>
    <w:rsid w:val="00F3083B"/>
    <w:rPr>
      <w:rFonts w:ascii="Verdana" w:eastAsia="Times New Roman" w:hAnsi="Verdana" w:cs="Times New Roman"/>
      <w:b/>
      <w:iCs/>
      <w:sz w:val="18"/>
      <w:szCs w:val="24"/>
      <w:lang w:eastAsia="en-GB"/>
    </w:rPr>
  </w:style>
  <w:style w:type="character" w:customStyle="1" w:styleId="TitleChar">
    <w:name w:val="Title Char"/>
    <w:link w:val="Title"/>
    <w:uiPriority w:val="5"/>
    <w:rsid w:val="00F3083B"/>
    <w:rPr>
      <w:rFonts w:ascii="Verdana" w:eastAsia="Times New Roman" w:hAnsi="Verdana" w:cs="Times New Roman"/>
      <w:b/>
      <w:caps/>
      <w:color w:val="006283"/>
      <w:kern w:val="28"/>
      <w:sz w:val="18"/>
      <w:szCs w:val="52"/>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qFormat="1"/>
    <w:lsdException w:name="heading 8" w:semiHidden="0" w:uiPriority="2" w:unhideWhenUsed="0" w:qFormat="1"/>
    <w:lsdException w:name="heading 9" w:semiHidden="0" w:uiPriority="2" w:unhideWhenUsed="0"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1"/>
    <w:lsdException w:name="header" w:uiPriority="5"/>
    <w:lsdException w:name="footer" w:uiPriority="5"/>
    <w:lsdException w:name="caption" w:uiPriority="6" w:qFormat="1"/>
    <w:lsdException w:name="table of figures" w:uiPriority="39"/>
    <w:lsdException w:name="footnote reference" w:uiPriority="0"/>
    <w:lsdException w:name="endnote reference"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11" w:unhideWhenUsed="0" w:qFormat="1"/>
    <w:lsdException w:name="Body Text 2" w:semiHidden="0" w:uiPriority="1" w:unhideWhenUsed="0" w:qFormat="1"/>
    <w:lsdException w:name="Body Text 3" w:semiHidden="0" w:uiPriority="1" w:unhideWhenUsed="0" w:qFormat="1"/>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0" w:unhideWhenUsed="0"/>
    <w:lsdException w:name="Dark List" w:semiHidden="0" w:uiPriority="61"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5"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uiPriority="59" w:unhideWhenUsed="0" w:qFormat="1"/>
    <w:lsdException w:name="Quote" w:unhideWhenUsed="0" w:qFormat="1"/>
    <w:lsdException w:name="Intense Quote" w:unhideWhenUsed="0" w:qFormat="1"/>
    <w:lsdException w:name="Medium List 2 Accent 1" w:semiHidden="0" w:uiPriority="61"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0" w:unhideWhenUsed="0"/>
    <w:lsdException w:name="Medium List 1 Accent 2" w:semiHidden="0" w:uiPriority="61"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0" w:unhideWhenUsed="0" w:qFormat="1"/>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7" w:unhideWhenUsed="0"/>
    <w:lsdException w:name="Medium Shading 1 Accent 3" w:semiHidden="0" w:uiPriority="63" w:unhideWhenUsed="0"/>
    <w:lsdException w:name="Medium Shading 2 Accent 3" w:semiHidden="0" w:uiPriority="64" w:unhideWhenUsed="0"/>
    <w:lsdException w:name="Medium List 1 Accent 3" w:semiHidden="0" w:uiPriority="61"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0"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0" w:unhideWhenUsed="0"/>
    <w:lsdException w:name="Medium Grid 3 Accent 4" w:semiHidden="0" w:uiPriority="60"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7"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0"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0"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F3083B"/>
    <w:pPr>
      <w:spacing w:after="0" w:line="240" w:lineRule="auto"/>
      <w:jc w:val="both"/>
    </w:pPr>
    <w:rPr>
      <w:rFonts w:ascii="Verdana" w:eastAsia="Calibri" w:hAnsi="Verdana" w:cs="Times New Roman"/>
      <w:sz w:val="18"/>
    </w:rPr>
  </w:style>
  <w:style w:type="paragraph" w:styleId="Heading1">
    <w:name w:val="heading 1"/>
    <w:basedOn w:val="Normal"/>
    <w:next w:val="Heading2"/>
    <w:link w:val="Heading1Char"/>
    <w:uiPriority w:val="2"/>
    <w:qFormat/>
    <w:rsid w:val="00DC4FDF"/>
    <w:pPr>
      <w:keepNext/>
      <w:keepLines/>
      <w:numPr>
        <w:numId w:val="33"/>
      </w:numPr>
      <w:spacing w:after="240"/>
      <w:outlineLvl w:val="0"/>
    </w:pPr>
    <w:rPr>
      <w:rFonts w:eastAsia="Times New Roman"/>
      <w:b/>
      <w:bCs/>
      <w:caps/>
      <w:color w:val="006283"/>
      <w:szCs w:val="28"/>
      <w:lang w:eastAsia="en-GB"/>
    </w:rPr>
  </w:style>
  <w:style w:type="paragraph" w:styleId="Heading2">
    <w:name w:val="heading 2"/>
    <w:basedOn w:val="Normal"/>
    <w:next w:val="Heading3"/>
    <w:link w:val="Heading2Char"/>
    <w:uiPriority w:val="2"/>
    <w:qFormat/>
    <w:rsid w:val="00F3083B"/>
    <w:pPr>
      <w:keepNext/>
      <w:keepLines/>
      <w:numPr>
        <w:ilvl w:val="1"/>
        <w:numId w:val="33"/>
      </w:numPr>
      <w:spacing w:after="240"/>
      <w:outlineLvl w:val="1"/>
    </w:pPr>
    <w:rPr>
      <w:rFonts w:eastAsia="Times New Roman"/>
      <w:b/>
      <w:bCs/>
      <w:color w:val="006283"/>
      <w:szCs w:val="26"/>
      <w:lang w:eastAsia="en-GB"/>
    </w:rPr>
  </w:style>
  <w:style w:type="paragraph" w:styleId="Heading3">
    <w:name w:val="heading 3"/>
    <w:basedOn w:val="Normal"/>
    <w:next w:val="Heading4"/>
    <w:link w:val="Heading3Char"/>
    <w:uiPriority w:val="2"/>
    <w:qFormat/>
    <w:rsid w:val="00F3083B"/>
    <w:pPr>
      <w:keepNext/>
      <w:keepLines/>
      <w:numPr>
        <w:ilvl w:val="2"/>
        <w:numId w:val="33"/>
      </w:numPr>
      <w:spacing w:after="240"/>
      <w:outlineLvl w:val="2"/>
    </w:pPr>
    <w:rPr>
      <w:rFonts w:eastAsia="Times New Roman"/>
      <w:b/>
      <w:bCs/>
      <w:color w:val="006283"/>
      <w:szCs w:val="20"/>
      <w:lang w:eastAsia="en-GB"/>
    </w:rPr>
  </w:style>
  <w:style w:type="paragraph" w:styleId="Heading4">
    <w:name w:val="heading 4"/>
    <w:basedOn w:val="Normal"/>
    <w:next w:val="Heading5"/>
    <w:link w:val="Heading4Char"/>
    <w:uiPriority w:val="2"/>
    <w:qFormat/>
    <w:rsid w:val="00F3083B"/>
    <w:pPr>
      <w:keepNext/>
      <w:keepLines/>
      <w:numPr>
        <w:ilvl w:val="3"/>
        <w:numId w:val="33"/>
      </w:numPr>
      <w:spacing w:after="240"/>
      <w:outlineLvl w:val="3"/>
    </w:pPr>
    <w:rPr>
      <w:rFonts w:eastAsia="Times New Roman"/>
      <w:b/>
      <w:bCs/>
      <w:iCs/>
      <w:color w:val="006283"/>
      <w:szCs w:val="20"/>
      <w:lang w:eastAsia="en-GB"/>
    </w:rPr>
  </w:style>
  <w:style w:type="paragraph" w:styleId="Heading5">
    <w:name w:val="heading 5"/>
    <w:basedOn w:val="Normal"/>
    <w:next w:val="Heading6"/>
    <w:link w:val="Heading5Char"/>
    <w:uiPriority w:val="2"/>
    <w:qFormat/>
    <w:rsid w:val="00F3083B"/>
    <w:pPr>
      <w:keepNext/>
      <w:keepLines/>
      <w:numPr>
        <w:ilvl w:val="4"/>
        <w:numId w:val="33"/>
      </w:numPr>
      <w:spacing w:after="240"/>
      <w:outlineLvl w:val="4"/>
    </w:pPr>
    <w:rPr>
      <w:rFonts w:eastAsia="Times New Roman"/>
      <w:b/>
      <w:color w:val="006283"/>
      <w:szCs w:val="20"/>
      <w:lang w:eastAsia="en-GB"/>
    </w:rPr>
  </w:style>
  <w:style w:type="paragraph" w:styleId="Heading6">
    <w:name w:val="heading 6"/>
    <w:basedOn w:val="Normal"/>
    <w:next w:val="BodyText"/>
    <w:link w:val="Heading6Char"/>
    <w:uiPriority w:val="2"/>
    <w:qFormat/>
    <w:rsid w:val="00F3083B"/>
    <w:pPr>
      <w:keepNext/>
      <w:keepLines/>
      <w:numPr>
        <w:ilvl w:val="5"/>
        <w:numId w:val="33"/>
      </w:numPr>
      <w:spacing w:after="240"/>
      <w:outlineLvl w:val="5"/>
    </w:pPr>
    <w:rPr>
      <w:rFonts w:eastAsia="Times New Roman"/>
      <w:b/>
      <w:iCs/>
      <w:color w:val="006283"/>
      <w:szCs w:val="20"/>
      <w:lang w:eastAsia="en-GB"/>
    </w:rPr>
  </w:style>
  <w:style w:type="paragraph" w:styleId="Heading7">
    <w:name w:val="heading 7"/>
    <w:basedOn w:val="Normal"/>
    <w:next w:val="Normal"/>
    <w:link w:val="Heading7Char"/>
    <w:uiPriority w:val="2"/>
    <w:rsid w:val="00F3083B"/>
    <w:pPr>
      <w:keepNext/>
      <w:keepLines/>
      <w:spacing w:after="240"/>
      <w:outlineLvl w:val="6"/>
    </w:pPr>
    <w:rPr>
      <w:rFonts w:eastAsia="Times New Roman"/>
      <w:b/>
      <w:iCs/>
      <w:color w:val="006283"/>
      <w:szCs w:val="20"/>
      <w:lang w:eastAsia="en-GB"/>
    </w:rPr>
  </w:style>
  <w:style w:type="paragraph" w:styleId="Heading8">
    <w:name w:val="heading 8"/>
    <w:basedOn w:val="Normal"/>
    <w:next w:val="Normal"/>
    <w:link w:val="Heading8Char"/>
    <w:uiPriority w:val="2"/>
    <w:rsid w:val="00F3083B"/>
    <w:pPr>
      <w:keepNext/>
      <w:keepLines/>
      <w:spacing w:after="240"/>
      <w:outlineLvl w:val="7"/>
    </w:pPr>
    <w:rPr>
      <w:rFonts w:eastAsia="Times New Roman"/>
      <w:b/>
      <w:i/>
      <w:color w:val="006283"/>
      <w:szCs w:val="20"/>
      <w:lang w:eastAsia="en-GB"/>
    </w:rPr>
  </w:style>
  <w:style w:type="paragraph" w:styleId="Heading9">
    <w:name w:val="heading 9"/>
    <w:basedOn w:val="Normal"/>
    <w:next w:val="Normal"/>
    <w:link w:val="Heading9Char"/>
    <w:uiPriority w:val="2"/>
    <w:rsid w:val="00F3083B"/>
    <w:pPr>
      <w:keepNext/>
      <w:keepLines/>
      <w:spacing w:after="240"/>
      <w:outlineLvl w:val="8"/>
    </w:pPr>
    <w:rPr>
      <w:rFonts w:eastAsia="Times New Roman"/>
      <w:b/>
      <w:iCs/>
      <w:color w:val="006283"/>
      <w:szCs w:val="20"/>
      <w:u w:val="single"/>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5"/>
    <w:qFormat/>
    <w:rsid w:val="00F3083B"/>
    <w:pPr>
      <w:spacing w:before="480" w:after="240"/>
      <w:contextualSpacing/>
      <w:jc w:val="center"/>
    </w:pPr>
    <w:rPr>
      <w:rFonts w:eastAsia="Times New Roman"/>
      <w:b/>
      <w:caps/>
      <w:color w:val="006283"/>
      <w:kern w:val="28"/>
      <w:szCs w:val="52"/>
      <w:lang w:eastAsia="en-GB"/>
    </w:rPr>
  </w:style>
  <w:style w:type="paragraph" w:styleId="BodyText">
    <w:name w:val="Body Text"/>
    <w:basedOn w:val="Normal"/>
    <w:link w:val="BodyTextChar"/>
    <w:uiPriority w:val="1"/>
    <w:qFormat/>
    <w:rsid w:val="00DC4FDF"/>
    <w:pPr>
      <w:numPr>
        <w:ilvl w:val="6"/>
        <w:numId w:val="33"/>
      </w:numPr>
      <w:spacing w:after="240"/>
    </w:pPr>
    <w:rPr>
      <w:szCs w:val="20"/>
      <w:lang w:eastAsia="en-GB"/>
    </w:rPr>
  </w:style>
  <w:style w:type="paragraph" w:styleId="BodyText2">
    <w:name w:val="Body Text 2"/>
    <w:basedOn w:val="Normal"/>
    <w:link w:val="BodyText2Char"/>
    <w:autoRedefine/>
    <w:uiPriority w:val="1"/>
    <w:qFormat/>
    <w:rsid w:val="00526697"/>
    <w:pPr>
      <w:numPr>
        <w:ilvl w:val="7"/>
        <w:numId w:val="33"/>
      </w:numPr>
      <w:spacing w:after="240"/>
    </w:pPr>
    <w:rPr>
      <w:szCs w:val="20"/>
      <w:lang w:eastAsia="en-GB"/>
    </w:rPr>
  </w:style>
  <w:style w:type="paragraph" w:styleId="BodyText3">
    <w:name w:val="Body Text 3"/>
    <w:basedOn w:val="Normal"/>
    <w:link w:val="BodyText3Char"/>
    <w:uiPriority w:val="1"/>
    <w:qFormat/>
    <w:rsid w:val="00F3083B"/>
    <w:pPr>
      <w:numPr>
        <w:ilvl w:val="8"/>
        <w:numId w:val="33"/>
      </w:numPr>
      <w:spacing w:after="240"/>
    </w:pPr>
    <w:rPr>
      <w:szCs w:val="16"/>
      <w:lang w:eastAsia="en-GB"/>
    </w:rPr>
  </w:style>
  <w:style w:type="numbering" w:customStyle="1" w:styleId="LegalHeadings">
    <w:name w:val="LegalHeadings"/>
    <w:uiPriority w:val="99"/>
    <w:rsid w:val="00F3083B"/>
    <w:pPr>
      <w:numPr>
        <w:numId w:val="1"/>
      </w:numPr>
    </w:pPr>
  </w:style>
  <w:style w:type="paragraph" w:styleId="ListBullet">
    <w:name w:val="List Bullet"/>
    <w:basedOn w:val="Normal"/>
    <w:uiPriority w:val="1"/>
    <w:rsid w:val="00F3083B"/>
    <w:pPr>
      <w:numPr>
        <w:numId w:val="39"/>
      </w:numPr>
      <w:spacing w:after="240"/>
    </w:pPr>
  </w:style>
  <w:style w:type="paragraph" w:styleId="ListBullet2">
    <w:name w:val="List Bullet 2"/>
    <w:basedOn w:val="Normal"/>
    <w:uiPriority w:val="1"/>
    <w:rsid w:val="00F3083B"/>
    <w:pPr>
      <w:numPr>
        <w:ilvl w:val="1"/>
        <w:numId w:val="39"/>
      </w:numPr>
      <w:spacing w:after="240"/>
    </w:pPr>
  </w:style>
  <w:style w:type="paragraph" w:styleId="ListBullet3">
    <w:name w:val="List Bullet 3"/>
    <w:basedOn w:val="Normal"/>
    <w:uiPriority w:val="1"/>
    <w:rsid w:val="00F3083B"/>
    <w:pPr>
      <w:numPr>
        <w:ilvl w:val="2"/>
        <w:numId w:val="39"/>
      </w:numPr>
      <w:spacing w:after="240"/>
    </w:pPr>
  </w:style>
  <w:style w:type="paragraph" w:styleId="ListBullet4">
    <w:name w:val="List Bullet 4"/>
    <w:basedOn w:val="Normal"/>
    <w:uiPriority w:val="1"/>
    <w:rsid w:val="00F3083B"/>
    <w:pPr>
      <w:numPr>
        <w:ilvl w:val="3"/>
        <w:numId w:val="39"/>
      </w:numPr>
      <w:spacing w:after="240"/>
    </w:pPr>
  </w:style>
  <w:style w:type="paragraph" w:styleId="ListBullet5">
    <w:name w:val="List Bullet 5"/>
    <w:basedOn w:val="Normal"/>
    <w:uiPriority w:val="1"/>
    <w:rsid w:val="00F3083B"/>
    <w:pPr>
      <w:numPr>
        <w:ilvl w:val="4"/>
        <w:numId w:val="39"/>
      </w:numPr>
      <w:spacing w:after="240"/>
    </w:pPr>
  </w:style>
  <w:style w:type="numbering" w:customStyle="1" w:styleId="ListBullets">
    <w:name w:val="ListBullets"/>
    <w:uiPriority w:val="99"/>
    <w:rsid w:val="00F3083B"/>
    <w:pPr>
      <w:numPr>
        <w:numId w:val="39"/>
      </w:numPr>
    </w:pPr>
  </w:style>
  <w:style w:type="paragraph" w:customStyle="1" w:styleId="Answer">
    <w:name w:val="Answer"/>
    <w:basedOn w:val="Normal"/>
    <w:link w:val="AnswerChar"/>
    <w:uiPriority w:val="6"/>
    <w:qFormat/>
    <w:rsid w:val="00F3083B"/>
    <w:pPr>
      <w:spacing w:after="240"/>
      <w:ind w:left="1077"/>
    </w:pPr>
    <w:rPr>
      <w:szCs w:val="20"/>
      <w:lang w:eastAsia="en-GB"/>
    </w:rPr>
  </w:style>
  <w:style w:type="paragraph" w:styleId="Caption">
    <w:name w:val="caption"/>
    <w:basedOn w:val="Normal"/>
    <w:next w:val="Normal"/>
    <w:uiPriority w:val="6"/>
    <w:qFormat/>
    <w:rsid w:val="00F3083B"/>
    <w:pPr>
      <w:keepNext/>
      <w:spacing w:before="120" w:after="120"/>
      <w:jc w:val="left"/>
    </w:pPr>
    <w:rPr>
      <w:rFonts w:eastAsia="Times New Roman"/>
      <w:b/>
      <w:bCs/>
      <w:color w:val="006283"/>
      <w:szCs w:val="20"/>
      <w:lang w:eastAsia="en-GB"/>
    </w:rPr>
  </w:style>
  <w:style w:type="character" w:styleId="EndnoteReference">
    <w:name w:val="endnote reference"/>
    <w:uiPriority w:val="49"/>
    <w:rsid w:val="00F3083B"/>
    <w:rPr>
      <w:vertAlign w:val="superscript"/>
    </w:rPr>
  </w:style>
  <w:style w:type="paragraph" w:styleId="FootnoteText">
    <w:name w:val="footnote text"/>
    <w:basedOn w:val="Normal"/>
    <w:link w:val="FootnoteTextChar"/>
    <w:uiPriority w:val="1"/>
    <w:rsid w:val="00F3083B"/>
    <w:pPr>
      <w:ind w:firstLine="567"/>
      <w:jc w:val="left"/>
    </w:pPr>
    <w:rPr>
      <w:sz w:val="16"/>
      <w:szCs w:val="18"/>
      <w:lang w:eastAsia="en-GB"/>
    </w:rPr>
  </w:style>
  <w:style w:type="paragraph" w:styleId="EndnoteText">
    <w:name w:val="endnote text"/>
    <w:basedOn w:val="FootnoteText"/>
    <w:link w:val="EndnoteTextChar"/>
    <w:uiPriority w:val="99"/>
    <w:rsid w:val="00F3083B"/>
    <w:rPr>
      <w:szCs w:val="20"/>
    </w:rPr>
  </w:style>
  <w:style w:type="paragraph" w:customStyle="1" w:styleId="FollowUp">
    <w:name w:val="FollowUp"/>
    <w:basedOn w:val="Normal"/>
    <w:link w:val="FollowUpChar"/>
    <w:uiPriority w:val="6"/>
    <w:qFormat/>
    <w:rsid w:val="00F3083B"/>
    <w:pPr>
      <w:spacing w:after="240"/>
      <w:ind w:left="720"/>
    </w:pPr>
    <w:rPr>
      <w:i/>
      <w:szCs w:val="20"/>
      <w:lang w:eastAsia="en-GB"/>
    </w:rPr>
  </w:style>
  <w:style w:type="paragraph" w:styleId="Footer">
    <w:name w:val="footer"/>
    <w:basedOn w:val="Normal"/>
    <w:link w:val="FooterChar"/>
    <w:uiPriority w:val="5"/>
    <w:rsid w:val="00F3083B"/>
    <w:pPr>
      <w:tabs>
        <w:tab w:val="center" w:pos="4513"/>
        <w:tab w:val="right" w:pos="9027"/>
      </w:tabs>
    </w:pPr>
    <w:rPr>
      <w:szCs w:val="18"/>
      <w:lang w:eastAsia="en-GB"/>
    </w:rPr>
  </w:style>
  <w:style w:type="paragraph" w:customStyle="1" w:styleId="FootnoteQuotation">
    <w:name w:val="Footnote Quotation"/>
    <w:basedOn w:val="FootnoteText"/>
    <w:uiPriority w:val="5"/>
    <w:rsid w:val="00F3083B"/>
    <w:pPr>
      <w:ind w:left="567" w:right="567" w:firstLine="0"/>
    </w:pPr>
  </w:style>
  <w:style w:type="character" w:styleId="FootnoteReference">
    <w:name w:val="footnote reference"/>
    <w:rsid w:val="00F3083B"/>
    <w:rPr>
      <w:vertAlign w:val="superscript"/>
    </w:rPr>
  </w:style>
  <w:style w:type="paragraph" w:styleId="Header">
    <w:name w:val="header"/>
    <w:basedOn w:val="Normal"/>
    <w:link w:val="HeaderChar"/>
    <w:uiPriority w:val="5"/>
    <w:rsid w:val="00F3083B"/>
    <w:pPr>
      <w:tabs>
        <w:tab w:val="center" w:pos="4513"/>
        <w:tab w:val="right" w:pos="9027"/>
      </w:tabs>
      <w:jc w:val="left"/>
    </w:pPr>
    <w:rPr>
      <w:szCs w:val="18"/>
      <w:lang w:eastAsia="en-GB"/>
    </w:rPr>
  </w:style>
  <w:style w:type="paragraph" w:customStyle="1" w:styleId="Quotation">
    <w:name w:val="Quotation"/>
    <w:basedOn w:val="Normal"/>
    <w:uiPriority w:val="5"/>
    <w:rsid w:val="00F3083B"/>
    <w:pPr>
      <w:spacing w:after="240"/>
      <w:ind w:left="567" w:right="567"/>
    </w:pPr>
    <w:rPr>
      <w:szCs w:val="18"/>
      <w:lang w:eastAsia="en-GB"/>
    </w:rPr>
  </w:style>
  <w:style w:type="paragraph" w:customStyle="1" w:styleId="QuotationDouble">
    <w:name w:val="Quotation Double"/>
    <w:basedOn w:val="Normal"/>
    <w:uiPriority w:val="5"/>
    <w:rsid w:val="00F3083B"/>
    <w:pPr>
      <w:spacing w:after="240"/>
      <w:ind w:left="1134" w:right="1134"/>
    </w:pPr>
    <w:rPr>
      <w:szCs w:val="18"/>
      <w:lang w:eastAsia="en-GB"/>
    </w:rPr>
  </w:style>
  <w:style w:type="paragraph" w:styleId="TableofAuthorities">
    <w:name w:val="table of authorities"/>
    <w:basedOn w:val="Normal"/>
    <w:next w:val="Normal"/>
    <w:uiPriority w:val="39"/>
    <w:rsid w:val="00F3083B"/>
    <w:pPr>
      <w:tabs>
        <w:tab w:val="left" w:pos="720"/>
        <w:tab w:val="right" w:leader="dot" w:pos="9027"/>
      </w:tabs>
      <w:ind w:right="720"/>
    </w:pPr>
    <w:rPr>
      <w:rFonts w:eastAsia="Times New Roman"/>
      <w:szCs w:val="20"/>
      <w:lang w:eastAsia="en-GB"/>
    </w:rPr>
  </w:style>
  <w:style w:type="paragraph" w:styleId="TableofFigures">
    <w:name w:val="table of figures"/>
    <w:basedOn w:val="Normal"/>
    <w:next w:val="Normal"/>
    <w:uiPriority w:val="39"/>
    <w:rsid w:val="00F3083B"/>
    <w:pPr>
      <w:tabs>
        <w:tab w:val="left" w:pos="567"/>
        <w:tab w:val="right" w:leader="dot" w:pos="9027"/>
      </w:tabs>
      <w:spacing w:after="120"/>
      <w:ind w:right="720"/>
    </w:pPr>
    <w:rPr>
      <w:rFonts w:eastAsia="Times New Roman"/>
      <w:szCs w:val="20"/>
      <w:lang w:eastAsia="en-GB"/>
    </w:rPr>
  </w:style>
  <w:style w:type="paragraph" w:customStyle="1" w:styleId="Title2">
    <w:name w:val="Title 2"/>
    <w:basedOn w:val="Normal"/>
    <w:next w:val="Normal"/>
    <w:uiPriority w:val="5"/>
    <w:qFormat/>
    <w:rsid w:val="00F3083B"/>
    <w:pPr>
      <w:spacing w:after="360"/>
      <w:jc w:val="center"/>
    </w:pPr>
    <w:rPr>
      <w:caps/>
      <w:color w:val="006283"/>
      <w:szCs w:val="18"/>
      <w:lang w:eastAsia="en-GB"/>
    </w:rPr>
  </w:style>
  <w:style w:type="paragraph" w:customStyle="1" w:styleId="Title3">
    <w:name w:val="Title 3"/>
    <w:basedOn w:val="Normal"/>
    <w:next w:val="Normal"/>
    <w:uiPriority w:val="5"/>
    <w:qFormat/>
    <w:rsid w:val="00F3083B"/>
    <w:pPr>
      <w:spacing w:after="360"/>
      <w:jc w:val="center"/>
    </w:pPr>
    <w:rPr>
      <w:i/>
      <w:color w:val="006283"/>
      <w:szCs w:val="18"/>
      <w:lang w:eastAsia="en-GB"/>
    </w:rPr>
  </w:style>
  <w:style w:type="paragraph" w:customStyle="1" w:styleId="TitleCountry">
    <w:name w:val="Title Country"/>
    <w:basedOn w:val="Normal"/>
    <w:next w:val="Normal"/>
    <w:uiPriority w:val="5"/>
    <w:qFormat/>
    <w:rsid w:val="00F3083B"/>
    <w:pPr>
      <w:spacing w:after="360"/>
      <w:jc w:val="center"/>
    </w:pPr>
    <w:rPr>
      <w:smallCaps/>
      <w:color w:val="006283"/>
      <w:szCs w:val="18"/>
      <w:lang w:eastAsia="en-GB"/>
    </w:rPr>
  </w:style>
  <w:style w:type="paragraph" w:styleId="TOC1">
    <w:name w:val="toc 1"/>
    <w:basedOn w:val="Normal"/>
    <w:next w:val="Normal"/>
    <w:autoRedefine/>
    <w:uiPriority w:val="39"/>
    <w:rsid w:val="00F3083B"/>
    <w:pPr>
      <w:tabs>
        <w:tab w:val="right" w:leader="dot" w:pos="9027"/>
      </w:tabs>
      <w:spacing w:before="120" w:after="120"/>
      <w:ind w:right="851"/>
      <w:jc w:val="left"/>
    </w:pPr>
    <w:rPr>
      <w:b/>
      <w:caps/>
      <w:szCs w:val="18"/>
      <w:lang w:eastAsia="en-GB"/>
    </w:rPr>
  </w:style>
  <w:style w:type="paragraph" w:styleId="TOC2">
    <w:name w:val="toc 2"/>
    <w:basedOn w:val="Normal"/>
    <w:next w:val="Normal"/>
    <w:autoRedefine/>
    <w:uiPriority w:val="39"/>
    <w:rsid w:val="00F3083B"/>
    <w:pPr>
      <w:tabs>
        <w:tab w:val="right" w:leader="dot" w:pos="9027"/>
      </w:tabs>
      <w:spacing w:before="120" w:after="120"/>
      <w:ind w:right="851"/>
      <w:jc w:val="left"/>
    </w:pPr>
    <w:rPr>
      <w:szCs w:val="18"/>
      <w:lang w:eastAsia="en-GB"/>
    </w:rPr>
  </w:style>
  <w:style w:type="paragraph" w:styleId="TOC3">
    <w:name w:val="toc 3"/>
    <w:basedOn w:val="Normal"/>
    <w:next w:val="Normal"/>
    <w:autoRedefine/>
    <w:uiPriority w:val="39"/>
    <w:rsid w:val="00F3083B"/>
    <w:pPr>
      <w:tabs>
        <w:tab w:val="right" w:leader="dot" w:pos="9027"/>
      </w:tabs>
      <w:spacing w:before="120" w:after="120"/>
      <w:ind w:right="851"/>
      <w:jc w:val="left"/>
    </w:pPr>
    <w:rPr>
      <w:szCs w:val="18"/>
      <w:lang w:eastAsia="en-GB"/>
    </w:rPr>
  </w:style>
  <w:style w:type="paragraph" w:styleId="TOC4">
    <w:name w:val="toc 4"/>
    <w:basedOn w:val="Normal"/>
    <w:next w:val="Normal"/>
    <w:autoRedefine/>
    <w:uiPriority w:val="39"/>
    <w:rsid w:val="00F3083B"/>
    <w:pPr>
      <w:tabs>
        <w:tab w:val="right" w:leader="dot" w:pos="9027"/>
      </w:tabs>
      <w:spacing w:before="120" w:after="120"/>
      <w:ind w:right="851"/>
      <w:jc w:val="left"/>
    </w:pPr>
    <w:rPr>
      <w:szCs w:val="18"/>
      <w:lang w:eastAsia="en-GB"/>
    </w:rPr>
  </w:style>
  <w:style w:type="paragraph" w:styleId="TOC5">
    <w:name w:val="toc 5"/>
    <w:basedOn w:val="Normal"/>
    <w:next w:val="Normal"/>
    <w:autoRedefine/>
    <w:uiPriority w:val="39"/>
    <w:rsid w:val="00F3083B"/>
    <w:pPr>
      <w:tabs>
        <w:tab w:val="right" w:leader="dot" w:pos="9027"/>
      </w:tabs>
      <w:spacing w:before="120" w:after="120"/>
      <w:ind w:right="851"/>
      <w:jc w:val="left"/>
    </w:pPr>
    <w:rPr>
      <w:szCs w:val="18"/>
      <w:lang w:eastAsia="en-GB"/>
    </w:rPr>
  </w:style>
  <w:style w:type="paragraph" w:styleId="TOC6">
    <w:name w:val="toc 6"/>
    <w:basedOn w:val="Normal"/>
    <w:next w:val="Normal"/>
    <w:autoRedefine/>
    <w:uiPriority w:val="39"/>
    <w:rsid w:val="00F3083B"/>
    <w:pPr>
      <w:tabs>
        <w:tab w:val="right" w:leader="dot" w:pos="9027"/>
      </w:tabs>
      <w:spacing w:before="120" w:after="120"/>
      <w:ind w:right="851"/>
      <w:jc w:val="left"/>
    </w:pPr>
    <w:rPr>
      <w:szCs w:val="18"/>
      <w:lang w:eastAsia="en-GB"/>
    </w:rPr>
  </w:style>
  <w:style w:type="paragraph" w:styleId="TOC7">
    <w:name w:val="toc 7"/>
    <w:basedOn w:val="Normal"/>
    <w:next w:val="Normal"/>
    <w:autoRedefine/>
    <w:uiPriority w:val="39"/>
    <w:rsid w:val="00F3083B"/>
    <w:pPr>
      <w:tabs>
        <w:tab w:val="left" w:pos="851"/>
        <w:tab w:val="right" w:leader="dot" w:pos="9027"/>
      </w:tabs>
      <w:spacing w:before="120" w:after="120"/>
      <w:ind w:left="567" w:right="851"/>
      <w:jc w:val="left"/>
    </w:pPr>
    <w:rPr>
      <w:szCs w:val="18"/>
      <w:lang w:eastAsia="en-GB"/>
    </w:rPr>
  </w:style>
  <w:style w:type="paragraph" w:styleId="TOC8">
    <w:name w:val="toc 8"/>
    <w:basedOn w:val="Normal"/>
    <w:next w:val="Normal"/>
    <w:autoRedefine/>
    <w:uiPriority w:val="39"/>
    <w:rsid w:val="00F3083B"/>
    <w:pPr>
      <w:tabs>
        <w:tab w:val="left" w:pos="851"/>
        <w:tab w:val="left" w:pos="1134"/>
        <w:tab w:val="right" w:leader="dot" w:pos="9027"/>
      </w:tabs>
      <w:spacing w:before="120" w:after="120"/>
      <w:ind w:left="851" w:right="851"/>
      <w:jc w:val="left"/>
    </w:pPr>
    <w:rPr>
      <w:szCs w:val="18"/>
      <w:lang w:eastAsia="en-GB"/>
    </w:rPr>
  </w:style>
  <w:style w:type="paragraph" w:styleId="TOC9">
    <w:name w:val="toc 9"/>
    <w:basedOn w:val="Normal"/>
    <w:next w:val="Normal"/>
    <w:autoRedefine/>
    <w:uiPriority w:val="39"/>
    <w:rsid w:val="00F3083B"/>
    <w:pPr>
      <w:tabs>
        <w:tab w:val="left" w:pos="851"/>
        <w:tab w:val="left" w:pos="1134"/>
        <w:tab w:val="left" w:pos="1418"/>
        <w:tab w:val="right" w:leader="dot" w:pos="9027"/>
      </w:tabs>
      <w:spacing w:before="120" w:after="120"/>
      <w:ind w:left="1134" w:right="851"/>
      <w:jc w:val="left"/>
    </w:pPr>
    <w:rPr>
      <w:szCs w:val="18"/>
      <w:lang w:eastAsia="en-GB"/>
    </w:rPr>
  </w:style>
  <w:style w:type="paragraph" w:styleId="TOCHeading">
    <w:name w:val="TOC Heading"/>
    <w:basedOn w:val="Normal"/>
    <w:next w:val="Normal"/>
    <w:uiPriority w:val="39"/>
    <w:qFormat/>
    <w:rsid w:val="00F3083B"/>
    <w:pPr>
      <w:spacing w:before="240"/>
      <w:jc w:val="center"/>
    </w:pPr>
    <w:rPr>
      <w:rFonts w:eastAsia="Times New Roman"/>
      <w:b/>
      <w:bCs/>
      <w:szCs w:val="28"/>
      <w:lang w:eastAsia="en-GB"/>
    </w:rPr>
  </w:style>
  <w:style w:type="table" w:customStyle="1" w:styleId="WTOTable2">
    <w:name w:val="WTOTable2"/>
    <w:basedOn w:val="TableNormal"/>
    <w:uiPriority w:val="99"/>
    <w:rsid w:val="00F3083B"/>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F3083B"/>
    <w:rPr>
      <w:rFonts w:ascii="Tahoma" w:hAnsi="Tahoma" w:cs="Tahoma"/>
      <w:sz w:val="16"/>
      <w:szCs w:val="16"/>
      <w:lang w:eastAsia="en-GB"/>
    </w:rPr>
  </w:style>
  <w:style w:type="paragraph" w:styleId="Subtitle">
    <w:name w:val="Subtitle"/>
    <w:basedOn w:val="Normal"/>
    <w:next w:val="Normal"/>
    <w:link w:val="SubtitleChar"/>
    <w:uiPriority w:val="11"/>
    <w:qFormat/>
    <w:rsid w:val="00F3083B"/>
    <w:pPr>
      <w:numPr>
        <w:ilvl w:val="1"/>
      </w:numPr>
    </w:pPr>
    <w:rPr>
      <w:rFonts w:eastAsia="Times New Roman"/>
      <w:b/>
      <w:iCs/>
      <w:szCs w:val="24"/>
      <w:lang w:eastAsia="en-GB"/>
    </w:rPr>
  </w:style>
  <w:style w:type="paragraph" w:customStyle="1" w:styleId="SummaryHeader">
    <w:name w:val="SummaryHeader"/>
    <w:basedOn w:val="Normal"/>
    <w:uiPriority w:val="4"/>
    <w:qFormat/>
    <w:rsid w:val="00F3083B"/>
    <w:pPr>
      <w:spacing w:after="240"/>
      <w:outlineLvl w:val="0"/>
    </w:pPr>
    <w:rPr>
      <w:b/>
      <w:caps/>
      <w:color w:val="006283"/>
    </w:rPr>
  </w:style>
  <w:style w:type="paragraph" w:customStyle="1" w:styleId="SummarySubheader">
    <w:name w:val="SummarySubheader"/>
    <w:basedOn w:val="Normal"/>
    <w:uiPriority w:val="4"/>
    <w:qFormat/>
    <w:rsid w:val="00F3083B"/>
    <w:pPr>
      <w:spacing w:after="240"/>
      <w:outlineLvl w:val="1"/>
    </w:pPr>
    <w:rPr>
      <w:b/>
      <w:color w:val="006283"/>
    </w:rPr>
  </w:style>
  <w:style w:type="paragraph" w:customStyle="1" w:styleId="SummaryText">
    <w:name w:val="SummaryText"/>
    <w:basedOn w:val="Normal"/>
    <w:uiPriority w:val="4"/>
    <w:qFormat/>
    <w:rsid w:val="00F3083B"/>
    <w:pPr>
      <w:numPr>
        <w:numId w:val="40"/>
      </w:numPr>
      <w:spacing w:after="240"/>
    </w:pPr>
  </w:style>
  <w:style w:type="paragraph" w:styleId="ListParagraph">
    <w:name w:val="List Paragraph"/>
    <w:basedOn w:val="Normal"/>
    <w:uiPriority w:val="59"/>
    <w:qFormat/>
    <w:rsid w:val="00F3083B"/>
    <w:pPr>
      <w:ind w:left="720"/>
      <w:contextualSpacing/>
    </w:pPr>
  </w:style>
  <w:style w:type="table" w:customStyle="1" w:styleId="WTOBox1">
    <w:name w:val="WTOBox1"/>
    <w:basedOn w:val="TableNormal"/>
    <w:uiPriority w:val="99"/>
    <w:rsid w:val="00F3083B"/>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F3083B"/>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F3083B"/>
    <w:pPr>
      <w:keepNext/>
      <w:keepLines/>
      <w:spacing w:after="240"/>
      <w:jc w:val="left"/>
    </w:pPr>
    <w:rPr>
      <w:rFonts w:eastAsia="Times New Roman"/>
      <w:b/>
      <w:caps/>
      <w:color w:val="006283"/>
      <w:sz w:val="28"/>
      <w:lang w:val="x-none"/>
    </w:rPr>
  </w:style>
  <w:style w:type="table" w:styleId="TableGrid">
    <w:name w:val="Table Grid"/>
    <w:basedOn w:val="TableNormal"/>
    <w:uiPriority w:val="59"/>
    <w:rsid w:val="00F308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F3083B"/>
    <w:pPr>
      <w:tabs>
        <w:tab w:val="left" w:pos="851"/>
      </w:tabs>
      <w:ind w:left="851" w:hanging="851"/>
      <w:jc w:val="left"/>
    </w:pPr>
    <w:rPr>
      <w:rFonts w:eastAsiaTheme="minorHAnsi" w:cstheme="minorBidi"/>
      <w:sz w:val="16"/>
    </w:rPr>
  </w:style>
  <w:style w:type="character" w:styleId="Hyperlink">
    <w:name w:val="Hyperlink"/>
    <w:basedOn w:val="DefaultParagraphFont"/>
    <w:uiPriority w:val="99"/>
    <w:unhideWhenUsed/>
    <w:rsid w:val="00F3083B"/>
    <w:rPr>
      <w:color w:val="0000FF" w:themeColor="hyperlink"/>
      <w:u w:val="single"/>
    </w:rPr>
  </w:style>
  <w:style w:type="paragraph" w:styleId="Bibliography">
    <w:name w:val="Bibliography"/>
    <w:basedOn w:val="Normal"/>
    <w:next w:val="Normal"/>
    <w:uiPriority w:val="49"/>
    <w:unhideWhenUsed/>
    <w:rsid w:val="00F3083B"/>
  </w:style>
  <w:style w:type="paragraph" w:styleId="BlockText">
    <w:name w:val="Block Text"/>
    <w:basedOn w:val="Normal"/>
    <w:uiPriority w:val="99"/>
    <w:semiHidden/>
    <w:unhideWhenUsed/>
    <w:rsid w:val="00F3083B"/>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cstheme="minorBidi"/>
      <w:i/>
      <w:iCs/>
      <w:color w:val="4F81BD" w:themeColor="accent1"/>
    </w:rPr>
  </w:style>
  <w:style w:type="paragraph" w:styleId="BodyTextFirstIndent">
    <w:name w:val="Body Text First Indent"/>
    <w:basedOn w:val="BodyText"/>
    <w:link w:val="BodyTextFirstIndentChar"/>
    <w:uiPriority w:val="99"/>
    <w:semiHidden/>
    <w:unhideWhenUsed/>
    <w:rsid w:val="00F3083B"/>
    <w:pPr>
      <w:numPr>
        <w:ilvl w:val="0"/>
        <w:numId w:val="0"/>
      </w:numPr>
      <w:spacing w:after="0"/>
      <w:ind w:firstLine="360"/>
    </w:pPr>
  </w:style>
  <w:style w:type="paragraph" w:styleId="BodyTextIndent">
    <w:name w:val="Body Text Indent"/>
    <w:basedOn w:val="Normal"/>
    <w:link w:val="BodyTextIndentChar"/>
    <w:uiPriority w:val="99"/>
    <w:semiHidden/>
    <w:unhideWhenUsed/>
    <w:rsid w:val="00F3083B"/>
    <w:pPr>
      <w:spacing w:after="120"/>
      <w:ind w:left="283"/>
    </w:pPr>
  </w:style>
  <w:style w:type="paragraph" w:styleId="BodyTextFirstIndent2">
    <w:name w:val="Body Text First Indent 2"/>
    <w:basedOn w:val="BodyTextIndent"/>
    <w:link w:val="BodyTextFirstIndent2Char"/>
    <w:uiPriority w:val="99"/>
    <w:semiHidden/>
    <w:unhideWhenUsed/>
    <w:rsid w:val="00F3083B"/>
    <w:pPr>
      <w:spacing w:after="0"/>
      <w:ind w:left="360" w:firstLine="360"/>
    </w:pPr>
  </w:style>
  <w:style w:type="paragraph" w:styleId="BodyTextIndent2">
    <w:name w:val="Body Text Indent 2"/>
    <w:basedOn w:val="Normal"/>
    <w:link w:val="BodyTextIndent2Char"/>
    <w:uiPriority w:val="99"/>
    <w:semiHidden/>
    <w:unhideWhenUsed/>
    <w:rsid w:val="00F3083B"/>
    <w:pPr>
      <w:spacing w:after="120" w:line="480" w:lineRule="auto"/>
      <w:ind w:left="283"/>
    </w:pPr>
  </w:style>
  <w:style w:type="paragraph" w:styleId="BodyTextIndent3">
    <w:name w:val="Body Text Indent 3"/>
    <w:basedOn w:val="Normal"/>
    <w:link w:val="BodyTextIndent3Char"/>
    <w:uiPriority w:val="99"/>
    <w:semiHidden/>
    <w:unhideWhenUsed/>
    <w:rsid w:val="00F3083B"/>
    <w:pPr>
      <w:spacing w:after="120"/>
      <w:ind w:left="283"/>
    </w:pPr>
    <w:rPr>
      <w:sz w:val="16"/>
      <w:szCs w:val="16"/>
    </w:rPr>
  </w:style>
  <w:style w:type="character" w:styleId="BookTitle">
    <w:name w:val="Book Title"/>
    <w:basedOn w:val="DefaultParagraphFont"/>
    <w:uiPriority w:val="99"/>
    <w:qFormat/>
    <w:rsid w:val="00F3083B"/>
    <w:rPr>
      <w:b/>
      <w:bCs/>
      <w:smallCaps/>
      <w:spacing w:val="5"/>
    </w:rPr>
  </w:style>
  <w:style w:type="paragraph" w:styleId="Closing">
    <w:name w:val="Closing"/>
    <w:basedOn w:val="Normal"/>
    <w:link w:val="ClosingChar"/>
    <w:uiPriority w:val="99"/>
    <w:semiHidden/>
    <w:unhideWhenUsed/>
    <w:rsid w:val="00F3083B"/>
    <w:pPr>
      <w:ind w:left="4252"/>
    </w:pPr>
  </w:style>
  <w:style w:type="character" w:styleId="CommentReference">
    <w:name w:val="annotation reference"/>
    <w:basedOn w:val="DefaultParagraphFont"/>
    <w:uiPriority w:val="99"/>
    <w:semiHidden/>
    <w:unhideWhenUsed/>
    <w:rsid w:val="00F3083B"/>
    <w:rPr>
      <w:sz w:val="16"/>
      <w:szCs w:val="16"/>
    </w:rPr>
  </w:style>
  <w:style w:type="paragraph" w:styleId="CommentText">
    <w:name w:val="annotation text"/>
    <w:basedOn w:val="Normal"/>
    <w:link w:val="CommentTextChar"/>
    <w:uiPriority w:val="99"/>
    <w:unhideWhenUsed/>
    <w:rsid w:val="00F3083B"/>
    <w:rPr>
      <w:sz w:val="20"/>
      <w:szCs w:val="20"/>
    </w:rPr>
  </w:style>
  <w:style w:type="paragraph" w:styleId="CommentSubject">
    <w:name w:val="annotation subject"/>
    <w:basedOn w:val="CommentText"/>
    <w:next w:val="CommentText"/>
    <w:link w:val="CommentSubjectChar"/>
    <w:uiPriority w:val="99"/>
    <w:unhideWhenUsed/>
    <w:rsid w:val="00F3083B"/>
    <w:rPr>
      <w:b/>
      <w:bCs/>
    </w:rPr>
  </w:style>
  <w:style w:type="paragraph" w:styleId="Date">
    <w:name w:val="Date"/>
    <w:basedOn w:val="Normal"/>
    <w:next w:val="Normal"/>
    <w:link w:val="DateChar"/>
    <w:uiPriority w:val="99"/>
    <w:semiHidden/>
    <w:unhideWhenUsed/>
    <w:rsid w:val="00F3083B"/>
  </w:style>
  <w:style w:type="paragraph" w:styleId="DocumentMap">
    <w:name w:val="Document Map"/>
    <w:basedOn w:val="Normal"/>
    <w:link w:val="DocumentMapChar"/>
    <w:uiPriority w:val="99"/>
    <w:semiHidden/>
    <w:unhideWhenUsed/>
    <w:rsid w:val="00F3083B"/>
    <w:rPr>
      <w:rFonts w:ascii="Tahoma" w:hAnsi="Tahoma" w:cs="Tahoma"/>
      <w:sz w:val="16"/>
      <w:szCs w:val="16"/>
    </w:rPr>
  </w:style>
  <w:style w:type="paragraph" w:styleId="E-mailSignature">
    <w:name w:val="E-mail Signature"/>
    <w:basedOn w:val="Normal"/>
    <w:link w:val="E-mailSignatureChar"/>
    <w:uiPriority w:val="99"/>
    <w:semiHidden/>
    <w:unhideWhenUsed/>
    <w:rsid w:val="00F3083B"/>
  </w:style>
  <w:style w:type="character" w:styleId="Emphasis">
    <w:name w:val="Emphasis"/>
    <w:basedOn w:val="DefaultParagraphFont"/>
    <w:uiPriority w:val="99"/>
    <w:qFormat/>
    <w:rsid w:val="00F3083B"/>
    <w:rPr>
      <w:i/>
      <w:iCs/>
    </w:rPr>
  </w:style>
  <w:style w:type="paragraph" w:styleId="EnvelopeAddress">
    <w:name w:val="envelope address"/>
    <w:basedOn w:val="Normal"/>
    <w:uiPriority w:val="99"/>
    <w:semiHidden/>
    <w:unhideWhenUsed/>
    <w:rsid w:val="00F3083B"/>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F3083B"/>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F3083B"/>
    <w:rPr>
      <w:color w:val="800080" w:themeColor="followedHyperlink"/>
      <w:u w:val="single"/>
    </w:rPr>
  </w:style>
  <w:style w:type="character" w:styleId="HTMLAcronym">
    <w:name w:val="HTML Acronym"/>
    <w:basedOn w:val="DefaultParagraphFont"/>
    <w:uiPriority w:val="99"/>
    <w:semiHidden/>
    <w:unhideWhenUsed/>
    <w:rsid w:val="00F3083B"/>
  </w:style>
  <w:style w:type="paragraph" w:styleId="HTMLAddress">
    <w:name w:val="HTML Address"/>
    <w:basedOn w:val="Normal"/>
    <w:link w:val="HTMLAddressChar"/>
    <w:uiPriority w:val="99"/>
    <w:semiHidden/>
    <w:unhideWhenUsed/>
    <w:rsid w:val="00F3083B"/>
    <w:rPr>
      <w:i/>
      <w:iCs/>
    </w:rPr>
  </w:style>
  <w:style w:type="character" w:styleId="HTMLCite">
    <w:name w:val="HTML Cite"/>
    <w:basedOn w:val="DefaultParagraphFont"/>
    <w:uiPriority w:val="99"/>
    <w:semiHidden/>
    <w:unhideWhenUsed/>
    <w:rsid w:val="00F3083B"/>
    <w:rPr>
      <w:i/>
      <w:iCs/>
    </w:rPr>
  </w:style>
  <w:style w:type="character" w:styleId="HTMLCode">
    <w:name w:val="HTML Code"/>
    <w:basedOn w:val="DefaultParagraphFont"/>
    <w:uiPriority w:val="99"/>
    <w:semiHidden/>
    <w:unhideWhenUsed/>
    <w:rsid w:val="00F3083B"/>
    <w:rPr>
      <w:rFonts w:ascii="Consolas" w:hAnsi="Consolas" w:cs="Consolas"/>
      <w:sz w:val="20"/>
      <w:szCs w:val="20"/>
    </w:rPr>
  </w:style>
  <w:style w:type="character" w:styleId="HTMLDefinition">
    <w:name w:val="HTML Definition"/>
    <w:basedOn w:val="DefaultParagraphFont"/>
    <w:uiPriority w:val="99"/>
    <w:unhideWhenUsed/>
    <w:rsid w:val="00F3083B"/>
    <w:rPr>
      <w:i/>
      <w:iCs/>
    </w:rPr>
  </w:style>
  <w:style w:type="character" w:styleId="HTMLKeyboard">
    <w:name w:val="HTML Keyboard"/>
    <w:basedOn w:val="DefaultParagraphFont"/>
    <w:uiPriority w:val="99"/>
    <w:semiHidden/>
    <w:unhideWhenUsed/>
    <w:rsid w:val="00F3083B"/>
    <w:rPr>
      <w:rFonts w:ascii="Consolas" w:hAnsi="Consolas" w:cs="Consolas"/>
      <w:sz w:val="20"/>
      <w:szCs w:val="20"/>
    </w:rPr>
  </w:style>
  <w:style w:type="paragraph" w:styleId="HTMLPreformatted">
    <w:name w:val="HTML Preformatted"/>
    <w:basedOn w:val="Normal"/>
    <w:link w:val="HTMLPreformattedChar"/>
    <w:uiPriority w:val="99"/>
    <w:semiHidden/>
    <w:unhideWhenUsed/>
    <w:rsid w:val="00F3083B"/>
    <w:rPr>
      <w:rFonts w:ascii="Consolas" w:hAnsi="Consolas" w:cs="Consolas"/>
      <w:sz w:val="20"/>
      <w:szCs w:val="20"/>
    </w:rPr>
  </w:style>
  <w:style w:type="character" w:styleId="HTMLSample">
    <w:name w:val="HTML Sample"/>
    <w:basedOn w:val="DefaultParagraphFont"/>
    <w:uiPriority w:val="99"/>
    <w:semiHidden/>
    <w:unhideWhenUsed/>
    <w:rsid w:val="00F3083B"/>
    <w:rPr>
      <w:rFonts w:ascii="Consolas" w:hAnsi="Consolas" w:cs="Consolas"/>
      <w:sz w:val="24"/>
      <w:szCs w:val="24"/>
    </w:rPr>
  </w:style>
  <w:style w:type="character" w:styleId="HTMLTypewriter">
    <w:name w:val="HTML Typewriter"/>
    <w:basedOn w:val="DefaultParagraphFont"/>
    <w:uiPriority w:val="99"/>
    <w:semiHidden/>
    <w:unhideWhenUsed/>
    <w:rsid w:val="00F3083B"/>
    <w:rPr>
      <w:rFonts w:ascii="Consolas" w:hAnsi="Consolas" w:cs="Consolas"/>
      <w:sz w:val="20"/>
      <w:szCs w:val="20"/>
    </w:rPr>
  </w:style>
  <w:style w:type="character" w:styleId="HTMLVariable">
    <w:name w:val="HTML Variable"/>
    <w:basedOn w:val="DefaultParagraphFont"/>
    <w:uiPriority w:val="99"/>
    <w:semiHidden/>
    <w:unhideWhenUsed/>
    <w:rsid w:val="00F3083B"/>
    <w:rPr>
      <w:i/>
      <w:iCs/>
    </w:rPr>
  </w:style>
  <w:style w:type="paragraph" w:styleId="Index1">
    <w:name w:val="index 1"/>
    <w:basedOn w:val="Normal"/>
    <w:next w:val="Normal"/>
    <w:autoRedefine/>
    <w:uiPriority w:val="99"/>
    <w:semiHidden/>
    <w:unhideWhenUsed/>
    <w:rsid w:val="00F3083B"/>
    <w:pPr>
      <w:ind w:left="180" w:hanging="180"/>
    </w:pPr>
  </w:style>
  <w:style w:type="paragraph" w:styleId="Index2">
    <w:name w:val="index 2"/>
    <w:basedOn w:val="Normal"/>
    <w:next w:val="Normal"/>
    <w:autoRedefine/>
    <w:uiPriority w:val="99"/>
    <w:semiHidden/>
    <w:unhideWhenUsed/>
    <w:rsid w:val="00F3083B"/>
    <w:pPr>
      <w:ind w:left="360" w:hanging="180"/>
    </w:pPr>
  </w:style>
  <w:style w:type="paragraph" w:styleId="Index3">
    <w:name w:val="index 3"/>
    <w:basedOn w:val="Normal"/>
    <w:next w:val="Normal"/>
    <w:autoRedefine/>
    <w:uiPriority w:val="99"/>
    <w:semiHidden/>
    <w:unhideWhenUsed/>
    <w:rsid w:val="00F3083B"/>
    <w:pPr>
      <w:ind w:left="540" w:hanging="180"/>
    </w:pPr>
  </w:style>
  <w:style w:type="paragraph" w:styleId="Index4">
    <w:name w:val="index 4"/>
    <w:basedOn w:val="Normal"/>
    <w:next w:val="Normal"/>
    <w:autoRedefine/>
    <w:uiPriority w:val="99"/>
    <w:semiHidden/>
    <w:unhideWhenUsed/>
    <w:rsid w:val="00F3083B"/>
    <w:pPr>
      <w:ind w:left="720" w:hanging="180"/>
    </w:pPr>
  </w:style>
  <w:style w:type="paragraph" w:styleId="Index5">
    <w:name w:val="index 5"/>
    <w:basedOn w:val="Normal"/>
    <w:next w:val="Normal"/>
    <w:autoRedefine/>
    <w:uiPriority w:val="99"/>
    <w:semiHidden/>
    <w:unhideWhenUsed/>
    <w:rsid w:val="00F3083B"/>
    <w:pPr>
      <w:ind w:left="900" w:hanging="180"/>
    </w:pPr>
  </w:style>
  <w:style w:type="paragraph" w:styleId="Index6">
    <w:name w:val="index 6"/>
    <w:basedOn w:val="Normal"/>
    <w:next w:val="Normal"/>
    <w:autoRedefine/>
    <w:uiPriority w:val="99"/>
    <w:semiHidden/>
    <w:unhideWhenUsed/>
    <w:rsid w:val="00F3083B"/>
    <w:pPr>
      <w:ind w:left="1080" w:hanging="180"/>
    </w:pPr>
  </w:style>
  <w:style w:type="paragraph" w:styleId="Index7">
    <w:name w:val="index 7"/>
    <w:basedOn w:val="Normal"/>
    <w:next w:val="Normal"/>
    <w:autoRedefine/>
    <w:uiPriority w:val="99"/>
    <w:semiHidden/>
    <w:unhideWhenUsed/>
    <w:rsid w:val="00F3083B"/>
    <w:pPr>
      <w:ind w:left="1260" w:hanging="180"/>
    </w:pPr>
  </w:style>
  <w:style w:type="paragraph" w:styleId="Index8">
    <w:name w:val="index 8"/>
    <w:basedOn w:val="Normal"/>
    <w:next w:val="Normal"/>
    <w:autoRedefine/>
    <w:uiPriority w:val="99"/>
    <w:semiHidden/>
    <w:unhideWhenUsed/>
    <w:rsid w:val="00F3083B"/>
    <w:pPr>
      <w:ind w:left="1440" w:hanging="180"/>
    </w:pPr>
  </w:style>
  <w:style w:type="paragraph" w:styleId="Index9">
    <w:name w:val="index 9"/>
    <w:basedOn w:val="Normal"/>
    <w:next w:val="Normal"/>
    <w:autoRedefine/>
    <w:uiPriority w:val="99"/>
    <w:semiHidden/>
    <w:unhideWhenUsed/>
    <w:rsid w:val="00F3083B"/>
    <w:pPr>
      <w:ind w:left="1620" w:hanging="180"/>
    </w:pPr>
  </w:style>
  <w:style w:type="paragraph" w:styleId="IndexHeading">
    <w:name w:val="index heading"/>
    <w:basedOn w:val="Normal"/>
    <w:next w:val="Index1"/>
    <w:uiPriority w:val="99"/>
    <w:semiHidden/>
    <w:unhideWhenUsed/>
    <w:rsid w:val="00F3083B"/>
    <w:rPr>
      <w:rFonts w:asciiTheme="majorHAnsi" w:eastAsiaTheme="majorEastAsia" w:hAnsiTheme="majorHAnsi" w:cstheme="majorBidi"/>
      <w:b/>
      <w:bCs/>
    </w:rPr>
  </w:style>
  <w:style w:type="character" w:styleId="IntenseEmphasis">
    <w:name w:val="Intense Emphasis"/>
    <w:basedOn w:val="DefaultParagraphFont"/>
    <w:uiPriority w:val="99"/>
    <w:qFormat/>
    <w:rsid w:val="00F3083B"/>
    <w:rPr>
      <w:b/>
      <w:bCs/>
      <w:i/>
      <w:iCs/>
      <w:color w:val="4F81BD" w:themeColor="accent1"/>
    </w:rPr>
  </w:style>
  <w:style w:type="paragraph" w:styleId="IntenseQuote">
    <w:name w:val="Intense Quote"/>
    <w:basedOn w:val="Normal"/>
    <w:next w:val="Normal"/>
    <w:link w:val="IntenseQuoteChar"/>
    <w:uiPriority w:val="99"/>
    <w:qFormat/>
    <w:rsid w:val="00F3083B"/>
    <w:pPr>
      <w:pBdr>
        <w:bottom w:val="single" w:sz="4" w:space="4" w:color="4F81BD" w:themeColor="accent1"/>
      </w:pBdr>
      <w:spacing w:before="200" w:after="280"/>
      <w:ind w:left="936" w:right="936"/>
    </w:pPr>
    <w:rPr>
      <w:b/>
      <w:bCs/>
      <w:i/>
      <w:iCs/>
      <w:color w:val="4F81BD" w:themeColor="accent1"/>
    </w:rPr>
  </w:style>
  <w:style w:type="character" w:styleId="IntenseReference">
    <w:name w:val="Intense Reference"/>
    <w:basedOn w:val="DefaultParagraphFont"/>
    <w:uiPriority w:val="99"/>
    <w:qFormat/>
    <w:rsid w:val="00F3083B"/>
    <w:rPr>
      <w:b/>
      <w:bCs/>
      <w:smallCaps/>
      <w:color w:val="C0504D" w:themeColor="accent2"/>
      <w:spacing w:val="5"/>
      <w:u w:val="single"/>
    </w:rPr>
  </w:style>
  <w:style w:type="character" w:styleId="LineNumber">
    <w:name w:val="line number"/>
    <w:basedOn w:val="DefaultParagraphFont"/>
    <w:uiPriority w:val="99"/>
    <w:semiHidden/>
    <w:unhideWhenUsed/>
    <w:rsid w:val="00F3083B"/>
  </w:style>
  <w:style w:type="paragraph" w:styleId="List">
    <w:name w:val="List"/>
    <w:basedOn w:val="Normal"/>
    <w:uiPriority w:val="99"/>
    <w:semiHidden/>
    <w:unhideWhenUsed/>
    <w:rsid w:val="00F3083B"/>
    <w:pPr>
      <w:ind w:left="283" w:hanging="283"/>
      <w:contextualSpacing/>
    </w:pPr>
  </w:style>
  <w:style w:type="paragraph" w:styleId="List2">
    <w:name w:val="List 2"/>
    <w:basedOn w:val="Normal"/>
    <w:uiPriority w:val="99"/>
    <w:semiHidden/>
    <w:unhideWhenUsed/>
    <w:rsid w:val="00F3083B"/>
    <w:pPr>
      <w:ind w:left="566" w:hanging="283"/>
      <w:contextualSpacing/>
    </w:pPr>
  </w:style>
  <w:style w:type="paragraph" w:styleId="List3">
    <w:name w:val="List 3"/>
    <w:basedOn w:val="Normal"/>
    <w:uiPriority w:val="99"/>
    <w:semiHidden/>
    <w:unhideWhenUsed/>
    <w:rsid w:val="00F3083B"/>
    <w:pPr>
      <w:ind w:left="849" w:hanging="283"/>
      <w:contextualSpacing/>
    </w:pPr>
  </w:style>
  <w:style w:type="paragraph" w:styleId="List4">
    <w:name w:val="List 4"/>
    <w:basedOn w:val="Normal"/>
    <w:uiPriority w:val="99"/>
    <w:semiHidden/>
    <w:unhideWhenUsed/>
    <w:rsid w:val="00F3083B"/>
    <w:pPr>
      <w:ind w:left="1132" w:hanging="283"/>
      <w:contextualSpacing/>
    </w:pPr>
  </w:style>
  <w:style w:type="paragraph" w:styleId="List5">
    <w:name w:val="List 5"/>
    <w:basedOn w:val="Normal"/>
    <w:uiPriority w:val="99"/>
    <w:semiHidden/>
    <w:unhideWhenUsed/>
    <w:rsid w:val="00F3083B"/>
    <w:pPr>
      <w:ind w:left="1415" w:hanging="283"/>
      <w:contextualSpacing/>
    </w:pPr>
  </w:style>
  <w:style w:type="paragraph" w:styleId="ListContinue">
    <w:name w:val="List Continue"/>
    <w:basedOn w:val="Normal"/>
    <w:uiPriority w:val="99"/>
    <w:semiHidden/>
    <w:unhideWhenUsed/>
    <w:rsid w:val="00F3083B"/>
    <w:pPr>
      <w:spacing w:after="120"/>
      <w:ind w:left="283"/>
      <w:contextualSpacing/>
    </w:pPr>
  </w:style>
  <w:style w:type="paragraph" w:styleId="ListContinue2">
    <w:name w:val="List Continue 2"/>
    <w:basedOn w:val="Normal"/>
    <w:uiPriority w:val="99"/>
    <w:semiHidden/>
    <w:unhideWhenUsed/>
    <w:rsid w:val="00F3083B"/>
    <w:pPr>
      <w:spacing w:after="120"/>
      <w:ind w:left="566"/>
      <w:contextualSpacing/>
    </w:pPr>
  </w:style>
  <w:style w:type="paragraph" w:styleId="ListContinue3">
    <w:name w:val="List Continue 3"/>
    <w:basedOn w:val="Normal"/>
    <w:uiPriority w:val="99"/>
    <w:semiHidden/>
    <w:unhideWhenUsed/>
    <w:rsid w:val="00F3083B"/>
    <w:pPr>
      <w:spacing w:after="120"/>
      <w:ind w:left="849"/>
      <w:contextualSpacing/>
    </w:pPr>
  </w:style>
  <w:style w:type="paragraph" w:styleId="ListContinue4">
    <w:name w:val="List Continue 4"/>
    <w:basedOn w:val="Normal"/>
    <w:uiPriority w:val="99"/>
    <w:semiHidden/>
    <w:unhideWhenUsed/>
    <w:rsid w:val="00F3083B"/>
    <w:pPr>
      <w:spacing w:after="120"/>
      <w:ind w:left="1132"/>
      <w:contextualSpacing/>
    </w:pPr>
  </w:style>
  <w:style w:type="paragraph" w:styleId="ListContinue5">
    <w:name w:val="List Continue 5"/>
    <w:basedOn w:val="Normal"/>
    <w:uiPriority w:val="99"/>
    <w:semiHidden/>
    <w:unhideWhenUsed/>
    <w:rsid w:val="00F3083B"/>
    <w:pPr>
      <w:spacing w:after="120"/>
      <w:ind w:left="1415"/>
      <w:contextualSpacing/>
    </w:pPr>
  </w:style>
  <w:style w:type="paragraph" w:styleId="ListNumber">
    <w:name w:val="List Number"/>
    <w:basedOn w:val="Normal"/>
    <w:uiPriority w:val="49"/>
    <w:unhideWhenUsed/>
    <w:rsid w:val="00F3083B"/>
    <w:pPr>
      <w:numPr>
        <w:numId w:val="34"/>
      </w:numPr>
      <w:contextualSpacing/>
    </w:pPr>
  </w:style>
  <w:style w:type="paragraph" w:styleId="ListNumber2">
    <w:name w:val="List Number 2"/>
    <w:basedOn w:val="Normal"/>
    <w:uiPriority w:val="49"/>
    <w:semiHidden/>
    <w:unhideWhenUsed/>
    <w:rsid w:val="00F3083B"/>
    <w:pPr>
      <w:numPr>
        <w:numId w:val="35"/>
      </w:numPr>
      <w:contextualSpacing/>
    </w:pPr>
  </w:style>
  <w:style w:type="paragraph" w:styleId="ListNumber3">
    <w:name w:val="List Number 3"/>
    <w:basedOn w:val="Normal"/>
    <w:uiPriority w:val="49"/>
    <w:semiHidden/>
    <w:unhideWhenUsed/>
    <w:rsid w:val="00F3083B"/>
    <w:pPr>
      <w:numPr>
        <w:numId w:val="36"/>
      </w:numPr>
      <w:contextualSpacing/>
    </w:pPr>
  </w:style>
  <w:style w:type="paragraph" w:styleId="ListNumber4">
    <w:name w:val="List Number 4"/>
    <w:basedOn w:val="Normal"/>
    <w:uiPriority w:val="49"/>
    <w:semiHidden/>
    <w:unhideWhenUsed/>
    <w:rsid w:val="00F3083B"/>
    <w:pPr>
      <w:numPr>
        <w:numId w:val="37"/>
      </w:numPr>
      <w:contextualSpacing/>
    </w:pPr>
  </w:style>
  <w:style w:type="paragraph" w:styleId="ListNumber5">
    <w:name w:val="List Number 5"/>
    <w:basedOn w:val="Normal"/>
    <w:uiPriority w:val="49"/>
    <w:semiHidden/>
    <w:unhideWhenUsed/>
    <w:rsid w:val="00F3083B"/>
    <w:pPr>
      <w:numPr>
        <w:numId w:val="38"/>
      </w:numPr>
      <w:contextualSpacing/>
    </w:pPr>
  </w:style>
  <w:style w:type="paragraph" w:styleId="MacroText">
    <w:name w:val="macro"/>
    <w:link w:val="MacroTextChar"/>
    <w:uiPriority w:val="99"/>
    <w:semiHidden/>
    <w:unhideWhenUsed/>
    <w:rsid w:val="00F3083B"/>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eastAsia="Calibri" w:hAnsi="Consolas" w:cs="Consolas"/>
      <w:sz w:val="20"/>
      <w:szCs w:val="20"/>
    </w:rPr>
  </w:style>
  <w:style w:type="paragraph" w:styleId="MessageHeader">
    <w:name w:val="Message Header"/>
    <w:basedOn w:val="Normal"/>
    <w:link w:val="MessageHeaderChar"/>
    <w:uiPriority w:val="99"/>
    <w:semiHidden/>
    <w:unhideWhenUsed/>
    <w:rsid w:val="00F3083B"/>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paragraph" w:styleId="NoSpacing">
    <w:name w:val="No Spacing"/>
    <w:uiPriority w:val="1"/>
    <w:qFormat/>
    <w:rsid w:val="00F3083B"/>
    <w:pPr>
      <w:spacing w:after="0" w:line="240" w:lineRule="auto"/>
      <w:jc w:val="both"/>
    </w:pPr>
    <w:rPr>
      <w:rFonts w:ascii="Verdana" w:eastAsia="Calibri" w:hAnsi="Verdana" w:cs="Times New Roman"/>
      <w:sz w:val="18"/>
    </w:rPr>
  </w:style>
  <w:style w:type="paragraph" w:styleId="NormalWeb">
    <w:name w:val="Normal (Web)"/>
    <w:basedOn w:val="Normal"/>
    <w:uiPriority w:val="99"/>
    <w:semiHidden/>
    <w:unhideWhenUsed/>
    <w:rsid w:val="00F3083B"/>
    <w:rPr>
      <w:rFonts w:ascii="Times New Roman" w:hAnsi="Times New Roman"/>
      <w:sz w:val="24"/>
      <w:szCs w:val="24"/>
    </w:rPr>
  </w:style>
  <w:style w:type="paragraph" w:styleId="NormalIndent">
    <w:name w:val="Normal Indent"/>
    <w:basedOn w:val="Normal"/>
    <w:uiPriority w:val="99"/>
    <w:semiHidden/>
    <w:unhideWhenUsed/>
    <w:rsid w:val="00F3083B"/>
    <w:pPr>
      <w:ind w:left="567"/>
    </w:pPr>
  </w:style>
  <w:style w:type="paragraph" w:styleId="NoteHeading">
    <w:name w:val="Note Heading"/>
    <w:basedOn w:val="Normal"/>
    <w:next w:val="Normal"/>
    <w:link w:val="NoteHeadingChar"/>
    <w:uiPriority w:val="99"/>
    <w:semiHidden/>
    <w:unhideWhenUsed/>
    <w:rsid w:val="00F3083B"/>
  </w:style>
  <w:style w:type="character" w:styleId="PageNumber">
    <w:name w:val="page number"/>
    <w:basedOn w:val="DefaultParagraphFont"/>
    <w:uiPriority w:val="99"/>
    <w:unhideWhenUsed/>
    <w:rsid w:val="00F3083B"/>
  </w:style>
  <w:style w:type="character" w:styleId="PlaceholderText">
    <w:name w:val="Placeholder Text"/>
    <w:basedOn w:val="DefaultParagraphFont"/>
    <w:uiPriority w:val="99"/>
    <w:semiHidden/>
    <w:rsid w:val="00F3083B"/>
    <w:rPr>
      <w:color w:val="808080"/>
    </w:rPr>
  </w:style>
  <w:style w:type="paragraph" w:styleId="PlainText">
    <w:name w:val="Plain Text"/>
    <w:basedOn w:val="Normal"/>
    <w:link w:val="PlainTextChar"/>
    <w:uiPriority w:val="99"/>
    <w:unhideWhenUsed/>
    <w:rsid w:val="00F3083B"/>
    <w:rPr>
      <w:rFonts w:ascii="Consolas" w:hAnsi="Consolas" w:cs="Consolas"/>
      <w:sz w:val="21"/>
      <w:szCs w:val="21"/>
    </w:rPr>
  </w:style>
  <w:style w:type="paragraph" w:styleId="Quote">
    <w:name w:val="Quote"/>
    <w:basedOn w:val="Normal"/>
    <w:next w:val="Normal"/>
    <w:link w:val="QuoteChar"/>
    <w:uiPriority w:val="99"/>
    <w:qFormat/>
    <w:rsid w:val="00F3083B"/>
    <w:rPr>
      <w:i/>
      <w:iCs/>
      <w:color w:val="000000" w:themeColor="text1"/>
    </w:rPr>
  </w:style>
  <w:style w:type="paragraph" w:styleId="Salutation">
    <w:name w:val="Salutation"/>
    <w:basedOn w:val="Normal"/>
    <w:next w:val="Normal"/>
    <w:link w:val="SalutationChar"/>
    <w:uiPriority w:val="99"/>
    <w:semiHidden/>
    <w:unhideWhenUsed/>
    <w:rsid w:val="00F3083B"/>
  </w:style>
  <w:style w:type="paragraph" w:styleId="Signature">
    <w:name w:val="Signature"/>
    <w:basedOn w:val="Normal"/>
    <w:link w:val="SignatureChar"/>
    <w:uiPriority w:val="99"/>
    <w:semiHidden/>
    <w:unhideWhenUsed/>
    <w:rsid w:val="00F3083B"/>
    <w:pPr>
      <w:ind w:left="4252"/>
    </w:pPr>
  </w:style>
  <w:style w:type="character" w:styleId="Strong">
    <w:name w:val="Strong"/>
    <w:basedOn w:val="DefaultParagraphFont"/>
    <w:uiPriority w:val="99"/>
    <w:qFormat/>
    <w:rsid w:val="00F3083B"/>
    <w:rPr>
      <w:b/>
      <w:bCs/>
    </w:rPr>
  </w:style>
  <w:style w:type="character" w:styleId="SubtleEmphasis">
    <w:name w:val="Subtle Emphasis"/>
    <w:basedOn w:val="DefaultParagraphFont"/>
    <w:uiPriority w:val="99"/>
    <w:qFormat/>
    <w:rsid w:val="00F3083B"/>
    <w:rPr>
      <w:i/>
      <w:iCs/>
      <w:color w:val="808080" w:themeColor="text1" w:themeTint="7F"/>
    </w:rPr>
  </w:style>
  <w:style w:type="character" w:styleId="SubtleReference">
    <w:name w:val="Subtle Reference"/>
    <w:basedOn w:val="DefaultParagraphFont"/>
    <w:uiPriority w:val="99"/>
    <w:qFormat/>
    <w:rsid w:val="00F3083B"/>
    <w:rPr>
      <w:smallCaps/>
      <w:color w:val="C0504D" w:themeColor="accent2"/>
      <w:u w:val="single"/>
    </w:rPr>
  </w:style>
  <w:style w:type="paragraph" w:styleId="TOAHeading">
    <w:name w:val="toa heading"/>
    <w:basedOn w:val="Normal"/>
    <w:next w:val="Normal"/>
    <w:uiPriority w:val="39"/>
    <w:unhideWhenUsed/>
    <w:rsid w:val="00F3083B"/>
    <w:pPr>
      <w:spacing w:before="120"/>
    </w:pPr>
    <w:rPr>
      <w:rFonts w:asciiTheme="majorHAnsi" w:eastAsiaTheme="majorEastAsia" w:hAnsiTheme="majorHAnsi" w:cstheme="majorBidi"/>
      <w:b/>
      <w:bCs/>
      <w:sz w:val="24"/>
      <w:szCs w:val="24"/>
    </w:rPr>
  </w:style>
  <w:style w:type="paragraph" w:customStyle="1" w:styleId="PanelTitle">
    <w:name w:val="PanelTitle"/>
    <w:basedOn w:val="Normal"/>
    <w:uiPriority w:val="49"/>
    <w:qFormat/>
    <w:rsid w:val="00F3083B"/>
    <w:pPr>
      <w:spacing w:before="480" w:after="240"/>
      <w:contextualSpacing/>
      <w:jc w:val="center"/>
    </w:pPr>
    <w:rPr>
      <w:b/>
      <w:caps/>
      <w:color w:val="006283"/>
      <w:kern w:val="28"/>
      <w:sz w:val="22"/>
    </w:rPr>
  </w:style>
  <w:style w:type="paragraph" w:styleId="Revision">
    <w:name w:val="Revision"/>
    <w:hidden/>
    <w:uiPriority w:val="71"/>
    <w:rsid w:val="0007161B"/>
    <w:pPr>
      <w:spacing w:after="0" w:line="240" w:lineRule="auto"/>
    </w:pPr>
    <w:rPr>
      <w:rFonts w:ascii="Verdana" w:eastAsia="Calibri" w:hAnsi="Verdana" w:cs="Times New Roman"/>
      <w:sz w:val="18"/>
    </w:rPr>
  </w:style>
  <w:style w:type="paragraph" w:customStyle="1" w:styleId="MediumList2-Accent21">
    <w:name w:val="Medium List 2 - Accent 21"/>
    <w:hidden/>
    <w:uiPriority w:val="99"/>
    <w:rsid w:val="0007161B"/>
    <w:pPr>
      <w:spacing w:after="0" w:line="240" w:lineRule="auto"/>
    </w:pPr>
    <w:rPr>
      <w:rFonts w:ascii="Verdana" w:eastAsia="Calibri" w:hAnsi="Verdana" w:cs="Times New Roman"/>
      <w:sz w:val="18"/>
    </w:rPr>
  </w:style>
  <w:style w:type="character" w:customStyle="1" w:styleId="3">
    <w:name w:val="3"/>
    <w:uiPriority w:val="99"/>
    <w:semiHidden/>
    <w:qFormat/>
    <w:rsid w:val="0007161B"/>
    <w:rPr>
      <w:b/>
      <w:bCs/>
      <w:smallCaps/>
      <w:color w:val="C0504D"/>
      <w:spacing w:val="5"/>
      <w:u w:val="single"/>
    </w:rPr>
  </w:style>
  <w:style w:type="character" w:customStyle="1" w:styleId="2">
    <w:name w:val="2"/>
    <w:uiPriority w:val="99"/>
    <w:semiHidden/>
    <w:qFormat/>
    <w:rsid w:val="0007161B"/>
    <w:rPr>
      <w:i/>
      <w:iCs/>
      <w:color w:val="808080"/>
    </w:rPr>
  </w:style>
  <w:style w:type="character" w:customStyle="1" w:styleId="1">
    <w:name w:val="1"/>
    <w:uiPriority w:val="99"/>
    <w:semiHidden/>
    <w:qFormat/>
    <w:rsid w:val="0007161B"/>
    <w:rPr>
      <w:smallCaps/>
      <w:color w:val="C0504D"/>
      <w:u w:val="single"/>
    </w:rPr>
  </w:style>
  <w:style w:type="paragraph" w:customStyle="1" w:styleId="ColorfulShading-Accent11">
    <w:name w:val="Colorful Shading - Accent 11"/>
    <w:hidden/>
    <w:uiPriority w:val="99"/>
    <w:semiHidden/>
    <w:rsid w:val="0007161B"/>
    <w:pPr>
      <w:spacing w:after="0" w:line="240" w:lineRule="auto"/>
    </w:pPr>
    <w:rPr>
      <w:rFonts w:ascii="Verdana" w:eastAsia="Calibri" w:hAnsi="Verdana" w:cs="Times New Roman"/>
      <w:sz w:val="18"/>
    </w:rPr>
  </w:style>
  <w:style w:type="table" w:styleId="MediumList1-Accent2">
    <w:name w:val="Medium List 1 Accent 2"/>
    <w:basedOn w:val="TableNormal"/>
    <w:uiPriority w:val="61"/>
    <w:rsid w:val="00AE4AC1"/>
    <w:pPr>
      <w:spacing w:after="0" w:line="240" w:lineRule="auto"/>
    </w:pPr>
    <w:rPr>
      <w:rFonts w:ascii="Calibri" w:eastAsia="Calibri" w:hAnsi="Calibri" w:cs="Times New Roman"/>
      <w:sz w:val="20"/>
      <w:szCs w:val="20"/>
      <w:lang w:eastAsia="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MediumList1-Accent3">
    <w:name w:val="Medium List 1 Accent 3"/>
    <w:basedOn w:val="TableNormal"/>
    <w:uiPriority w:val="61"/>
    <w:rsid w:val="00AE4AC1"/>
    <w:pPr>
      <w:spacing w:after="0" w:line="240" w:lineRule="auto"/>
    </w:pPr>
    <w:rPr>
      <w:rFonts w:ascii="Calibri" w:eastAsia="Calibri" w:hAnsi="Calibri" w:cs="Times New Roman"/>
      <w:sz w:val="20"/>
      <w:szCs w:val="20"/>
      <w:lang w:eastAsia="en-GB"/>
    </w:rPr>
    <w:tblPr>
      <w:tblStyleRowBandSize w:val="1"/>
      <w:tblStyleColBandSize w:val="1"/>
      <w:tblBorders>
        <w:top w:val="single" w:sz="8" w:space="0" w:color="1F497D"/>
        <w:left w:val="single" w:sz="8" w:space="0" w:color="1F497D"/>
        <w:bottom w:val="single" w:sz="8" w:space="0" w:color="1F497D"/>
        <w:right w:val="single" w:sz="8" w:space="0" w:color="1F497D"/>
      </w:tblBorders>
    </w:tblPr>
    <w:tblStylePr w:type="firstRow">
      <w:pPr>
        <w:spacing w:before="0" w:after="0" w:line="240" w:lineRule="auto"/>
      </w:pPr>
      <w:rPr>
        <w:b/>
        <w:bCs/>
        <w:color w:val="FFFFFF"/>
      </w:rPr>
      <w:tblPr/>
      <w:tcPr>
        <w:shd w:val="clear" w:color="auto" w:fill="1F497D"/>
      </w:tcPr>
    </w:tblStylePr>
    <w:tblStylePr w:type="lastRow">
      <w:pPr>
        <w:spacing w:before="0" w:after="0" w:line="240" w:lineRule="auto"/>
      </w:pPr>
      <w:rPr>
        <w:b/>
        <w:bCs/>
      </w:rPr>
      <w:tblPr/>
      <w:tcPr>
        <w:tcBorders>
          <w:top w:val="double" w:sz="6" w:space="0" w:color="1F497D"/>
          <w:left w:val="single" w:sz="8" w:space="0" w:color="1F497D"/>
          <w:bottom w:val="single" w:sz="8" w:space="0" w:color="1F497D"/>
          <w:right w:val="single" w:sz="8" w:space="0" w:color="1F497D"/>
        </w:tcBorders>
      </w:tcPr>
    </w:tblStylePr>
    <w:tblStylePr w:type="firstCol">
      <w:rPr>
        <w:b/>
        <w:bCs/>
      </w:rPr>
    </w:tblStylePr>
    <w:tblStylePr w:type="lastCol">
      <w:rPr>
        <w:b/>
        <w:bCs/>
      </w:rPr>
    </w:tblStylePr>
    <w:tblStylePr w:type="band1Vert">
      <w:tblPr/>
      <w:tcPr>
        <w:tcBorders>
          <w:top w:val="single" w:sz="8" w:space="0" w:color="1F497D"/>
          <w:left w:val="single" w:sz="8" w:space="0" w:color="1F497D"/>
          <w:bottom w:val="single" w:sz="8" w:space="0" w:color="1F497D"/>
          <w:right w:val="single" w:sz="8" w:space="0" w:color="1F497D"/>
        </w:tcBorders>
      </w:tcPr>
    </w:tblStylePr>
    <w:tblStylePr w:type="band1Horz">
      <w:tblPr/>
      <w:tcPr>
        <w:tcBorders>
          <w:top w:val="single" w:sz="8" w:space="0" w:color="1F497D"/>
          <w:left w:val="single" w:sz="8" w:space="0" w:color="1F497D"/>
          <w:bottom w:val="single" w:sz="8" w:space="0" w:color="1F497D"/>
          <w:right w:val="single" w:sz="8" w:space="0" w:color="1F497D"/>
        </w:tcBorders>
      </w:tcPr>
    </w:tblStylePr>
  </w:style>
  <w:style w:type="table" w:styleId="MediumShading2-Accent2">
    <w:name w:val="Medium Shading 2 Accent 2"/>
    <w:basedOn w:val="TableNormal"/>
    <w:uiPriority w:val="60"/>
    <w:rsid w:val="00AE4AC1"/>
    <w:pPr>
      <w:spacing w:after="0" w:line="240" w:lineRule="auto"/>
    </w:pPr>
    <w:rPr>
      <w:rFonts w:ascii="Verdana" w:eastAsia="Calibri" w:hAnsi="Verdana" w:cs="Times New Roman"/>
      <w:color w:val="000000"/>
      <w:sz w:val="18"/>
      <w:szCs w:val="18"/>
      <w:lang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MediumGrid2-Accent4">
    <w:name w:val="Medium Grid 2 Accent 4"/>
    <w:basedOn w:val="TableNormal"/>
    <w:uiPriority w:val="60"/>
    <w:rsid w:val="00AE4AC1"/>
    <w:pPr>
      <w:spacing w:after="0" w:line="240" w:lineRule="auto"/>
    </w:pPr>
    <w:rPr>
      <w:rFonts w:ascii="Verdana" w:eastAsia="Calibri" w:hAnsi="Verdana" w:cs="Times New Roman"/>
      <w:color w:val="943634"/>
      <w:sz w:val="18"/>
      <w:szCs w:val="18"/>
      <w:lang w:eastAsia="en-GB"/>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MediumGrid2-Accent5">
    <w:name w:val="Medium Grid 2 Accent 5"/>
    <w:basedOn w:val="TableNormal"/>
    <w:uiPriority w:val="60"/>
    <w:rsid w:val="00AE4AC1"/>
    <w:pPr>
      <w:spacing w:after="0" w:line="240" w:lineRule="auto"/>
    </w:pPr>
    <w:rPr>
      <w:rFonts w:ascii="Verdana" w:eastAsia="Calibri" w:hAnsi="Verdana" w:cs="Times New Roman"/>
      <w:color w:val="76923C"/>
      <w:sz w:val="18"/>
      <w:szCs w:val="18"/>
      <w:lang w:eastAsia="en-GB"/>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MediumGrid2-Accent6">
    <w:name w:val="Medium Grid 2 Accent 6"/>
    <w:basedOn w:val="TableNormal"/>
    <w:uiPriority w:val="60"/>
    <w:rsid w:val="00AE4AC1"/>
    <w:pPr>
      <w:spacing w:after="0" w:line="240" w:lineRule="auto"/>
    </w:pPr>
    <w:rPr>
      <w:rFonts w:ascii="Calibri" w:eastAsia="Calibri" w:hAnsi="Calibri" w:cs="Times New Roman"/>
      <w:color w:val="5F497A"/>
      <w:sz w:val="20"/>
      <w:szCs w:val="20"/>
      <w:lang w:eastAsia="en-GB"/>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List-Accent5">
    <w:name w:val="Light List Accent 5"/>
    <w:basedOn w:val="TableNormal"/>
    <w:uiPriority w:val="67"/>
    <w:rsid w:val="00AE4AC1"/>
    <w:pPr>
      <w:spacing w:after="0" w:line="240" w:lineRule="auto"/>
    </w:pPr>
    <w:rPr>
      <w:rFonts w:ascii="Verdana" w:eastAsia="Calibri" w:hAnsi="Verdana" w:cs="Times New Roman"/>
      <w:sz w:val="18"/>
      <w:szCs w:val="18"/>
      <w:lang w:eastAsia="en-GB"/>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3-Accent2">
    <w:name w:val="Medium Grid 3 Accent 2"/>
    <w:basedOn w:val="TableNormal"/>
    <w:uiPriority w:val="60"/>
    <w:qFormat/>
    <w:rsid w:val="00AE4AC1"/>
    <w:pPr>
      <w:spacing w:after="0" w:line="240" w:lineRule="auto"/>
    </w:pPr>
    <w:rPr>
      <w:rFonts w:ascii="Calibri" w:eastAsia="Calibri" w:hAnsi="Calibri" w:cs="Times New Roman"/>
      <w:color w:val="000000"/>
      <w:sz w:val="20"/>
      <w:szCs w:val="20"/>
      <w:lang w:eastAsia="en-GB"/>
    </w:rPr>
    <w:tblPr>
      <w:tblStyleRowBandSize w:val="1"/>
      <w:tblStyleColBandSize w:val="1"/>
      <w:tblBorders>
        <w:top w:val="single" w:sz="8" w:space="0" w:color="000000"/>
        <w:bottom w:val="single" w:sz="8" w:space="0" w:color="000000"/>
      </w:tblBorders>
    </w:tblPr>
    <w:tblStylePr w:type="firstRow">
      <w:rPr>
        <w:rFonts w:ascii="New York" w:eastAsia="Times New Roman" w:hAnsi="New York"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DarkList">
    <w:name w:val="Dark List"/>
    <w:basedOn w:val="TableNormal"/>
    <w:uiPriority w:val="61"/>
    <w:rsid w:val="00AE4AC1"/>
    <w:pPr>
      <w:spacing w:after="0" w:line="240" w:lineRule="auto"/>
    </w:pPr>
    <w:rPr>
      <w:rFonts w:ascii="Calibri" w:eastAsia="Calibri" w:hAnsi="Calibri" w:cs="Times New Roman"/>
      <w:sz w:val="20"/>
      <w:szCs w:val="20"/>
      <w:lang w:eastAsia="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MediumList2-Accent1">
    <w:name w:val="Medium List 2 Accent 1"/>
    <w:basedOn w:val="TableNormal"/>
    <w:uiPriority w:val="61"/>
    <w:rsid w:val="00AE4AC1"/>
    <w:pPr>
      <w:spacing w:after="0" w:line="240" w:lineRule="auto"/>
    </w:pPr>
    <w:rPr>
      <w:rFonts w:ascii="Calibri" w:eastAsia="Calibri" w:hAnsi="Calibri" w:cs="Times New Roman"/>
      <w:sz w:val="20"/>
      <w:szCs w:val="20"/>
      <w:lang w:eastAsia="en-GB"/>
    </w:rPr>
    <w:tblPr>
      <w:tblStyleRowBandSize w:val="1"/>
      <w:tblStyleColBandSize w:val="1"/>
      <w:tblBorders>
        <w:top w:val="single" w:sz="8" w:space="0" w:color="1F497D"/>
        <w:left w:val="single" w:sz="8" w:space="0" w:color="1F497D"/>
        <w:bottom w:val="single" w:sz="8" w:space="0" w:color="1F497D"/>
        <w:right w:val="single" w:sz="8" w:space="0" w:color="1F497D"/>
      </w:tblBorders>
    </w:tblPr>
    <w:tblStylePr w:type="firstRow">
      <w:pPr>
        <w:spacing w:before="0" w:after="0" w:line="240" w:lineRule="auto"/>
      </w:pPr>
      <w:rPr>
        <w:b/>
        <w:bCs/>
        <w:color w:val="FFFFFF"/>
      </w:rPr>
      <w:tblPr/>
      <w:tcPr>
        <w:shd w:val="clear" w:color="auto" w:fill="1F497D"/>
      </w:tcPr>
    </w:tblStylePr>
    <w:tblStylePr w:type="lastRow">
      <w:pPr>
        <w:spacing w:before="0" w:after="0" w:line="240" w:lineRule="auto"/>
      </w:pPr>
      <w:rPr>
        <w:b/>
        <w:bCs/>
      </w:rPr>
      <w:tblPr/>
      <w:tcPr>
        <w:tcBorders>
          <w:top w:val="double" w:sz="6" w:space="0" w:color="1F497D"/>
          <w:left w:val="single" w:sz="8" w:space="0" w:color="1F497D"/>
          <w:bottom w:val="single" w:sz="8" w:space="0" w:color="1F497D"/>
          <w:right w:val="single" w:sz="8" w:space="0" w:color="1F497D"/>
        </w:tcBorders>
      </w:tcPr>
    </w:tblStylePr>
    <w:tblStylePr w:type="firstCol">
      <w:rPr>
        <w:b/>
        <w:bCs/>
      </w:rPr>
    </w:tblStylePr>
    <w:tblStylePr w:type="lastCol">
      <w:rPr>
        <w:b/>
        <w:bCs/>
      </w:rPr>
    </w:tblStylePr>
    <w:tblStylePr w:type="band1Vert">
      <w:tblPr/>
      <w:tcPr>
        <w:tcBorders>
          <w:top w:val="single" w:sz="8" w:space="0" w:color="1F497D"/>
          <w:left w:val="single" w:sz="8" w:space="0" w:color="1F497D"/>
          <w:bottom w:val="single" w:sz="8" w:space="0" w:color="1F497D"/>
          <w:right w:val="single" w:sz="8" w:space="0" w:color="1F497D"/>
        </w:tcBorders>
      </w:tcPr>
    </w:tblStylePr>
    <w:tblStylePr w:type="band1Horz">
      <w:tblPr/>
      <w:tcPr>
        <w:tcBorders>
          <w:top w:val="single" w:sz="8" w:space="0" w:color="1F497D"/>
          <w:left w:val="single" w:sz="8" w:space="0" w:color="1F497D"/>
          <w:bottom w:val="single" w:sz="8" w:space="0" w:color="1F497D"/>
          <w:right w:val="single" w:sz="8" w:space="0" w:color="1F497D"/>
        </w:tcBorders>
      </w:tcPr>
    </w:tblStylePr>
  </w:style>
  <w:style w:type="table" w:styleId="MediumGrid3">
    <w:name w:val="Medium Grid 3"/>
    <w:basedOn w:val="TableNormal"/>
    <w:uiPriority w:val="60"/>
    <w:rsid w:val="00AE4AC1"/>
    <w:pPr>
      <w:spacing w:after="0" w:line="240" w:lineRule="auto"/>
    </w:pPr>
    <w:rPr>
      <w:rFonts w:ascii="Verdana" w:eastAsia="Calibri" w:hAnsi="Verdana" w:cs="Times New Roman"/>
      <w:color w:val="000000"/>
      <w:sz w:val="18"/>
      <w:szCs w:val="18"/>
      <w:lang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MediumGrid3-Accent3">
    <w:name w:val="Medium Grid 3 Accent 3"/>
    <w:basedOn w:val="TableNormal"/>
    <w:uiPriority w:val="60"/>
    <w:rsid w:val="00AE4AC1"/>
    <w:pPr>
      <w:spacing w:after="0" w:line="240" w:lineRule="auto"/>
    </w:pPr>
    <w:rPr>
      <w:rFonts w:ascii="Verdana" w:eastAsia="Calibri" w:hAnsi="Verdana" w:cs="Times New Roman"/>
      <w:color w:val="76923C"/>
      <w:sz w:val="18"/>
      <w:szCs w:val="18"/>
      <w:lang w:eastAsia="en-GB"/>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MediumGrid3-Accent4">
    <w:name w:val="Medium Grid 3 Accent 4"/>
    <w:basedOn w:val="TableNormal"/>
    <w:uiPriority w:val="60"/>
    <w:rsid w:val="00AE4AC1"/>
    <w:pPr>
      <w:spacing w:after="0" w:line="240" w:lineRule="auto"/>
    </w:pPr>
    <w:rPr>
      <w:rFonts w:ascii="Calibri" w:eastAsia="Calibri" w:hAnsi="Calibri" w:cs="Times New Roman"/>
      <w:color w:val="5F497A"/>
      <w:sz w:val="20"/>
      <w:szCs w:val="20"/>
      <w:lang w:eastAsia="en-GB"/>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Grid-Accent3">
    <w:name w:val="Light Grid Accent 3"/>
    <w:basedOn w:val="TableNormal"/>
    <w:uiPriority w:val="67"/>
    <w:rsid w:val="00AE4AC1"/>
    <w:pPr>
      <w:spacing w:after="0" w:line="240" w:lineRule="auto"/>
    </w:pPr>
    <w:rPr>
      <w:rFonts w:ascii="Verdana" w:eastAsia="Calibri" w:hAnsi="Verdana" w:cs="Times New Roman"/>
      <w:sz w:val="18"/>
      <w:szCs w:val="18"/>
      <w:lang w:eastAsia="en-GB"/>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LightShading-Accent1">
    <w:name w:val="Light Shading Accent 1"/>
    <w:basedOn w:val="TableNormal"/>
    <w:uiPriority w:val="65"/>
    <w:rsid w:val="00AE4AC1"/>
    <w:pPr>
      <w:spacing w:after="0" w:line="240" w:lineRule="auto"/>
    </w:pPr>
    <w:rPr>
      <w:rFonts w:ascii="Calibri" w:eastAsia="Calibri" w:hAnsi="Calibri" w:cs="Times New Roman"/>
      <w:color w:val="000000"/>
      <w:sz w:val="20"/>
      <w:szCs w:val="20"/>
      <w:lang w:eastAsia="en-GB"/>
    </w:rPr>
    <w:tblPr>
      <w:tblStyleRowBandSize w:val="1"/>
      <w:tblStyleColBandSize w:val="1"/>
      <w:tblBorders>
        <w:top w:val="single" w:sz="8" w:space="0" w:color="000000"/>
        <w:bottom w:val="single" w:sz="8" w:space="0" w:color="000000"/>
      </w:tblBorders>
    </w:tblPr>
    <w:tblStylePr w:type="firstRow">
      <w:rPr>
        <w:rFonts w:ascii="New York" w:eastAsia="Times New Roman" w:hAnsi="New York"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ghtList">
    <w:name w:val="Light List"/>
    <w:basedOn w:val="TableNormal"/>
    <w:uiPriority w:val="61"/>
    <w:rsid w:val="00AE4AC1"/>
    <w:pPr>
      <w:spacing w:after="0" w:line="240" w:lineRule="auto"/>
    </w:pPr>
    <w:rPr>
      <w:rFonts w:ascii="Calibri" w:eastAsia="Calibri" w:hAnsi="Calibri" w:cs="Times New Roman"/>
      <w:sz w:val="20"/>
      <w:szCs w:val="20"/>
      <w:lang w:eastAsia="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AE4AC1"/>
    <w:pPr>
      <w:spacing w:after="0" w:line="240" w:lineRule="auto"/>
    </w:pPr>
    <w:rPr>
      <w:rFonts w:ascii="Calibri" w:eastAsia="Calibri" w:hAnsi="Calibri" w:cs="Times New Roman"/>
      <w:sz w:val="20"/>
      <w:szCs w:val="20"/>
      <w:lang w:eastAsia="en-GB"/>
    </w:rPr>
    <w:tblPr>
      <w:tblStyleRowBandSize w:val="1"/>
      <w:tblStyleColBandSize w:val="1"/>
      <w:tblBorders>
        <w:top w:val="single" w:sz="8" w:space="0" w:color="1F497D"/>
        <w:left w:val="single" w:sz="8" w:space="0" w:color="1F497D"/>
        <w:bottom w:val="single" w:sz="8" w:space="0" w:color="1F497D"/>
        <w:right w:val="single" w:sz="8" w:space="0" w:color="1F497D"/>
      </w:tblBorders>
    </w:tblPr>
    <w:tblStylePr w:type="firstRow">
      <w:pPr>
        <w:spacing w:before="0" w:after="0" w:line="240" w:lineRule="auto"/>
      </w:pPr>
      <w:rPr>
        <w:b/>
        <w:bCs/>
        <w:color w:val="FFFFFF"/>
      </w:rPr>
      <w:tblPr/>
      <w:tcPr>
        <w:shd w:val="clear" w:color="auto" w:fill="1F497D"/>
      </w:tcPr>
    </w:tblStylePr>
    <w:tblStylePr w:type="lastRow">
      <w:pPr>
        <w:spacing w:before="0" w:after="0" w:line="240" w:lineRule="auto"/>
      </w:pPr>
      <w:rPr>
        <w:b/>
        <w:bCs/>
      </w:rPr>
      <w:tblPr/>
      <w:tcPr>
        <w:tcBorders>
          <w:top w:val="double" w:sz="6" w:space="0" w:color="1F497D"/>
          <w:left w:val="single" w:sz="8" w:space="0" w:color="1F497D"/>
          <w:bottom w:val="single" w:sz="8" w:space="0" w:color="1F497D"/>
          <w:right w:val="single" w:sz="8" w:space="0" w:color="1F497D"/>
        </w:tcBorders>
      </w:tcPr>
    </w:tblStylePr>
    <w:tblStylePr w:type="firstCol">
      <w:rPr>
        <w:b/>
        <w:bCs/>
      </w:rPr>
    </w:tblStylePr>
    <w:tblStylePr w:type="lastCol">
      <w:rPr>
        <w:b/>
        <w:bCs/>
      </w:rPr>
    </w:tblStylePr>
    <w:tblStylePr w:type="band1Vert">
      <w:tblPr/>
      <w:tcPr>
        <w:tcBorders>
          <w:top w:val="single" w:sz="8" w:space="0" w:color="1F497D"/>
          <w:left w:val="single" w:sz="8" w:space="0" w:color="1F497D"/>
          <w:bottom w:val="single" w:sz="8" w:space="0" w:color="1F497D"/>
          <w:right w:val="single" w:sz="8" w:space="0" w:color="1F497D"/>
        </w:tcBorders>
      </w:tcPr>
    </w:tblStylePr>
    <w:tblStylePr w:type="band1Horz">
      <w:tblPr/>
      <w:tcPr>
        <w:tcBorders>
          <w:top w:val="single" w:sz="8" w:space="0" w:color="1F497D"/>
          <w:left w:val="single" w:sz="8" w:space="0" w:color="1F497D"/>
          <w:bottom w:val="single" w:sz="8" w:space="0" w:color="1F497D"/>
          <w:right w:val="single" w:sz="8" w:space="0" w:color="1F497D"/>
        </w:tcBorders>
      </w:tcPr>
    </w:tblStylePr>
  </w:style>
  <w:style w:type="table" w:styleId="LightShading">
    <w:name w:val="Light Shading"/>
    <w:basedOn w:val="TableNormal"/>
    <w:uiPriority w:val="60"/>
    <w:rsid w:val="00AE4AC1"/>
    <w:pPr>
      <w:spacing w:after="0" w:line="240" w:lineRule="auto"/>
    </w:pPr>
    <w:rPr>
      <w:rFonts w:ascii="Verdana" w:eastAsia="Calibri" w:hAnsi="Verdana" w:cs="Times New Roman"/>
      <w:color w:val="000000"/>
      <w:sz w:val="18"/>
      <w:szCs w:val="18"/>
      <w:lang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3">
    <w:name w:val="Light Shading Accent 3"/>
    <w:basedOn w:val="TableNormal"/>
    <w:uiPriority w:val="60"/>
    <w:rsid w:val="00AE4AC1"/>
    <w:pPr>
      <w:spacing w:after="0" w:line="240" w:lineRule="auto"/>
    </w:pPr>
    <w:rPr>
      <w:rFonts w:ascii="Verdana" w:eastAsia="Calibri" w:hAnsi="Verdana" w:cs="Times New Roman"/>
      <w:color w:val="76923C"/>
      <w:sz w:val="18"/>
      <w:szCs w:val="18"/>
      <w:lang w:eastAsia="en-GB"/>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AE4AC1"/>
    <w:pPr>
      <w:spacing w:after="0" w:line="240" w:lineRule="auto"/>
    </w:pPr>
    <w:rPr>
      <w:rFonts w:ascii="Calibri" w:eastAsia="Calibri" w:hAnsi="Calibri" w:cs="Times New Roman"/>
      <w:color w:val="5F497A"/>
      <w:sz w:val="20"/>
      <w:szCs w:val="20"/>
      <w:lang w:eastAsia="en-GB"/>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MediumGrid1-Accent2">
    <w:name w:val="Medium Grid 1 Accent 2"/>
    <w:basedOn w:val="TableNormal"/>
    <w:uiPriority w:val="67"/>
    <w:rsid w:val="00AE4AC1"/>
    <w:pPr>
      <w:spacing w:after="0" w:line="240" w:lineRule="auto"/>
    </w:pPr>
    <w:rPr>
      <w:rFonts w:ascii="Verdana" w:eastAsia="Calibri" w:hAnsi="Verdana" w:cs="Times New Roman"/>
      <w:sz w:val="18"/>
      <w:szCs w:val="18"/>
      <w:lang w:eastAsia="en-GB"/>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List1">
    <w:name w:val="Medium List 1"/>
    <w:basedOn w:val="TableNormal"/>
    <w:uiPriority w:val="65"/>
    <w:rsid w:val="00AE4AC1"/>
    <w:pPr>
      <w:spacing w:after="0" w:line="240" w:lineRule="auto"/>
    </w:pPr>
    <w:rPr>
      <w:rFonts w:ascii="Calibri" w:eastAsia="Calibri" w:hAnsi="Calibri" w:cs="Times New Roman"/>
      <w:color w:val="000000"/>
      <w:sz w:val="20"/>
      <w:szCs w:val="20"/>
      <w:lang w:eastAsia="en-GB"/>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character" w:customStyle="1" w:styleId="AnswerChar">
    <w:name w:val="Answer Char"/>
    <w:link w:val="Answer"/>
    <w:uiPriority w:val="6"/>
    <w:rsid w:val="00F3083B"/>
    <w:rPr>
      <w:rFonts w:ascii="Verdana" w:eastAsia="Calibri" w:hAnsi="Verdana" w:cs="Times New Roman"/>
      <w:sz w:val="18"/>
      <w:szCs w:val="20"/>
      <w:lang w:eastAsia="en-GB"/>
    </w:rPr>
  </w:style>
  <w:style w:type="character" w:customStyle="1" w:styleId="BalloonTextChar">
    <w:name w:val="Balloon Text Char"/>
    <w:link w:val="BalloonText"/>
    <w:uiPriority w:val="99"/>
    <w:semiHidden/>
    <w:rsid w:val="00F3083B"/>
    <w:rPr>
      <w:rFonts w:ascii="Tahoma" w:eastAsia="Calibri" w:hAnsi="Tahoma" w:cs="Tahoma"/>
      <w:sz w:val="16"/>
      <w:szCs w:val="16"/>
      <w:lang w:eastAsia="en-GB"/>
    </w:rPr>
  </w:style>
  <w:style w:type="character" w:customStyle="1" w:styleId="BodyTextChar">
    <w:name w:val="Body Text Char"/>
    <w:link w:val="BodyText"/>
    <w:uiPriority w:val="1"/>
    <w:rsid w:val="00DC4FDF"/>
    <w:rPr>
      <w:rFonts w:ascii="Verdana" w:eastAsia="Calibri" w:hAnsi="Verdana" w:cs="Times New Roman"/>
      <w:sz w:val="18"/>
      <w:szCs w:val="20"/>
      <w:lang w:eastAsia="en-GB"/>
    </w:rPr>
  </w:style>
  <w:style w:type="character" w:customStyle="1" w:styleId="BodyText2Char">
    <w:name w:val="Body Text 2 Char"/>
    <w:link w:val="BodyText2"/>
    <w:uiPriority w:val="1"/>
    <w:rsid w:val="00526697"/>
    <w:rPr>
      <w:rFonts w:ascii="Verdana" w:eastAsia="Calibri" w:hAnsi="Verdana" w:cs="Times New Roman"/>
      <w:sz w:val="18"/>
      <w:szCs w:val="20"/>
      <w:lang w:eastAsia="en-GB"/>
    </w:rPr>
  </w:style>
  <w:style w:type="character" w:customStyle="1" w:styleId="BodyText3Char">
    <w:name w:val="Body Text 3 Char"/>
    <w:link w:val="BodyText3"/>
    <w:uiPriority w:val="1"/>
    <w:rsid w:val="00F3083B"/>
    <w:rPr>
      <w:rFonts w:ascii="Verdana" w:eastAsia="Calibri" w:hAnsi="Verdana" w:cs="Times New Roman"/>
      <w:sz w:val="18"/>
      <w:szCs w:val="16"/>
      <w:lang w:eastAsia="en-GB"/>
    </w:rPr>
  </w:style>
  <w:style w:type="character" w:customStyle="1" w:styleId="BodyTextFirstIndentChar">
    <w:name w:val="Body Text First Indent Char"/>
    <w:basedOn w:val="BodyTextChar"/>
    <w:link w:val="BodyTextFirstIndent"/>
    <w:uiPriority w:val="99"/>
    <w:semiHidden/>
    <w:rsid w:val="00F3083B"/>
    <w:rPr>
      <w:rFonts w:ascii="Verdana" w:eastAsia="Calibri" w:hAnsi="Verdana" w:cs="Times New Roman"/>
      <w:sz w:val="18"/>
      <w:szCs w:val="20"/>
      <w:lang w:eastAsia="en-GB"/>
    </w:rPr>
  </w:style>
  <w:style w:type="character" w:customStyle="1" w:styleId="BodyTextFirstIndent2Char">
    <w:name w:val="Body Text First Indent 2 Char"/>
    <w:basedOn w:val="BodyTextIndentChar"/>
    <w:link w:val="BodyTextFirstIndent2"/>
    <w:uiPriority w:val="99"/>
    <w:semiHidden/>
    <w:rsid w:val="00F3083B"/>
    <w:rPr>
      <w:rFonts w:ascii="Verdana" w:eastAsia="Calibri" w:hAnsi="Verdana" w:cs="Times New Roman"/>
      <w:sz w:val="18"/>
    </w:rPr>
  </w:style>
  <w:style w:type="character" w:customStyle="1" w:styleId="BodyTextIndentChar">
    <w:name w:val="Body Text Indent Char"/>
    <w:basedOn w:val="DefaultParagraphFont"/>
    <w:link w:val="BodyTextIndent"/>
    <w:uiPriority w:val="99"/>
    <w:semiHidden/>
    <w:rsid w:val="00F3083B"/>
    <w:rPr>
      <w:rFonts w:ascii="Verdana" w:eastAsia="Calibri" w:hAnsi="Verdana" w:cs="Times New Roman"/>
      <w:sz w:val="18"/>
    </w:rPr>
  </w:style>
  <w:style w:type="character" w:customStyle="1" w:styleId="BodyTextIndent2Char">
    <w:name w:val="Body Text Indent 2 Char"/>
    <w:basedOn w:val="DefaultParagraphFont"/>
    <w:link w:val="BodyTextIndent2"/>
    <w:uiPriority w:val="99"/>
    <w:semiHidden/>
    <w:rsid w:val="00F3083B"/>
    <w:rPr>
      <w:rFonts w:ascii="Verdana" w:eastAsia="Calibri" w:hAnsi="Verdana" w:cs="Times New Roman"/>
      <w:sz w:val="18"/>
    </w:rPr>
  </w:style>
  <w:style w:type="character" w:customStyle="1" w:styleId="BodyTextIndent3Char">
    <w:name w:val="Body Text Indent 3 Char"/>
    <w:basedOn w:val="DefaultParagraphFont"/>
    <w:link w:val="BodyTextIndent3"/>
    <w:uiPriority w:val="99"/>
    <w:semiHidden/>
    <w:rsid w:val="00F3083B"/>
    <w:rPr>
      <w:rFonts w:ascii="Verdana" w:eastAsia="Calibri" w:hAnsi="Verdana" w:cs="Times New Roman"/>
      <w:sz w:val="16"/>
      <w:szCs w:val="16"/>
    </w:rPr>
  </w:style>
  <w:style w:type="character" w:customStyle="1" w:styleId="ClosingChar">
    <w:name w:val="Closing Char"/>
    <w:basedOn w:val="DefaultParagraphFont"/>
    <w:link w:val="Closing"/>
    <w:uiPriority w:val="99"/>
    <w:semiHidden/>
    <w:rsid w:val="00F3083B"/>
    <w:rPr>
      <w:rFonts w:ascii="Verdana" w:eastAsia="Calibri" w:hAnsi="Verdana" w:cs="Times New Roman"/>
      <w:sz w:val="18"/>
    </w:rPr>
  </w:style>
  <w:style w:type="character" w:customStyle="1" w:styleId="CommentSubjectChar">
    <w:name w:val="Comment Subject Char"/>
    <w:basedOn w:val="CommentTextChar"/>
    <w:link w:val="CommentSubject"/>
    <w:uiPriority w:val="99"/>
    <w:rsid w:val="00F3083B"/>
    <w:rPr>
      <w:rFonts w:ascii="Verdana" w:eastAsia="Calibri" w:hAnsi="Verdana" w:cs="Times New Roman"/>
      <w:b/>
      <w:bCs/>
      <w:sz w:val="20"/>
      <w:szCs w:val="20"/>
    </w:rPr>
  </w:style>
  <w:style w:type="character" w:customStyle="1" w:styleId="CommentTextChar">
    <w:name w:val="Comment Text Char"/>
    <w:basedOn w:val="DefaultParagraphFont"/>
    <w:link w:val="CommentText"/>
    <w:uiPriority w:val="99"/>
    <w:rsid w:val="00F3083B"/>
    <w:rPr>
      <w:rFonts w:ascii="Verdana" w:eastAsia="Calibri" w:hAnsi="Verdana" w:cs="Times New Roman"/>
      <w:sz w:val="20"/>
      <w:szCs w:val="20"/>
    </w:rPr>
  </w:style>
  <w:style w:type="character" w:customStyle="1" w:styleId="DateChar">
    <w:name w:val="Date Char"/>
    <w:basedOn w:val="DefaultParagraphFont"/>
    <w:link w:val="Date"/>
    <w:uiPriority w:val="99"/>
    <w:semiHidden/>
    <w:rsid w:val="00F3083B"/>
    <w:rPr>
      <w:rFonts w:ascii="Verdana" w:eastAsia="Calibri" w:hAnsi="Verdana" w:cs="Times New Roman"/>
      <w:sz w:val="18"/>
    </w:rPr>
  </w:style>
  <w:style w:type="character" w:customStyle="1" w:styleId="DocumentMapChar">
    <w:name w:val="Document Map Char"/>
    <w:basedOn w:val="DefaultParagraphFont"/>
    <w:link w:val="DocumentMap"/>
    <w:uiPriority w:val="99"/>
    <w:semiHidden/>
    <w:rsid w:val="00F3083B"/>
    <w:rPr>
      <w:rFonts w:ascii="Tahoma" w:eastAsia="Calibri" w:hAnsi="Tahoma" w:cs="Tahoma"/>
      <w:sz w:val="16"/>
      <w:szCs w:val="16"/>
    </w:rPr>
  </w:style>
  <w:style w:type="character" w:customStyle="1" w:styleId="E-mailSignatureChar">
    <w:name w:val="E-mail Signature Char"/>
    <w:basedOn w:val="DefaultParagraphFont"/>
    <w:link w:val="E-mailSignature"/>
    <w:uiPriority w:val="99"/>
    <w:semiHidden/>
    <w:rsid w:val="00F3083B"/>
    <w:rPr>
      <w:rFonts w:ascii="Verdana" w:eastAsia="Calibri" w:hAnsi="Verdana" w:cs="Times New Roman"/>
      <w:sz w:val="18"/>
    </w:rPr>
  </w:style>
  <w:style w:type="character" w:customStyle="1" w:styleId="EndnoteTextChar">
    <w:name w:val="Endnote Text Char"/>
    <w:link w:val="EndnoteText"/>
    <w:uiPriority w:val="99"/>
    <w:rsid w:val="00F3083B"/>
    <w:rPr>
      <w:rFonts w:ascii="Verdana" w:eastAsia="Calibri" w:hAnsi="Verdana" w:cs="Times New Roman"/>
      <w:sz w:val="16"/>
      <w:szCs w:val="20"/>
      <w:lang w:eastAsia="en-GB"/>
    </w:rPr>
  </w:style>
  <w:style w:type="character" w:customStyle="1" w:styleId="FollowUpChar">
    <w:name w:val="FollowUp Char"/>
    <w:link w:val="FollowUp"/>
    <w:uiPriority w:val="6"/>
    <w:rsid w:val="00F3083B"/>
    <w:rPr>
      <w:rFonts w:ascii="Verdana" w:eastAsia="Calibri" w:hAnsi="Verdana" w:cs="Times New Roman"/>
      <w:i/>
      <w:sz w:val="18"/>
      <w:szCs w:val="20"/>
      <w:lang w:eastAsia="en-GB"/>
    </w:rPr>
  </w:style>
  <w:style w:type="character" w:customStyle="1" w:styleId="FooterChar">
    <w:name w:val="Footer Char"/>
    <w:link w:val="Footer"/>
    <w:uiPriority w:val="5"/>
    <w:rsid w:val="00F3083B"/>
    <w:rPr>
      <w:rFonts w:ascii="Verdana" w:eastAsia="Calibri" w:hAnsi="Verdana" w:cs="Times New Roman"/>
      <w:sz w:val="18"/>
      <w:szCs w:val="18"/>
      <w:lang w:eastAsia="en-GB"/>
    </w:rPr>
  </w:style>
  <w:style w:type="character" w:customStyle="1" w:styleId="FootnoteTextChar">
    <w:name w:val="Footnote Text Char"/>
    <w:link w:val="FootnoteText"/>
    <w:uiPriority w:val="1"/>
    <w:rsid w:val="00F3083B"/>
    <w:rPr>
      <w:rFonts w:ascii="Verdana" w:eastAsia="Calibri" w:hAnsi="Verdana" w:cs="Times New Roman"/>
      <w:sz w:val="16"/>
      <w:szCs w:val="18"/>
      <w:lang w:eastAsia="en-GB"/>
    </w:rPr>
  </w:style>
  <w:style w:type="character" w:customStyle="1" w:styleId="HeaderChar">
    <w:name w:val="Header Char"/>
    <w:link w:val="Header"/>
    <w:uiPriority w:val="5"/>
    <w:rsid w:val="00F3083B"/>
    <w:rPr>
      <w:rFonts w:ascii="Verdana" w:eastAsia="Calibri" w:hAnsi="Verdana" w:cs="Times New Roman"/>
      <w:sz w:val="18"/>
      <w:szCs w:val="18"/>
      <w:lang w:eastAsia="en-GB"/>
    </w:rPr>
  </w:style>
  <w:style w:type="character" w:customStyle="1" w:styleId="Heading1Char">
    <w:name w:val="Heading 1 Char"/>
    <w:link w:val="Heading1"/>
    <w:uiPriority w:val="2"/>
    <w:rsid w:val="00DC4FDF"/>
    <w:rPr>
      <w:rFonts w:ascii="Verdana" w:eastAsia="Times New Roman" w:hAnsi="Verdana" w:cs="Times New Roman"/>
      <w:b/>
      <w:bCs/>
      <w:caps/>
      <w:color w:val="006283"/>
      <w:sz w:val="18"/>
      <w:szCs w:val="28"/>
      <w:lang w:eastAsia="en-GB"/>
    </w:rPr>
  </w:style>
  <w:style w:type="character" w:customStyle="1" w:styleId="Heading2Char">
    <w:name w:val="Heading 2 Char"/>
    <w:link w:val="Heading2"/>
    <w:uiPriority w:val="2"/>
    <w:rsid w:val="00F3083B"/>
    <w:rPr>
      <w:rFonts w:ascii="Verdana" w:eastAsia="Times New Roman" w:hAnsi="Verdana" w:cs="Times New Roman"/>
      <w:b/>
      <w:bCs/>
      <w:color w:val="006283"/>
      <w:sz w:val="18"/>
      <w:szCs w:val="26"/>
      <w:lang w:eastAsia="en-GB"/>
    </w:rPr>
  </w:style>
  <w:style w:type="character" w:customStyle="1" w:styleId="Heading3Char">
    <w:name w:val="Heading 3 Char"/>
    <w:link w:val="Heading3"/>
    <w:uiPriority w:val="2"/>
    <w:rsid w:val="00F3083B"/>
    <w:rPr>
      <w:rFonts w:ascii="Verdana" w:eastAsia="Times New Roman" w:hAnsi="Verdana" w:cs="Times New Roman"/>
      <w:b/>
      <w:bCs/>
      <w:color w:val="006283"/>
      <w:sz w:val="18"/>
      <w:szCs w:val="20"/>
      <w:lang w:eastAsia="en-GB"/>
    </w:rPr>
  </w:style>
  <w:style w:type="character" w:customStyle="1" w:styleId="Heading4Char">
    <w:name w:val="Heading 4 Char"/>
    <w:link w:val="Heading4"/>
    <w:uiPriority w:val="2"/>
    <w:rsid w:val="00F3083B"/>
    <w:rPr>
      <w:rFonts w:ascii="Verdana" w:eastAsia="Times New Roman" w:hAnsi="Verdana" w:cs="Times New Roman"/>
      <w:b/>
      <w:bCs/>
      <w:iCs/>
      <w:color w:val="006283"/>
      <w:sz w:val="18"/>
      <w:szCs w:val="20"/>
      <w:lang w:eastAsia="en-GB"/>
    </w:rPr>
  </w:style>
  <w:style w:type="character" w:customStyle="1" w:styleId="Heading5Char">
    <w:name w:val="Heading 5 Char"/>
    <w:link w:val="Heading5"/>
    <w:uiPriority w:val="2"/>
    <w:rsid w:val="00F3083B"/>
    <w:rPr>
      <w:rFonts w:ascii="Verdana" w:eastAsia="Times New Roman" w:hAnsi="Verdana" w:cs="Times New Roman"/>
      <w:b/>
      <w:color w:val="006283"/>
      <w:sz w:val="18"/>
      <w:szCs w:val="20"/>
      <w:lang w:eastAsia="en-GB"/>
    </w:rPr>
  </w:style>
  <w:style w:type="character" w:customStyle="1" w:styleId="Heading6Char">
    <w:name w:val="Heading 6 Char"/>
    <w:link w:val="Heading6"/>
    <w:uiPriority w:val="2"/>
    <w:rsid w:val="00F3083B"/>
    <w:rPr>
      <w:rFonts w:ascii="Verdana" w:eastAsia="Times New Roman" w:hAnsi="Verdana" w:cs="Times New Roman"/>
      <w:b/>
      <w:iCs/>
      <w:color w:val="006283"/>
      <w:sz w:val="18"/>
      <w:szCs w:val="20"/>
      <w:lang w:eastAsia="en-GB"/>
    </w:rPr>
  </w:style>
  <w:style w:type="character" w:customStyle="1" w:styleId="Heading7Char">
    <w:name w:val="Heading 7 Char"/>
    <w:link w:val="Heading7"/>
    <w:uiPriority w:val="2"/>
    <w:rsid w:val="00F3083B"/>
    <w:rPr>
      <w:rFonts w:ascii="Verdana" w:eastAsia="Times New Roman" w:hAnsi="Verdana" w:cs="Times New Roman"/>
      <w:b/>
      <w:iCs/>
      <w:color w:val="006283"/>
      <w:sz w:val="18"/>
      <w:szCs w:val="20"/>
      <w:lang w:eastAsia="en-GB"/>
    </w:rPr>
  </w:style>
  <w:style w:type="character" w:customStyle="1" w:styleId="Heading8Char">
    <w:name w:val="Heading 8 Char"/>
    <w:link w:val="Heading8"/>
    <w:uiPriority w:val="2"/>
    <w:rsid w:val="00F3083B"/>
    <w:rPr>
      <w:rFonts w:ascii="Verdana" w:eastAsia="Times New Roman" w:hAnsi="Verdana" w:cs="Times New Roman"/>
      <w:b/>
      <w:i/>
      <w:color w:val="006283"/>
      <w:sz w:val="18"/>
      <w:szCs w:val="20"/>
      <w:lang w:eastAsia="en-GB"/>
    </w:rPr>
  </w:style>
  <w:style w:type="character" w:customStyle="1" w:styleId="Heading9Char">
    <w:name w:val="Heading 9 Char"/>
    <w:link w:val="Heading9"/>
    <w:uiPriority w:val="2"/>
    <w:rsid w:val="00F3083B"/>
    <w:rPr>
      <w:rFonts w:ascii="Verdana" w:eastAsia="Times New Roman" w:hAnsi="Verdana" w:cs="Times New Roman"/>
      <w:b/>
      <w:iCs/>
      <w:color w:val="006283"/>
      <w:sz w:val="18"/>
      <w:szCs w:val="20"/>
      <w:u w:val="single"/>
      <w:lang w:eastAsia="en-GB"/>
    </w:rPr>
  </w:style>
  <w:style w:type="character" w:customStyle="1" w:styleId="HTMLAddressChar">
    <w:name w:val="HTML Address Char"/>
    <w:basedOn w:val="DefaultParagraphFont"/>
    <w:link w:val="HTMLAddress"/>
    <w:uiPriority w:val="99"/>
    <w:semiHidden/>
    <w:rsid w:val="00F3083B"/>
    <w:rPr>
      <w:rFonts w:ascii="Verdana" w:eastAsia="Calibri" w:hAnsi="Verdana" w:cs="Times New Roman"/>
      <w:i/>
      <w:iCs/>
      <w:sz w:val="18"/>
    </w:rPr>
  </w:style>
  <w:style w:type="character" w:customStyle="1" w:styleId="HTMLPreformattedChar">
    <w:name w:val="HTML Preformatted Char"/>
    <w:basedOn w:val="DefaultParagraphFont"/>
    <w:link w:val="HTMLPreformatted"/>
    <w:uiPriority w:val="99"/>
    <w:semiHidden/>
    <w:rsid w:val="00F3083B"/>
    <w:rPr>
      <w:rFonts w:ascii="Consolas" w:eastAsia="Calibri" w:hAnsi="Consolas" w:cs="Consolas"/>
      <w:sz w:val="20"/>
      <w:szCs w:val="20"/>
    </w:rPr>
  </w:style>
  <w:style w:type="character" w:customStyle="1" w:styleId="IntenseQuoteChar">
    <w:name w:val="Intense Quote Char"/>
    <w:basedOn w:val="DefaultParagraphFont"/>
    <w:link w:val="IntenseQuote"/>
    <w:uiPriority w:val="99"/>
    <w:rsid w:val="00F3083B"/>
    <w:rPr>
      <w:rFonts w:ascii="Verdana" w:eastAsia="Calibri" w:hAnsi="Verdana" w:cs="Times New Roman"/>
      <w:b/>
      <w:bCs/>
      <w:i/>
      <w:iCs/>
      <w:color w:val="4F81BD" w:themeColor="accent1"/>
      <w:sz w:val="18"/>
    </w:rPr>
  </w:style>
  <w:style w:type="character" w:customStyle="1" w:styleId="MacroTextChar">
    <w:name w:val="Macro Text Char"/>
    <w:basedOn w:val="DefaultParagraphFont"/>
    <w:link w:val="MacroText"/>
    <w:uiPriority w:val="99"/>
    <w:semiHidden/>
    <w:rsid w:val="00F3083B"/>
    <w:rPr>
      <w:rFonts w:ascii="Consolas" w:eastAsia="Calibri" w:hAnsi="Consolas" w:cs="Consolas"/>
      <w:sz w:val="20"/>
      <w:szCs w:val="20"/>
    </w:rPr>
  </w:style>
  <w:style w:type="character" w:customStyle="1" w:styleId="MessageHeaderChar">
    <w:name w:val="Message Header Char"/>
    <w:basedOn w:val="DefaultParagraphFont"/>
    <w:link w:val="MessageHeader"/>
    <w:uiPriority w:val="99"/>
    <w:semiHidden/>
    <w:rsid w:val="00F3083B"/>
    <w:rPr>
      <w:rFonts w:asciiTheme="majorHAnsi" w:eastAsiaTheme="majorEastAsia" w:hAnsiTheme="majorHAnsi" w:cstheme="majorBidi"/>
      <w:sz w:val="24"/>
      <w:szCs w:val="24"/>
      <w:shd w:val="pct20" w:color="auto" w:fill="auto"/>
    </w:rPr>
  </w:style>
  <w:style w:type="character" w:customStyle="1" w:styleId="NoteHeadingChar">
    <w:name w:val="Note Heading Char"/>
    <w:basedOn w:val="DefaultParagraphFont"/>
    <w:link w:val="NoteHeading"/>
    <w:uiPriority w:val="99"/>
    <w:semiHidden/>
    <w:rsid w:val="00F3083B"/>
    <w:rPr>
      <w:rFonts w:ascii="Verdana" w:eastAsia="Calibri" w:hAnsi="Verdana" w:cs="Times New Roman"/>
      <w:sz w:val="18"/>
    </w:rPr>
  </w:style>
  <w:style w:type="character" w:customStyle="1" w:styleId="PlainTextChar">
    <w:name w:val="Plain Text Char"/>
    <w:basedOn w:val="DefaultParagraphFont"/>
    <w:link w:val="PlainText"/>
    <w:uiPriority w:val="99"/>
    <w:rsid w:val="00F3083B"/>
    <w:rPr>
      <w:rFonts w:ascii="Consolas" w:eastAsia="Calibri" w:hAnsi="Consolas" w:cs="Consolas"/>
      <w:sz w:val="21"/>
      <w:szCs w:val="21"/>
    </w:rPr>
  </w:style>
  <w:style w:type="character" w:customStyle="1" w:styleId="QuoteChar">
    <w:name w:val="Quote Char"/>
    <w:basedOn w:val="DefaultParagraphFont"/>
    <w:link w:val="Quote"/>
    <w:uiPriority w:val="99"/>
    <w:rsid w:val="00F3083B"/>
    <w:rPr>
      <w:rFonts w:ascii="Verdana" w:eastAsia="Calibri" w:hAnsi="Verdana" w:cs="Times New Roman"/>
      <w:i/>
      <w:iCs/>
      <w:color w:val="000000" w:themeColor="text1"/>
      <w:sz w:val="18"/>
    </w:rPr>
  </w:style>
  <w:style w:type="character" w:customStyle="1" w:styleId="SalutationChar">
    <w:name w:val="Salutation Char"/>
    <w:basedOn w:val="DefaultParagraphFont"/>
    <w:link w:val="Salutation"/>
    <w:uiPriority w:val="99"/>
    <w:semiHidden/>
    <w:rsid w:val="00F3083B"/>
    <w:rPr>
      <w:rFonts w:ascii="Verdana" w:eastAsia="Calibri" w:hAnsi="Verdana" w:cs="Times New Roman"/>
      <w:sz w:val="18"/>
    </w:rPr>
  </w:style>
  <w:style w:type="character" w:customStyle="1" w:styleId="SignatureChar">
    <w:name w:val="Signature Char"/>
    <w:basedOn w:val="DefaultParagraphFont"/>
    <w:link w:val="Signature"/>
    <w:uiPriority w:val="99"/>
    <w:semiHidden/>
    <w:rsid w:val="00F3083B"/>
    <w:rPr>
      <w:rFonts w:ascii="Verdana" w:eastAsia="Calibri" w:hAnsi="Verdana" w:cs="Times New Roman"/>
      <w:sz w:val="18"/>
    </w:rPr>
  </w:style>
  <w:style w:type="character" w:customStyle="1" w:styleId="SubtitleChar">
    <w:name w:val="Subtitle Char"/>
    <w:link w:val="Subtitle"/>
    <w:uiPriority w:val="11"/>
    <w:rsid w:val="00F3083B"/>
    <w:rPr>
      <w:rFonts w:ascii="Verdana" w:eastAsia="Times New Roman" w:hAnsi="Verdana" w:cs="Times New Roman"/>
      <w:b/>
      <w:iCs/>
      <w:sz w:val="18"/>
      <w:szCs w:val="24"/>
      <w:lang w:eastAsia="en-GB"/>
    </w:rPr>
  </w:style>
  <w:style w:type="character" w:customStyle="1" w:styleId="TitleChar">
    <w:name w:val="Title Char"/>
    <w:link w:val="Title"/>
    <w:uiPriority w:val="5"/>
    <w:rsid w:val="00F3083B"/>
    <w:rPr>
      <w:rFonts w:ascii="Verdana" w:eastAsia="Times New Roman" w:hAnsi="Verdana" w:cs="Times New Roman"/>
      <w:b/>
      <w:caps/>
      <w:color w:val="006283"/>
      <w:kern w:val="28"/>
      <w:sz w:val="18"/>
      <w:szCs w:val="5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38781">
      <w:bodyDiv w:val="1"/>
      <w:marLeft w:val="0"/>
      <w:marRight w:val="0"/>
      <w:marTop w:val="0"/>
      <w:marBottom w:val="0"/>
      <w:divBdr>
        <w:top w:val="none" w:sz="0" w:space="0" w:color="auto"/>
        <w:left w:val="none" w:sz="0" w:space="0" w:color="auto"/>
        <w:bottom w:val="none" w:sz="0" w:space="0" w:color="auto"/>
        <w:right w:val="none" w:sz="0" w:space="0" w:color="auto"/>
      </w:divBdr>
    </w:div>
    <w:div w:id="49119022">
      <w:bodyDiv w:val="1"/>
      <w:marLeft w:val="0"/>
      <w:marRight w:val="0"/>
      <w:marTop w:val="0"/>
      <w:marBottom w:val="0"/>
      <w:divBdr>
        <w:top w:val="none" w:sz="0" w:space="0" w:color="auto"/>
        <w:left w:val="none" w:sz="0" w:space="0" w:color="auto"/>
        <w:bottom w:val="none" w:sz="0" w:space="0" w:color="auto"/>
        <w:right w:val="none" w:sz="0" w:space="0" w:color="auto"/>
      </w:divBdr>
    </w:div>
    <w:div w:id="109981335">
      <w:bodyDiv w:val="1"/>
      <w:marLeft w:val="0"/>
      <w:marRight w:val="0"/>
      <w:marTop w:val="0"/>
      <w:marBottom w:val="0"/>
      <w:divBdr>
        <w:top w:val="none" w:sz="0" w:space="0" w:color="auto"/>
        <w:left w:val="none" w:sz="0" w:space="0" w:color="auto"/>
        <w:bottom w:val="none" w:sz="0" w:space="0" w:color="auto"/>
        <w:right w:val="none" w:sz="0" w:space="0" w:color="auto"/>
      </w:divBdr>
    </w:div>
    <w:div w:id="194082683">
      <w:bodyDiv w:val="1"/>
      <w:marLeft w:val="0"/>
      <w:marRight w:val="0"/>
      <w:marTop w:val="0"/>
      <w:marBottom w:val="0"/>
      <w:divBdr>
        <w:top w:val="none" w:sz="0" w:space="0" w:color="auto"/>
        <w:left w:val="none" w:sz="0" w:space="0" w:color="auto"/>
        <w:bottom w:val="none" w:sz="0" w:space="0" w:color="auto"/>
        <w:right w:val="none" w:sz="0" w:space="0" w:color="auto"/>
      </w:divBdr>
    </w:div>
    <w:div w:id="442726681">
      <w:bodyDiv w:val="1"/>
      <w:marLeft w:val="0"/>
      <w:marRight w:val="0"/>
      <w:marTop w:val="0"/>
      <w:marBottom w:val="0"/>
      <w:divBdr>
        <w:top w:val="none" w:sz="0" w:space="0" w:color="auto"/>
        <w:left w:val="none" w:sz="0" w:space="0" w:color="auto"/>
        <w:bottom w:val="none" w:sz="0" w:space="0" w:color="auto"/>
        <w:right w:val="none" w:sz="0" w:space="0" w:color="auto"/>
      </w:divBdr>
    </w:div>
    <w:div w:id="445782976">
      <w:bodyDiv w:val="1"/>
      <w:marLeft w:val="0"/>
      <w:marRight w:val="0"/>
      <w:marTop w:val="0"/>
      <w:marBottom w:val="0"/>
      <w:divBdr>
        <w:top w:val="none" w:sz="0" w:space="0" w:color="auto"/>
        <w:left w:val="none" w:sz="0" w:space="0" w:color="auto"/>
        <w:bottom w:val="none" w:sz="0" w:space="0" w:color="auto"/>
        <w:right w:val="none" w:sz="0" w:space="0" w:color="auto"/>
      </w:divBdr>
    </w:div>
    <w:div w:id="1371346599">
      <w:bodyDiv w:val="1"/>
      <w:marLeft w:val="0"/>
      <w:marRight w:val="0"/>
      <w:marTop w:val="0"/>
      <w:marBottom w:val="0"/>
      <w:divBdr>
        <w:top w:val="none" w:sz="0" w:space="0" w:color="auto"/>
        <w:left w:val="none" w:sz="0" w:space="0" w:color="auto"/>
        <w:bottom w:val="none" w:sz="0" w:space="0" w:color="auto"/>
        <w:right w:val="none" w:sz="0" w:space="0" w:color="auto"/>
      </w:divBdr>
    </w:div>
    <w:div w:id="1673602081">
      <w:bodyDiv w:val="1"/>
      <w:marLeft w:val="0"/>
      <w:marRight w:val="0"/>
      <w:marTop w:val="0"/>
      <w:marBottom w:val="0"/>
      <w:divBdr>
        <w:top w:val="none" w:sz="0" w:space="0" w:color="auto"/>
        <w:left w:val="none" w:sz="0" w:space="0" w:color="auto"/>
        <w:bottom w:val="none" w:sz="0" w:space="0" w:color="auto"/>
        <w:right w:val="none" w:sz="0" w:space="0" w:color="auto"/>
      </w:divBdr>
    </w:div>
    <w:div w:id="1685284898">
      <w:bodyDiv w:val="1"/>
      <w:marLeft w:val="0"/>
      <w:marRight w:val="0"/>
      <w:marTop w:val="0"/>
      <w:marBottom w:val="0"/>
      <w:divBdr>
        <w:top w:val="none" w:sz="0" w:space="0" w:color="auto"/>
        <w:left w:val="none" w:sz="0" w:space="0" w:color="auto"/>
        <w:bottom w:val="none" w:sz="0" w:space="0" w:color="auto"/>
        <w:right w:val="none" w:sz="0" w:space="0" w:color="auto"/>
      </w:divBdr>
    </w:div>
    <w:div w:id="1734546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phenson\AppData\Roaming\Microsoft\Templates\Appellate%20Body\WTOABPanRep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BDBA85-3772-4425-9863-C1E367179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WTOABPanRepE</Template>
  <TotalTime>0</TotalTime>
  <Pages>143</Pages>
  <Words>146812</Words>
  <Characters>786916</Characters>
  <Application>Microsoft Office Word</Application>
  <DocSecurity>0</DocSecurity>
  <Lines>11404</Lines>
  <Paragraphs>2431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931297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 - Aircraft, Article 21.5 (AB)</dc:title>
  <dc:creator/>
  <cp:lastModifiedBy>Simon Lester</cp:lastModifiedBy>
  <cp:revision>2</cp:revision>
  <cp:lastPrinted>2018-05-15T05:04:00Z</cp:lastPrinted>
  <dcterms:created xsi:type="dcterms:W3CDTF">2018-05-15T20:16:00Z</dcterms:created>
  <dcterms:modified xsi:type="dcterms:W3CDTF">2018-05-15T20:16:00Z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WT/DS316/AB/RW</vt:lpwstr>
  </property>
</Properties>
</file>