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DC899" w14:textId="20B3D239" w:rsidR="009264D9" w:rsidRPr="00272930" w:rsidRDefault="00E74BC0" w:rsidP="00B709B7">
      <w:pPr>
        <w:pStyle w:val="Title"/>
      </w:pPr>
      <w:r w:rsidRPr="00272930">
        <w:t>Colombia – Anti-Dumping Duties on Frozen Fries</w:t>
      </w:r>
      <w:r w:rsidRPr="00272930">
        <w:br/>
      </w:r>
      <w:r w:rsidR="009264D9" w:rsidRPr="00272930">
        <w:t xml:space="preserve">from Belgium, </w:t>
      </w:r>
      <w:proofErr w:type="gramStart"/>
      <w:r w:rsidR="009264D9" w:rsidRPr="00272930">
        <w:t>Germany</w:t>
      </w:r>
      <w:proofErr w:type="gramEnd"/>
      <w:r w:rsidR="009264D9" w:rsidRPr="00272930">
        <w:t xml:space="preserve"> and the Netherlands</w:t>
      </w:r>
    </w:p>
    <w:p w14:paraId="412CF990" w14:textId="77777777" w:rsidR="009264D9" w:rsidRPr="00272930" w:rsidRDefault="009264D9" w:rsidP="00B709B7">
      <w:pPr>
        <w:pStyle w:val="Title2"/>
      </w:pPr>
      <w:r w:rsidRPr="00272930">
        <w:t>Arbitration under Article 25 of the DSU</w:t>
      </w:r>
    </w:p>
    <w:p w14:paraId="1D6B3DC9" w14:textId="756ECDB8" w:rsidR="009264D9" w:rsidRPr="00272930" w:rsidRDefault="009264D9" w:rsidP="00B709B7">
      <w:pPr>
        <w:pStyle w:val="Title2"/>
      </w:pPr>
      <w:r w:rsidRPr="00272930">
        <w:t>Award of the Arbitrators</w:t>
      </w:r>
    </w:p>
    <w:p w14:paraId="1CFF09D8" w14:textId="77777777" w:rsidR="009264D9" w:rsidRPr="00272930" w:rsidRDefault="009264D9" w:rsidP="00B709B7">
      <w:pPr>
        <w:jc w:val="left"/>
      </w:pPr>
    </w:p>
    <w:p w14:paraId="74D8DB75" w14:textId="77777777" w:rsidR="009264D9" w:rsidRPr="00272930" w:rsidRDefault="009264D9" w:rsidP="00B709B7">
      <w:pPr>
        <w:jc w:val="left"/>
      </w:pPr>
    </w:p>
    <w:p w14:paraId="36BEF667" w14:textId="61B896C6" w:rsidR="009264D9" w:rsidRPr="00272930" w:rsidRDefault="00FD30FB" w:rsidP="00FD30FB">
      <w:pPr>
        <w:tabs>
          <w:tab w:val="left" w:pos="7340"/>
        </w:tabs>
        <w:jc w:val="left"/>
      </w:pPr>
      <w:r>
        <w:tab/>
      </w:r>
    </w:p>
    <w:p w14:paraId="289B0255" w14:textId="77777777" w:rsidR="009264D9" w:rsidRPr="00272930" w:rsidRDefault="009264D9" w:rsidP="00B709B7">
      <w:pPr>
        <w:jc w:val="left"/>
      </w:pPr>
    </w:p>
    <w:p w14:paraId="0C5CFD42" w14:textId="77777777" w:rsidR="009264D9" w:rsidRPr="00272930" w:rsidRDefault="009264D9" w:rsidP="00B709B7">
      <w:pPr>
        <w:jc w:val="left"/>
      </w:pPr>
    </w:p>
    <w:p w14:paraId="6A88DF52" w14:textId="77777777" w:rsidR="009264D9" w:rsidRPr="00272930" w:rsidRDefault="009264D9" w:rsidP="00B709B7">
      <w:pPr>
        <w:jc w:val="left"/>
      </w:pPr>
    </w:p>
    <w:p w14:paraId="44BA7BD2" w14:textId="77777777" w:rsidR="009264D9" w:rsidRPr="00272930" w:rsidRDefault="009264D9" w:rsidP="00B709B7">
      <w:pPr>
        <w:jc w:val="left"/>
      </w:pPr>
    </w:p>
    <w:p w14:paraId="5F0B4857" w14:textId="1FEC3BAF" w:rsidR="009264D9" w:rsidRPr="00272930" w:rsidRDefault="009264D9" w:rsidP="00B709B7">
      <w:pPr>
        <w:jc w:val="left"/>
      </w:pPr>
      <w:r w:rsidRPr="00272930">
        <w:br w:type="page"/>
      </w:r>
    </w:p>
    <w:p w14:paraId="141B021C" w14:textId="348774FF" w:rsidR="009264D9" w:rsidRPr="00272930" w:rsidRDefault="009264D9" w:rsidP="00B709B7">
      <w:pPr>
        <w:pStyle w:val="Title"/>
        <w:pageBreakBefore/>
        <w:rPr>
          <w:szCs w:val="18"/>
        </w:rPr>
      </w:pPr>
      <w:r w:rsidRPr="00272930">
        <w:rPr>
          <w:szCs w:val="18"/>
        </w:rPr>
        <w:lastRenderedPageBreak/>
        <w:t>Table of contents</w:t>
      </w:r>
    </w:p>
    <w:p w14:paraId="4BA02BEF" w14:textId="5AC24CBC" w:rsidR="0046762C" w:rsidRPr="00272930" w:rsidRDefault="0046762C" w:rsidP="0046762C">
      <w:pPr>
        <w:rPr>
          <w:lang w:eastAsia="en-GB"/>
        </w:rPr>
      </w:pPr>
    </w:p>
    <w:p w14:paraId="6B06AB20" w14:textId="77777777" w:rsidR="0046762C" w:rsidRPr="00272930" w:rsidRDefault="0046762C" w:rsidP="0046762C">
      <w:pPr>
        <w:rPr>
          <w:lang w:eastAsia="en-GB"/>
        </w:rPr>
      </w:pPr>
    </w:p>
    <w:sdt>
      <w:sdtPr>
        <w:rPr>
          <w:rFonts w:eastAsia="Calibri"/>
          <w:b w:val="0"/>
          <w:bCs w:val="0"/>
          <w:szCs w:val="22"/>
          <w:lang w:eastAsia="en-US"/>
        </w:rPr>
        <w:id w:val="1174457971"/>
        <w:docPartObj>
          <w:docPartGallery w:val="Table of Contents"/>
          <w:docPartUnique/>
        </w:docPartObj>
      </w:sdtPr>
      <w:sdtEndPr>
        <w:rPr>
          <w:noProof/>
        </w:rPr>
      </w:sdtEndPr>
      <w:sdtContent>
        <w:p w14:paraId="12014D2B" w14:textId="18A6855E" w:rsidR="00B43BD5" w:rsidRPr="00272930" w:rsidRDefault="00B43BD5" w:rsidP="000171D6">
          <w:pPr>
            <w:pStyle w:val="TOCHeading"/>
            <w:spacing w:before="0"/>
            <w:jc w:val="left"/>
          </w:pPr>
        </w:p>
        <w:p w14:paraId="07E6352B" w14:textId="480465B2" w:rsidR="0097396C" w:rsidRDefault="00B43BD5">
          <w:pPr>
            <w:pStyle w:val="TOC1"/>
            <w:rPr>
              <w:rFonts w:asciiTheme="minorHAnsi" w:eastAsiaTheme="minorEastAsia" w:hAnsiTheme="minorHAnsi" w:cstheme="minorBidi"/>
              <w:b w:val="0"/>
              <w:caps w:val="0"/>
              <w:noProof/>
              <w:sz w:val="22"/>
              <w:szCs w:val="22"/>
            </w:rPr>
          </w:pPr>
          <w:r w:rsidRPr="00272930">
            <w:fldChar w:fldCharType="begin"/>
          </w:r>
          <w:r w:rsidRPr="00272930">
            <w:instrText xml:space="preserve"> TOC \o "1-3" \h \z \u </w:instrText>
          </w:r>
          <w:r w:rsidRPr="00272930">
            <w:fldChar w:fldCharType="separate"/>
          </w:r>
          <w:hyperlink w:anchor="_Toc122339702" w:history="1">
            <w:r w:rsidR="0097396C" w:rsidRPr="006A1534">
              <w:rPr>
                <w:rStyle w:val="Hyperlink"/>
                <w:noProof/>
              </w:rPr>
              <w:t>1</w:t>
            </w:r>
            <w:r w:rsidR="007763A5" w:rsidRPr="006A1534">
              <w:rPr>
                <w:rStyle w:val="Hyperlink"/>
                <w:noProof/>
              </w:rPr>
              <w:t> </w:t>
            </w:r>
            <w:r w:rsidR="0097396C" w:rsidRPr="006A1534">
              <w:rPr>
                <w:rStyle w:val="Hyperlink"/>
                <w:noProof/>
              </w:rPr>
              <w:t xml:space="preserve"> INTRODUCTION</w:t>
            </w:r>
            <w:r w:rsidR="0097396C">
              <w:rPr>
                <w:noProof/>
                <w:webHidden/>
              </w:rPr>
              <w:tab/>
            </w:r>
            <w:r w:rsidR="0097396C">
              <w:rPr>
                <w:noProof/>
                <w:webHidden/>
              </w:rPr>
              <w:fldChar w:fldCharType="begin"/>
            </w:r>
            <w:r w:rsidR="0097396C">
              <w:rPr>
                <w:noProof/>
                <w:webHidden/>
              </w:rPr>
              <w:instrText xml:space="preserve"> PAGEREF _Toc122339702 \h </w:instrText>
            </w:r>
            <w:r w:rsidR="0097396C">
              <w:rPr>
                <w:noProof/>
                <w:webHidden/>
              </w:rPr>
            </w:r>
            <w:r w:rsidR="0097396C">
              <w:rPr>
                <w:noProof/>
                <w:webHidden/>
              </w:rPr>
              <w:fldChar w:fldCharType="separate"/>
            </w:r>
            <w:r w:rsidR="009A117C">
              <w:rPr>
                <w:noProof/>
                <w:webHidden/>
              </w:rPr>
              <w:t>7</w:t>
            </w:r>
            <w:r w:rsidR="0097396C">
              <w:rPr>
                <w:noProof/>
                <w:webHidden/>
              </w:rPr>
              <w:fldChar w:fldCharType="end"/>
            </w:r>
          </w:hyperlink>
        </w:p>
        <w:p w14:paraId="259254CA" w14:textId="4CAC42F6" w:rsidR="0097396C" w:rsidRDefault="00000000">
          <w:pPr>
            <w:pStyle w:val="TOC1"/>
            <w:rPr>
              <w:rFonts w:asciiTheme="minorHAnsi" w:eastAsiaTheme="minorEastAsia" w:hAnsiTheme="minorHAnsi" w:cstheme="minorBidi"/>
              <w:b w:val="0"/>
              <w:caps w:val="0"/>
              <w:noProof/>
              <w:sz w:val="22"/>
              <w:szCs w:val="22"/>
            </w:rPr>
          </w:pPr>
          <w:hyperlink w:anchor="_Toc122339703" w:history="1">
            <w:r w:rsidR="0097396C" w:rsidRPr="006A1534">
              <w:rPr>
                <w:rStyle w:val="Hyperlink"/>
                <w:noProof/>
              </w:rPr>
              <w:t>2</w:t>
            </w:r>
            <w:r w:rsidR="007763A5" w:rsidRPr="006A1534">
              <w:rPr>
                <w:rStyle w:val="Hyperlink"/>
                <w:noProof/>
              </w:rPr>
              <w:t> </w:t>
            </w:r>
            <w:r w:rsidR="0097396C" w:rsidRPr="006A1534">
              <w:rPr>
                <w:rStyle w:val="Hyperlink"/>
                <w:noProof/>
              </w:rPr>
              <w:t xml:space="preserve"> ARGUMENTS OF THE PARTIES</w:t>
            </w:r>
            <w:r w:rsidR="0097396C">
              <w:rPr>
                <w:noProof/>
                <w:webHidden/>
              </w:rPr>
              <w:tab/>
            </w:r>
            <w:r w:rsidR="0097396C">
              <w:rPr>
                <w:noProof/>
                <w:webHidden/>
              </w:rPr>
              <w:fldChar w:fldCharType="begin"/>
            </w:r>
            <w:r w:rsidR="0097396C">
              <w:rPr>
                <w:noProof/>
                <w:webHidden/>
              </w:rPr>
              <w:instrText xml:space="preserve"> PAGEREF _Toc122339703 \h </w:instrText>
            </w:r>
            <w:r w:rsidR="0097396C">
              <w:rPr>
                <w:noProof/>
                <w:webHidden/>
              </w:rPr>
            </w:r>
            <w:r w:rsidR="0097396C">
              <w:rPr>
                <w:noProof/>
                <w:webHidden/>
              </w:rPr>
              <w:fldChar w:fldCharType="separate"/>
            </w:r>
            <w:r w:rsidR="009A117C">
              <w:rPr>
                <w:noProof/>
                <w:webHidden/>
              </w:rPr>
              <w:t>11</w:t>
            </w:r>
            <w:r w:rsidR="0097396C">
              <w:rPr>
                <w:noProof/>
                <w:webHidden/>
              </w:rPr>
              <w:fldChar w:fldCharType="end"/>
            </w:r>
          </w:hyperlink>
        </w:p>
        <w:p w14:paraId="79CB9CA0" w14:textId="7A6D99C0" w:rsidR="0097396C" w:rsidRDefault="00000000">
          <w:pPr>
            <w:pStyle w:val="TOC1"/>
            <w:rPr>
              <w:rFonts w:asciiTheme="minorHAnsi" w:eastAsiaTheme="minorEastAsia" w:hAnsiTheme="minorHAnsi" w:cstheme="minorBidi"/>
              <w:b w:val="0"/>
              <w:caps w:val="0"/>
              <w:noProof/>
              <w:sz w:val="22"/>
              <w:szCs w:val="22"/>
            </w:rPr>
          </w:pPr>
          <w:hyperlink w:anchor="_Toc122339704" w:history="1">
            <w:r w:rsidR="0097396C" w:rsidRPr="006A1534">
              <w:rPr>
                <w:rStyle w:val="Hyperlink"/>
                <w:noProof/>
              </w:rPr>
              <w:t>3</w:t>
            </w:r>
            <w:r w:rsidR="007763A5" w:rsidRPr="006A1534">
              <w:rPr>
                <w:rStyle w:val="Hyperlink"/>
                <w:noProof/>
              </w:rPr>
              <w:t> </w:t>
            </w:r>
            <w:r w:rsidR="0097396C" w:rsidRPr="006A1534">
              <w:rPr>
                <w:rStyle w:val="Hyperlink"/>
                <w:noProof/>
              </w:rPr>
              <w:t xml:space="preserve"> ARGUMENTS OF THE THIRD PARTIES</w:t>
            </w:r>
            <w:r w:rsidR="0097396C">
              <w:rPr>
                <w:noProof/>
                <w:webHidden/>
              </w:rPr>
              <w:tab/>
            </w:r>
            <w:r w:rsidR="0097396C">
              <w:rPr>
                <w:noProof/>
                <w:webHidden/>
              </w:rPr>
              <w:fldChar w:fldCharType="begin"/>
            </w:r>
            <w:r w:rsidR="0097396C">
              <w:rPr>
                <w:noProof/>
                <w:webHidden/>
              </w:rPr>
              <w:instrText xml:space="preserve"> PAGEREF _Toc122339704 \h </w:instrText>
            </w:r>
            <w:r w:rsidR="0097396C">
              <w:rPr>
                <w:noProof/>
                <w:webHidden/>
              </w:rPr>
            </w:r>
            <w:r w:rsidR="0097396C">
              <w:rPr>
                <w:noProof/>
                <w:webHidden/>
              </w:rPr>
              <w:fldChar w:fldCharType="separate"/>
            </w:r>
            <w:r w:rsidR="009A117C">
              <w:rPr>
                <w:noProof/>
                <w:webHidden/>
              </w:rPr>
              <w:t>11</w:t>
            </w:r>
            <w:r w:rsidR="0097396C">
              <w:rPr>
                <w:noProof/>
                <w:webHidden/>
              </w:rPr>
              <w:fldChar w:fldCharType="end"/>
            </w:r>
          </w:hyperlink>
        </w:p>
        <w:p w14:paraId="13449EC3" w14:textId="5E7E4A4C" w:rsidR="0097396C" w:rsidRDefault="00000000">
          <w:pPr>
            <w:pStyle w:val="TOC1"/>
            <w:rPr>
              <w:rFonts w:asciiTheme="minorHAnsi" w:eastAsiaTheme="minorEastAsia" w:hAnsiTheme="minorHAnsi" w:cstheme="minorBidi"/>
              <w:b w:val="0"/>
              <w:caps w:val="0"/>
              <w:noProof/>
              <w:sz w:val="22"/>
              <w:szCs w:val="22"/>
            </w:rPr>
          </w:pPr>
          <w:hyperlink w:anchor="_Toc122339705" w:history="1">
            <w:r w:rsidR="0097396C" w:rsidRPr="006A1534">
              <w:rPr>
                <w:rStyle w:val="Hyperlink"/>
                <w:noProof/>
              </w:rPr>
              <w:t>4</w:t>
            </w:r>
            <w:r w:rsidR="007763A5" w:rsidRPr="006A1534">
              <w:rPr>
                <w:rStyle w:val="Hyperlink"/>
                <w:noProof/>
              </w:rPr>
              <w:t> </w:t>
            </w:r>
            <w:r w:rsidR="0097396C" w:rsidRPr="006A1534">
              <w:rPr>
                <w:rStyle w:val="Hyperlink"/>
                <w:noProof/>
              </w:rPr>
              <w:t xml:space="preserve"> ANALYSIS OF THE ARBITRATORS</w:t>
            </w:r>
            <w:r w:rsidR="0097396C">
              <w:rPr>
                <w:noProof/>
                <w:webHidden/>
              </w:rPr>
              <w:tab/>
            </w:r>
            <w:r w:rsidR="0097396C">
              <w:rPr>
                <w:noProof/>
                <w:webHidden/>
              </w:rPr>
              <w:fldChar w:fldCharType="begin"/>
            </w:r>
            <w:r w:rsidR="0097396C">
              <w:rPr>
                <w:noProof/>
                <w:webHidden/>
              </w:rPr>
              <w:instrText xml:space="preserve"> PAGEREF _Toc122339705 \h </w:instrText>
            </w:r>
            <w:r w:rsidR="0097396C">
              <w:rPr>
                <w:noProof/>
                <w:webHidden/>
              </w:rPr>
            </w:r>
            <w:r w:rsidR="0097396C">
              <w:rPr>
                <w:noProof/>
                <w:webHidden/>
              </w:rPr>
              <w:fldChar w:fldCharType="separate"/>
            </w:r>
            <w:r w:rsidR="009A117C">
              <w:rPr>
                <w:noProof/>
                <w:webHidden/>
              </w:rPr>
              <w:t>12</w:t>
            </w:r>
            <w:r w:rsidR="0097396C">
              <w:rPr>
                <w:noProof/>
                <w:webHidden/>
              </w:rPr>
              <w:fldChar w:fldCharType="end"/>
            </w:r>
          </w:hyperlink>
        </w:p>
        <w:p w14:paraId="4A8B6366" w14:textId="34507C13" w:rsidR="0097396C" w:rsidRDefault="00000000">
          <w:pPr>
            <w:pStyle w:val="TOC2"/>
            <w:rPr>
              <w:rFonts w:asciiTheme="minorHAnsi" w:eastAsiaTheme="minorEastAsia" w:hAnsiTheme="minorHAnsi" w:cstheme="minorBidi"/>
              <w:noProof/>
              <w:sz w:val="22"/>
              <w:szCs w:val="22"/>
            </w:rPr>
          </w:pPr>
          <w:hyperlink w:anchor="_Toc122339706" w:history="1">
            <w:r w:rsidR="0097396C" w:rsidRPr="006A1534">
              <w:rPr>
                <w:rStyle w:val="Hyperlink"/>
                <w:noProof/>
              </w:rPr>
              <w:t>4.1</w:t>
            </w:r>
            <w:r w:rsidR="007763A5" w:rsidRPr="006A1534">
              <w:rPr>
                <w:rStyle w:val="Hyperlink"/>
                <w:noProof/>
              </w:rPr>
              <w:t> </w:t>
            </w:r>
            <w:r w:rsidR="0097396C" w:rsidRPr="006A1534">
              <w:rPr>
                <w:rStyle w:val="Hyperlink"/>
                <w:noProof/>
              </w:rPr>
              <w:t xml:space="preserve"> Issues on appeal</w:t>
            </w:r>
            <w:r w:rsidR="0097396C">
              <w:rPr>
                <w:noProof/>
                <w:webHidden/>
              </w:rPr>
              <w:tab/>
            </w:r>
            <w:r w:rsidR="0097396C">
              <w:rPr>
                <w:noProof/>
                <w:webHidden/>
              </w:rPr>
              <w:fldChar w:fldCharType="begin"/>
            </w:r>
            <w:r w:rsidR="0097396C">
              <w:rPr>
                <w:noProof/>
                <w:webHidden/>
              </w:rPr>
              <w:instrText xml:space="preserve"> PAGEREF _Toc122339706 \h </w:instrText>
            </w:r>
            <w:r w:rsidR="0097396C">
              <w:rPr>
                <w:noProof/>
                <w:webHidden/>
              </w:rPr>
            </w:r>
            <w:r w:rsidR="0097396C">
              <w:rPr>
                <w:noProof/>
                <w:webHidden/>
              </w:rPr>
              <w:fldChar w:fldCharType="separate"/>
            </w:r>
            <w:r w:rsidR="009A117C">
              <w:rPr>
                <w:noProof/>
                <w:webHidden/>
              </w:rPr>
              <w:t>12</w:t>
            </w:r>
            <w:r w:rsidR="0097396C">
              <w:rPr>
                <w:noProof/>
                <w:webHidden/>
              </w:rPr>
              <w:fldChar w:fldCharType="end"/>
            </w:r>
          </w:hyperlink>
        </w:p>
        <w:p w14:paraId="6071219C" w14:textId="440C92F7" w:rsidR="0097396C" w:rsidRDefault="00000000">
          <w:pPr>
            <w:pStyle w:val="TOC2"/>
            <w:rPr>
              <w:rFonts w:asciiTheme="minorHAnsi" w:eastAsiaTheme="minorEastAsia" w:hAnsiTheme="minorHAnsi" w:cstheme="minorBidi"/>
              <w:noProof/>
              <w:sz w:val="22"/>
              <w:szCs w:val="22"/>
            </w:rPr>
          </w:pPr>
          <w:hyperlink w:anchor="_Toc122339707" w:history="1">
            <w:r w:rsidR="0097396C" w:rsidRPr="006A1534">
              <w:rPr>
                <w:rStyle w:val="Hyperlink"/>
                <w:noProof/>
              </w:rPr>
              <w:t>4.2</w:t>
            </w:r>
            <w:r w:rsidR="007763A5" w:rsidRPr="006A1534">
              <w:rPr>
                <w:rStyle w:val="Hyperlink"/>
                <w:noProof/>
              </w:rPr>
              <w:t> </w:t>
            </w:r>
            <w:r w:rsidR="0097396C" w:rsidRPr="006A1534">
              <w:rPr>
                <w:rStyle w:val="Hyperlink"/>
                <w:noProof/>
              </w:rPr>
              <w:t xml:space="preserve"> Claim under Articles 5.2(iii) and 5.3 of the Anti-Dumping Agreement</w:t>
            </w:r>
            <w:r w:rsidR="0097396C">
              <w:rPr>
                <w:noProof/>
                <w:webHidden/>
              </w:rPr>
              <w:tab/>
            </w:r>
            <w:r w:rsidR="0097396C">
              <w:rPr>
                <w:noProof/>
                <w:webHidden/>
              </w:rPr>
              <w:fldChar w:fldCharType="begin"/>
            </w:r>
            <w:r w:rsidR="0097396C">
              <w:rPr>
                <w:noProof/>
                <w:webHidden/>
              </w:rPr>
              <w:instrText xml:space="preserve"> PAGEREF _Toc122339707 \h </w:instrText>
            </w:r>
            <w:r w:rsidR="0097396C">
              <w:rPr>
                <w:noProof/>
                <w:webHidden/>
              </w:rPr>
            </w:r>
            <w:r w:rsidR="0097396C">
              <w:rPr>
                <w:noProof/>
                <w:webHidden/>
              </w:rPr>
              <w:fldChar w:fldCharType="separate"/>
            </w:r>
            <w:r w:rsidR="009A117C">
              <w:rPr>
                <w:noProof/>
                <w:webHidden/>
              </w:rPr>
              <w:t>12</w:t>
            </w:r>
            <w:r w:rsidR="0097396C">
              <w:rPr>
                <w:noProof/>
                <w:webHidden/>
              </w:rPr>
              <w:fldChar w:fldCharType="end"/>
            </w:r>
          </w:hyperlink>
        </w:p>
        <w:p w14:paraId="6F234A8A" w14:textId="09545F95" w:rsidR="0097396C" w:rsidRDefault="00000000">
          <w:pPr>
            <w:pStyle w:val="TOC3"/>
            <w:rPr>
              <w:rFonts w:asciiTheme="minorHAnsi" w:eastAsiaTheme="minorEastAsia" w:hAnsiTheme="minorHAnsi" w:cstheme="minorBidi"/>
              <w:noProof/>
              <w:sz w:val="22"/>
              <w:szCs w:val="22"/>
            </w:rPr>
          </w:pPr>
          <w:hyperlink w:anchor="_Toc122339708" w:history="1">
            <w:r w:rsidR="0097396C" w:rsidRPr="006A1534">
              <w:rPr>
                <w:rStyle w:val="Hyperlink"/>
                <w:noProof/>
              </w:rPr>
              <w:t>4.2.1</w:t>
            </w:r>
            <w:r w:rsidR="007763A5" w:rsidRPr="006A1534">
              <w:rPr>
                <w:rStyle w:val="Hyperlink"/>
                <w:noProof/>
              </w:rPr>
              <w:t> </w:t>
            </w:r>
            <w:r w:rsidR="0097396C" w:rsidRPr="006A1534">
              <w:rPr>
                <w:rStyle w:val="Hyperlink"/>
                <w:noProof/>
              </w:rPr>
              <w:t xml:space="preserve"> Introduction and Panel findings</w:t>
            </w:r>
            <w:r w:rsidR="0097396C">
              <w:rPr>
                <w:noProof/>
                <w:webHidden/>
              </w:rPr>
              <w:tab/>
            </w:r>
            <w:r w:rsidR="0097396C">
              <w:rPr>
                <w:noProof/>
                <w:webHidden/>
              </w:rPr>
              <w:fldChar w:fldCharType="begin"/>
            </w:r>
            <w:r w:rsidR="0097396C">
              <w:rPr>
                <w:noProof/>
                <w:webHidden/>
              </w:rPr>
              <w:instrText xml:space="preserve"> PAGEREF _Toc122339708 \h </w:instrText>
            </w:r>
            <w:r w:rsidR="0097396C">
              <w:rPr>
                <w:noProof/>
                <w:webHidden/>
              </w:rPr>
            </w:r>
            <w:r w:rsidR="0097396C">
              <w:rPr>
                <w:noProof/>
                <w:webHidden/>
              </w:rPr>
              <w:fldChar w:fldCharType="separate"/>
            </w:r>
            <w:r w:rsidR="009A117C">
              <w:rPr>
                <w:noProof/>
                <w:webHidden/>
              </w:rPr>
              <w:t>12</w:t>
            </w:r>
            <w:r w:rsidR="0097396C">
              <w:rPr>
                <w:noProof/>
                <w:webHidden/>
              </w:rPr>
              <w:fldChar w:fldCharType="end"/>
            </w:r>
          </w:hyperlink>
        </w:p>
        <w:p w14:paraId="37EF8D6A" w14:textId="280CD0B3" w:rsidR="0097396C" w:rsidRDefault="00000000">
          <w:pPr>
            <w:pStyle w:val="TOC3"/>
            <w:rPr>
              <w:rFonts w:asciiTheme="minorHAnsi" w:eastAsiaTheme="minorEastAsia" w:hAnsiTheme="minorHAnsi" w:cstheme="minorBidi"/>
              <w:noProof/>
              <w:sz w:val="22"/>
              <w:szCs w:val="22"/>
            </w:rPr>
          </w:pPr>
          <w:hyperlink w:anchor="_Toc122339709" w:history="1">
            <w:r w:rsidR="0097396C" w:rsidRPr="006A1534">
              <w:rPr>
                <w:rStyle w:val="Hyperlink"/>
                <w:noProof/>
              </w:rPr>
              <w:t>4.2.2</w:t>
            </w:r>
            <w:r w:rsidR="007763A5" w:rsidRPr="006A1534">
              <w:rPr>
                <w:rStyle w:val="Hyperlink"/>
                <w:noProof/>
              </w:rPr>
              <w:t> </w:t>
            </w:r>
            <w:r w:rsidR="0097396C" w:rsidRPr="006A1534">
              <w:rPr>
                <w:rStyle w:val="Hyperlink"/>
                <w:noProof/>
              </w:rPr>
              <w:t xml:space="preserve"> Reviewing Colombia's claim in light of Article 17.6 of the Anti-Dumping Agreement</w:t>
            </w:r>
            <w:r w:rsidR="0097396C">
              <w:rPr>
                <w:noProof/>
                <w:webHidden/>
              </w:rPr>
              <w:tab/>
            </w:r>
            <w:r w:rsidR="0097396C">
              <w:rPr>
                <w:noProof/>
                <w:webHidden/>
              </w:rPr>
              <w:fldChar w:fldCharType="begin"/>
            </w:r>
            <w:r w:rsidR="0097396C">
              <w:rPr>
                <w:noProof/>
                <w:webHidden/>
              </w:rPr>
              <w:instrText xml:space="preserve"> PAGEREF _Toc122339709 \h </w:instrText>
            </w:r>
            <w:r w:rsidR="0097396C">
              <w:rPr>
                <w:noProof/>
                <w:webHidden/>
              </w:rPr>
            </w:r>
            <w:r w:rsidR="0097396C">
              <w:rPr>
                <w:noProof/>
                <w:webHidden/>
              </w:rPr>
              <w:fldChar w:fldCharType="separate"/>
            </w:r>
            <w:r w:rsidR="009A117C">
              <w:rPr>
                <w:noProof/>
                <w:webHidden/>
              </w:rPr>
              <w:t>14</w:t>
            </w:r>
            <w:r w:rsidR="0097396C">
              <w:rPr>
                <w:noProof/>
                <w:webHidden/>
              </w:rPr>
              <w:fldChar w:fldCharType="end"/>
            </w:r>
          </w:hyperlink>
        </w:p>
        <w:p w14:paraId="7C10E9F4" w14:textId="6F66745E" w:rsidR="0097396C" w:rsidRDefault="00000000">
          <w:pPr>
            <w:pStyle w:val="TOC3"/>
            <w:rPr>
              <w:rFonts w:asciiTheme="minorHAnsi" w:eastAsiaTheme="minorEastAsia" w:hAnsiTheme="minorHAnsi" w:cstheme="minorBidi"/>
              <w:noProof/>
              <w:sz w:val="22"/>
              <w:szCs w:val="22"/>
            </w:rPr>
          </w:pPr>
          <w:hyperlink w:anchor="_Toc122339710" w:history="1">
            <w:r w:rsidR="0097396C" w:rsidRPr="006A1534">
              <w:rPr>
                <w:rStyle w:val="Hyperlink"/>
                <w:noProof/>
              </w:rPr>
              <w:t>4.2.3</w:t>
            </w:r>
            <w:r w:rsidR="007763A5" w:rsidRPr="006A1534">
              <w:rPr>
                <w:rStyle w:val="Hyperlink"/>
                <w:noProof/>
              </w:rPr>
              <w:t> </w:t>
            </w:r>
            <w:r w:rsidR="0097396C" w:rsidRPr="006A1534">
              <w:rPr>
                <w:rStyle w:val="Hyperlink"/>
                <w:noProof/>
              </w:rPr>
              <w:t xml:space="preserve"> Whether it is permissible to interpret the phrase "where appropriate" in Article 5.2(iii) </w:t>
            </w:r>
            <w:r w:rsidR="0097396C">
              <w:rPr>
                <w:rStyle w:val="Hyperlink"/>
                <w:noProof/>
              </w:rPr>
              <w:br/>
            </w:r>
            <w:r w:rsidR="0097396C" w:rsidRPr="006A1534">
              <w:rPr>
                <w:rStyle w:val="Hyperlink"/>
                <w:noProof/>
              </w:rPr>
              <w:t xml:space="preserve">of the Anti-Dumping Agreement as granting "free choice" in the use of third-country sales </w:t>
            </w:r>
            <w:r w:rsidR="0097396C">
              <w:rPr>
                <w:rStyle w:val="Hyperlink"/>
                <w:noProof/>
              </w:rPr>
              <w:br/>
            </w:r>
            <w:r w:rsidR="0097396C" w:rsidRPr="006A1534">
              <w:rPr>
                <w:rStyle w:val="Hyperlink"/>
                <w:noProof/>
              </w:rPr>
              <w:t>prices as a basis for normal value</w:t>
            </w:r>
            <w:r w:rsidR="0097396C">
              <w:rPr>
                <w:noProof/>
                <w:webHidden/>
              </w:rPr>
              <w:tab/>
            </w:r>
            <w:r w:rsidR="0097396C">
              <w:rPr>
                <w:noProof/>
                <w:webHidden/>
              </w:rPr>
              <w:fldChar w:fldCharType="begin"/>
            </w:r>
            <w:r w:rsidR="0097396C">
              <w:rPr>
                <w:noProof/>
                <w:webHidden/>
              </w:rPr>
              <w:instrText xml:space="preserve"> PAGEREF _Toc122339710 \h </w:instrText>
            </w:r>
            <w:r w:rsidR="0097396C">
              <w:rPr>
                <w:noProof/>
                <w:webHidden/>
              </w:rPr>
            </w:r>
            <w:r w:rsidR="0097396C">
              <w:rPr>
                <w:noProof/>
                <w:webHidden/>
              </w:rPr>
              <w:fldChar w:fldCharType="separate"/>
            </w:r>
            <w:r w:rsidR="009A117C">
              <w:rPr>
                <w:noProof/>
                <w:webHidden/>
              </w:rPr>
              <w:t>16</w:t>
            </w:r>
            <w:r w:rsidR="0097396C">
              <w:rPr>
                <w:noProof/>
                <w:webHidden/>
              </w:rPr>
              <w:fldChar w:fldCharType="end"/>
            </w:r>
          </w:hyperlink>
        </w:p>
        <w:p w14:paraId="2FEC3CAA" w14:textId="1DC39D9E" w:rsidR="0097396C" w:rsidRDefault="00000000">
          <w:pPr>
            <w:pStyle w:val="TOC3"/>
            <w:rPr>
              <w:rFonts w:asciiTheme="minorHAnsi" w:eastAsiaTheme="minorEastAsia" w:hAnsiTheme="minorHAnsi" w:cstheme="minorBidi"/>
              <w:noProof/>
              <w:sz w:val="22"/>
              <w:szCs w:val="22"/>
            </w:rPr>
          </w:pPr>
          <w:hyperlink w:anchor="_Toc122339711" w:history="1">
            <w:r w:rsidR="0097396C" w:rsidRPr="006A1534">
              <w:rPr>
                <w:rStyle w:val="Hyperlink"/>
                <w:noProof/>
              </w:rPr>
              <w:t>4.2.4</w:t>
            </w:r>
            <w:r w:rsidR="007763A5" w:rsidRPr="006A1534">
              <w:rPr>
                <w:rStyle w:val="Hyperlink"/>
                <w:noProof/>
              </w:rPr>
              <w:t> </w:t>
            </w:r>
            <w:r w:rsidR="0097396C" w:rsidRPr="006A1534">
              <w:rPr>
                <w:rStyle w:val="Hyperlink"/>
                <w:noProof/>
              </w:rPr>
              <w:t xml:space="preserve"> Whether the Panel erred under Articles 5.2(iii) and 5.3 of the Anti-Dumping Agreement </w:t>
            </w:r>
            <w:r w:rsidR="0097396C">
              <w:rPr>
                <w:rStyle w:val="Hyperlink"/>
                <w:noProof/>
              </w:rPr>
              <w:br/>
            </w:r>
            <w:r w:rsidR="0097396C" w:rsidRPr="006A1534">
              <w:rPr>
                <w:rStyle w:val="Hyperlink"/>
                <w:noProof/>
              </w:rPr>
              <w:t xml:space="preserve">by requiring an explanation as to why domestic sales prices were not used as a basis for </w:t>
            </w:r>
            <w:r w:rsidR="0097396C">
              <w:rPr>
                <w:rStyle w:val="Hyperlink"/>
                <w:noProof/>
              </w:rPr>
              <w:br/>
            </w:r>
            <w:r w:rsidR="0097396C" w:rsidRPr="006A1534">
              <w:rPr>
                <w:rStyle w:val="Hyperlink"/>
                <w:noProof/>
              </w:rPr>
              <w:t>normal value</w:t>
            </w:r>
            <w:r w:rsidR="0097396C">
              <w:rPr>
                <w:noProof/>
                <w:webHidden/>
              </w:rPr>
              <w:tab/>
            </w:r>
            <w:r w:rsidR="0097396C">
              <w:rPr>
                <w:noProof/>
                <w:webHidden/>
              </w:rPr>
              <w:fldChar w:fldCharType="begin"/>
            </w:r>
            <w:r w:rsidR="0097396C">
              <w:rPr>
                <w:noProof/>
                <w:webHidden/>
              </w:rPr>
              <w:instrText xml:space="preserve"> PAGEREF _Toc122339711 \h </w:instrText>
            </w:r>
            <w:r w:rsidR="0097396C">
              <w:rPr>
                <w:noProof/>
                <w:webHidden/>
              </w:rPr>
            </w:r>
            <w:r w:rsidR="0097396C">
              <w:rPr>
                <w:noProof/>
                <w:webHidden/>
              </w:rPr>
              <w:fldChar w:fldCharType="separate"/>
            </w:r>
            <w:r w:rsidR="009A117C">
              <w:rPr>
                <w:noProof/>
                <w:webHidden/>
              </w:rPr>
              <w:t>18</w:t>
            </w:r>
            <w:r w:rsidR="0097396C">
              <w:rPr>
                <w:noProof/>
                <w:webHidden/>
              </w:rPr>
              <w:fldChar w:fldCharType="end"/>
            </w:r>
          </w:hyperlink>
        </w:p>
        <w:p w14:paraId="14E00586" w14:textId="4D240584" w:rsidR="0097396C" w:rsidRDefault="00000000">
          <w:pPr>
            <w:pStyle w:val="TOC3"/>
            <w:rPr>
              <w:rFonts w:asciiTheme="minorHAnsi" w:eastAsiaTheme="minorEastAsia" w:hAnsiTheme="minorHAnsi" w:cstheme="minorBidi"/>
              <w:noProof/>
              <w:sz w:val="22"/>
              <w:szCs w:val="22"/>
            </w:rPr>
          </w:pPr>
          <w:hyperlink w:anchor="_Toc122339712" w:history="1">
            <w:r w:rsidR="0097396C" w:rsidRPr="006A1534">
              <w:rPr>
                <w:rStyle w:val="Hyperlink"/>
                <w:noProof/>
              </w:rPr>
              <w:t>4.2.5</w:t>
            </w:r>
            <w:r w:rsidR="007763A5" w:rsidRPr="006A1534">
              <w:rPr>
                <w:rStyle w:val="Hyperlink"/>
                <w:noProof/>
              </w:rPr>
              <w:t> </w:t>
            </w:r>
            <w:r w:rsidR="0097396C" w:rsidRPr="006A1534">
              <w:rPr>
                <w:rStyle w:val="Hyperlink"/>
                <w:noProof/>
              </w:rPr>
              <w:t xml:space="preserve"> Conclusion</w:t>
            </w:r>
            <w:r w:rsidR="0097396C">
              <w:rPr>
                <w:noProof/>
                <w:webHidden/>
              </w:rPr>
              <w:tab/>
            </w:r>
            <w:r w:rsidR="0097396C">
              <w:rPr>
                <w:noProof/>
                <w:webHidden/>
              </w:rPr>
              <w:fldChar w:fldCharType="begin"/>
            </w:r>
            <w:r w:rsidR="0097396C">
              <w:rPr>
                <w:noProof/>
                <w:webHidden/>
              </w:rPr>
              <w:instrText xml:space="preserve"> PAGEREF _Toc122339712 \h </w:instrText>
            </w:r>
            <w:r w:rsidR="0097396C">
              <w:rPr>
                <w:noProof/>
                <w:webHidden/>
              </w:rPr>
            </w:r>
            <w:r w:rsidR="0097396C">
              <w:rPr>
                <w:noProof/>
                <w:webHidden/>
              </w:rPr>
              <w:fldChar w:fldCharType="separate"/>
            </w:r>
            <w:r w:rsidR="009A117C">
              <w:rPr>
                <w:noProof/>
                <w:webHidden/>
              </w:rPr>
              <w:t>19</w:t>
            </w:r>
            <w:r w:rsidR="0097396C">
              <w:rPr>
                <w:noProof/>
                <w:webHidden/>
              </w:rPr>
              <w:fldChar w:fldCharType="end"/>
            </w:r>
          </w:hyperlink>
        </w:p>
        <w:p w14:paraId="7140AF42" w14:textId="33AAD2FC" w:rsidR="0097396C" w:rsidRDefault="00000000">
          <w:pPr>
            <w:pStyle w:val="TOC2"/>
            <w:rPr>
              <w:rFonts w:asciiTheme="minorHAnsi" w:eastAsiaTheme="minorEastAsia" w:hAnsiTheme="minorHAnsi" w:cstheme="minorBidi"/>
              <w:noProof/>
              <w:sz w:val="22"/>
              <w:szCs w:val="22"/>
            </w:rPr>
          </w:pPr>
          <w:hyperlink w:anchor="_Toc122339713" w:history="1">
            <w:r w:rsidR="0097396C" w:rsidRPr="006A1534">
              <w:rPr>
                <w:rStyle w:val="Hyperlink"/>
                <w:noProof/>
              </w:rPr>
              <w:t>4.3</w:t>
            </w:r>
            <w:r w:rsidR="007763A5" w:rsidRPr="006A1534">
              <w:rPr>
                <w:rStyle w:val="Hyperlink"/>
                <w:noProof/>
              </w:rPr>
              <w:t> </w:t>
            </w:r>
            <w:r w:rsidR="0097396C" w:rsidRPr="006A1534">
              <w:rPr>
                <w:rStyle w:val="Hyperlink"/>
                <w:noProof/>
              </w:rPr>
              <w:t xml:space="preserve"> Claim under Article 6.5 of the Anti-Dumping Agreement</w:t>
            </w:r>
            <w:r w:rsidR="0097396C">
              <w:rPr>
                <w:noProof/>
                <w:webHidden/>
              </w:rPr>
              <w:tab/>
            </w:r>
            <w:r w:rsidR="0097396C">
              <w:rPr>
                <w:noProof/>
                <w:webHidden/>
              </w:rPr>
              <w:fldChar w:fldCharType="begin"/>
            </w:r>
            <w:r w:rsidR="0097396C">
              <w:rPr>
                <w:noProof/>
                <w:webHidden/>
              </w:rPr>
              <w:instrText xml:space="preserve"> PAGEREF _Toc122339713 \h </w:instrText>
            </w:r>
            <w:r w:rsidR="0097396C">
              <w:rPr>
                <w:noProof/>
                <w:webHidden/>
              </w:rPr>
            </w:r>
            <w:r w:rsidR="0097396C">
              <w:rPr>
                <w:noProof/>
                <w:webHidden/>
              </w:rPr>
              <w:fldChar w:fldCharType="separate"/>
            </w:r>
            <w:r w:rsidR="009A117C">
              <w:rPr>
                <w:noProof/>
                <w:webHidden/>
              </w:rPr>
              <w:t>20</w:t>
            </w:r>
            <w:r w:rsidR="0097396C">
              <w:rPr>
                <w:noProof/>
                <w:webHidden/>
              </w:rPr>
              <w:fldChar w:fldCharType="end"/>
            </w:r>
          </w:hyperlink>
        </w:p>
        <w:p w14:paraId="59905F0D" w14:textId="5C0C919A" w:rsidR="0097396C" w:rsidRDefault="00000000">
          <w:pPr>
            <w:pStyle w:val="TOC3"/>
            <w:rPr>
              <w:rFonts w:asciiTheme="minorHAnsi" w:eastAsiaTheme="minorEastAsia" w:hAnsiTheme="minorHAnsi" w:cstheme="minorBidi"/>
              <w:noProof/>
              <w:sz w:val="22"/>
              <w:szCs w:val="22"/>
            </w:rPr>
          </w:pPr>
          <w:hyperlink w:anchor="_Toc122339714" w:history="1">
            <w:r w:rsidR="0097396C" w:rsidRPr="006A1534">
              <w:rPr>
                <w:rStyle w:val="Hyperlink"/>
                <w:noProof/>
              </w:rPr>
              <w:t>4.3.1</w:t>
            </w:r>
            <w:r w:rsidR="007763A5" w:rsidRPr="006A1534">
              <w:rPr>
                <w:rStyle w:val="Hyperlink"/>
                <w:noProof/>
              </w:rPr>
              <w:t> </w:t>
            </w:r>
            <w:r w:rsidR="0097396C" w:rsidRPr="006A1534">
              <w:rPr>
                <w:rStyle w:val="Hyperlink"/>
                <w:noProof/>
              </w:rPr>
              <w:t xml:space="preserve"> Introduction and Panel findings</w:t>
            </w:r>
            <w:r w:rsidR="0097396C">
              <w:rPr>
                <w:noProof/>
                <w:webHidden/>
              </w:rPr>
              <w:tab/>
            </w:r>
            <w:r w:rsidR="0097396C">
              <w:rPr>
                <w:noProof/>
                <w:webHidden/>
              </w:rPr>
              <w:fldChar w:fldCharType="begin"/>
            </w:r>
            <w:r w:rsidR="0097396C">
              <w:rPr>
                <w:noProof/>
                <w:webHidden/>
              </w:rPr>
              <w:instrText xml:space="preserve"> PAGEREF _Toc122339714 \h </w:instrText>
            </w:r>
            <w:r w:rsidR="0097396C">
              <w:rPr>
                <w:noProof/>
                <w:webHidden/>
              </w:rPr>
            </w:r>
            <w:r w:rsidR="0097396C">
              <w:rPr>
                <w:noProof/>
                <w:webHidden/>
              </w:rPr>
              <w:fldChar w:fldCharType="separate"/>
            </w:r>
            <w:r w:rsidR="009A117C">
              <w:rPr>
                <w:noProof/>
                <w:webHidden/>
              </w:rPr>
              <w:t>20</w:t>
            </w:r>
            <w:r w:rsidR="0097396C">
              <w:rPr>
                <w:noProof/>
                <w:webHidden/>
              </w:rPr>
              <w:fldChar w:fldCharType="end"/>
            </w:r>
          </w:hyperlink>
        </w:p>
        <w:p w14:paraId="129B5B1B" w14:textId="090E9A29" w:rsidR="0097396C" w:rsidRDefault="00000000">
          <w:pPr>
            <w:pStyle w:val="TOC3"/>
            <w:rPr>
              <w:rFonts w:asciiTheme="minorHAnsi" w:eastAsiaTheme="minorEastAsia" w:hAnsiTheme="minorHAnsi" w:cstheme="minorBidi"/>
              <w:noProof/>
              <w:sz w:val="22"/>
              <w:szCs w:val="22"/>
            </w:rPr>
          </w:pPr>
          <w:hyperlink w:anchor="_Toc122339715" w:history="1">
            <w:r w:rsidR="0097396C" w:rsidRPr="006A1534">
              <w:rPr>
                <w:rStyle w:val="Hyperlink"/>
                <w:noProof/>
              </w:rPr>
              <w:t>4.3.2</w:t>
            </w:r>
            <w:r w:rsidR="007763A5" w:rsidRPr="006A1534">
              <w:rPr>
                <w:rStyle w:val="Hyperlink"/>
                <w:noProof/>
              </w:rPr>
              <w:t> </w:t>
            </w:r>
            <w:r w:rsidR="0097396C" w:rsidRPr="006A1534">
              <w:rPr>
                <w:rStyle w:val="Hyperlink"/>
                <w:noProof/>
              </w:rPr>
              <w:t xml:space="preserve"> Whether the Panel erred in finding that MINCIT acted inconsistently with Article 6.5 </w:t>
            </w:r>
            <w:r w:rsidR="0097396C">
              <w:rPr>
                <w:rStyle w:val="Hyperlink"/>
                <w:noProof/>
              </w:rPr>
              <w:br/>
            </w:r>
            <w:r w:rsidR="0097396C" w:rsidRPr="006A1534">
              <w:rPr>
                <w:rStyle w:val="Hyperlink"/>
                <w:noProof/>
              </w:rPr>
              <w:t>of the Anti-Dumping Agreement by granting confidential treatment to redacted information without a showing of "good cause"</w:t>
            </w:r>
            <w:r w:rsidR="0097396C">
              <w:rPr>
                <w:noProof/>
                <w:webHidden/>
              </w:rPr>
              <w:tab/>
            </w:r>
            <w:r w:rsidR="0097396C">
              <w:rPr>
                <w:noProof/>
                <w:webHidden/>
              </w:rPr>
              <w:fldChar w:fldCharType="begin"/>
            </w:r>
            <w:r w:rsidR="0097396C">
              <w:rPr>
                <w:noProof/>
                <w:webHidden/>
              </w:rPr>
              <w:instrText xml:space="preserve"> PAGEREF _Toc122339715 \h </w:instrText>
            </w:r>
            <w:r w:rsidR="0097396C">
              <w:rPr>
                <w:noProof/>
                <w:webHidden/>
              </w:rPr>
            </w:r>
            <w:r w:rsidR="0097396C">
              <w:rPr>
                <w:noProof/>
                <w:webHidden/>
              </w:rPr>
              <w:fldChar w:fldCharType="separate"/>
            </w:r>
            <w:r w:rsidR="009A117C">
              <w:rPr>
                <w:noProof/>
                <w:webHidden/>
              </w:rPr>
              <w:t>21</w:t>
            </w:r>
            <w:r w:rsidR="0097396C">
              <w:rPr>
                <w:noProof/>
                <w:webHidden/>
              </w:rPr>
              <w:fldChar w:fldCharType="end"/>
            </w:r>
          </w:hyperlink>
        </w:p>
        <w:p w14:paraId="6D02C511" w14:textId="0696F6EA" w:rsidR="0097396C" w:rsidRDefault="00000000">
          <w:pPr>
            <w:pStyle w:val="TOC3"/>
            <w:rPr>
              <w:rFonts w:asciiTheme="minorHAnsi" w:eastAsiaTheme="minorEastAsia" w:hAnsiTheme="minorHAnsi" w:cstheme="minorBidi"/>
              <w:noProof/>
              <w:sz w:val="22"/>
              <w:szCs w:val="22"/>
            </w:rPr>
          </w:pPr>
          <w:hyperlink w:anchor="_Toc122339716" w:history="1">
            <w:r w:rsidR="0097396C" w:rsidRPr="006A1534">
              <w:rPr>
                <w:rStyle w:val="Hyperlink"/>
                <w:noProof/>
              </w:rPr>
              <w:t>4.3.3</w:t>
            </w:r>
            <w:r w:rsidR="007763A5" w:rsidRPr="006A1534">
              <w:rPr>
                <w:rStyle w:val="Hyperlink"/>
                <w:noProof/>
              </w:rPr>
              <w:t> </w:t>
            </w:r>
            <w:r w:rsidR="0097396C" w:rsidRPr="006A1534">
              <w:rPr>
                <w:rStyle w:val="Hyperlink"/>
                <w:noProof/>
              </w:rPr>
              <w:t xml:space="preserve"> Conclusion</w:t>
            </w:r>
            <w:r w:rsidR="0097396C">
              <w:rPr>
                <w:noProof/>
                <w:webHidden/>
              </w:rPr>
              <w:tab/>
            </w:r>
            <w:r w:rsidR="0097396C">
              <w:rPr>
                <w:noProof/>
                <w:webHidden/>
              </w:rPr>
              <w:fldChar w:fldCharType="begin"/>
            </w:r>
            <w:r w:rsidR="0097396C">
              <w:rPr>
                <w:noProof/>
                <w:webHidden/>
              </w:rPr>
              <w:instrText xml:space="preserve"> PAGEREF _Toc122339716 \h </w:instrText>
            </w:r>
            <w:r w:rsidR="0097396C">
              <w:rPr>
                <w:noProof/>
                <w:webHidden/>
              </w:rPr>
            </w:r>
            <w:r w:rsidR="0097396C">
              <w:rPr>
                <w:noProof/>
                <w:webHidden/>
              </w:rPr>
              <w:fldChar w:fldCharType="separate"/>
            </w:r>
            <w:r w:rsidR="009A117C">
              <w:rPr>
                <w:noProof/>
                <w:webHidden/>
              </w:rPr>
              <w:t>23</w:t>
            </w:r>
            <w:r w:rsidR="0097396C">
              <w:rPr>
                <w:noProof/>
                <w:webHidden/>
              </w:rPr>
              <w:fldChar w:fldCharType="end"/>
            </w:r>
          </w:hyperlink>
        </w:p>
        <w:p w14:paraId="1E4F081A" w14:textId="3A441CEA" w:rsidR="0097396C" w:rsidRDefault="00000000">
          <w:pPr>
            <w:pStyle w:val="TOC2"/>
            <w:rPr>
              <w:rFonts w:asciiTheme="minorHAnsi" w:eastAsiaTheme="minorEastAsia" w:hAnsiTheme="minorHAnsi" w:cstheme="minorBidi"/>
              <w:noProof/>
              <w:sz w:val="22"/>
              <w:szCs w:val="22"/>
            </w:rPr>
          </w:pPr>
          <w:hyperlink w:anchor="_Toc122339717" w:history="1">
            <w:r w:rsidR="0097396C" w:rsidRPr="006A1534">
              <w:rPr>
                <w:rStyle w:val="Hyperlink"/>
                <w:noProof/>
              </w:rPr>
              <w:t>4.4</w:t>
            </w:r>
            <w:r w:rsidR="007763A5" w:rsidRPr="006A1534">
              <w:rPr>
                <w:rStyle w:val="Hyperlink"/>
                <w:noProof/>
              </w:rPr>
              <w:t> </w:t>
            </w:r>
            <w:r w:rsidR="0097396C" w:rsidRPr="006A1534">
              <w:rPr>
                <w:rStyle w:val="Hyperlink"/>
                <w:noProof/>
              </w:rPr>
              <w:t xml:space="preserve"> Claim under Article 6.2 of the DSU</w:t>
            </w:r>
            <w:r w:rsidR="0097396C">
              <w:rPr>
                <w:noProof/>
                <w:webHidden/>
              </w:rPr>
              <w:tab/>
            </w:r>
            <w:r w:rsidR="0097396C">
              <w:rPr>
                <w:noProof/>
                <w:webHidden/>
              </w:rPr>
              <w:fldChar w:fldCharType="begin"/>
            </w:r>
            <w:r w:rsidR="0097396C">
              <w:rPr>
                <w:noProof/>
                <w:webHidden/>
              </w:rPr>
              <w:instrText xml:space="preserve"> PAGEREF _Toc122339717 \h </w:instrText>
            </w:r>
            <w:r w:rsidR="0097396C">
              <w:rPr>
                <w:noProof/>
                <w:webHidden/>
              </w:rPr>
            </w:r>
            <w:r w:rsidR="0097396C">
              <w:rPr>
                <w:noProof/>
                <w:webHidden/>
              </w:rPr>
              <w:fldChar w:fldCharType="separate"/>
            </w:r>
            <w:r w:rsidR="009A117C">
              <w:rPr>
                <w:noProof/>
                <w:webHidden/>
              </w:rPr>
              <w:t>24</w:t>
            </w:r>
            <w:r w:rsidR="0097396C">
              <w:rPr>
                <w:noProof/>
                <w:webHidden/>
              </w:rPr>
              <w:fldChar w:fldCharType="end"/>
            </w:r>
          </w:hyperlink>
        </w:p>
        <w:p w14:paraId="58F688B6" w14:textId="010D7BD3" w:rsidR="0097396C" w:rsidRDefault="00000000">
          <w:pPr>
            <w:pStyle w:val="TOC3"/>
            <w:rPr>
              <w:rFonts w:asciiTheme="minorHAnsi" w:eastAsiaTheme="minorEastAsia" w:hAnsiTheme="minorHAnsi" w:cstheme="minorBidi"/>
              <w:noProof/>
              <w:sz w:val="22"/>
              <w:szCs w:val="22"/>
            </w:rPr>
          </w:pPr>
          <w:hyperlink w:anchor="_Toc122339718" w:history="1">
            <w:r w:rsidR="0097396C" w:rsidRPr="006A1534">
              <w:rPr>
                <w:rStyle w:val="Hyperlink"/>
                <w:noProof/>
              </w:rPr>
              <w:t>4.4.1</w:t>
            </w:r>
            <w:r w:rsidR="007763A5" w:rsidRPr="006A1534">
              <w:rPr>
                <w:rStyle w:val="Hyperlink"/>
                <w:noProof/>
              </w:rPr>
              <w:t> </w:t>
            </w:r>
            <w:r w:rsidR="0097396C" w:rsidRPr="006A1534">
              <w:rPr>
                <w:rStyle w:val="Hyperlink"/>
                <w:noProof/>
              </w:rPr>
              <w:t xml:space="preserve"> Introduction and Panel findings</w:t>
            </w:r>
            <w:r w:rsidR="0097396C">
              <w:rPr>
                <w:noProof/>
                <w:webHidden/>
              </w:rPr>
              <w:tab/>
            </w:r>
            <w:r w:rsidR="0097396C">
              <w:rPr>
                <w:noProof/>
                <w:webHidden/>
              </w:rPr>
              <w:fldChar w:fldCharType="begin"/>
            </w:r>
            <w:r w:rsidR="0097396C">
              <w:rPr>
                <w:noProof/>
                <w:webHidden/>
              </w:rPr>
              <w:instrText xml:space="preserve"> PAGEREF _Toc122339718 \h </w:instrText>
            </w:r>
            <w:r w:rsidR="0097396C">
              <w:rPr>
                <w:noProof/>
                <w:webHidden/>
              </w:rPr>
            </w:r>
            <w:r w:rsidR="0097396C">
              <w:rPr>
                <w:noProof/>
                <w:webHidden/>
              </w:rPr>
              <w:fldChar w:fldCharType="separate"/>
            </w:r>
            <w:r w:rsidR="009A117C">
              <w:rPr>
                <w:noProof/>
                <w:webHidden/>
              </w:rPr>
              <w:t>24</w:t>
            </w:r>
            <w:r w:rsidR="0097396C">
              <w:rPr>
                <w:noProof/>
                <w:webHidden/>
              </w:rPr>
              <w:fldChar w:fldCharType="end"/>
            </w:r>
          </w:hyperlink>
        </w:p>
        <w:p w14:paraId="04E7A1F6" w14:textId="18B0F834" w:rsidR="0097396C" w:rsidRDefault="00000000">
          <w:pPr>
            <w:pStyle w:val="TOC3"/>
            <w:rPr>
              <w:rFonts w:asciiTheme="minorHAnsi" w:eastAsiaTheme="minorEastAsia" w:hAnsiTheme="minorHAnsi" w:cstheme="minorBidi"/>
              <w:noProof/>
              <w:sz w:val="22"/>
              <w:szCs w:val="22"/>
            </w:rPr>
          </w:pPr>
          <w:hyperlink w:anchor="_Toc122339719" w:history="1">
            <w:r w:rsidR="0097396C" w:rsidRPr="006A1534">
              <w:rPr>
                <w:rStyle w:val="Hyperlink"/>
                <w:noProof/>
              </w:rPr>
              <w:t>4.4.2</w:t>
            </w:r>
            <w:r w:rsidR="007763A5" w:rsidRPr="006A1534">
              <w:rPr>
                <w:rStyle w:val="Hyperlink"/>
                <w:noProof/>
              </w:rPr>
              <w:t> </w:t>
            </w:r>
            <w:r w:rsidR="0097396C" w:rsidRPr="006A1534">
              <w:rPr>
                <w:rStyle w:val="Hyperlink"/>
                <w:noProof/>
              </w:rPr>
              <w:t xml:space="preserve"> Whether the Panel erred in finding that the European Union's "packaging cost</w:t>
            </w:r>
            <w:r w:rsidR="0097396C" w:rsidRPr="006A1534">
              <w:rPr>
                <w:rStyle w:val="Hyperlink"/>
                <w:noProof/>
              </w:rPr>
              <w:noBreakHyphen/>
              <w:t xml:space="preserve">related claim" under Article 2.4 of the Anti-Dumping Agreement was within the Panel's terms of </w:t>
            </w:r>
            <w:r w:rsidR="0097396C">
              <w:rPr>
                <w:rStyle w:val="Hyperlink"/>
                <w:noProof/>
              </w:rPr>
              <w:br/>
            </w:r>
            <w:r w:rsidR="0097396C" w:rsidRPr="006A1534">
              <w:rPr>
                <w:rStyle w:val="Hyperlink"/>
                <w:noProof/>
              </w:rPr>
              <w:t>reference pursuant to Article 6.2 of the DSU</w:t>
            </w:r>
            <w:r w:rsidR="0097396C">
              <w:rPr>
                <w:noProof/>
                <w:webHidden/>
              </w:rPr>
              <w:tab/>
            </w:r>
            <w:r w:rsidR="0097396C">
              <w:rPr>
                <w:noProof/>
                <w:webHidden/>
              </w:rPr>
              <w:fldChar w:fldCharType="begin"/>
            </w:r>
            <w:r w:rsidR="0097396C">
              <w:rPr>
                <w:noProof/>
                <w:webHidden/>
              </w:rPr>
              <w:instrText xml:space="preserve"> PAGEREF _Toc122339719 \h </w:instrText>
            </w:r>
            <w:r w:rsidR="0097396C">
              <w:rPr>
                <w:noProof/>
                <w:webHidden/>
              </w:rPr>
            </w:r>
            <w:r w:rsidR="0097396C">
              <w:rPr>
                <w:noProof/>
                <w:webHidden/>
              </w:rPr>
              <w:fldChar w:fldCharType="separate"/>
            </w:r>
            <w:r w:rsidR="009A117C">
              <w:rPr>
                <w:noProof/>
                <w:webHidden/>
              </w:rPr>
              <w:t>26</w:t>
            </w:r>
            <w:r w:rsidR="0097396C">
              <w:rPr>
                <w:noProof/>
                <w:webHidden/>
              </w:rPr>
              <w:fldChar w:fldCharType="end"/>
            </w:r>
          </w:hyperlink>
        </w:p>
        <w:p w14:paraId="453D06CD" w14:textId="0D5FB06E" w:rsidR="0097396C" w:rsidRDefault="00000000">
          <w:pPr>
            <w:pStyle w:val="TOC3"/>
            <w:rPr>
              <w:rFonts w:asciiTheme="minorHAnsi" w:eastAsiaTheme="minorEastAsia" w:hAnsiTheme="minorHAnsi" w:cstheme="minorBidi"/>
              <w:noProof/>
              <w:sz w:val="22"/>
              <w:szCs w:val="22"/>
            </w:rPr>
          </w:pPr>
          <w:hyperlink w:anchor="_Toc122339720" w:history="1">
            <w:r w:rsidR="0097396C" w:rsidRPr="006A1534">
              <w:rPr>
                <w:rStyle w:val="Hyperlink"/>
                <w:noProof/>
              </w:rPr>
              <w:t>4.4.3</w:t>
            </w:r>
            <w:r w:rsidR="007763A5" w:rsidRPr="006A1534">
              <w:rPr>
                <w:rStyle w:val="Hyperlink"/>
                <w:noProof/>
              </w:rPr>
              <w:t> </w:t>
            </w:r>
            <w:r w:rsidR="0097396C" w:rsidRPr="006A1534">
              <w:rPr>
                <w:rStyle w:val="Hyperlink"/>
                <w:noProof/>
              </w:rPr>
              <w:t xml:space="preserve"> Conclusion</w:t>
            </w:r>
            <w:r w:rsidR="0097396C">
              <w:rPr>
                <w:noProof/>
                <w:webHidden/>
              </w:rPr>
              <w:tab/>
            </w:r>
            <w:r w:rsidR="0097396C">
              <w:rPr>
                <w:noProof/>
                <w:webHidden/>
              </w:rPr>
              <w:fldChar w:fldCharType="begin"/>
            </w:r>
            <w:r w:rsidR="0097396C">
              <w:rPr>
                <w:noProof/>
                <w:webHidden/>
              </w:rPr>
              <w:instrText xml:space="preserve"> PAGEREF _Toc122339720 \h </w:instrText>
            </w:r>
            <w:r w:rsidR="0097396C">
              <w:rPr>
                <w:noProof/>
                <w:webHidden/>
              </w:rPr>
            </w:r>
            <w:r w:rsidR="0097396C">
              <w:rPr>
                <w:noProof/>
                <w:webHidden/>
              </w:rPr>
              <w:fldChar w:fldCharType="separate"/>
            </w:r>
            <w:r w:rsidR="009A117C">
              <w:rPr>
                <w:noProof/>
                <w:webHidden/>
              </w:rPr>
              <w:t>30</w:t>
            </w:r>
            <w:r w:rsidR="0097396C">
              <w:rPr>
                <w:noProof/>
                <w:webHidden/>
              </w:rPr>
              <w:fldChar w:fldCharType="end"/>
            </w:r>
          </w:hyperlink>
        </w:p>
        <w:p w14:paraId="513AB54C" w14:textId="3D97EACF" w:rsidR="0097396C" w:rsidRDefault="00000000">
          <w:pPr>
            <w:pStyle w:val="TOC2"/>
            <w:rPr>
              <w:rFonts w:asciiTheme="minorHAnsi" w:eastAsiaTheme="minorEastAsia" w:hAnsiTheme="minorHAnsi" w:cstheme="minorBidi"/>
              <w:noProof/>
              <w:sz w:val="22"/>
              <w:szCs w:val="22"/>
            </w:rPr>
          </w:pPr>
          <w:hyperlink w:anchor="_Toc122339721" w:history="1">
            <w:r w:rsidR="0097396C" w:rsidRPr="006A1534">
              <w:rPr>
                <w:rStyle w:val="Hyperlink"/>
                <w:noProof/>
              </w:rPr>
              <w:t>4.5</w:t>
            </w:r>
            <w:r w:rsidR="007763A5" w:rsidRPr="006A1534">
              <w:rPr>
                <w:rStyle w:val="Hyperlink"/>
                <w:noProof/>
              </w:rPr>
              <w:t> </w:t>
            </w:r>
            <w:r w:rsidR="0097396C" w:rsidRPr="006A1534">
              <w:rPr>
                <w:rStyle w:val="Hyperlink"/>
                <w:noProof/>
              </w:rPr>
              <w:t xml:space="preserve"> Claim under Articles 3.1, 3.2, 3.4, and 3.5 of the Anti-Dumping Agreement</w:t>
            </w:r>
            <w:r w:rsidR="0097396C">
              <w:rPr>
                <w:noProof/>
                <w:webHidden/>
              </w:rPr>
              <w:tab/>
            </w:r>
            <w:r w:rsidR="0097396C">
              <w:rPr>
                <w:noProof/>
                <w:webHidden/>
              </w:rPr>
              <w:fldChar w:fldCharType="begin"/>
            </w:r>
            <w:r w:rsidR="0097396C">
              <w:rPr>
                <w:noProof/>
                <w:webHidden/>
              </w:rPr>
              <w:instrText xml:space="preserve"> PAGEREF _Toc122339721 \h </w:instrText>
            </w:r>
            <w:r w:rsidR="0097396C">
              <w:rPr>
                <w:noProof/>
                <w:webHidden/>
              </w:rPr>
            </w:r>
            <w:r w:rsidR="0097396C">
              <w:rPr>
                <w:noProof/>
                <w:webHidden/>
              </w:rPr>
              <w:fldChar w:fldCharType="separate"/>
            </w:r>
            <w:r w:rsidR="009A117C">
              <w:rPr>
                <w:noProof/>
                <w:webHidden/>
              </w:rPr>
              <w:t>30</w:t>
            </w:r>
            <w:r w:rsidR="0097396C">
              <w:rPr>
                <w:noProof/>
                <w:webHidden/>
              </w:rPr>
              <w:fldChar w:fldCharType="end"/>
            </w:r>
          </w:hyperlink>
        </w:p>
        <w:p w14:paraId="544A01BF" w14:textId="180CC3B4" w:rsidR="0097396C" w:rsidRDefault="00000000">
          <w:pPr>
            <w:pStyle w:val="TOC3"/>
            <w:rPr>
              <w:rFonts w:asciiTheme="minorHAnsi" w:eastAsiaTheme="minorEastAsia" w:hAnsiTheme="minorHAnsi" w:cstheme="minorBidi"/>
              <w:noProof/>
              <w:sz w:val="22"/>
              <w:szCs w:val="22"/>
            </w:rPr>
          </w:pPr>
          <w:hyperlink w:anchor="_Toc122339722" w:history="1">
            <w:r w:rsidR="0097396C" w:rsidRPr="006A1534">
              <w:rPr>
                <w:rStyle w:val="Hyperlink"/>
                <w:noProof/>
              </w:rPr>
              <w:t>4.5.1</w:t>
            </w:r>
            <w:r w:rsidR="007763A5" w:rsidRPr="006A1534">
              <w:rPr>
                <w:rStyle w:val="Hyperlink"/>
                <w:noProof/>
              </w:rPr>
              <w:t> </w:t>
            </w:r>
            <w:r w:rsidR="0097396C" w:rsidRPr="006A1534">
              <w:rPr>
                <w:rStyle w:val="Hyperlink"/>
                <w:noProof/>
              </w:rPr>
              <w:t xml:space="preserve"> Introduction and Panel findings</w:t>
            </w:r>
            <w:r w:rsidR="0097396C">
              <w:rPr>
                <w:noProof/>
                <w:webHidden/>
              </w:rPr>
              <w:tab/>
            </w:r>
            <w:r w:rsidR="0097396C">
              <w:rPr>
                <w:noProof/>
                <w:webHidden/>
              </w:rPr>
              <w:fldChar w:fldCharType="begin"/>
            </w:r>
            <w:r w:rsidR="0097396C">
              <w:rPr>
                <w:noProof/>
                <w:webHidden/>
              </w:rPr>
              <w:instrText xml:space="preserve"> PAGEREF _Toc122339722 \h </w:instrText>
            </w:r>
            <w:r w:rsidR="0097396C">
              <w:rPr>
                <w:noProof/>
                <w:webHidden/>
              </w:rPr>
            </w:r>
            <w:r w:rsidR="0097396C">
              <w:rPr>
                <w:noProof/>
                <w:webHidden/>
              </w:rPr>
              <w:fldChar w:fldCharType="separate"/>
            </w:r>
            <w:r w:rsidR="009A117C">
              <w:rPr>
                <w:noProof/>
                <w:webHidden/>
              </w:rPr>
              <w:t>30</w:t>
            </w:r>
            <w:r w:rsidR="0097396C">
              <w:rPr>
                <w:noProof/>
                <w:webHidden/>
              </w:rPr>
              <w:fldChar w:fldCharType="end"/>
            </w:r>
          </w:hyperlink>
        </w:p>
        <w:p w14:paraId="3631CDC3" w14:textId="2824216D" w:rsidR="0097396C" w:rsidRDefault="00000000">
          <w:pPr>
            <w:pStyle w:val="TOC3"/>
            <w:rPr>
              <w:rFonts w:asciiTheme="minorHAnsi" w:eastAsiaTheme="minorEastAsia" w:hAnsiTheme="minorHAnsi" w:cstheme="minorBidi"/>
              <w:noProof/>
              <w:sz w:val="22"/>
              <w:szCs w:val="22"/>
            </w:rPr>
          </w:pPr>
          <w:hyperlink w:anchor="_Toc122339723" w:history="1">
            <w:r w:rsidR="0097396C" w:rsidRPr="006A1534">
              <w:rPr>
                <w:rStyle w:val="Hyperlink"/>
                <w:noProof/>
              </w:rPr>
              <w:t>4.5.2</w:t>
            </w:r>
            <w:r w:rsidR="007763A5" w:rsidRPr="006A1534">
              <w:rPr>
                <w:rStyle w:val="Hyperlink"/>
                <w:noProof/>
              </w:rPr>
              <w:t> </w:t>
            </w:r>
            <w:r w:rsidR="0097396C" w:rsidRPr="006A1534">
              <w:rPr>
                <w:rStyle w:val="Hyperlink"/>
                <w:noProof/>
              </w:rPr>
              <w:t xml:space="preserve"> Whether it is permissible to interpret the term "dumped imports" in Articles 3.1, 3.2, </w:t>
            </w:r>
            <w:r w:rsidR="0097396C">
              <w:rPr>
                <w:rStyle w:val="Hyperlink"/>
                <w:noProof/>
              </w:rPr>
              <w:br/>
            </w:r>
            <w:r w:rsidR="0097396C" w:rsidRPr="006A1534">
              <w:rPr>
                <w:rStyle w:val="Hyperlink"/>
                <w:noProof/>
              </w:rPr>
              <w:t xml:space="preserve">3.4, and 3.5 of the Anti-Dumping Agreement to include imports of exporters determined </w:t>
            </w:r>
            <w:r w:rsidR="0097396C">
              <w:rPr>
                <w:rStyle w:val="Hyperlink"/>
                <w:noProof/>
              </w:rPr>
              <w:br/>
            </w:r>
            <w:r w:rsidR="0097396C" w:rsidRPr="006A1534">
              <w:rPr>
                <w:rStyle w:val="Hyperlink"/>
                <w:noProof/>
              </w:rPr>
              <w:t xml:space="preserve">to have final </w:t>
            </w:r>
            <w:r w:rsidR="0097396C" w:rsidRPr="006A1534">
              <w:rPr>
                <w:rStyle w:val="Hyperlink"/>
                <w:i/>
                <w:iCs/>
                <w:noProof/>
              </w:rPr>
              <w:t>de minimis</w:t>
            </w:r>
            <w:r w:rsidR="0097396C" w:rsidRPr="006A1534">
              <w:rPr>
                <w:rStyle w:val="Hyperlink"/>
                <w:noProof/>
              </w:rPr>
              <w:t xml:space="preserve"> margins of dumping</w:t>
            </w:r>
            <w:r w:rsidR="0097396C">
              <w:rPr>
                <w:noProof/>
                <w:webHidden/>
              </w:rPr>
              <w:tab/>
            </w:r>
            <w:r w:rsidR="0097396C">
              <w:rPr>
                <w:noProof/>
                <w:webHidden/>
              </w:rPr>
              <w:fldChar w:fldCharType="begin"/>
            </w:r>
            <w:r w:rsidR="0097396C">
              <w:rPr>
                <w:noProof/>
                <w:webHidden/>
              </w:rPr>
              <w:instrText xml:space="preserve"> PAGEREF _Toc122339723 \h </w:instrText>
            </w:r>
            <w:r w:rsidR="0097396C">
              <w:rPr>
                <w:noProof/>
                <w:webHidden/>
              </w:rPr>
            </w:r>
            <w:r w:rsidR="0097396C">
              <w:rPr>
                <w:noProof/>
                <w:webHidden/>
              </w:rPr>
              <w:fldChar w:fldCharType="separate"/>
            </w:r>
            <w:r w:rsidR="009A117C">
              <w:rPr>
                <w:noProof/>
                <w:webHidden/>
              </w:rPr>
              <w:t>32</w:t>
            </w:r>
            <w:r w:rsidR="0097396C">
              <w:rPr>
                <w:noProof/>
                <w:webHidden/>
              </w:rPr>
              <w:fldChar w:fldCharType="end"/>
            </w:r>
          </w:hyperlink>
        </w:p>
        <w:p w14:paraId="2FAF6F5B" w14:textId="14481198" w:rsidR="0097396C" w:rsidRDefault="00000000">
          <w:pPr>
            <w:pStyle w:val="TOC3"/>
            <w:rPr>
              <w:rFonts w:asciiTheme="minorHAnsi" w:eastAsiaTheme="minorEastAsia" w:hAnsiTheme="minorHAnsi" w:cstheme="minorBidi"/>
              <w:noProof/>
              <w:sz w:val="22"/>
              <w:szCs w:val="22"/>
            </w:rPr>
          </w:pPr>
          <w:hyperlink w:anchor="_Toc122339724" w:history="1">
            <w:r w:rsidR="0097396C" w:rsidRPr="006A1534">
              <w:rPr>
                <w:rStyle w:val="Hyperlink"/>
                <w:noProof/>
              </w:rPr>
              <w:t>4.5.3</w:t>
            </w:r>
            <w:r w:rsidR="007763A5" w:rsidRPr="006A1534">
              <w:rPr>
                <w:rStyle w:val="Hyperlink"/>
                <w:noProof/>
              </w:rPr>
              <w:t> </w:t>
            </w:r>
            <w:r w:rsidR="0097396C" w:rsidRPr="006A1534">
              <w:rPr>
                <w:rStyle w:val="Hyperlink"/>
                <w:noProof/>
              </w:rPr>
              <w:t xml:space="preserve"> Conclusion</w:t>
            </w:r>
            <w:r w:rsidR="0097396C">
              <w:rPr>
                <w:noProof/>
                <w:webHidden/>
              </w:rPr>
              <w:tab/>
            </w:r>
            <w:r w:rsidR="0097396C">
              <w:rPr>
                <w:noProof/>
                <w:webHidden/>
              </w:rPr>
              <w:fldChar w:fldCharType="begin"/>
            </w:r>
            <w:r w:rsidR="0097396C">
              <w:rPr>
                <w:noProof/>
                <w:webHidden/>
              </w:rPr>
              <w:instrText xml:space="preserve"> PAGEREF _Toc122339724 \h </w:instrText>
            </w:r>
            <w:r w:rsidR="0097396C">
              <w:rPr>
                <w:noProof/>
                <w:webHidden/>
              </w:rPr>
            </w:r>
            <w:r w:rsidR="0097396C">
              <w:rPr>
                <w:noProof/>
                <w:webHidden/>
              </w:rPr>
              <w:fldChar w:fldCharType="separate"/>
            </w:r>
            <w:r w:rsidR="009A117C">
              <w:rPr>
                <w:noProof/>
                <w:webHidden/>
              </w:rPr>
              <w:t>38</w:t>
            </w:r>
            <w:r w:rsidR="0097396C">
              <w:rPr>
                <w:noProof/>
                <w:webHidden/>
              </w:rPr>
              <w:fldChar w:fldCharType="end"/>
            </w:r>
          </w:hyperlink>
        </w:p>
        <w:p w14:paraId="784FD4C4" w14:textId="0C5D1CED" w:rsidR="0097396C" w:rsidRDefault="00000000">
          <w:pPr>
            <w:pStyle w:val="TOC2"/>
            <w:rPr>
              <w:rFonts w:asciiTheme="minorHAnsi" w:eastAsiaTheme="minorEastAsia" w:hAnsiTheme="minorHAnsi" w:cstheme="minorBidi"/>
              <w:noProof/>
              <w:sz w:val="22"/>
              <w:szCs w:val="22"/>
            </w:rPr>
          </w:pPr>
          <w:hyperlink w:anchor="_Toc122339725" w:history="1">
            <w:r w:rsidR="0097396C" w:rsidRPr="006A1534">
              <w:rPr>
                <w:rStyle w:val="Hyperlink"/>
                <w:noProof/>
              </w:rPr>
              <w:t>4.6</w:t>
            </w:r>
            <w:r w:rsidR="007763A5" w:rsidRPr="006A1534">
              <w:rPr>
                <w:rStyle w:val="Hyperlink"/>
                <w:noProof/>
              </w:rPr>
              <w:t> </w:t>
            </w:r>
            <w:r w:rsidR="0097396C" w:rsidRPr="006A1534">
              <w:rPr>
                <w:rStyle w:val="Hyperlink"/>
                <w:noProof/>
              </w:rPr>
              <w:t xml:space="preserve"> Award findings</w:t>
            </w:r>
            <w:r w:rsidR="0097396C">
              <w:rPr>
                <w:noProof/>
                <w:webHidden/>
              </w:rPr>
              <w:tab/>
            </w:r>
            <w:r w:rsidR="0097396C">
              <w:rPr>
                <w:noProof/>
                <w:webHidden/>
              </w:rPr>
              <w:fldChar w:fldCharType="begin"/>
            </w:r>
            <w:r w:rsidR="0097396C">
              <w:rPr>
                <w:noProof/>
                <w:webHidden/>
              </w:rPr>
              <w:instrText xml:space="preserve"> PAGEREF _Toc122339725 \h </w:instrText>
            </w:r>
            <w:r w:rsidR="0097396C">
              <w:rPr>
                <w:noProof/>
                <w:webHidden/>
              </w:rPr>
            </w:r>
            <w:r w:rsidR="0097396C">
              <w:rPr>
                <w:noProof/>
                <w:webHidden/>
              </w:rPr>
              <w:fldChar w:fldCharType="separate"/>
            </w:r>
            <w:r w:rsidR="009A117C">
              <w:rPr>
                <w:noProof/>
                <w:webHidden/>
              </w:rPr>
              <w:t>38</w:t>
            </w:r>
            <w:r w:rsidR="0097396C">
              <w:rPr>
                <w:noProof/>
                <w:webHidden/>
              </w:rPr>
              <w:fldChar w:fldCharType="end"/>
            </w:r>
          </w:hyperlink>
        </w:p>
        <w:p w14:paraId="56FA201E" w14:textId="29A253D2" w:rsidR="00B43BD5" w:rsidRPr="00272930" w:rsidRDefault="00B43BD5" w:rsidP="00B43BD5">
          <w:pPr>
            <w:tabs>
              <w:tab w:val="right" w:leader="dot" w:pos="9027"/>
            </w:tabs>
          </w:pPr>
          <w:r w:rsidRPr="00272930">
            <w:rPr>
              <w:b/>
              <w:bCs/>
              <w:noProof/>
            </w:rPr>
            <w:fldChar w:fldCharType="end"/>
          </w:r>
        </w:p>
      </w:sdtContent>
    </w:sdt>
    <w:p w14:paraId="30D58CC8" w14:textId="77777777" w:rsidR="009264D9" w:rsidRPr="00272930" w:rsidRDefault="009264D9" w:rsidP="00B709B7">
      <w:pPr>
        <w:jc w:val="left"/>
      </w:pPr>
    </w:p>
    <w:p w14:paraId="22D814AD" w14:textId="26449A06" w:rsidR="009264D9" w:rsidRPr="00272930" w:rsidRDefault="009264D9" w:rsidP="00B709B7">
      <w:pPr>
        <w:jc w:val="left"/>
      </w:pPr>
      <w:r w:rsidRPr="00272930">
        <w:br w:type="page"/>
      </w:r>
    </w:p>
    <w:p w14:paraId="24A58A21" w14:textId="77777777" w:rsidR="009264D9" w:rsidRPr="00272930" w:rsidRDefault="009264D9" w:rsidP="00B709B7">
      <w:pPr>
        <w:pStyle w:val="Title"/>
        <w:spacing w:before="0"/>
        <w:contextualSpacing w:val="0"/>
      </w:pPr>
      <w:r w:rsidRPr="00272930">
        <w:lastRenderedPageBreak/>
        <w:t>LIST OF ANNEXES</w:t>
      </w:r>
    </w:p>
    <w:p w14:paraId="18043A18" w14:textId="77777777" w:rsidR="009264D9" w:rsidRPr="00272930" w:rsidRDefault="009264D9" w:rsidP="00B709B7">
      <w:pPr>
        <w:pStyle w:val="Title"/>
        <w:spacing w:before="0"/>
      </w:pPr>
      <w:bookmarkStart w:id="0" w:name="bmkAnnexATable"/>
      <w:r w:rsidRPr="00272930">
        <w:t>ANNEX A</w:t>
      </w:r>
    </w:p>
    <w:p w14:paraId="753572DF" w14:textId="77777777" w:rsidR="009264D9" w:rsidRPr="00272930" w:rsidRDefault="009264D9" w:rsidP="00B709B7">
      <w:pPr>
        <w:pStyle w:val="Title2"/>
      </w:pPr>
      <w:r w:rsidRPr="00272930">
        <w:t>Working Procedures for the ARbitration</w:t>
      </w:r>
    </w:p>
    <w:tbl>
      <w:tblPr>
        <w:tblStyle w:val="WTOTable1"/>
        <w:tblW w:w="9067" w:type="dxa"/>
        <w:tblLayout w:type="fixed"/>
        <w:tblCellMar>
          <w:top w:w="28" w:type="dxa"/>
          <w:bottom w:w="28" w:type="dxa"/>
        </w:tblCellMar>
        <w:tblLook w:val="04A0" w:firstRow="1" w:lastRow="0" w:firstColumn="1" w:lastColumn="0" w:noHBand="0" w:noVBand="1"/>
      </w:tblPr>
      <w:tblGrid>
        <w:gridCol w:w="1372"/>
        <w:gridCol w:w="7695"/>
      </w:tblGrid>
      <w:tr w:rsidR="009264D9" w:rsidRPr="00272930" w14:paraId="5B515A48" w14:textId="77777777" w:rsidTr="009264D9">
        <w:trPr>
          <w:cnfStyle w:val="100000000000" w:firstRow="1" w:lastRow="0" w:firstColumn="0" w:lastColumn="0" w:oddVBand="0" w:evenVBand="0" w:oddHBand="0" w:evenHBand="0" w:firstRowFirstColumn="0" w:firstRowLastColumn="0" w:lastRowFirstColumn="0" w:lastRowLastColumn="0"/>
        </w:trPr>
        <w:tc>
          <w:tcPr>
            <w:tcW w:w="9067" w:type="dxa"/>
            <w:gridSpan w:val="2"/>
            <w:vAlign w:val="center"/>
            <w:hideMark/>
          </w:tcPr>
          <w:p w14:paraId="1E84D225" w14:textId="77777777" w:rsidR="009264D9" w:rsidRPr="00272930" w:rsidRDefault="009264D9" w:rsidP="00B709B7">
            <w:pPr>
              <w:jc w:val="center"/>
              <w:rPr>
                <w:b w:val="0"/>
                <w:sz w:val="16"/>
                <w:szCs w:val="16"/>
              </w:rPr>
            </w:pPr>
            <w:r w:rsidRPr="00272930">
              <w:rPr>
                <w:sz w:val="16"/>
                <w:szCs w:val="16"/>
              </w:rPr>
              <w:t>Contents</w:t>
            </w:r>
          </w:p>
        </w:tc>
      </w:tr>
      <w:tr w:rsidR="009264D9" w:rsidRPr="00272930" w14:paraId="08154A1A" w14:textId="77777777" w:rsidTr="009264D9">
        <w:tc>
          <w:tcPr>
            <w:tcW w:w="1372" w:type="dxa"/>
            <w:hideMark/>
          </w:tcPr>
          <w:p w14:paraId="5B015924" w14:textId="77777777" w:rsidR="009264D9" w:rsidRPr="00272930" w:rsidRDefault="009264D9" w:rsidP="00B709B7">
            <w:pPr>
              <w:jc w:val="left"/>
              <w:rPr>
                <w:szCs w:val="18"/>
              </w:rPr>
            </w:pPr>
            <w:r w:rsidRPr="00272930">
              <w:rPr>
                <w:sz w:val="16"/>
                <w:szCs w:val="16"/>
              </w:rPr>
              <w:t>Annex A-1</w:t>
            </w:r>
          </w:p>
        </w:tc>
        <w:tc>
          <w:tcPr>
            <w:tcW w:w="7695" w:type="dxa"/>
            <w:vAlign w:val="center"/>
            <w:hideMark/>
          </w:tcPr>
          <w:p w14:paraId="5DC5A3E0" w14:textId="77777777" w:rsidR="009264D9" w:rsidRPr="00272930" w:rsidRDefault="009264D9" w:rsidP="00B709B7">
            <w:pPr>
              <w:jc w:val="left"/>
              <w:rPr>
                <w:szCs w:val="18"/>
              </w:rPr>
            </w:pPr>
            <w:r w:rsidRPr="00272930">
              <w:rPr>
                <w:color w:val="000000" w:themeColor="text1"/>
                <w:sz w:val="16"/>
                <w:szCs w:val="16"/>
              </w:rPr>
              <w:t>Agreed Procedures for Arbitration under Article 25 of the DSU, notified by the parties to the Dispute Settlement Body on 20 April 2021 (WT/DS591/3/Rev.1)</w:t>
            </w:r>
          </w:p>
        </w:tc>
      </w:tr>
      <w:tr w:rsidR="009264D9" w:rsidRPr="00272930" w14:paraId="1250D647" w14:textId="77777777" w:rsidTr="009264D9">
        <w:trPr>
          <w:cnfStyle w:val="000000010000" w:firstRow="0" w:lastRow="0" w:firstColumn="0" w:lastColumn="0" w:oddVBand="0" w:evenVBand="0" w:oddHBand="0" w:evenHBand="1" w:firstRowFirstColumn="0" w:firstRowLastColumn="0" w:lastRowFirstColumn="0" w:lastRowLastColumn="0"/>
        </w:trPr>
        <w:tc>
          <w:tcPr>
            <w:tcW w:w="1372" w:type="dxa"/>
          </w:tcPr>
          <w:p w14:paraId="33C87262" w14:textId="77777777" w:rsidR="009264D9" w:rsidRPr="00272930" w:rsidRDefault="009264D9" w:rsidP="00B709B7">
            <w:pPr>
              <w:jc w:val="left"/>
              <w:rPr>
                <w:szCs w:val="18"/>
              </w:rPr>
            </w:pPr>
            <w:r w:rsidRPr="00272930">
              <w:rPr>
                <w:sz w:val="16"/>
                <w:szCs w:val="16"/>
              </w:rPr>
              <w:t>Annex A-2</w:t>
            </w:r>
          </w:p>
        </w:tc>
        <w:tc>
          <w:tcPr>
            <w:tcW w:w="7695" w:type="dxa"/>
            <w:vAlign w:val="center"/>
          </w:tcPr>
          <w:p w14:paraId="2BD8E725" w14:textId="77777777" w:rsidR="009264D9" w:rsidRPr="00272930" w:rsidRDefault="009264D9" w:rsidP="00B709B7">
            <w:pPr>
              <w:jc w:val="left"/>
              <w:rPr>
                <w:szCs w:val="18"/>
              </w:rPr>
            </w:pPr>
            <w:r w:rsidRPr="00272930">
              <w:rPr>
                <w:bCs/>
                <w:color w:val="000000" w:themeColor="text1"/>
                <w:sz w:val="16"/>
                <w:szCs w:val="16"/>
              </w:rPr>
              <w:t>Additional Procedures for Arbitration under Article 25 of the DSU, adopted by the Arbitrators on 19 October 2022</w:t>
            </w:r>
          </w:p>
        </w:tc>
      </w:tr>
      <w:tr w:rsidR="009264D9" w:rsidRPr="00272930" w14:paraId="7E3C8D30" w14:textId="77777777" w:rsidTr="009264D9">
        <w:tc>
          <w:tcPr>
            <w:tcW w:w="1372" w:type="dxa"/>
          </w:tcPr>
          <w:p w14:paraId="423926BA" w14:textId="77777777" w:rsidR="009264D9" w:rsidRPr="00272930" w:rsidRDefault="009264D9" w:rsidP="00B709B7">
            <w:pPr>
              <w:jc w:val="left"/>
              <w:rPr>
                <w:sz w:val="16"/>
                <w:szCs w:val="16"/>
              </w:rPr>
            </w:pPr>
            <w:r w:rsidRPr="00272930">
              <w:rPr>
                <w:sz w:val="16"/>
                <w:szCs w:val="16"/>
              </w:rPr>
              <w:t>Annex A-3</w:t>
            </w:r>
          </w:p>
        </w:tc>
        <w:tc>
          <w:tcPr>
            <w:tcW w:w="7695" w:type="dxa"/>
            <w:vAlign w:val="center"/>
          </w:tcPr>
          <w:p w14:paraId="258F8B9B" w14:textId="7313157B" w:rsidR="009264D9" w:rsidRPr="00272930" w:rsidRDefault="009264D9" w:rsidP="00B709B7">
            <w:pPr>
              <w:jc w:val="left"/>
              <w:rPr>
                <w:bCs/>
                <w:color w:val="000000" w:themeColor="text1"/>
                <w:sz w:val="16"/>
                <w:szCs w:val="16"/>
              </w:rPr>
            </w:pPr>
            <w:r w:rsidRPr="00272930">
              <w:rPr>
                <w:bCs/>
                <w:color w:val="000000" w:themeColor="text1"/>
                <w:sz w:val="16"/>
                <w:szCs w:val="16"/>
              </w:rPr>
              <w:t>Additional Procedures for BCI protection and partial public viewing of the hearing, adopted by the Arbitrators on 1</w:t>
            </w:r>
            <w:r w:rsidR="000F0D20" w:rsidRPr="00272930">
              <w:rPr>
                <w:bCs/>
                <w:color w:val="000000" w:themeColor="text1"/>
                <w:sz w:val="16"/>
                <w:szCs w:val="16"/>
              </w:rPr>
              <w:t> </w:t>
            </w:r>
            <w:r w:rsidRPr="00272930">
              <w:rPr>
                <w:bCs/>
                <w:color w:val="000000" w:themeColor="text1"/>
                <w:sz w:val="16"/>
                <w:szCs w:val="16"/>
              </w:rPr>
              <w:t>November</w:t>
            </w:r>
            <w:r w:rsidR="000F0D20" w:rsidRPr="00272930">
              <w:rPr>
                <w:bCs/>
                <w:color w:val="000000" w:themeColor="text1"/>
                <w:sz w:val="16"/>
                <w:szCs w:val="16"/>
              </w:rPr>
              <w:t> </w:t>
            </w:r>
            <w:r w:rsidRPr="00272930">
              <w:rPr>
                <w:bCs/>
                <w:color w:val="000000" w:themeColor="text1"/>
                <w:sz w:val="16"/>
                <w:szCs w:val="16"/>
              </w:rPr>
              <w:t>2022</w:t>
            </w:r>
          </w:p>
        </w:tc>
      </w:tr>
    </w:tbl>
    <w:p w14:paraId="74017401" w14:textId="77777777" w:rsidR="009264D9" w:rsidRPr="00272930" w:rsidRDefault="009264D9" w:rsidP="00B709B7">
      <w:pPr>
        <w:pStyle w:val="Title"/>
      </w:pPr>
      <w:bookmarkStart w:id="1" w:name="bmkAnnexBTable"/>
      <w:bookmarkEnd w:id="0"/>
      <w:r w:rsidRPr="00272930">
        <w:t>ANNEX B</w:t>
      </w:r>
    </w:p>
    <w:p w14:paraId="76CC3715" w14:textId="273202B9" w:rsidR="009264D9" w:rsidRPr="00272930" w:rsidRDefault="009264D9" w:rsidP="00B709B7">
      <w:pPr>
        <w:pStyle w:val="Title2"/>
      </w:pPr>
      <w:r w:rsidRPr="00272930">
        <w:t>NOTI</w:t>
      </w:r>
      <w:r w:rsidR="00763903">
        <w:t>fication</w:t>
      </w:r>
      <w:r w:rsidRPr="00272930">
        <w:t xml:space="preserve"> OF </w:t>
      </w:r>
      <w:r w:rsidR="00763903">
        <w:t>an appeal</w:t>
      </w:r>
      <w:r w:rsidRPr="00272930">
        <w:t xml:space="preserve"> </w:t>
      </w:r>
      <w:r w:rsidR="00646214">
        <w:t>by colombia</w:t>
      </w:r>
    </w:p>
    <w:tbl>
      <w:tblPr>
        <w:tblStyle w:val="WTOTable1"/>
        <w:tblW w:w="9066" w:type="dxa"/>
        <w:tblLayout w:type="fixed"/>
        <w:tblCellMar>
          <w:top w:w="28" w:type="dxa"/>
          <w:bottom w:w="28" w:type="dxa"/>
        </w:tblCellMar>
        <w:tblLook w:val="04A0" w:firstRow="1" w:lastRow="0" w:firstColumn="1" w:lastColumn="0" w:noHBand="0" w:noVBand="1"/>
      </w:tblPr>
      <w:tblGrid>
        <w:gridCol w:w="1372"/>
        <w:gridCol w:w="7694"/>
      </w:tblGrid>
      <w:tr w:rsidR="009264D9" w:rsidRPr="00272930" w14:paraId="18B6CD7A" w14:textId="77777777" w:rsidTr="009264D9">
        <w:trPr>
          <w:cnfStyle w:val="100000000000" w:firstRow="1" w:lastRow="0" w:firstColumn="0" w:lastColumn="0" w:oddVBand="0" w:evenVBand="0" w:oddHBand="0" w:evenHBand="0" w:firstRowFirstColumn="0" w:firstRowLastColumn="0" w:lastRowFirstColumn="0" w:lastRowLastColumn="0"/>
        </w:trPr>
        <w:tc>
          <w:tcPr>
            <w:tcW w:w="9066" w:type="dxa"/>
            <w:gridSpan w:val="2"/>
            <w:vAlign w:val="center"/>
            <w:hideMark/>
          </w:tcPr>
          <w:p w14:paraId="136A100D" w14:textId="77777777" w:rsidR="009264D9" w:rsidRPr="00272930" w:rsidRDefault="009264D9" w:rsidP="00B709B7">
            <w:pPr>
              <w:jc w:val="center"/>
              <w:rPr>
                <w:b w:val="0"/>
                <w:sz w:val="16"/>
                <w:szCs w:val="16"/>
              </w:rPr>
            </w:pPr>
            <w:r w:rsidRPr="00272930">
              <w:rPr>
                <w:sz w:val="16"/>
                <w:szCs w:val="16"/>
              </w:rPr>
              <w:t>Contents</w:t>
            </w:r>
          </w:p>
        </w:tc>
      </w:tr>
      <w:tr w:rsidR="009264D9" w:rsidRPr="00272930" w14:paraId="2CC46D5B" w14:textId="77777777" w:rsidTr="009264D9">
        <w:tc>
          <w:tcPr>
            <w:tcW w:w="1372" w:type="dxa"/>
            <w:hideMark/>
          </w:tcPr>
          <w:p w14:paraId="37F5843B" w14:textId="77777777" w:rsidR="009264D9" w:rsidRPr="00272930" w:rsidRDefault="009264D9" w:rsidP="00B709B7">
            <w:pPr>
              <w:rPr>
                <w:sz w:val="16"/>
                <w:szCs w:val="16"/>
              </w:rPr>
            </w:pPr>
            <w:r w:rsidRPr="00272930">
              <w:rPr>
                <w:sz w:val="16"/>
                <w:szCs w:val="16"/>
              </w:rPr>
              <w:t>Annex B-1</w:t>
            </w:r>
          </w:p>
        </w:tc>
        <w:tc>
          <w:tcPr>
            <w:tcW w:w="7694" w:type="dxa"/>
            <w:vAlign w:val="center"/>
            <w:hideMark/>
          </w:tcPr>
          <w:p w14:paraId="60DEAD23" w14:textId="4711E737" w:rsidR="009264D9" w:rsidRPr="00272930" w:rsidRDefault="00763903" w:rsidP="00B709B7">
            <w:pPr>
              <w:rPr>
                <w:sz w:val="16"/>
                <w:szCs w:val="16"/>
              </w:rPr>
            </w:pPr>
            <w:r>
              <w:rPr>
                <w:sz w:val="16"/>
                <w:szCs w:val="16"/>
              </w:rPr>
              <w:t>Notification</w:t>
            </w:r>
            <w:r w:rsidRPr="00272930">
              <w:rPr>
                <w:sz w:val="16"/>
                <w:szCs w:val="16"/>
              </w:rPr>
              <w:t xml:space="preserve"> </w:t>
            </w:r>
            <w:r w:rsidR="009264D9" w:rsidRPr="00272930">
              <w:rPr>
                <w:sz w:val="16"/>
                <w:szCs w:val="16"/>
              </w:rPr>
              <w:t xml:space="preserve">of </w:t>
            </w:r>
            <w:r>
              <w:rPr>
                <w:sz w:val="16"/>
                <w:szCs w:val="16"/>
              </w:rPr>
              <w:t>an A</w:t>
            </w:r>
            <w:r w:rsidR="009264D9" w:rsidRPr="00272930">
              <w:rPr>
                <w:sz w:val="16"/>
                <w:szCs w:val="16"/>
              </w:rPr>
              <w:t xml:space="preserve">ppeal </w:t>
            </w:r>
            <w:r w:rsidR="00646214">
              <w:rPr>
                <w:sz w:val="16"/>
                <w:szCs w:val="16"/>
              </w:rPr>
              <w:t xml:space="preserve">by Colombia </w:t>
            </w:r>
            <w:r w:rsidR="009264D9" w:rsidRPr="00272930">
              <w:rPr>
                <w:sz w:val="16"/>
                <w:szCs w:val="16"/>
              </w:rPr>
              <w:t>under Article 25 of the DSU</w:t>
            </w:r>
            <w:r w:rsidR="00646214">
              <w:rPr>
                <w:sz w:val="16"/>
                <w:szCs w:val="16"/>
              </w:rPr>
              <w:t>,</w:t>
            </w:r>
            <w:r w:rsidR="00646214" w:rsidRPr="00272930">
              <w:rPr>
                <w:sz w:val="16"/>
                <w:szCs w:val="16"/>
              </w:rPr>
              <w:t xml:space="preserve"> paragraph 5 of the Agreed Procedures, and Rule 20 of the Working Procedures for Appellate Review</w:t>
            </w:r>
          </w:p>
        </w:tc>
      </w:tr>
    </w:tbl>
    <w:p w14:paraId="06A40B43" w14:textId="77777777" w:rsidR="009264D9" w:rsidRPr="00272930" w:rsidRDefault="009264D9" w:rsidP="00B709B7">
      <w:pPr>
        <w:pStyle w:val="Title"/>
      </w:pPr>
      <w:bookmarkStart w:id="2" w:name="bmkAnnexCTable"/>
      <w:bookmarkEnd w:id="1"/>
      <w:r w:rsidRPr="00272930">
        <w:t>ANNEX C</w:t>
      </w:r>
    </w:p>
    <w:p w14:paraId="5E50BC97" w14:textId="77777777" w:rsidR="009264D9" w:rsidRPr="00272930" w:rsidRDefault="009264D9" w:rsidP="00B709B7">
      <w:pPr>
        <w:pStyle w:val="Title2"/>
      </w:pPr>
      <w:r w:rsidRPr="00272930">
        <w:t>Arguments of the parties</w:t>
      </w:r>
    </w:p>
    <w:tbl>
      <w:tblPr>
        <w:tblStyle w:val="WTOTable1"/>
        <w:tblW w:w="9066" w:type="dxa"/>
        <w:tblLayout w:type="fixed"/>
        <w:tblCellMar>
          <w:top w:w="28" w:type="dxa"/>
          <w:bottom w:w="28" w:type="dxa"/>
        </w:tblCellMar>
        <w:tblLook w:val="04A0" w:firstRow="1" w:lastRow="0" w:firstColumn="1" w:lastColumn="0" w:noHBand="0" w:noVBand="1"/>
      </w:tblPr>
      <w:tblGrid>
        <w:gridCol w:w="1372"/>
        <w:gridCol w:w="7694"/>
      </w:tblGrid>
      <w:tr w:rsidR="009264D9" w:rsidRPr="00272930" w14:paraId="23A24313" w14:textId="77777777" w:rsidTr="009264D9">
        <w:trPr>
          <w:cnfStyle w:val="100000000000" w:firstRow="1" w:lastRow="0" w:firstColumn="0" w:lastColumn="0" w:oddVBand="0" w:evenVBand="0" w:oddHBand="0" w:evenHBand="0" w:firstRowFirstColumn="0" w:firstRowLastColumn="0" w:lastRowFirstColumn="0" w:lastRowLastColumn="0"/>
        </w:trPr>
        <w:tc>
          <w:tcPr>
            <w:tcW w:w="9066" w:type="dxa"/>
            <w:gridSpan w:val="2"/>
            <w:vAlign w:val="center"/>
            <w:hideMark/>
          </w:tcPr>
          <w:p w14:paraId="5A5FCFFC" w14:textId="77777777" w:rsidR="009264D9" w:rsidRPr="00272930" w:rsidRDefault="009264D9" w:rsidP="00B709B7">
            <w:pPr>
              <w:jc w:val="center"/>
              <w:rPr>
                <w:b w:val="0"/>
                <w:sz w:val="16"/>
                <w:szCs w:val="16"/>
              </w:rPr>
            </w:pPr>
            <w:r w:rsidRPr="00272930">
              <w:rPr>
                <w:sz w:val="16"/>
                <w:szCs w:val="16"/>
              </w:rPr>
              <w:t>Contents</w:t>
            </w:r>
          </w:p>
        </w:tc>
      </w:tr>
      <w:tr w:rsidR="009264D9" w:rsidRPr="00272930" w14:paraId="012522C9" w14:textId="77777777" w:rsidTr="009264D9">
        <w:tc>
          <w:tcPr>
            <w:tcW w:w="1372" w:type="dxa"/>
            <w:hideMark/>
          </w:tcPr>
          <w:p w14:paraId="22F40639" w14:textId="77777777" w:rsidR="009264D9" w:rsidRPr="00272930" w:rsidRDefault="009264D9" w:rsidP="00B709B7">
            <w:pPr>
              <w:rPr>
                <w:sz w:val="16"/>
                <w:szCs w:val="16"/>
              </w:rPr>
            </w:pPr>
            <w:r w:rsidRPr="00272930">
              <w:rPr>
                <w:sz w:val="16"/>
                <w:szCs w:val="16"/>
              </w:rPr>
              <w:t>Annex C-1</w:t>
            </w:r>
          </w:p>
        </w:tc>
        <w:tc>
          <w:tcPr>
            <w:tcW w:w="7694" w:type="dxa"/>
            <w:vAlign w:val="center"/>
            <w:hideMark/>
          </w:tcPr>
          <w:p w14:paraId="069F75C7" w14:textId="130BB063" w:rsidR="009264D9" w:rsidRPr="00272930" w:rsidRDefault="009264D9" w:rsidP="00B709B7">
            <w:pPr>
              <w:rPr>
                <w:sz w:val="16"/>
                <w:szCs w:val="16"/>
              </w:rPr>
            </w:pPr>
            <w:r w:rsidRPr="00272930">
              <w:rPr>
                <w:sz w:val="16"/>
                <w:szCs w:val="16"/>
              </w:rPr>
              <w:t>Executive summary of Colombia</w:t>
            </w:r>
            <w:r w:rsidR="00972276" w:rsidRPr="00272930">
              <w:rPr>
                <w:sz w:val="16"/>
                <w:szCs w:val="16"/>
              </w:rPr>
              <w:t>'</w:t>
            </w:r>
            <w:r w:rsidRPr="00272930">
              <w:rPr>
                <w:sz w:val="16"/>
                <w:szCs w:val="16"/>
              </w:rPr>
              <w:t xml:space="preserve">s written submission </w:t>
            </w:r>
          </w:p>
        </w:tc>
      </w:tr>
      <w:tr w:rsidR="009264D9" w:rsidRPr="00272930" w14:paraId="0DCF18C3" w14:textId="77777777" w:rsidTr="009264D9">
        <w:trPr>
          <w:cnfStyle w:val="000000010000" w:firstRow="0" w:lastRow="0" w:firstColumn="0" w:lastColumn="0" w:oddVBand="0" w:evenVBand="0" w:oddHBand="0" w:evenHBand="1" w:firstRowFirstColumn="0" w:firstRowLastColumn="0" w:lastRowFirstColumn="0" w:lastRowLastColumn="0"/>
        </w:trPr>
        <w:tc>
          <w:tcPr>
            <w:tcW w:w="1372" w:type="dxa"/>
          </w:tcPr>
          <w:p w14:paraId="08B42A7A" w14:textId="77777777" w:rsidR="009264D9" w:rsidRPr="00272930" w:rsidRDefault="009264D9" w:rsidP="00B709B7">
            <w:pPr>
              <w:rPr>
                <w:sz w:val="16"/>
                <w:szCs w:val="16"/>
              </w:rPr>
            </w:pPr>
            <w:r w:rsidRPr="00272930">
              <w:rPr>
                <w:sz w:val="16"/>
                <w:szCs w:val="16"/>
              </w:rPr>
              <w:t>Annex C-2</w:t>
            </w:r>
          </w:p>
        </w:tc>
        <w:tc>
          <w:tcPr>
            <w:tcW w:w="7694" w:type="dxa"/>
            <w:vAlign w:val="center"/>
          </w:tcPr>
          <w:p w14:paraId="02CE394E" w14:textId="1840F899" w:rsidR="009264D9" w:rsidRPr="00272930" w:rsidRDefault="009264D9" w:rsidP="00B709B7">
            <w:pPr>
              <w:rPr>
                <w:sz w:val="16"/>
                <w:szCs w:val="16"/>
              </w:rPr>
            </w:pPr>
            <w:r w:rsidRPr="00272930">
              <w:rPr>
                <w:sz w:val="16"/>
                <w:szCs w:val="16"/>
              </w:rPr>
              <w:t>Executive summary of the European Union</w:t>
            </w:r>
            <w:r w:rsidR="00972276" w:rsidRPr="00272930">
              <w:rPr>
                <w:sz w:val="16"/>
                <w:szCs w:val="16"/>
              </w:rPr>
              <w:t>'</w:t>
            </w:r>
            <w:r w:rsidRPr="00272930">
              <w:rPr>
                <w:sz w:val="16"/>
                <w:szCs w:val="16"/>
              </w:rPr>
              <w:t>s written submission</w:t>
            </w:r>
          </w:p>
        </w:tc>
      </w:tr>
    </w:tbl>
    <w:p w14:paraId="5CF59999" w14:textId="77777777" w:rsidR="009264D9" w:rsidRPr="00272930" w:rsidRDefault="009264D9" w:rsidP="00B709B7">
      <w:pPr>
        <w:pStyle w:val="Title"/>
      </w:pPr>
      <w:bookmarkStart w:id="3" w:name="bmkAnnexDTable"/>
      <w:bookmarkEnd w:id="2"/>
      <w:r w:rsidRPr="00272930">
        <w:t>ANNEX D</w:t>
      </w:r>
    </w:p>
    <w:p w14:paraId="55127B97" w14:textId="5FBE2F07" w:rsidR="009264D9" w:rsidRPr="00272930" w:rsidRDefault="009264D9" w:rsidP="00B709B7">
      <w:pPr>
        <w:pStyle w:val="Title2"/>
      </w:pPr>
      <w:r w:rsidRPr="00272930">
        <w:t xml:space="preserve">Arguments of the </w:t>
      </w:r>
      <w:r w:rsidR="000171D6" w:rsidRPr="00272930">
        <w:t xml:space="preserve">THIRD </w:t>
      </w:r>
      <w:r w:rsidR="00FF19B7">
        <w:t>PARTIES</w:t>
      </w:r>
    </w:p>
    <w:tbl>
      <w:tblPr>
        <w:tblStyle w:val="WTOTable1"/>
        <w:tblW w:w="9066" w:type="dxa"/>
        <w:tblLayout w:type="fixed"/>
        <w:tblCellMar>
          <w:top w:w="28" w:type="dxa"/>
          <w:bottom w:w="28" w:type="dxa"/>
        </w:tblCellMar>
        <w:tblLook w:val="04A0" w:firstRow="1" w:lastRow="0" w:firstColumn="1" w:lastColumn="0" w:noHBand="0" w:noVBand="1"/>
      </w:tblPr>
      <w:tblGrid>
        <w:gridCol w:w="1372"/>
        <w:gridCol w:w="7694"/>
      </w:tblGrid>
      <w:tr w:rsidR="009264D9" w:rsidRPr="00272930" w14:paraId="70C3BE0F" w14:textId="77777777" w:rsidTr="009264D9">
        <w:trPr>
          <w:cnfStyle w:val="100000000000" w:firstRow="1" w:lastRow="0" w:firstColumn="0" w:lastColumn="0" w:oddVBand="0" w:evenVBand="0" w:oddHBand="0" w:evenHBand="0" w:firstRowFirstColumn="0" w:firstRowLastColumn="0" w:lastRowFirstColumn="0" w:lastRowLastColumn="0"/>
        </w:trPr>
        <w:tc>
          <w:tcPr>
            <w:tcW w:w="9066" w:type="dxa"/>
            <w:gridSpan w:val="2"/>
            <w:hideMark/>
          </w:tcPr>
          <w:bookmarkEnd w:id="3"/>
          <w:p w14:paraId="411C371B" w14:textId="77777777" w:rsidR="009264D9" w:rsidRPr="00272930" w:rsidRDefault="009264D9" w:rsidP="00B709B7">
            <w:pPr>
              <w:jc w:val="center"/>
              <w:rPr>
                <w:b w:val="0"/>
                <w:sz w:val="16"/>
                <w:szCs w:val="16"/>
              </w:rPr>
            </w:pPr>
            <w:r w:rsidRPr="00272930">
              <w:rPr>
                <w:sz w:val="16"/>
                <w:szCs w:val="16"/>
              </w:rPr>
              <w:t>Contents</w:t>
            </w:r>
          </w:p>
        </w:tc>
      </w:tr>
      <w:tr w:rsidR="009264D9" w:rsidRPr="00272930" w14:paraId="68B68051" w14:textId="77777777" w:rsidTr="009264D9">
        <w:tc>
          <w:tcPr>
            <w:tcW w:w="1372" w:type="dxa"/>
            <w:hideMark/>
          </w:tcPr>
          <w:p w14:paraId="205F3060" w14:textId="77777777" w:rsidR="009264D9" w:rsidRPr="00272930" w:rsidRDefault="009264D9" w:rsidP="00B709B7">
            <w:pPr>
              <w:rPr>
                <w:sz w:val="16"/>
                <w:szCs w:val="16"/>
              </w:rPr>
            </w:pPr>
            <w:r w:rsidRPr="00272930">
              <w:rPr>
                <w:sz w:val="16"/>
                <w:szCs w:val="16"/>
              </w:rPr>
              <w:t>Annex D-1</w:t>
            </w:r>
          </w:p>
        </w:tc>
        <w:tc>
          <w:tcPr>
            <w:tcW w:w="7694" w:type="dxa"/>
          </w:tcPr>
          <w:p w14:paraId="7ECF8E24" w14:textId="353C26DF" w:rsidR="009264D9" w:rsidRPr="00272930" w:rsidRDefault="009264D9" w:rsidP="00B709B7">
            <w:pPr>
              <w:rPr>
                <w:sz w:val="16"/>
                <w:szCs w:val="16"/>
              </w:rPr>
            </w:pPr>
            <w:r w:rsidRPr="00272930">
              <w:rPr>
                <w:sz w:val="16"/>
                <w:szCs w:val="16"/>
              </w:rPr>
              <w:t>Executive summary of Brazil</w:t>
            </w:r>
            <w:r w:rsidR="00972276" w:rsidRPr="00272930">
              <w:rPr>
                <w:sz w:val="16"/>
                <w:szCs w:val="16"/>
              </w:rPr>
              <w:t>'</w:t>
            </w:r>
            <w:r w:rsidRPr="00272930">
              <w:rPr>
                <w:sz w:val="16"/>
                <w:szCs w:val="16"/>
              </w:rPr>
              <w:t>s third party</w:t>
            </w:r>
            <w:r w:rsidR="00972276" w:rsidRPr="00272930">
              <w:rPr>
                <w:sz w:val="16"/>
                <w:szCs w:val="16"/>
              </w:rPr>
              <w:t>'</w:t>
            </w:r>
            <w:r w:rsidRPr="00272930">
              <w:rPr>
                <w:sz w:val="16"/>
                <w:szCs w:val="16"/>
              </w:rPr>
              <w:t>s written submission</w:t>
            </w:r>
          </w:p>
        </w:tc>
      </w:tr>
      <w:tr w:rsidR="009264D9" w:rsidRPr="00272930" w14:paraId="40FE560A" w14:textId="77777777" w:rsidTr="009264D9">
        <w:trPr>
          <w:cnfStyle w:val="000000010000" w:firstRow="0" w:lastRow="0" w:firstColumn="0" w:lastColumn="0" w:oddVBand="0" w:evenVBand="0" w:oddHBand="0" w:evenHBand="1" w:firstRowFirstColumn="0" w:firstRowLastColumn="0" w:lastRowFirstColumn="0" w:lastRowLastColumn="0"/>
          <w:trHeight w:val="90"/>
        </w:trPr>
        <w:tc>
          <w:tcPr>
            <w:tcW w:w="1372" w:type="dxa"/>
          </w:tcPr>
          <w:p w14:paraId="3C658043" w14:textId="77777777" w:rsidR="009264D9" w:rsidRPr="00272930" w:rsidRDefault="009264D9" w:rsidP="00B709B7">
            <w:pPr>
              <w:rPr>
                <w:sz w:val="16"/>
                <w:szCs w:val="16"/>
              </w:rPr>
            </w:pPr>
            <w:r w:rsidRPr="00272930">
              <w:rPr>
                <w:sz w:val="16"/>
                <w:szCs w:val="16"/>
              </w:rPr>
              <w:t>Annex D-2</w:t>
            </w:r>
          </w:p>
        </w:tc>
        <w:tc>
          <w:tcPr>
            <w:tcW w:w="7694" w:type="dxa"/>
          </w:tcPr>
          <w:p w14:paraId="1CF66634" w14:textId="6451B1F3" w:rsidR="009264D9" w:rsidRPr="00272930" w:rsidRDefault="009264D9" w:rsidP="00B709B7">
            <w:pPr>
              <w:rPr>
                <w:sz w:val="16"/>
                <w:szCs w:val="16"/>
              </w:rPr>
            </w:pPr>
            <w:r w:rsidRPr="00272930">
              <w:rPr>
                <w:sz w:val="16"/>
                <w:szCs w:val="16"/>
              </w:rPr>
              <w:t>Executive summary of Japan</w:t>
            </w:r>
            <w:r w:rsidR="00972276" w:rsidRPr="00272930">
              <w:rPr>
                <w:sz w:val="16"/>
                <w:szCs w:val="16"/>
              </w:rPr>
              <w:t>'</w:t>
            </w:r>
            <w:r w:rsidRPr="00272930">
              <w:rPr>
                <w:sz w:val="16"/>
                <w:szCs w:val="16"/>
              </w:rPr>
              <w:t>s third party</w:t>
            </w:r>
            <w:r w:rsidR="00972276" w:rsidRPr="00272930">
              <w:rPr>
                <w:sz w:val="16"/>
                <w:szCs w:val="16"/>
              </w:rPr>
              <w:t>'</w:t>
            </w:r>
            <w:r w:rsidRPr="00272930">
              <w:rPr>
                <w:sz w:val="16"/>
                <w:szCs w:val="16"/>
              </w:rPr>
              <w:t>s written submission</w:t>
            </w:r>
          </w:p>
        </w:tc>
      </w:tr>
      <w:tr w:rsidR="009264D9" w:rsidRPr="00272930" w14:paraId="606434A6" w14:textId="77777777" w:rsidTr="009264D9">
        <w:tc>
          <w:tcPr>
            <w:tcW w:w="1372" w:type="dxa"/>
          </w:tcPr>
          <w:p w14:paraId="783795F8" w14:textId="77777777" w:rsidR="009264D9" w:rsidRPr="00272930" w:rsidRDefault="009264D9" w:rsidP="00B709B7">
            <w:pPr>
              <w:rPr>
                <w:sz w:val="16"/>
                <w:szCs w:val="16"/>
              </w:rPr>
            </w:pPr>
            <w:r w:rsidRPr="00272930">
              <w:rPr>
                <w:sz w:val="16"/>
                <w:szCs w:val="16"/>
              </w:rPr>
              <w:t>Annex D-3</w:t>
            </w:r>
          </w:p>
        </w:tc>
        <w:tc>
          <w:tcPr>
            <w:tcW w:w="7694" w:type="dxa"/>
          </w:tcPr>
          <w:p w14:paraId="07815138" w14:textId="347BA770" w:rsidR="009264D9" w:rsidRPr="00272930" w:rsidRDefault="009264D9" w:rsidP="00B709B7">
            <w:pPr>
              <w:rPr>
                <w:sz w:val="16"/>
                <w:szCs w:val="16"/>
              </w:rPr>
            </w:pPr>
            <w:r w:rsidRPr="00272930">
              <w:rPr>
                <w:sz w:val="16"/>
                <w:szCs w:val="16"/>
              </w:rPr>
              <w:t>Executive summary of the United States</w:t>
            </w:r>
            <w:r w:rsidR="00972276" w:rsidRPr="00272930">
              <w:rPr>
                <w:sz w:val="16"/>
                <w:szCs w:val="16"/>
              </w:rPr>
              <w:t>'</w:t>
            </w:r>
            <w:r w:rsidRPr="00272930">
              <w:rPr>
                <w:sz w:val="16"/>
                <w:szCs w:val="16"/>
              </w:rPr>
              <w:t xml:space="preserve"> third party</w:t>
            </w:r>
            <w:r w:rsidR="00972276" w:rsidRPr="00272930">
              <w:rPr>
                <w:sz w:val="16"/>
                <w:szCs w:val="16"/>
              </w:rPr>
              <w:t>'</w:t>
            </w:r>
            <w:r w:rsidRPr="00272930">
              <w:rPr>
                <w:sz w:val="16"/>
                <w:szCs w:val="16"/>
              </w:rPr>
              <w:t>s written submission</w:t>
            </w:r>
          </w:p>
        </w:tc>
      </w:tr>
    </w:tbl>
    <w:p w14:paraId="7F44A7E1" w14:textId="77777777" w:rsidR="009264D9" w:rsidRPr="00272930" w:rsidRDefault="009264D9" w:rsidP="00B709B7"/>
    <w:p w14:paraId="6A1A0CF6" w14:textId="0F219C7A" w:rsidR="009264D9" w:rsidRPr="00272930" w:rsidRDefault="009264D9" w:rsidP="00B709B7">
      <w:pPr>
        <w:jc w:val="left"/>
      </w:pPr>
      <w:r w:rsidRPr="00272930">
        <w:br w:type="page"/>
      </w:r>
    </w:p>
    <w:p w14:paraId="6B73EDDF" w14:textId="090EA209" w:rsidR="009264D9" w:rsidRPr="00272930" w:rsidRDefault="009264D9" w:rsidP="00B709B7">
      <w:pPr>
        <w:pStyle w:val="Title"/>
        <w:pageBreakBefore/>
        <w:contextualSpacing w:val="0"/>
        <w:rPr>
          <w:szCs w:val="18"/>
        </w:rPr>
      </w:pPr>
      <w:r w:rsidRPr="00272930">
        <w:rPr>
          <w:szCs w:val="18"/>
        </w:rPr>
        <w:lastRenderedPageBreak/>
        <w:t>ABBREVIATIONS USED IN THIS award</w:t>
      </w:r>
    </w:p>
    <w:tbl>
      <w:tblPr>
        <w:tblStyle w:val="WTOTable1"/>
        <w:tblW w:w="8987" w:type="dxa"/>
        <w:tblLook w:val="04A0" w:firstRow="1" w:lastRow="0" w:firstColumn="1" w:lastColumn="0" w:noHBand="0" w:noVBand="1"/>
      </w:tblPr>
      <w:tblGrid>
        <w:gridCol w:w="2698"/>
        <w:gridCol w:w="6289"/>
      </w:tblGrid>
      <w:tr w:rsidR="000F0D20" w:rsidRPr="00272930" w14:paraId="223C44F4" w14:textId="77777777" w:rsidTr="00856AE5">
        <w:trPr>
          <w:cnfStyle w:val="100000000000" w:firstRow="1" w:lastRow="0" w:firstColumn="0" w:lastColumn="0" w:oddVBand="0" w:evenVBand="0" w:oddHBand="0" w:evenHBand="0" w:firstRowFirstColumn="0" w:firstRowLastColumn="0" w:lastRowFirstColumn="0" w:lastRowLastColumn="0"/>
          <w:trHeight w:val="242"/>
        </w:trPr>
        <w:tc>
          <w:tcPr>
            <w:tcW w:w="1501" w:type="pct"/>
            <w:vAlign w:val="center"/>
          </w:tcPr>
          <w:p w14:paraId="4195E471" w14:textId="77777777" w:rsidR="000F0D20" w:rsidRPr="00272930" w:rsidRDefault="000F0D20" w:rsidP="00B709B7">
            <w:pPr>
              <w:spacing w:before="40" w:after="40"/>
              <w:jc w:val="center"/>
              <w:rPr>
                <w:b w:val="0"/>
                <w:sz w:val="16"/>
                <w:szCs w:val="16"/>
              </w:rPr>
            </w:pPr>
            <w:r w:rsidRPr="00272930">
              <w:rPr>
                <w:sz w:val="16"/>
                <w:szCs w:val="16"/>
              </w:rPr>
              <w:t>Abbreviation</w:t>
            </w:r>
          </w:p>
        </w:tc>
        <w:tc>
          <w:tcPr>
            <w:tcW w:w="3499" w:type="pct"/>
            <w:vAlign w:val="center"/>
          </w:tcPr>
          <w:p w14:paraId="2E698C68" w14:textId="77777777" w:rsidR="000F0D20" w:rsidRPr="00272930" w:rsidRDefault="000F0D20" w:rsidP="00B709B7">
            <w:pPr>
              <w:spacing w:before="40" w:after="40"/>
              <w:jc w:val="center"/>
              <w:rPr>
                <w:b w:val="0"/>
                <w:sz w:val="16"/>
                <w:szCs w:val="16"/>
              </w:rPr>
            </w:pPr>
            <w:r w:rsidRPr="00272930">
              <w:rPr>
                <w:sz w:val="16"/>
                <w:szCs w:val="16"/>
              </w:rPr>
              <w:t>Description</w:t>
            </w:r>
          </w:p>
        </w:tc>
      </w:tr>
      <w:tr w:rsidR="000F0D20" w:rsidRPr="00272930" w14:paraId="3EF40BA9" w14:textId="77777777" w:rsidTr="00856AE5">
        <w:trPr>
          <w:trHeight w:val="386"/>
        </w:trPr>
        <w:tc>
          <w:tcPr>
            <w:tcW w:w="1501" w:type="pct"/>
          </w:tcPr>
          <w:p w14:paraId="7D2E0FF1" w14:textId="77777777" w:rsidR="000F0D20" w:rsidRPr="00272930" w:rsidRDefault="000F0D20" w:rsidP="00B709B7">
            <w:pPr>
              <w:spacing w:before="40" w:after="40"/>
              <w:jc w:val="left"/>
              <w:rPr>
                <w:sz w:val="16"/>
                <w:szCs w:val="16"/>
              </w:rPr>
            </w:pPr>
            <w:r w:rsidRPr="00272930">
              <w:rPr>
                <w:sz w:val="16"/>
                <w:szCs w:val="16"/>
              </w:rPr>
              <w:t>Agreed Procedures</w:t>
            </w:r>
          </w:p>
        </w:tc>
        <w:tc>
          <w:tcPr>
            <w:tcW w:w="3499" w:type="pct"/>
          </w:tcPr>
          <w:p w14:paraId="6B267F71" w14:textId="3A6B541B" w:rsidR="00091215" w:rsidRPr="00272930" w:rsidRDefault="00091215" w:rsidP="00B709B7">
            <w:pPr>
              <w:keepLines/>
              <w:tabs>
                <w:tab w:val="left" w:pos="2268"/>
                <w:tab w:val="left" w:pos="4536"/>
              </w:tabs>
              <w:spacing w:before="40" w:after="40"/>
              <w:jc w:val="left"/>
              <w:rPr>
                <w:sz w:val="16"/>
                <w:szCs w:val="16"/>
              </w:rPr>
            </w:pPr>
            <w:r w:rsidRPr="00272930">
              <w:rPr>
                <w:color w:val="000000" w:themeColor="text1"/>
                <w:sz w:val="16"/>
                <w:szCs w:val="16"/>
              </w:rPr>
              <w:t>Agreed Procedures for Arbitration under Article 25 of the DSU, notified by the parties to the Dispute Settlement Body on 20 April 2021 (WT/DS591/3/Rev.1)</w:t>
            </w:r>
          </w:p>
        </w:tc>
      </w:tr>
      <w:tr w:rsidR="00F9281A" w:rsidRPr="00272930" w14:paraId="18BBF746" w14:textId="77777777" w:rsidTr="00856AE5">
        <w:trPr>
          <w:cnfStyle w:val="000000010000" w:firstRow="0" w:lastRow="0" w:firstColumn="0" w:lastColumn="0" w:oddVBand="0" w:evenVBand="0" w:oddHBand="0" w:evenHBand="1" w:firstRowFirstColumn="0" w:firstRowLastColumn="0" w:lastRowFirstColumn="0" w:lastRowLastColumn="0"/>
          <w:trHeight w:val="386"/>
        </w:trPr>
        <w:tc>
          <w:tcPr>
            <w:tcW w:w="1501" w:type="pct"/>
          </w:tcPr>
          <w:p w14:paraId="417F2E8B" w14:textId="1C1F0E7D" w:rsidR="00F9281A" w:rsidRPr="00272930" w:rsidRDefault="00F9281A" w:rsidP="00B709B7">
            <w:pPr>
              <w:spacing w:before="40" w:after="40"/>
              <w:jc w:val="left"/>
              <w:rPr>
                <w:sz w:val="16"/>
                <w:szCs w:val="16"/>
              </w:rPr>
            </w:pPr>
            <w:r w:rsidRPr="00272930">
              <w:rPr>
                <w:sz w:val="16"/>
                <w:szCs w:val="16"/>
              </w:rPr>
              <w:t>Anti-Dumping Agreement</w:t>
            </w:r>
          </w:p>
        </w:tc>
        <w:tc>
          <w:tcPr>
            <w:tcW w:w="3499" w:type="pct"/>
          </w:tcPr>
          <w:p w14:paraId="47295C05" w14:textId="267076FA" w:rsidR="00F9281A" w:rsidRPr="00272930" w:rsidRDefault="00F9281A" w:rsidP="00B709B7">
            <w:pPr>
              <w:keepLines/>
              <w:tabs>
                <w:tab w:val="left" w:pos="2268"/>
                <w:tab w:val="left" w:pos="4536"/>
              </w:tabs>
              <w:spacing w:before="40" w:after="40"/>
              <w:jc w:val="left"/>
              <w:rPr>
                <w:color w:val="000000" w:themeColor="text1"/>
                <w:sz w:val="16"/>
                <w:szCs w:val="16"/>
              </w:rPr>
            </w:pPr>
            <w:r w:rsidRPr="00272930">
              <w:rPr>
                <w:sz w:val="16"/>
                <w:szCs w:val="16"/>
              </w:rPr>
              <w:t>Agreement on the Implementation of Article VI of the General Agreement on Tariffs and Trade 1994</w:t>
            </w:r>
          </w:p>
        </w:tc>
      </w:tr>
      <w:tr w:rsidR="000F0D20" w:rsidRPr="00272930" w14:paraId="2EBE0FD0" w14:textId="77777777" w:rsidTr="00856AE5">
        <w:trPr>
          <w:trHeight w:val="386"/>
        </w:trPr>
        <w:tc>
          <w:tcPr>
            <w:tcW w:w="1501" w:type="pct"/>
          </w:tcPr>
          <w:p w14:paraId="15740811" w14:textId="7145AE81" w:rsidR="000F0D20" w:rsidRPr="00272930" w:rsidRDefault="000F0D20" w:rsidP="00B709B7">
            <w:pPr>
              <w:spacing w:before="40" w:after="40"/>
              <w:jc w:val="left"/>
              <w:rPr>
                <w:sz w:val="16"/>
                <w:szCs w:val="16"/>
              </w:rPr>
            </w:pPr>
            <w:r w:rsidRPr="00272930">
              <w:rPr>
                <w:sz w:val="16"/>
                <w:szCs w:val="16"/>
              </w:rPr>
              <w:t>BCI</w:t>
            </w:r>
          </w:p>
        </w:tc>
        <w:tc>
          <w:tcPr>
            <w:tcW w:w="3499" w:type="pct"/>
          </w:tcPr>
          <w:p w14:paraId="1F6632F8" w14:textId="62D68E0D" w:rsidR="000F0D20" w:rsidRPr="00272930" w:rsidRDefault="00091215" w:rsidP="00B709B7">
            <w:pPr>
              <w:spacing w:before="40" w:after="40"/>
              <w:jc w:val="left"/>
              <w:rPr>
                <w:sz w:val="16"/>
                <w:szCs w:val="16"/>
              </w:rPr>
            </w:pPr>
            <w:r w:rsidRPr="00272930">
              <w:rPr>
                <w:sz w:val="16"/>
                <w:szCs w:val="16"/>
              </w:rPr>
              <w:t>b</w:t>
            </w:r>
            <w:r w:rsidR="000F0D20" w:rsidRPr="00272930">
              <w:rPr>
                <w:sz w:val="16"/>
                <w:szCs w:val="16"/>
              </w:rPr>
              <w:t>usiness confidential information</w:t>
            </w:r>
          </w:p>
        </w:tc>
      </w:tr>
      <w:tr w:rsidR="00CD1FF3" w:rsidRPr="00272930" w14:paraId="7BD7345C" w14:textId="77777777" w:rsidTr="00856AE5">
        <w:trPr>
          <w:cnfStyle w:val="000000010000" w:firstRow="0" w:lastRow="0" w:firstColumn="0" w:lastColumn="0" w:oddVBand="0" w:evenVBand="0" w:oddHBand="0" w:evenHBand="1" w:firstRowFirstColumn="0" w:firstRowLastColumn="0" w:lastRowFirstColumn="0" w:lastRowLastColumn="0"/>
          <w:trHeight w:val="386"/>
        </w:trPr>
        <w:tc>
          <w:tcPr>
            <w:tcW w:w="1501" w:type="pct"/>
          </w:tcPr>
          <w:p w14:paraId="41E8A99E" w14:textId="7BFC0B27" w:rsidR="00CD1FF3" w:rsidRPr="00272930" w:rsidRDefault="00CD1FF3" w:rsidP="00B709B7">
            <w:pPr>
              <w:spacing w:before="40" w:after="40"/>
              <w:jc w:val="left"/>
              <w:rPr>
                <w:sz w:val="16"/>
                <w:szCs w:val="16"/>
              </w:rPr>
            </w:pPr>
            <w:r w:rsidRPr="00272930">
              <w:rPr>
                <w:sz w:val="16"/>
                <w:szCs w:val="16"/>
              </w:rPr>
              <w:t>Customs Valuation Agreement</w:t>
            </w:r>
          </w:p>
        </w:tc>
        <w:tc>
          <w:tcPr>
            <w:tcW w:w="3499" w:type="pct"/>
          </w:tcPr>
          <w:p w14:paraId="15BFD83C" w14:textId="34512899" w:rsidR="00CD1FF3" w:rsidRPr="00272930" w:rsidRDefault="00CD1FF3" w:rsidP="00B709B7">
            <w:pPr>
              <w:spacing w:before="40" w:after="40"/>
              <w:jc w:val="left"/>
              <w:rPr>
                <w:sz w:val="16"/>
                <w:szCs w:val="16"/>
              </w:rPr>
            </w:pPr>
            <w:r w:rsidRPr="00272930">
              <w:rPr>
                <w:sz w:val="16"/>
                <w:szCs w:val="16"/>
              </w:rPr>
              <w:t>Agreement on Implementation of Article VII of the General Agreement on Tariffs and Trade 1994</w:t>
            </w:r>
          </w:p>
        </w:tc>
      </w:tr>
      <w:tr w:rsidR="00091215" w:rsidRPr="00272930" w14:paraId="617FA5A4" w14:textId="77777777" w:rsidTr="00856AE5">
        <w:trPr>
          <w:trHeight w:val="386"/>
        </w:trPr>
        <w:tc>
          <w:tcPr>
            <w:tcW w:w="1501" w:type="pct"/>
          </w:tcPr>
          <w:p w14:paraId="51E1900D" w14:textId="1F101552" w:rsidR="00091215" w:rsidRPr="00272930" w:rsidRDefault="00091215" w:rsidP="00B709B7">
            <w:pPr>
              <w:spacing w:before="40" w:after="40"/>
              <w:jc w:val="left"/>
              <w:rPr>
                <w:sz w:val="16"/>
                <w:szCs w:val="16"/>
              </w:rPr>
            </w:pPr>
            <w:r w:rsidRPr="00272930">
              <w:rPr>
                <w:sz w:val="16"/>
                <w:szCs w:val="16"/>
              </w:rPr>
              <w:t>DIAN</w:t>
            </w:r>
          </w:p>
        </w:tc>
        <w:tc>
          <w:tcPr>
            <w:tcW w:w="3499" w:type="pct"/>
          </w:tcPr>
          <w:p w14:paraId="5560112C" w14:textId="4A483CE7" w:rsidR="00091215" w:rsidRPr="00272930" w:rsidRDefault="00F9281A" w:rsidP="00B709B7">
            <w:pPr>
              <w:spacing w:before="40" w:after="40"/>
              <w:jc w:val="left"/>
              <w:rPr>
                <w:sz w:val="16"/>
                <w:szCs w:val="16"/>
                <w:highlight w:val="yellow"/>
              </w:rPr>
            </w:pPr>
            <w:r w:rsidRPr="00272930">
              <w:rPr>
                <w:sz w:val="16"/>
                <w:szCs w:val="16"/>
              </w:rPr>
              <w:t xml:space="preserve">National Directorate for Taxes and Customs </w:t>
            </w:r>
          </w:p>
        </w:tc>
      </w:tr>
      <w:tr w:rsidR="000F0D20" w:rsidRPr="00272930" w14:paraId="22D236EB" w14:textId="77777777" w:rsidTr="00856AE5">
        <w:trPr>
          <w:cnfStyle w:val="000000010000" w:firstRow="0" w:lastRow="0" w:firstColumn="0" w:lastColumn="0" w:oddVBand="0" w:evenVBand="0" w:oddHBand="0" w:evenHBand="1" w:firstRowFirstColumn="0" w:firstRowLastColumn="0" w:lastRowFirstColumn="0" w:lastRowLastColumn="0"/>
        </w:trPr>
        <w:tc>
          <w:tcPr>
            <w:tcW w:w="1501" w:type="pct"/>
          </w:tcPr>
          <w:p w14:paraId="337024BE" w14:textId="77777777" w:rsidR="000F0D20" w:rsidRPr="00272930" w:rsidRDefault="000F0D20" w:rsidP="00B709B7">
            <w:pPr>
              <w:spacing w:before="40" w:after="40"/>
              <w:jc w:val="left"/>
              <w:rPr>
                <w:sz w:val="16"/>
                <w:szCs w:val="16"/>
              </w:rPr>
            </w:pPr>
            <w:r w:rsidRPr="00272930">
              <w:rPr>
                <w:sz w:val="16"/>
                <w:szCs w:val="16"/>
              </w:rPr>
              <w:t>DSB</w:t>
            </w:r>
          </w:p>
        </w:tc>
        <w:tc>
          <w:tcPr>
            <w:tcW w:w="3499" w:type="pct"/>
          </w:tcPr>
          <w:p w14:paraId="703E5866" w14:textId="77777777" w:rsidR="000F0D20" w:rsidRPr="00272930" w:rsidRDefault="000F0D20" w:rsidP="00B709B7">
            <w:pPr>
              <w:keepLines/>
              <w:tabs>
                <w:tab w:val="left" w:pos="2268"/>
                <w:tab w:val="left" w:pos="4536"/>
              </w:tabs>
              <w:spacing w:before="40" w:after="40"/>
              <w:jc w:val="left"/>
              <w:rPr>
                <w:sz w:val="16"/>
                <w:szCs w:val="16"/>
              </w:rPr>
            </w:pPr>
            <w:r w:rsidRPr="00272930">
              <w:rPr>
                <w:sz w:val="16"/>
                <w:szCs w:val="16"/>
              </w:rPr>
              <w:t>Dispute Settlement Body</w:t>
            </w:r>
          </w:p>
        </w:tc>
      </w:tr>
      <w:tr w:rsidR="000F0D20" w:rsidRPr="00272930" w14:paraId="4FCD3FCC" w14:textId="77777777" w:rsidTr="00856AE5">
        <w:tc>
          <w:tcPr>
            <w:tcW w:w="1501" w:type="pct"/>
          </w:tcPr>
          <w:p w14:paraId="7591A491" w14:textId="77777777" w:rsidR="000F0D20" w:rsidRPr="00272930" w:rsidRDefault="000F0D20" w:rsidP="00B709B7">
            <w:pPr>
              <w:spacing w:before="40" w:after="40"/>
              <w:jc w:val="left"/>
              <w:rPr>
                <w:sz w:val="16"/>
                <w:szCs w:val="16"/>
              </w:rPr>
            </w:pPr>
            <w:r w:rsidRPr="00272930">
              <w:rPr>
                <w:sz w:val="16"/>
                <w:szCs w:val="16"/>
              </w:rPr>
              <w:t>DSU</w:t>
            </w:r>
          </w:p>
        </w:tc>
        <w:tc>
          <w:tcPr>
            <w:tcW w:w="3499" w:type="pct"/>
          </w:tcPr>
          <w:p w14:paraId="6F634EA7" w14:textId="77777777" w:rsidR="000F0D20" w:rsidRPr="00272930" w:rsidRDefault="000F0D20" w:rsidP="00B709B7">
            <w:pPr>
              <w:keepLines/>
              <w:tabs>
                <w:tab w:val="left" w:pos="2268"/>
                <w:tab w:val="left" w:pos="4536"/>
              </w:tabs>
              <w:spacing w:before="40" w:after="40"/>
              <w:jc w:val="left"/>
              <w:rPr>
                <w:sz w:val="16"/>
                <w:szCs w:val="16"/>
              </w:rPr>
            </w:pPr>
            <w:r w:rsidRPr="00272930">
              <w:rPr>
                <w:rFonts w:cs="Arial"/>
                <w:sz w:val="16"/>
                <w:szCs w:val="16"/>
              </w:rPr>
              <w:t>Understanding on Rules and Procedures Governing the Settlement of Disputes</w:t>
            </w:r>
          </w:p>
        </w:tc>
      </w:tr>
      <w:tr w:rsidR="004C597D" w:rsidRPr="00272930" w14:paraId="2064AAE8" w14:textId="77777777" w:rsidTr="00856AE5">
        <w:trPr>
          <w:cnfStyle w:val="000000010000" w:firstRow="0" w:lastRow="0" w:firstColumn="0" w:lastColumn="0" w:oddVBand="0" w:evenVBand="0" w:oddHBand="0" w:evenHBand="1" w:firstRowFirstColumn="0" w:firstRowLastColumn="0" w:lastRowFirstColumn="0" w:lastRowLastColumn="0"/>
        </w:trPr>
        <w:tc>
          <w:tcPr>
            <w:tcW w:w="1501" w:type="pct"/>
          </w:tcPr>
          <w:p w14:paraId="3E01EC8A" w14:textId="1FD2473D" w:rsidR="004C597D" w:rsidRPr="00272930" w:rsidRDefault="004C597D" w:rsidP="00B709B7">
            <w:pPr>
              <w:spacing w:before="40" w:after="40"/>
              <w:jc w:val="left"/>
              <w:rPr>
                <w:sz w:val="16"/>
                <w:szCs w:val="16"/>
              </w:rPr>
            </w:pPr>
            <w:r w:rsidRPr="00272930">
              <w:rPr>
                <w:sz w:val="16"/>
                <w:szCs w:val="16"/>
              </w:rPr>
              <w:t>FEDEPAPA</w:t>
            </w:r>
          </w:p>
        </w:tc>
        <w:tc>
          <w:tcPr>
            <w:tcW w:w="3499" w:type="pct"/>
          </w:tcPr>
          <w:p w14:paraId="6ADC4C36" w14:textId="5334B6D0" w:rsidR="004C597D" w:rsidRPr="00272930" w:rsidRDefault="00F9281A" w:rsidP="00B709B7">
            <w:pPr>
              <w:keepLines/>
              <w:tabs>
                <w:tab w:val="left" w:pos="2268"/>
                <w:tab w:val="left" w:pos="4536"/>
              </w:tabs>
              <w:spacing w:before="40" w:after="40"/>
              <w:jc w:val="left"/>
              <w:rPr>
                <w:rFonts w:cs="Arial"/>
                <w:sz w:val="16"/>
                <w:szCs w:val="16"/>
              </w:rPr>
            </w:pPr>
            <w:r w:rsidRPr="00272930">
              <w:rPr>
                <w:sz w:val="16"/>
                <w:szCs w:val="16"/>
              </w:rPr>
              <w:t>Colombian Federation of Potato Producers</w:t>
            </w:r>
          </w:p>
        </w:tc>
      </w:tr>
      <w:tr w:rsidR="000F0D20" w:rsidRPr="00272930" w14:paraId="03245101" w14:textId="77777777" w:rsidTr="00856AE5">
        <w:tc>
          <w:tcPr>
            <w:tcW w:w="1501" w:type="pct"/>
          </w:tcPr>
          <w:p w14:paraId="5240BECA" w14:textId="77777777" w:rsidR="000F0D20" w:rsidRPr="00272930" w:rsidRDefault="000F0D20" w:rsidP="00B709B7">
            <w:pPr>
              <w:spacing w:before="40" w:after="40"/>
              <w:jc w:val="left"/>
              <w:rPr>
                <w:sz w:val="16"/>
                <w:szCs w:val="16"/>
              </w:rPr>
            </w:pPr>
            <w:r w:rsidRPr="00272930">
              <w:rPr>
                <w:sz w:val="16"/>
                <w:szCs w:val="16"/>
              </w:rPr>
              <w:t>GATT 1994</w:t>
            </w:r>
          </w:p>
        </w:tc>
        <w:tc>
          <w:tcPr>
            <w:tcW w:w="3499" w:type="pct"/>
          </w:tcPr>
          <w:p w14:paraId="18E42320" w14:textId="77777777" w:rsidR="000F0D20" w:rsidRPr="00272930" w:rsidRDefault="000F0D20" w:rsidP="00B709B7">
            <w:pPr>
              <w:keepLines/>
              <w:tabs>
                <w:tab w:val="left" w:pos="2268"/>
                <w:tab w:val="left" w:pos="4536"/>
              </w:tabs>
              <w:spacing w:before="40" w:after="40"/>
              <w:jc w:val="left"/>
              <w:rPr>
                <w:color w:val="000000"/>
                <w:sz w:val="16"/>
                <w:szCs w:val="16"/>
              </w:rPr>
            </w:pPr>
            <w:r w:rsidRPr="00272930">
              <w:rPr>
                <w:sz w:val="16"/>
                <w:szCs w:val="16"/>
              </w:rPr>
              <w:t>General Agreement on Tariffs and Trade 1994</w:t>
            </w:r>
          </w:p>
        </w:tc>
      </w:tr>
      <w:tr w:rsidR="00091215" w:rsidRPr="00272930" w14:paraId="7DD74793" w14:textId="77777777" w:rsidTr="00856AE5">
        <w:trPr>
          <w:cnfStyle w:val="000000010000" w:firstRow="0" w:lastRow="0" w:firstColumn="0" w:lastColumn="0" w:oddVBand="0" w:evenVBand="0" w:oddHBand="0" w:evenHBand="1" w:firstRowFirstColumn="0" w:firstRowLastColumn="0" w:lastRowFirstColumn="0" w:lastRowLastColumn="0"/>
        </w:trPr>
        <w:tc>
          <w:tcPr>
            <w:tcW w:w="1501" w:type="pct"/>
          </w:tcPr>
          <w:p w14:paraId="26A15BD6" w14:textId="544D3B56" w:rsidR="00091215" w:rsidRPr="00272930" w:rsidRDefault="00091215" w:rsidP="00B709B7">
            <w:pPr>
              <w:spacing w:before="40" w:after="40"/>
              <w:jc w:val="left"/>
              <w:rPr>
                <w:sz w:val="16"/>
                <w:szCs w:val="16"/>
              </w:rPr>
            </w:pPr>
            <w:r w:rsidRPr="00272930">
              <w:rPr>
                <w:sz w:val="16"/>
                <w:szCs w:val="16"/>
              </w:rPr>
              <w:t>MINCIT</w:t>
            </w:r>
          </w:p>
        </w:tc>
        <w:tc>
          <w:tcPr>
            <w:tcW w:w="3499" w:type="pct"/>
          </w:tcPr>
          <w:p w14:paraId="174CF171" w14:textId="7343A65C" w:rsidR="00091215" w:rsidRPr="00272930" w:rsidRDefault="004C597D" w:rsidP="00B709B7">
            <w:pPr>
              <w:keepLines/>
              <w:tabs>
                <w:tab w:val="left" w:pos="2268"/>
                <w:tab w:val="left" w:pos="4536"/>
              </w:tabs>
              <w:spacing w:before="40" w:after="40"/>
              <w:jc w:val="left"/>
              <w:rPr>
                <w:sz w:val="16"/>
                <w:szCs w:val="16"/>
              </w:rPr>
            </w:pPr>
            <w:r w:rsidRPr="00272930">
              <w:rPr>
                <w:sz w:val="16"/>
                <w:szCs w:val="16"/>
              </w:rPr>
              <w:t>Colombia</w:t>
            </w:r>
            <w:r w:rsidR="00972276" w:rsidRPr="00272930">
              <w:rPr>
                <w:sz w:val="16"/>
                <w:szCs w:val="16"/>
              </w:rPr>
              <w:t>'</w:t>
            </w:r>
            <w:r w:rsidRPr="00272930">
              <w:rPr>
                <w:sz w:val="16"/>
                <w:szCs w:val="16"/>
              </w:rPr>
              <w:t>s Ministry of Trade, Industry and Tourism</w:t>
            </w:r>
          </w:p>
        </w:tc>
      </w:tr>
      <w:tr w:rsidR="001E19C5" w:rsidRPr="00272930" w14:paraId="1F9929E8" w14:textId="77777777" w:rsidTr="00856AE5">
        <w:tc>
          <w:tcPr>
            <w:tcW w:w="1501" w:type="pct"/>
          </w:tcPr>
          <w:p w14:paraId="234446B1" w14:textId="52E61789" w:rsidR="000F0D20" w:rsidRPr="00272930" w:rsidRDefault="000F0D20" w:rsidP="00B709B7">
            <w:pPr>
              <w:spacing w:before="40" w:after="40"/>
              <w:jc w:val="left"/>
              <w:rPr>
                <w:sz w:val="16"/>
                <w:szCs w:val="16"/>
              </w:rPr>
            </w:pPr>
            <w:r w:rsidRPr="00272930">
              <w:rPr>
                <w:sz w:val="16"/>
                <w:szCs w:val="16"/>
              </w:rPr>
              <w:t>MPIA</w:t>
            </w:r>
          </w:p>
        </w:tc>
        <w:tc>
          <w:tcPr>
            <w:tcW w:w="3499" w:type="pct"/>
          </w:tcPr>
          <w:p w14:paraId="0D58B80B" w14:textId="267A54B4" w:rsidR="000F0D20" w:rsidRPr="00272930" w:rsidRDefault="000F0D20" w:rsidP="00B709B7">
            <w:pPr>
              <w:keepLines/>
              <w:tabs>
                <w:tab w:val="left" w:pos="2268"/>
                <w:tab w:val="left" w:pos="4536"/>
              </w:tabs>
              <w:spacing w:before="40" w:after="40"/>
              <w:jc w:val="left"/>
              <w:rPr>
                <w:sz w:val="16"/>
                <w:szCs w:val="16"/>
              </w:rPr>
            </w:pPr>
            <w:r w:rsidRPr="00272930">
              <w:rPr>
                <w:sz w:val="16"/>
                <w:szCs w:val="16"/>
              </w:rPr>
              <w:t>Multi-Party Interim Appeal</w:t>
            </w:r>
            <w:r w:rsidR="00604567" w:rsidRPr="00272930">
              <w:rPr>
                <w:sz w:val="16"/>
                <w:szCs w:val="16"/>
              </w:rPr>
              <w:t xml:space="preserve"> Arbitration Arrangement</w:t>
            </w:r>
          </w:p>
        </w:tc>
      </w:tr>
      <w:tr w:rsidR="000F0D20" w:rsidRPr="00272930" w14:paraId="4871167C" w14:textId="77777777" w:rsidTr="00856AE5">
        <w:trPr>
          <w:cnfStyle w:val="000000010000" w:firstRow="0" w:lastRow="0" w:firstColumn="0" w:lastColumn="0" w:oddVBand="0" w:evenVBand="0" w:oddHBand="0" w:evenHBand="1" w:firstRowFirstColumn="0" w:firstRowLastColumn="0" w:lastRowFirstColumn="0" w:lastRowLastColumn="0"/>
        </w:trPr>
        <w:tc>
          <w:tcPr>
            <w:tcW w:w="1501" w:type="pct"/>
          </w:tcPr>
          <w:p w14:paraId="51E96DB1" w14:textId="77777777" w:rsidR="000F0D20" w:rsidRPr="00272930" w:rsidRDefault="000F0D20" w:rsidP="00B709B7">
            <w:pPr>
              <w:spacing w:before="40" w:after="40"/>
              <w:jc w:val="left"/>
              <w:rPr>
                <w:sz w:val="16"/>
                <w:szCs w:val="16"/>
              </w:rPr>
            </w:pPr>
            <w:r w:rsidRPr="00272930">
              <w:rPr>
                <w:sz w:val="16"/>
                <w:szCs w:val="16"/>
              </w:rPr>
              <w:t>Panel Report</w:t>
            </w:r>
          </w:p>
        </w:tc>
        <w:tc>
          <w:tcPr>
            <w:tcW w:w="3499" w:type="pct"/>
          </w:tcPr>
          <w:p w14:paraId="0321F2ED" w14:textId="12F80CDD" w:rsidR="006A67A7" w:rsidRPr="00272930" w:rsidRDefault="000F0D20" w:rsidP="00B709B7">
            <w:pPr>
              <w:keepLines/>
              <w:tabs>
                <w:tab w:val="left" w:pos="2268"/>
                <w:tab w:val="left" w:pos="4536"/>
              </w:tabs>
              <w:spacing w:before="40" w:after="40"/>
              <w:jc w:val="left"/>
              <w:rPr>
                <w:iCs/>
                <w:sz w:val="16"/>
                <w:szCs w:val="16"/>
              </w:rPr>
            </w:pPr>
            <w:r w:rsidRPr="00272930">
              <w:rPr>
                <w:color w:val="000000"/>
                <w:sz w:val="16"/>
                <w:szCs w:val="16"/>
              </w:rPr>
              <w:t xml:space="preserve">Final Panel Report as </w:t>
            </w:r>
            <w:r w:rsidR="006A67A7" w:rsidRPr="00272930">
              <w:rPr>
                <w:color w:val="000000"/>
                <w:sz w:val="16"/>
                <w:szCs w:val="16"/>
              </w:rPr>
              <w:t>circulated to Members on 10</w:t>
            </w:r>
            <w:r w:rsidR="007E1811" w:rsidRPr="00272930">
              <w:rPr>
                <w:color w:val="000000"/>
                <w:sz w:val="16"/>
                <w:szCs w:val="16"/>
              </w:rPr>
              <w:t> </w:t>
            </w:r>
            <w:r w:rsidR="006A67A7" w:rsidRPr="00272930">
              <w:rPr>
                <w:color w:val="000000"/>
                <w:sz w:val="16"/>
                <w:szCs w:val="16"/>
              </w:rPr>
              <w:t>October</w:t>
            </w:r>
            <w:r w:rsidR="007E1811" w:rsidRPr="00272930">
              <w:rPr>
                <w:color w:val="000000"/>
                <w:sz w:val="16"/>
                <w:szCs w:val="16"/>
              </w:rPr>
              <w:t> </w:t>
            </w:r>
            <w:r w:rsidR="006A67A7" w:rsidRPr="00272930">
              <w:rPr>
                <w:color w:val="000000"/>
                <w:sz w:val="16"/>
                <w:szCs w:val="16"/>
              </w:rPr>
              <w:t xml:space="preserve">2022 </w:t>
            </w:r>
            <w:r w:rsidRPr="00272930">
              <w:rPr>
                <w:color w:val="000000"/>
                <w:sz w:val="16"/>
                <w:szCs w:val="16"/>
              </w:rPr>
              <w:t xml:space="preserve">in </w:t>
            </w:r>
            <w:r w:rsidR="006A67A7" w:rsidRPr="00272930">
              <w:rPr>
                <w:i/>
                <w:iCs/>
                <w:color w:val="000000"/>
                <w:sz w:val="16"/>
                <w:szCs w:val="16"/>
              </w:rPr>
              <w:t xml:space="preserve">Colombia – Anti-Dumping Duties on Frozen Fries from Belgium, </w:t>
            </w:r>
            <w:proofErr w:type="gramStart"/>
            <w:r w:rsidR="006A67A7" w:rsidRPr="00272930">
              <w:rPr>
                <w:i/>
                <w:iCs/>
                <w:color w:val="000000"/>
                <w:sz w:val="16"/>
                <w:szCs w:val="16"/>
              </w:rPr>
              <w:t>Germany</w:t>
            </w:r>
            <w:proofErr w:type="gramEnd"/>
            <w:r w:rsidR="006A67A7" w:rsidRPr="00272930">
              <w:rPr>
                <w:i/>
                <w:iCs/>
                <w:color w:val="000000"/>
                <w:sz w:val="16"/>
                <w:szCs w:val="16"/>
              </w:rPr>
              <w:t xml:space="preserve"> and the Netherlands</w:t>
            </w:r>
            <w:r w:rsidRPr="00272930">
              <w:rPr>
                <w:iCs/>
                <w:color w:val="000000"/>
                <w:sz w:val="16"/>
                <w:szCs w:val="16"/>
              </w:rPr>
              <w:t xml:space="preserve">, </w:t>
            </w:r>
            <w:r w:rsidR="00646214">
              <w:rPr>
                <w:iCs/>
                <w:color w:val="000000"/>
                <w:sz w:val="16"/>
                <w:szCs w:val="16"/>
              </w:rPr>
              <w:t>attached to</w:t>
            </w:r>
            <w:r w:rsidRPr="00272930">
              <w:rPr>
                <w:iCs/>
                <w:color w:val="000000"/>
                <w:sz w:val="16"/>
                <w:szCs w:val="16"/>
              </w:rPr>
              <w:t xml:space="preserve"> </w:t>
            </w:r>
            <w:r w:rsidR="009A1F30" w:rsidRPr="00272930">
              <w:rPr>
                <w:iCs/>
                <w:color w:val="000000"/>
                <w:sz w:val="16"/>
                <w:szCs w:val="16"/>
              </w:rPr>
              <w:t>the</w:t>
            </w:r>
            <w:r w:rsidR="00A92A75" w:rsidRPr="00272930">
              <w:rPr>
                <w:iCs/>
                <w:color w:val="000000"/>
                <w:sz w:val="16"/>
                <w:szCs w:val="16"/>
              </w:rPr>
              <w:t xml:space="preserve"> </w:t>
            </w:r>
            <w:r w:rsidR="009A1F30" w:rsidRPr="00272930">
              <w:rPr>
                <w:iCs/>
                <w:color w:val="000000"/>
                <w:sz w:val="16"/>
                <w:szCs w:val="16"/>
              </w:rPr>
              <w:t>Notification of an Appeal by Colombia</w:t>
            </w:r>
            <w:r w:rsidR="009A1F30" w:rsidRPr="00272930">
              <w:t xml:space="preserve"> </w:t>
            </w:r>
            <w:r w:rsidR="009A1F30" w:rsidRPr="00272930">
              <w:rPr>
                <w:sz w:val="16"/>
                <w:szCs w:val="16"/>
              </w:rPr>
              <w:t>under Article 25 of the DSU, paragraph 5 of the Agreed Procedures, and Rule 20 of the Working Procedures for Appellate Review</w:t>
            </w:r>
            <w:r w:rsidR="00A92A75" w:rsidRPr="00423405" w:rsidDel="009A1F30">
              <w:rPr>
                <w:iCs/>
                <w:color w:val="000000"/>
                <w:sz w:val="16"/>
                <w:szCs w:val="16"/>
              </w:rPr>
              <w:t xml:space="preserve"> </w:t>
            </w:r>
            <w:r w:rsidRPr="00272930">
              <w:rPr>
                <w:iCs/>
                <w:color w:val="000000"/>
                <w:sz w:val="16"/>
                <w:szCs w:val="16"/>
              </w:rPr>
              <w:t>(</w:t>
            </w:r>
            <w:r w:rsidR="006A67A7" w:rsidRPr="00272930">
              <w:rPr>
                <w:sz w:val="16"/>
                <w:szCs w:val="16"/>
              </w:rPr>
              <w:t>WT/DS591/7 and WT/DS591/7/Add.1)</w:t>
            </w:r>
          </w:p>
        </w:tc>
      </w:tr>
      <w:tr w:rsidR="001E19C5" w:rsidRPr="00272930" w14:paraId="25F48CB5" w14:textId="77777777" w:rsidTr="00856AE5">
        <w:tc>
          <w:tcPr>
            <w:tcW w:w="1501" w:type="pct"/>
          </w:tcPr>
          <w:p w14:paraId="60539366" w14:textId="77777777" w:rsidR="000F0D20" w:rsidRPr="00272930" w:rsidRDefault="000F0D20" w:rsidP="00B709B7">
            <w:pPr>
              <w:spacing w:before="40" w:after="40"/>
              <w:jc w:val="left"/>
              <w:rPr>
                <w:sz w:val="16"/>
                <w:szCs w:val="16"/>
              </w:rPr>
            </w:pPr>
            <w:r w:rsidRPr="00272930">
              <w:rPr>
                <w:sz w:val="16"/>
                <w:szCs w:val="16"/>
              </w:rPr>
              <w:t xml:space="preserve">Vienna Convention </w:t>
            </w:r>
          </w:p>
        </w:tc>
        <w:tc>
          <w:tcPr>
            <w:tcW w:w="3499" w:type="pct"/>
          </w:tcPr>
          <w:p w14:paraId="014A99A2" w14:textId="37BBFE92" w:rsidR="000F0D20" w:rsidRPr="00272930" w:rsidRDefault="000F0D20" w:rsidP="00B709B7">
            <w:pPr>
              <w:keepLines/>
              <w:tabs>
                <w:tab w:val="left" w:pos="2268"/>
                <w:tab w:val="left" w:pos="4536"/>
              </w:tabs>
              <w:spacing w:before="40" w:after="40"/>
              <w:jc w:val="left"/>
              <w:rPr>
                <w:sz w:val="16"/>
                <w:szCs w:val="16"/>
              </w:rPr>
            </w:pPr>
            <w:r w:rsidRPr="00272930">
              <w:rPr>
                <w:sz w:val="16"/>
                <w:szCs w:val="16"/>
              </w:rPr>
              <w:t>Vienna</w:t>
            </w:r>
            <w:r w:rsidR="007E1811" w:rsidRPr="00272930">
              <w:rPr>
                <w:sz w:val="16"/>
                <w:szCs w:val="16"/>
              </w:rPr>
              <w:t> Convention</w:t>
            </w:r>
            <w:r w:rsidRPr="00272930">
              <w:rPr>
                <w:sz w:val="16"/>
                <w:szCs w:val="16"/>
              </w:rPr>
              <w:t xml:space="preserve"> on the Law of Treaties, done at Vienna, 23</w:t>
            </w:r>
            <w:r w:rsidR="007E1811" w:rsidRPr="00272930">
              <w:rPr>
                <w:sz w:val="16"/>
                <w:szCs w:val="16"/>
              </w:rPr>
              <w:t> </w:t>
            </w:r>
            <w:r w:rsidRPr="00272930">
              <w:rPr>
                <w:sz w:val="16"/>
                <w:szCs w:val="16"/>
              </w:rPr>
              <w:t>May</w:t>
            </w:r>
            <w:r w:rsidR="007E1811" w:rsidRPr="00272930">
              <w:rPr>
                <w:sz w:val="16"/>
                <w:szCs w:val="16"/>
              </w:rPr>
              <w:t> </w:t>
            </w:r>
            <w:r w:rsidRPr="00272930">
              <w:rPr>
                <w:sz w:val="16"/>
                <w:szCs w:val="16"/>
              </w:rPr>
              <w:t xml:space="preserve">1969, UN Treaty Series, Vol. 1155, </w:t>
            </w:r>
            <w:r w:rsidR="00270F7B" w:rsidRPr="00272930">
              <w:rPr>
                <w:sz w:val="16"/>
                <w:szCs w:val="16"/>
              </w:rPr>
              <w:t>p. </w:t>
            </w:r>
            <w:r w:rsidRPr="00272930">
              <w:rPr>
                <w:sz w:val="16"/>
                <w:szCs w:val="16"/>
              </w:rPr>
              <w:t>331</w:t>
            </w:r>
          </w:p>
        </w:tc>
      </w:tr>
      <w:tr w:rsidR="000F0D20" w:rsidRPr="00272930" w14:paraId="2166B540" w14:textId="77777777" w:rsidTr="00856AE5">
        <w:trPr>
          <w:cnfStyle w:val="000000010000" w:firstRow="0" w:lastRow="0" w:firstColumn="0" w:lastColumn="0" w:oddVBand="0" w:evenVBand="0" w:oddHBand="0" w:evenHBand="1" w:firstRowFirstColumn="0" w:firstRowLastColumn="0" w:lastRowFirstColumn="0" w:lastRowLastColumn="0"/>
        </w:trPr>
        <w:tc>
          <w:tcPr>
            <w:tcW w:w="1501" w:type="pct"/>
          </w:tcPr>
          <w:p w14:paraId="2E632A94" w14:textId="77777777" w:rsidR="000F0D20" w:rsidRPr="00272930" w:rsidRDefault="000F0D20" w:rsidP="00B709B7">
            <w:pPr>
              <w:spacing w:before="40" w:after="40"/>
              <w:jc w:val="left"/>
              <w:rPr>
                <w:sz w:val="16"/>
                <w:szCs w:val="16"/>
              </w:rPr>
            </w:pPr>
            <w:r w:rsidRPr="00272930">
              <w:rPr>
                <w:sz w:val="16"/>
                <w:szCs w:val="16"/>
              </w:rPr>
              <w:t>WTO</w:t>
            </w:r>
          </w:p>
        </w:tc>
        <w:tc>
          <w:tcPr>
            <w:tcW w:w="3499" w:type="pct"/>
          </w:tcPr>
          <w:p w14:paraId="2D654722" w14:textId="01D59BB8" w:rsidR="009B281A" w:rsidRPr="00272930" w:rsidRDefault="000F0D20" w:rsidP="009B281A">
            <w:pPr>
              <w:keepLines/>
              <w:tabs>
                <w:tab w:val="left" w:pos="2268"/>
                <w:tab w:val="left" w:pos="4536"/>
              </w:tabs>
              <w:spacing w:before="40" w:after="40"/>
              <w:jc w:val="left"/>
              <w:rPr>
                <w:sz w:val="16"/>
                <w:szCs w:val="16"/>
              </w:rPr>
            </w:pPr>
            <w:r w:rsidRPr="00272930">
              <w:rPr>
                <w:sz w:val="16"/>
                <w:szCs w:val="16"/>
              </w:rPr>
              <w:t>World Trade Organization</w:t>
            </w:r>
          </w:p>
        </w:tc>
      </w:tr>
    </w:tbl>
    <w:p w14:paraId="46127024" w14:textId="056F718A" w:rsidR="00722096" w:rsidRPr="00272930" w:rsidRDefault="00722096" w:rsidP="00B709B7">
      <w:pPr>
        <w:jc w:val="left"/>
      </w:pPr>
    </w:p>
    <w:p w14:paraId="1F63671E" w14:textId="77777777" w:rsidR="00722096" w:rsidRPr="00272930" w:rsidRDefault="00722096">
      <w:pPr>
        <w:jc w:val="left"/>
      </w:pPr>
      <w:r w:rsidRPr="00272930">
        <w:br w:type="page"/>
      </w:r>
    </w:p>
    <w:p w14:paraId="30CBA220" w14:textId="36B003BD" w:rsidR="009264D9" w:rsidRPr="00272930" w:rsidRDefault="00722096" w:rsidP="00A92A75">
      <w:pPr>
        <w:pStyle w:val="Title"/>
      </w:pPr>
      <w:r w:rsidRPr="00272930">
        <w:lastRenderedPageBreak/>
        <w:t>C</w:t>
      </w:r>
      <w:r w:rsidR="009264D9" w:rsidRPr="00272930">
        <w:t xml:space="preserve">ASES CITED IN THIS </w:t>
      </w:r>
      <w:r w:rsidRPr="00272930">
        <w:t>AWARD</w:t>
      </w:r>
    </w:p>
    <w:tbl>
      <w:tblPr>
        <w:tblStyle w:val="WTOTable1"/>
        <w:tblW w:w="8926" w:type="dxa"/>
        <w:tblLayout w:type="fixed"/>
        <w:tblLook w:val="04A0" w:firstRow="1" w:lastRow="0" w:firstColumn="1" w:lastColumn="0" w:noHBand="0" w:noVBand="1"/>
      </w:tblPr>
      <w:tblGrid>
        <w:gridCol w:w="2689"/>
        <w:gridCol w:w="6237"/>
      </w:tblGrid>
      <w:tr w:rsidR="008943C4" w:rsidRPr="00272930" w14:paraId="5EF1C737" w14:textId="77777777" w:rsidTr="00A92A75">
        <w:trPr>
          <w:cnfStyle w:val="100000000000" w:firstRow="1" w:lastRow="0" w:firstColumn="0" w:lastColumn="0" w:oddVBand="0" w:evenVBand="0" w:oddHBand="0" w:evenHBand="0" w:firstRowFirstColumn="0" w:firstRowLastColumn="0" w:lastRowFirstColumn="0" w:lastRowLastColumn="0"/>
          <w:trHeight w:val="242"/>
          <w:tblHeader/>
        </w:trPr>
        <w:tc>
          <w:tcPr>
            <w:tcW w:w="2689" w:type="dxa"/>
            <w:tcBorders>
              <w:top w:val="single" w:sz="4" w:space="0" w:color="auto"/>
              <w:left w:val="single" w:sz="4" w:space="0" w:color="auto"/>
              <w:bottom w:val="nil"/>
              <w:right w:val="single" w:sz="4" w:space="0" w:color="auto"/>
            </w:tcBorders>
            <w:vAlign w:val="center"/>
            <w:hideMark/>
          </w:tcPr>
          <w:p w14:paraId="03899839" w14:textId="77777777" w:rsidR="008943C4" w:rsidRPr="00272930" w:rsidRDefault="008943C4" w:rsidP="00924357">
            <w:pPr>
              <w:spacing w:before="40" w:after="40"/>
              <w:jc w:val="center"/>
              <w:rPr>
                <w:b w:val="0"/>
                <w:sz w:val="16"/>
                <w:szCs w:val="16"/>
              </w:rPr>
            </w:pPr>
            <w:r w:rsidRPr="00272930">
              <w:rPr>
                <w:sz w:val="16"/>
                <w:szCs w:val="16"/>
              </w:rPr>
              <w:t>Short title</w:t>
            </w:r>
          </w:p>
        </w:tc>
        <w:tc>
          <w:tcPr>
            <w:tcW w:w="6237" w:type="dxa"/>
            <w:tcBorders>
              <w:top w:val="single" w:sz="4" w:space="0" w:color="auto"/>
              <w:left w:val="single" w:sz="4" w:space="0" w:color="auto"/>
              <w:bottom w:val="nil"/>
              <w:right w:val="single" w:sz="4" w:space="0" w:color="auto"/>
            </w:tcBorders>
            <w:vAlign w:val="center"/>
            <w:hideMark/>
          </w:tcPr>
          <w:p w14:paraId="50A1817F" w14:textId="77777777" w:rsidR="008943C4" w:rsidRPr="00272930" w:rsidRDefault="008943C4" w:rsidP="00924357">
            <w:pPr>
              <w:spacing w:before="40" w:after="40"/>
              <w:jc w:val="center"/>
              <w:rPr>
                <w:b w:val="0"/>
                <w:sz w:val="16"/>
                <w:szCs w:val="16"/>
              </w:rPr>
            </w:pPr>
            <w:r w:rsidRPr="00272930">
              <w:rPr>
                <w:sz w:val="16"/>
                <w:szCs w:val="16"/>
              </w:rPr>
              <w:t>Full case title and citation</w:t>
            </w:r>
          </w:p>
        </w:tc>
      </w:tr>
      <w:tr w:rsidR="008943C4" w:rsidRPr="00272930" w14:paraId="32B2AFDB" w14:textId="77777777" w:rsidTr="00A92A75">
        <w:trPr>
          <w:cantSplit/>
        </w:trPr>
        <w:tc>
          <w:tcPr>
            <w:tcW w:w="2689" w:type="dxa"/>
            <w:tcBorders>
              <w:top w:val="nil"/>
              <w:left w:val="single" w:sz="4" w:space="0" w:color="auto"/>
              <w:bottom w:val="nil"/>
              <w:right w:val="single" w:sz="4" w:space="0" w:color="auto"/>
            </w:tcBorders>
          </w:tcPr>
          <w:p w14:paraId="0CE73943" w14:textId="77777777" w:rsidR="008943C4" w:rsidRPr="00272930" w:rsidRDefault="008943C4" w:rsidP="008943C4">
            <w:pPr>
              <w:spacing w:before="40" w:after="40"/>
              <w:jc w:val="left"/>
              <w:rPr>
                <w:i/>
                <w:color w:val="000000"/>
                <w:sz w:val="16"/>
                <w:szCs w:val="16"/>
              </w:rPr>
            </w:pPr>
            <w:r w:rsidRPr="00272930">
              <w:rPr>
                <w:i/>
                <w:color w:val="000000"/>
                <w:sz w:val="16"/>
                <w:szCs w:val="16"/>
              </w:rPr>
              <w:t xml:space="preserve">Argentina – Poultry Anti-Dumping Duties </w:t>
            </w:r>
          </w:p>
        </w:tc>
        <w:tc>
          <w:tcPr>
            <w:tcW w:w="6237" w:type="dxa"/>
            <w:tcBorders>
              <w:top w:val="nil"/>
              <w:left w:val="single" w:sz="4" w:space="0" w:color="auto"/>
              <w:bottom w:val="nil"/>
              <w:right w:val="single" w:sz="4" w:space="0" w:color="auto"/>
            </w:tcBorders>
          </w:tcPr>
          <w:p w14:paraId="1D8C840D" w14:textId="29A8D607" w:rsidR="008943C4" w:rsidRPr="00272930" w:rsidRDefault="008943C4" w:rsidP="008943C4">
            <w:pPr>
              <w:tabs>
                <w:tab w:val="left" w:pos="2268"/>
                <w:tab w:val="left" w:pos="4536"/>
              </w:tabs>
              <w:spacing w:before="40" w:after="40"/>
              <w:jc w:val="left"/>
              <w:rPr>
                <w:color w:val="000000"/>
                <w:sz w:val="16"/>
                <w:szCs w:val="16"/>
              </w:rPr>
            </w:pPr>
            <w:r w:rsidRPr="00272930">
              <w:rPr>
                <w:iCs/>
                <w:color w:val="000000"/>
                <w:sz w:val="16"/>
                <w:szCs w:val="16"/>
              </w:rPr>
              <w:t>Panel</w:t>
            </w:r>
            <w:r w:rsidR="00BA4836" w:rsidRPr="00272930">
              <w:rPr>
                <w:iCs/>
                <w:color w:val="000000"/>
                <w:sz w:val="16"/>
                <w:szCs w:val="16"/>
              </w:rPr>
              <w:t> Report</w:t>
            </w:r>
            <w:r w:rsidRPr="00272930">
              <w:rPr>
                <w:iCs/>
                <w:color w:val="000000"/>
                <w:sz w:val="16"/>
                <w:szCs w:val="16"/>
              </w:rPr>
              <w:t>,</w:t>
            </w:r>
            <w:r w:rsidRPr="00272930">
              <w:rPr>
                <w:color w:val="000000"/>
                <w:sz w:val="16"/>
                <w:szCs w:val="16"/>
              </w:rPr>
              <w:t xml:space="preserve"> </w:t>
            </w:r>
            <w:r w:rsidRPr="00272930">
              <w:rPr>
                <w:i/>
                <w:color w:val="000000"/>
                <w:sz w:val="16"/>
                <w:szCs w:val="16"/>
              </w:rPr>
              <w:t>Argentina – Definitive Anti-Dumping Duties on Poultry from Brazil</w:t>
            </w:r>
            <w:r w:rsidRPr="00272930">
              <w:rPr>
                <w:color w:val="000000"/>
                <w:sz w:val="16"/>
                <w:szCs w:val="16"/>
              </w:rPr>
              <w:t xml:space="preserve">, </w:t>
            </w:r>
            <w:hyperlink r:id="rId8" w:history="1">
              <w:r w:rsidRPr="00272930">
                <w:rPr>
                  <w:rStyle w:val="Hyperlink"/>
                  <w:sz w:val="16"/>
                  <w:szCs w:val="16"/>
                </w:rPr>
                <w:t>WT/DS241/R</w:t>
              </w:r>
            </w:hyperlink>
            <w:r w:rsidRPr="00272930">
              <w:rPr>
                <w:color w:val="000000"/>
                <w:sz w:val="16"/>
                <w:szCs w:val="16"/>
              </w:rPr>
              <w:t xml:space="preserve">, adopted 19 May 2003, DSR 2003:V, </w:t>
            </w:r>
            <w:r w:rsidR="00270F7B" w:rsidRPr="00272930">
              <w:rPr>
                <w:color w:val="000000"/>
                <w:sz w:val="16"/>
                <w:szCs w:val="16"/>
              </w:rPr>
              <w:t>p. </w:t>
            </w:r>
            <w:r w:rsidRPr="00272930">
              <w:rPr>
                <w:color w:val="000000"/>
                <w:sz w:val="16"/>
                <w:szCs w:val="16"/>
              </w:rPr>
              <w:t>1727</w:t>
            </w:r>
          </w:p>
        </w:tc>
      </w:tr>
      <w:tr w:rsidR="008943C4" w:rsidRPr="00272930" w14:paraId="1151A133" w14:textId="77777777" w:rsidTr="00A92A75">
        <w:trPr>
          <w:cnfStyle w:val="000000010000" w:firstRow="0" w:lastRow="0" w:firstColumn="0" w:lastColumn="0" w:oddVBand="0" w:evenVBand="0" w:oddHBand="0" w:evenHBand="1" w:firstRowFirstColumn="0" w:firstRowLastColumn="0" w:lastRowFirstColumn="0" w:lastRowLastColumn="0"/>
          <w:cantSplit/>
        </w:trPr>
        <w:tc>
          <w:tcPr>
            <w:tcW w:w="2689" w:type="dxa"/>
            <w:tcBorders>
              <w:top w:val="nil"/>
              <w:left w:val="single" w:sz="4" w:space="0" w:color="auto"/>
              <w:bottom w:val="nil"/>
              <w:right w:val="single" w:sz="4" w:space="0" w:color="auto"/>
            </w:tcBorders>
          </w:tcPr>
          <w:p w14:paraId="0C1122D4" w14:textId="77777777" w:rsidR="008943C4" w:rsidRPr="00272930" w:rsidRDefault="008943C4" w:rsidP="008943C4">
            <w:pPr>
              <w:spacing w:before="40" w:after="40"/>
              <w:jc w:val="left"/>
              <w:rPr>
                <w:i/>
                <w:color w:val="000000"/>
                <w:sz w:val="16"/>
                <w:szCs w:val="16"/>
              </w:rPr>
            </w:pPr>
            <w:r w:rsidRPr="00272930">
              <w:rPr>
                <w:i/>
                <w:color w:val="000000"/>
                <w:sz w:val="16"/>
                <w:szCs w:val="16"/>
              </w:rPr>
              <w:t>Canada – Welded Pipe</w:t>
            </w:r>
          </w:p>
        </w:tc>
        <w:tc>
          <w:tcPr>
            <w:tcW w:w="6237" w:type="dxa"/>
            <w:tcBorders>
              <w:top w:val="nil"/>
              <w:left w:val="single" w:sz="4" w:space="0" w:color="auto"/>
              <w:bottom w:val="nil"/>
              <w:right w:val="single" w:sz="4" w:space="0" w:color="auto"/>
            </w:tcBorders>
          </w:tcPr>
          <w:p w14:paraId="0871D052" w14:textId="0521F20B" w:rsidR="008943C4" w:rsidRPr="00272930" w:rsidRDefault="008943C4" w:rsidP="008943C4">
            <w:pPr>
              <w:tabs>
                <w:tab w:val="left" w:pos="2268"/>
                <w:tab w:val="left" w:pos="4536"/>
              </w:tabs>
              <w:spacing w:before="40" w:after="40"/>
              <w:jc w:val="left"/>
              <w:rPr>
                <w:color w:val="000000"/>
                <w:sz w:val="16"/>
                <w:szCs w:val="16"/>
              </w:rPr>
            </w:pPr>
            <w:r w:rsidRPr="00272930">
              <w:rPr>
                <w:iCs/>
                <w:color w:val="000000"/>
                <w:sz w:val="16"/>
                <w:szCs w:val="16"/>
              </w:rPr>
              <w:t>Panel</w:t>
            </w:r>
            <w:r w:rsidR="00BA4836" w:rsidRPr="00272930">
              <w:rPr>
                <w:iCs/>
                <w:color w:val="000000"/>
                <w:sz w:val="16"/>
                <w:szCs w:val="16"/>
              </w:rPr>
              <w:t> Report</w:t>
            </w:r>
            <w:r w:rsidRPr="00272930">
              <w:rPr>
                <w:iCs/>
                <w:color w:val="000000"/>
                <w:sz w:val="16"/>
                <w:szCs w:val="16"/>
              </w:rPr>
              <w:t>,</w:t>
            </w:r>
            <w:r w:rsidRPr="00272930">
              <w:rPr>
                <w:i/>
                <w:color w:val="000000"/>
                <w:sz w:val="16"/>
                <w:szCs w:val="16"/>
              </w:rPr>
              <w:t xml:space="preserve"> Canada – Anti-Dumping Measures on Imports of Certain Carbon Steel Welded Pipe from the Separate Customs Territory of Taiwan, Penghu, Kinmen and Matsu</w:t>
            </w:r>
            <w:r w:rsidRPr="00272930">
              <w:rPr>
                <w:color w:val="000000"/>
                <w:sz w:val="16"/>
                <w:szCs w:val="16"/>
              </w:rPr>
              <w:t xml:space="preserve">, </w:t>
            </w:r>
            <w:hyperlink r:id="rId9" w:history="1">
              <w:r w:rsidRPr="00272930">
                <w:rPr>
                  <w:rStyle w:val="Hyperlink"/>
                  <w:sz w:val="16"/>
                  <w:szCs w:val="16"/>
                </w:rPr>
                <w:t>WT/DS482/R</w:t>
              </w:r>
            </w:hyperlink>
            <w:r w:rsidRPr="00272930">
              <w:rPr>
                <w:color w:val="000000"/>
                <w:sz w:val="16"/>
                <w:szCs w:val="16"/>
              </w:rPr>
              <w:t xml:space="preserve"> and Add.1, adopted 25 January 2017, DSR 2017:I, </w:t>
            </w:r>
            <w:r w:rsidR="00270F7B" w:rsidRPr="00272930">
              <w:rPr>
                <w:color w:val="000000"/>
                <w:sz w:val="16"/>
                <w:szCs w:val="16"/>
              </w:rPr>
              <w:t>p. </w:t>
            </w:r>
            <w:r w:rsidRPr="00272930">
              <w:rPr>
                <w:color w:val="000000"/>
                <w:sz w:val="16"/>
                <w:szCs w:val="16"/>
              </w:rPr>
              <w:t>7</w:t>
            </w:r>
          </w:p>
        </w:tc>
      </w:tr>
      <w:tr w:rsidR="008943C4" w:rsidRPr="00272930" w14:paraId="215EC785" w14:textId="77777777" w:rsidTr="00A92A75">
        <w:trPr>
          <w:cantSplit/>
        </w:trPr>
        <w:tc>
          <w:tcPr>
            <w:tcW w:w="2689" w:type="dxa"/>
            <w:tcBorders>
              <w:top w:val="nil"/>
              <w:left w:val="single" w:sz="4" w:space="0" w:color="auto"/>
              <w:bottom w:val="nil"/>
              <w:right w:val="single" w:sz="4" w:space="0" w:color="auto"/>
            </w:tcBorders>
          </w:tcPr>
          <w:p w14:paraId="03A1D8FA" w14:textId="198C380A" w:rsidR="008943C4" w:rsidRPr="008C22FB" w:rsidRDefault="008943C4" w:rsidP="008943C4">
            <w:pPr>
              <w:spacing w:before="40" w:after="40"/>
              <w:jc w:val="left"/>
              <w:rPr>
                <w:i/>
                <w:color w:val="000000"/>
                <w:sz w:val="16"/>
                <w:szCs w:val="16"/>
                <w:lang w:val="fr-CH"/>
              </w:rPr>
            </w:pPr>
            <w:r w:rsidRPr="008C22FB">
              <w:rPr>
                <w:i/>
                <w:color w:val="000000"/>
                <w:sz w:val="16"/>
                <w:szCs w:val="16"/>
                <w:lang w:val="fr-CH"/>
              </w:rPr>
              <w:t>China – HP</w:t>
            </w:r>
            <w:r w:rsidR="005514B4" w:rsidRPr="008C22FB">
              <w:rPr>
                <w:i/>
                <w:color w:val="000000"/>
                <w:sz w:val="16"/>
                <w:szCs w:val="16"/>
                <w:lang w:val="fr-CH"/>
              </w:rPr>
              <w:t>-</w:t>
            </w:r>
            <w:r w:rsidRPr="008C22FB">
              <w:rPr>
                <w:i/>
                <w:color w:val="000000"/>
                <w:sz w:val="16"/>
                <w:szCs w:val="16"/>
                <w:lang w:val="fr-CH"/>
              </w:rPr>
              <w:t>SSST (Japan) / China – HP-SSST (EU)</w:t>
            </w:r>
          </w:p>
        </w:tc>
        <w:tc>
          <w:tcPr>
            <w:tcW w:w="6237" w:type="dxa"/>
            <w:tcBorders>
              <w:top w:val="nil"/>
              <w:left w:val="single" w:sz="4" w:space="0" w:color="auto"/>
              <w:bottom w:val="nil"/>
              <w:right w:val="single" w:sz="4" w:space="0" w:color="auto"/>
            </w:tcBorders>
          </w:tcPr>
          <w:p w14:paraId="6F7973DD" w14:textId="3799D696" w:rsidR="008943C4" w:rsidRPr="00272930" w:rsidRDefault="008943C4" w:rsidP="00A92A75">
            <w:pPr>
              <w:spacing w:before="40" w:after="40"/>
              <w:jc w:val="left"/>
              <w:rPr>
                <w:color w:val="000000"/>
                <w:sz w:val="16"/>
                <w:szCs w:val="16"/>
              </w:rPr>
            </w:pPr>
            <w:r w:rsidRPr="00272930">
              <w:rPr>
                <w:iCs/>
                <w:color w:val="000000"/>
                <w:sz w:val="16"/>
                <w:szCs w:val="16"/>
              </w:rPr>
              <w:t>Appellate</w:t>
            </w:r>
            <w:r w:rsidR="00BA4836" w:rsidRPr="00272930">
              <w:rPr>
                <w:iCs/>
                <w:color w:val="000000"/>
                <w:sz w:val="16"/>
                <w:szCs w:val="16"/>
              </w:rPr>
              <w:t> Body</w:t>
            </w:r>
            <w:r w:rsidRPr="00272930">
              <w:rPr>
                <w:iCs/>
                <w:color w:val="000000"/>
                <w:sz w:val="16"/>
                <w:szCs w:val="16"/>
              </w:rPr>
              <w:t xml:space="preserve"> Reports,</w:t>
            </w:r>
            <w:r w:rsidRPr="00272930">
              <w:rPr>
                <w:i/>
                <w:color w:val="000000"/>
                <w:sz w:val="16"/>
                <w:szCs w:val="16"/>
              </w:rPr>
              <w:t xml:space="preserve"> China – Measures Imposing Anti-Dumping Duties on High-Performance Stainless Steel Seamless Tubes ("HP</w:t>
            </w:r>
            <w:r w:rsidRPr="00272930">
              <w:rPr>
                <w:i/>
                <w:color w:val="000000"/>
                <w:sz w:val="16"/>
                <w:szCs w:val="16"/>
              </w:rPr>
              <w:noBreakHyphen/>
              <w:t>SSST") from Japan / China – Measures Imposing Anti-Dumping Duties on High-Performance Stainless Steel Seamless Tubes ("HP</w:t>
            </w:r>
            <w:r w:rsidRPr="00272930">
              <w:rPr>
                <w:i/>
                <w:color w:val="000000"/>
                <w:sz w:val="16"/>
                <w:szCs w:val="16"/>
              </w:rPr>
              <w:noBreakHyphen/>
              <w:t>SSST") from the European Union</w:t>
            </w:r>
            <w:r w:rsidRPr="00272930">
              <w:rPr>
                <w:color w:val="000000"/>
                <w:sz w:val="16"/>
                <w:szCs w:val="16"/>
              </w:rPr>
              <w:t xml:space="preserve">, </w:t>
            </w:r>
            <w:hyperlink r:id="rId10" w:history="1">
              <w:r w:rsidRPr="00272930">
                <w:rPr>
                  <w:rStyle w:val="Hyperlink"/>
                  <w:sz w:val="16"/>
                  <w:szCs w:val="16"/>
                </w:rPr>
                <w:t>WT/DS454/AB/R</w:t>
              </w:r>
            </w:hyperlink>
            <w:r w:rsidRPr="00272930">
              <w:rPr>
                <w:color w:val="000000"/>
                <w:sz w:val="16"/>
                <w:szCs w:val="16"/>
              </w:rPr>
              <w:t xml:space="preserve"> and Add.1 / </w:t>
            </w:r>
            <w:hyperlink r:id="rId11" w:history="1">
              <w:r w:rsidRPr="00272930">
                <w:rPr>
                  <w:rStyle w:val="Hyperlink"/>
                  <w:sz w:val="16"/>
                  <w:szCs w:val="16"/>
                </w:rPr>
                <w:t>WT/DS460/AB/R</w:t>
              </w:r>
            </w:hyperlink>
            <w:r w:rsidRPr="00272930">
              <w:rPr>
                <w:color w:val="000000"/>
                <w:sz w:val="16"/>
                <w:szCs w:val="16"/>
              </w:rPr>
              <w:t xml:space="preserve"> and Add.1, adopted 28 October 2015, DSR 2015:IX, </w:t>
            </w:r>
            <w:r w:rsidR="00270F7B" w:rsidRPr="00272930">
              <w:rPr>
                <w:color w:val="000000"/>
                <w:sz w:val="16"/>
                <w:szCs w:val="16"/>
              </w:rPr>
              <w:t>p. </w:t>
            </w:r>
            <w:r w:rsidRPr="00272930">
              <w:rPr>
                <w:color w:val="000000"/>
                <w:sz w:val="16"/>
                <w:szCs w:val="16"/>
              </w:rPr>
              <w:t>4573</w:t>
            </w:r>
          </w:p>
        </w:tc>
      </w:tr>
      <w:tr w:rsidR="008943C4" w:rsidRPr="00272930" w14:paraId="696177D3" w14:textId="77777777" w:rsidTr="00A92A75">
        <w:trPr>
          <w:cnfStyle w:val="000000010000" w:firstRow="0" w:lastRow="0" w:firstColumn="0" w:lastColumn="0" w:oddVBand="0" w:evenVBand="0" w:oddHBand="0" w:evenHBand="1" w:firstRowFirstColumn="0" w:firstRowLastColumn="0" w:lastRowFirstColumn="0" w:lastRowLastColumn="0"/>
          <w:cantSplit/>
        </w:trPr>
        <w:tc>
          <w:tcPr>
            <w:tcW w:w="2689" w:type="dxa"/>
            <w:tcBorders>
              <w:top w:val="nil"/>
              <w:left w:val="single" w:sz="4" w:space="0" w:color="auto"/>
              <w:bottom w:val="nil"/>
              <w:right w:val="single" w:sz="4" w:space="0" w:color="auto"/>
            </w:tcBorders>
          </w:tcPr>
          <w:p w14:paraId="4C18F1E3" w14:textId="77777777" w:rsidR="008943C4" w:rsidRPr="00272930" w:rsidRDefault="008943C4" w:rsidP="008943C4">
            <w:pPr>
              <w:spacing w:before="40" w:after="40"/>
              <w:jc w:val="left"/>
              <w:rPr>
                <w:i/>
                <w:color w:val="000000"/>
                <w:sz w:val="16"/>
                <w:szCs w:val="16"/>
              </w:rPr>
            </w:pPr>
            <w:r w:rsidRPr="00272930">
              <w:rPr>
                <w:i/>
                <w:color w:val="000000"/>
                <w:sz w:val="16"/>
                <w:szCs w:val="16"/>
              </w:rPr>
              <w:t>China – Raw Materials</w:t>
            </w:r>
          </w:p>
        </w:tc>
        <w:tc>
          <w:tcPr>
            <w:tcW w:w="6237" w:type="dxa"/>
            <w:tcBorders>
              <w:top w:val="nil"/>
              <w:left w:val="single" w:sz="4" w:space="0" w:color="auto"/>
              <w:bottom w:val="nil"/>
              <w:right w:val="single" w:sz="4" w:space="0" w:color="auto"/>
            </w:tcBorders>
          </w:tcPr>
          <w:p w14:paraId="7404709F" w14:textId="165FBB66" w:rsidR="008943C4" w:rsidRPr="00272930" w:rsidRDefault="008943C4" w:rsidP="008943C4">
            <w:pPr>
              <w:tabs>
                <w:tab w:val="left" w:pos="2268"/>
                <w:tab w:val="left" w:pos="4536"/>
              </w:tabs>
              <w:spacing w:before="40" w:after="40"/>
              <w:jc w:val="left"/>
              <w:rPr>
                <w:color w:val="000000"/>
                <w:sz w:val="16"/>
                <w:szCs w:val="16"/>
              </w:rPr>
            </w:pPr>
            <w:r w:rsidRPr="00272930">
              <w:rPr>
                <w:color w:val="000000"/>
                <w:sz w:val="16"/>
                <w:szCs w:val="16"/>
              </w:rPr>
              <w:t>Appellate</w:t>
            </w:r>
            <w:r w:rsidR="00BA4836" w:rsidRPr="00272930">
              <w:rPr>
                <w:color w:val="000000"/>
                <w:sz w:val="16"/>
                <w:szCs w:val="16"/>
              </w:rPr>
              <w:t> Body</w:t>
            </w:r>
            <w:r w:rsidRPr="00272930">
              <w:rPr>
                <w:color w:val="000000"/>
                <w:sz w:val="16"/>
                <w:szCs w:val="16"/>
              </w:rPr>
              <w:t xml:space="preserve"> Reports, </w:t>
            </w:r>
            <w:r w:rsidRPr="00272930">
              <w:rPr>
                <w:i/>
                <w:color w:val="000000"/>
                <w:sz w:val="16"/>
                <w:szCs w:val="16"/>
              </w:rPr>
              <w:t>China – Measures Related to the Exportation of Various Raw Materials</w:t>
            </w:r>
            <w:r w:rsidRPr="00272930">
              <w:rPr>
                <w:color w:val="000000"/>
                <w:sz w:val="16"/>
                <w:szCs w:val="16"/>
              </w:rPr>
              <w:t xml:space="preserve">, </w:t>
            </w:r>
            <w:hyperlink r:id="rId12" w:history="1">
              <w:r w:rsidRPr="00272930">
                <w:rPr>
                  <w:rStyle w:val="Hyperlink"/>
                  <w:sz w:val="16"/>
                  <w:szCs w:val="16"/>
                </w:rPr>
                <w:t>WT/DS394/AB/R</w:t>
              </w:r>
            </w:hyperlink>
            <w:r w:rsidRPr="00272930">
              <w:rPr>
                <w:color w:val="000000"/>
                <w:sz w:val="16"/>
                <w:szCs w:val="16"/>
              </w:rPr>
              <w:t xml:space="preserve"> / </w:t>
            </w:r>
            <w:hyperlink r:id="rId13" w:history="1">
              <w:r w:rsidRPr="00272930">
                <w:rPr>
                  <w:rStyle w:val="Hyperlink"/>
                  <w:sz w:val="16"/>
                  <w:szCs w:val="16"/>
                </w:rPr>
                <w:t>WT/DS395/AB/R</w:t>
              </w:r>
            </w:hyperlink>
            <w:r w:rsidRPr="00272930">
              <w:rPr>
                <w:color w:val="000000"/>
                <w:sz w:val="16"/>
                <w:szCs w:val="16"/>
              </w:rPr>
              <w:t xml:space="preserve"> / </w:t>
            </w:r>
            <w:hyperlink r:id="rId14" w:history="1">
              <w:r w:rsidRPr="00272930">
                <w:rPr>
                  <w:rStyle w:val="Hyperlink"/>
                  <w:sz w:val="16"/>
                  <w:szCs w:val="16"/>
                </w:rPr>
                <w:t>WT/DS398/AB/R</w:t>
              </w:r>
            </w:hyperlink>
            <w:r w:rsidRPr="00272930">
              <w:rPr>
                <w:color w:val="000000"/>
                <w:sz w:val="16"/>
                <w:szCs w:val="16"/>
              </w:rPr>
              <w:t xml:space="preserve">, adopted 22 February 2012, DSR 2012:VII, </w:t>
            </w:r>
            <w:r w:rsidR="00270F7B" w:rsidRPr="00272930">
              <w:rPr>
                <w:color w:val="000000"/>
                <w:sz w:val="16"/>
                <w:szCs w:val="16"/>
              </w:rPr>
              <w:t>p. </w:t>
            </w:r>
            <w:r w:rsidRPr="00272930">
              <w:rPr>
                <w:color w:val="000000"/>
                <w:sz w:val="16"/>
                <w:szCs w:val="16"/>
              </w:rPr>
              <w:t>3295</w:t>
            </w:r>
          </w:p>
        </w:tc>
      </w:tr>
      <w:tr w:rsidR="008943C4" w:rsidRPr="00272930" w14:paraId="44BE7078" w14:textId="77777777" w:rsidTr="00A92A75">
        <w:trPr>
          <w:cantSplit/>
        </w:trPr>
        <w:tc>
          <w:tcPr>
            <w:tcW w:w="2689" w:type="dxa"/>
            <w:tcBorders>
              <w:top w:val="nil"/>
              <w:left w:val="single" w:sz="4" w:space="0" w:color="auto"/>
              <w:bottom w:val="nil"/>
              <w:right w:val="single" w:sz="4" w:space="0" w:color="auto"/>
            </w:tcBorders>
          </w:tcPr>
          <w:p w14:paraId="5B3EC16D" w14:textId="77777777" w:rsidR="008943C4" w:rsidRPr="00272930" w:rsidRDefault="008943C4" w:rsidP="008943C4">
            <w:pPr>
              <w:spacing w:before="40" w:after="40"/>
              <w:jc w:val="left"/>
              <w:rPr>
                <w:i/>
                <w:color w:val="000000"/>
                <w:sz w:val="16"/>
                <w:szCs w:val="16"/>
              </w:rPr>
            </w:pPr>
            <w:r w:rsidRPr="00272930">
              <w:rPr>
                <w:i/>
                <w:color w:val="000000"/>
                <w:sz w:val="16"/>
                <w:szCs w:val="16"/>
              </w:rPr>
              <w:t xml:space="preserve">Colombia – Anti-Dumping Duties on Frozen Fries from Belgium, </w:t>
            </w:r>
            <w:proofErr w:type="gramStart"/>
            <w:r w:rsidRPr="00272930">
              <w:rPr>
                <w:i/>
                <w:color w:val="000000"/>
                <w:sz w:val="16"/>
                <w:szCs w:val="16"/>
              </w:rPr>
              <w:t>Germany</w:t>
            </w:r>
            <w:proofErr w:type="gramEnd"/>
            <w:r w:rsidRPr="00272930">
              <w:rPr>
                <w:i/>
                <w:color w:val="000000"/>
                <w:sz w:val="16"/>
                <w:szCs w:val="16"/>
              </w:rPr>
              <w:t xml:space="preserve"> and the Netherlands</w:t>
            </w:r>
          </w:p>
        </w:tc>
        <w:tc>
          <w:tcPr>
            <w:tcW w:w="6237" w:type="dxa"/>
            <w:tcBorders>
              <w:top w:val="nil"/>
              <w:left w:val="single" w:sz="4" w:space="0" w:color="auto"/>
              <w:bottom w:val="nil"/>
              <w:right w:val="single" w:sz="4" w:space="0" w:color="auto"/>
            </w:tcBorders>
          </w:tcPr>
          <w:p w14:paraId="118F6265" w14:textId="69C9CE1A" w:rsidR="008943C4" w:rsidRPr="00272930" w:rsidRDefault="00735872" w:rsidP="008943C4">
            <w:pPr>
              <w:tabs>
                <w:tab w:val="left" w:pos="2268"/>
                <w:tab w:val="left" w:pos="4536"/>
              </w:tabs>
              <w:spacing w:before="40" w:after="40"/>
              <w:jc w:val="left"/>
              <w:rPr>
                <w:color w:val="000000"/>
                <w:sz w:val="16"/>
                <w:szCs w:val="16"/>
              </w:rPr>
            </w:pPr>
            <w:r w:rsidRPr="00272930">
              <w:rPr>
                <w:color w:val="000000"/>
                <w:sz w:val="16"/>
                <w:szCs w:val="16"/>
              </w:rPr>
              <w:t xml:space="preserve">Final Panel Report as circulated to Members on 10 October 2022 in </w:t>
            </w:r>
            <w:r w:rsidRPr="00272930">
              <w:rPr>
                <w:i/>
                <w:iCs/>
                <w:color w:val="000000"/>
                <w:sz w:val="16"/>
                <w:szCs w:val="16"/>
              </w:rPr>
              <w:t>Colombia – Anti-Dumping Duties on Frozen Fries from Belgium, Germany and the Netherlands</w:t>
            </w:r>
            <w:r w:rsidRPr="00272930">
              <w:rPr>
                <w:iCs/>
                <w:color w:val="000000"/>
                <w:sz w:val="16"/>
                <w:szCs w:val="16"/>
              </w:rPr>
              <w:t xml:space="preserve">, </w:t>
            </w:r>
            <w:r w:rsidR="00646214">
              <w:rPr>
                <w:iCs/>
                <w:color w:val="000000"/>
                <w:sz w:val="16"/>
                <w:szCs w:val="16"/>
              </w:rPr>
              <w:t>attached to</w:t>
            </w:r>
            <w:r w:rsidR="00763903" w:rsidRPr="00272930">
              <w:rPr>
                <w:iCs/>
                <w:color w:val="000000"/>
                <w:sz w:val="16"/>
                <w:szCs w:val="16"/>
              </w:rPr>
              <w:t xml:space="preserve"> the Notification of an Appeal by Colombia</w:t>
            </w:r>
            <w:r w:rsidR="00763903" w:rsidRPr="00272930">
              <w:t xml:space="preserve"> </w:t>
            </w:r>
            <w:r w:rsidR="00763903" w:rsidRPr="00272930">
              <w:rPr>
                <w:sz w:val="16"/>
                <w:szCs w:val="16"/>
              </w:rPr>
              <w:t>under Article 25 of the DSU, paragraph 5 of the Agreed Procedures, and Rule 20 of the Working Procedures for Appellate Review</w:t>
            </w:r>
            <w:r w:rsidRPr="00272930">
              <w:rPr>
                <w:iCs/>
                <w:color w:val="000000"/>
                <w:sz w:val="16"/>
                <w:szCs w:val="16"/>
              </w:rPr>
              <w:t xml:space="preserve"> (</w:t>
            </w:r>
            <w:hyperlink r:id="rId15" w:history="1">
              <w:r w:rsidRPr="003153F7">
                <w:rPr>
                  <w:rStyle w:val="Hyperlink"/>
                  <w:sz w:val="16"/>
                  <w:szCs w:val="16"/>
                </w:rPr>
                <w:t>WT/DS591/7</w:t>
              </w:r>
            </w:hyperlink>
            <w:r w:rsidRPr="00272930">
              <w:rPr>
                <w:sz w:val="16"/>
                <w:szCs w:val="16"/>
              </w:rPr>
              <w:t xml:space="preserve"> and </w:t>
            </w:r>
            <w:hyperlink r:id="rId16" w:history="1">
              <w:r w:rsidRPr="00F03157">
                <w:rPr>
                  <w:rStyle w:val="Hyperlink"/>
                  <w:sz w:val="16"/>
                  <w:szCs w:val="16"/>
                </w:rPr>
                <w:t>WT/DS591/7/Add.1</w:t>
              </w:r>
            </w:hyperlink>
            <w:r w:rsidRPr="00272930">
              <w:rPr>
                <w:sz w:val="16"/>
                <w:szCs w:val="16"/>
              </w:rPr>
              <w:t>)</w:t>
            </w:r>
          </w:p>
        </w:tc>
      </w:tr>
      <w:tr w:rsidR="008943C4" w:rsidRPr="00272930" w14:paraId="7A29453F" w14:textId="77777777" w:rsidTr="00A92A75">
        <w:trPr>
          <w:cnfStyle w:val="000000010000" w:firstRow="0" w:lastRow="0" w:firstColumn="0" w:lastColumn="0" w:oddVBand="0" w:evenVBand="0" w:oddHBand="0" w:evenHBand="1" w:firstRowFirstColumn="0" w:firstRowLastColumn="0" w:lastRowFirstColumn="0" w:lastRowLastColumn="0"/>
          <w:cantSplit/>
        </w:trPr>
        <w:tc>
          <w:tcPr>
            <w:tcW w:w="2689" w:type="dxa"/>
            <w:tcBorders>
              <w:top w:val="nil"/>
              <w:left w:val="single" w:sz="4" w:space="0" w:color="auto"/>
              <w:bottom w:val="nil"/>
              <w:right w:val="single" w:sz="4" w:space="0" w:color="auto"/>
            </w:tcBorders>
          </w:tcPr>
          <w:p w14:paraId="58ED72C6" w14:textId="330C8EE6" w:rsidR="008943C4" w:rsidRPr="00272930" w:rsidRDefault="008943C4" w:rsidP="008943C4">
            <w:pPr>
              <w:spacing w:before="40" w:after="40"/>
              <w:jc w:val="left"/>
              <w:rPr>
                <w:i/>
                <w:color w:val="000000"/>
                <w:sz w:val="16"/>
                <w:szCs w:val="16"/>
              </w:rPr>
            </w:pPr>
            <w:r w:rsidRPr="00272930">
              <w:rPr>
                <w:i/>
                <w:color w:val="000000"/>
                <w:sz w:val="16"/>
                <w:szCs w:val="16"/>
              </w:rPr>
              <w:t>Costa</w:t>
            </w:r>
            <w:r w:rsidR="00126344">
              <w:rPr>
                <w:i/>
                <w:color w:val="000000"/>
                <w:sz w:val="16"/>
                <w:szCs w:val="16"/>
              </w:rPr>
              <w:t> Rica</w:t>
            </w:r>
            <w:r w:rsidRPr="00272930">
              <w:rPr>
                <w:i/>
                <w:color w:val="000000"/>
                <w:sz w:val="16"/>
                <w:szCs w:val="16"/>
              </w:rPr>
              <w:t xml:space="preserve"> – Avocados</w:t>
            </w:r>
            <w:r w:rsidR="00735872" w:rsidRPr="00272930">
              <w:rPr>
                <w:i/>
                <w:color w:val="000000"/>
                <w:sz w:val="16"/>
                <w:szCs w:val="16"/>
              </w:rPr>
              <w:t xml:space="preserve"> (Mexico)</w:t>
            </w:r>
          </w:p>
        </w:tc>
        <w:tc>
          <w:tcPr>
            <w:tcW w:w="6237" w:type="dxa"/>
            <w:tcBorders>
              <w:top w:val="nil"/>
              <w:left w:val="single" w:sz="4" w:space="0" w:color="auto"/>
              <w:bottom w:val="nil"/>
              <w:right w:val="single" w:sz="4" w:space="0" w:color="auto"/>
            </w:tcBorders>
          </w:tcPr>
          <w:p w14:paraId="28590533" w14:textId="03D2E320" w:rsidR="008943C4" w:rsidRPr="00272930" w:rsidRDefault="00735872" w:rsidP="008943C4">
            <w:pPr>
              <w:tabs>
                <w:tab w:val="left" w:pos="2268"/>
                <w:tab w:val="left" w:pos="4536"/>
              </w:tabs>
              <w:spacing w:before="40" w:after="40"/>
              <w:jc w:val="left"/>
              <w:rPr>
                <w:color w:val="000000"/>
                <w:sz w:val="16"/>
                <w:szCs w:val="16"/>
              </w:rPr>
            </w:pPr>
            <w:r w:rsidRPr="00272930">
              <w:rPr>
                <w:color w:val="000000"/>
                <w:sz w:val="16"/>
                <w:szCs w:val="16"/>
                <w:lang w:eastAsia="en-GB"/>
              </w:rPr>
              <w:t>Panel</w:t>
            </w:r>
            <w:r w:rsidR="00BA4836" w:rsidRPr="00272930">
              <w:rPr>
                <w:color w:val="000000"/>
                <w:sz w:val="16"/>
                <w:szCs w:val="16"/>
                <w:lang w:eastAsia="en-GB"/>
              </w:rPr>
              <w:t> Report</w:t>
            </w:r>
            <w:r w:rsidRPr="00272930">
              <w:rPr>
                <w:color w:val="000000"/>
                <w:sz w:val="16"/>
                <w:szCs w:val="16"/>
                <w:lang w:eastAsia="en-GB"/>
              </w:rPr>
              <w:t xml:space="preserve">, </w:t>
            </w:r>
            <w:r w:rsidRPr="00272930">
              <w:rPr>
                <w:i/>
                <w:iCs/>
                <w:sz w:val="16"/>
                <w:szCs w:val="16"/>
                <w:lang w:eastAsia="en-GB"/>
              </w:rPr>
              <w:t>Costa</w:t>
            </w:r>
            <w:r w:rsidR="00126344">
              <w:rPr>
                <w:i/>
                <w:iCs/>
                <w:sz w:val="16"/>
                <w:szCs w:val="16"/>
                <w:lang w:eastAsia="en-GB"/>
              </w:rPr>
              <w:t> Rica</w:t>
            </w:r>
            <w:r w:rsidRPr="00272930">
              <w:rPr>
                <w:i/>
                <w:iCs/>
                <w:sz w:val="16"/>
                <w:szCs w:val="16"/>
                <w:lang w:eastAsia="en-GB"/>
              </w:rPr>
              <w:t xml:space="preserve"> – Measures Concerning the Importation of Fresh Avocados from Mexico</w:t>
            </w:r>
            <w:r w:rsidRPr="00272930">
              <w:rPr>
                <w:sz w:val="16"/>
                <w:szCs w:val="16"/>
                <w:lang w:eastAsia="en-GB"/>
              </w:rPr>
              <w:t xml:space="preserve">, </w:t>
            </w:r>
            <w:hyperlink r:id="rId17" w:history="1">
              <w:r w:rsidRPr="00272930">
                <w:rPr>
                  <w:rStyle w:val="Hyperlink"/>
                  <w:sz w:val="16"/>
                  <w:szCs w:val="16"/>
                  <w:lang w:eastAsia="en-GB"/>
                </w:rPr>
                <w:t>WT/DS524/R</w:t>
              </w:r>
            </w:hyperlink>
            <w:r w:rsidRPr="00272930">
              <w:rPr>
                <w:color w:val="000000"/>
                <w:sz w:val="16"/>
                <w:szCs w:val="16"/>
                <w:lang w:eastAsia="en-GB"/>
              </w:rPr>
              <w:t xml:space="preserve"> and Add.1, adopted 31</w:t>
            </w:r>
            <w:r w:rsidR="00BA4836" w:rsidRPr="00272930">
              <w:rPr>
                <w:color w:val="000000"/>
                <w:sz w:val="16"/>
                <w:szCs w:val="16"/>
                <w:lang w:eastAsia="en-GB"/>
              </w:rPr>
              <w:t> </w:t>
            </w:r>
            <w:r w:rsidRPr="00272930">
              <w:rPr>
                <w:color w:val="000000"/>
                <w:sz w:val="16"/>
                <w:szCs w:val="16"/>
                <w:lang w:eastAsia="en-GB"/>
              </w:rPr>
              <w:t>May</w:t>
            </w:r>
            <w:r w:rsidR="00BA4836" w:rsidRPr="00272930">
              <w:rPr>
                <w:color w:val="000000"/>
                <w:sz w:val="16"/>
                <w:szCs w:val="16"/>
                <w:lang w:eastAsia="en-GB"/>
              </w:rPr>
              <w:t> </w:t>
            </w:r>
            <w:r w:rsidRPr="00272930">
              <w:rPr>
                <w:color w:val="000000"/>
                <w:sz w:val="16"/>
                <w:szCs w:val="16"/>
                <w:lang w:eastAsia="en-GB"/>
              </w:rPr>
              <w:t>2022</w:t>
            </w:r>
          </w:p>
        </w:tc>
      </w:tr>
      <w:tr w:rsidR="008943C4" w:rsidRPr="00272930" w14:paraId="143BCCF0" w14:textId="77777777" w:rsidTr="00A92A75">
        <w:trPr>
          <w:cantSplit/>
        </w:trPr>
        <w:tc>
          <w:tcPr>
            <w:tcW w:w="2689" w:type="dxa"/>
            <w:tcBorders>
              <w:top w:val="nil"/>
              <w:left w:val="single" w:sz="4" w:space="0" w:color="auto"/>
              <w:bottom w:val="nil"/>
              <w:right w:val="single" w:sz="4" w:space="0" w:color="auto"/>
            </w:tcBorders>
          </w:tcPr>
          <w:p w14:paraId="1C528C48" w14:textId="77777777" w:rsidR="008943C4" w:rsidRPr="00272930" w:rsidRDefault="008943C4" w:rsidP="008943C4">
            <w:pPr>
              <w:spacing w:before="40" w:after="40"/>
              <w:jc w:val="left"/>
              <w:rPr>
                <w:i/>
                <w:color w:val="000000"/>
                <w:sz w:val="16"/>
                <w:szCs w:val="16"/>
              </w:rPr>
            </w:pPr>
            <w:r w:rsidRPr="00272930">
              <w:rPr>
                <w:i/>
                <w:color w:val="000000"/>
                <w:sz w:val="16"/>
                <w:szCs w:val="16"/>
              </w:rPr>
              <w:t>EC – Bed Linen</w:t>
            </w:r>
          </w:p>
        </w:tc>
        <w:tc>
          <w:tcPr>
            <w:tcW w:w="6237" w:type="dxa"/>
            <w:tcBorders>
              <w:top w:val="nil"/>
              <w:left w:val="single" w:sz="4" w:space="0" w:color="auto"/>
              <w:bottom w:val="nil"/>
              <w:right w:val="single" w:sz="4" w:space="0" w:color="auto"/>
            </w:tcBorders>
          </w:tcPr>
          <w:p w14:paraId="25DC6C84" w14:textId="5FE3C6F4" w:rsidR="008943C4" w:rsidRPr="00272930" w:rsidRDefault="00735872" w:rsidP="008943C4">
            <w:pPr>
              <w:tabs>
                <w:tab w:val="left" w:pos="2268"/>
                <w:tab w:val="left" w:pos="4536"/>
              </w:tabs>
              <w:spacing w:before="40" w:after="40"/>
              <w:jc w:val="left"/>
              <w:rPr>
                <w:color w:val="000000"/>
                <w:sz w:val="16"/>
                <w:szCs w:val="16"/>
              </w:rPr>
            </w:pPr>
            <w:r w:rsidRPr="00272930">
              <w:rPr>
                <w:color w:val="000000"/>
                <w:sz w:val="16"/>
                <w:szCs w:val="16"/>
              </w:rPr>
              <w:t>Panel</w:t>
            </w:r>
            <w:r w:rsidR="00BA4836" w:rsidRPr="00272930">
              <w:rPr>
                <w:color w:val="000000"/>
                <w:sz w:val="16"/>
                <w:szCs w:val="16"/>
              </w:rPr>
              <w:t> Report</w:t>
            </w:r>
            <w:r w:rsidRPr="00272930">
              <w:rPr>
                <w:color w:val="000000"/>
                <w:sz w:val="16"/>
                <w:szCs w:val="16"/>
              </w:rPr>
              <w:t xml:space="preserve">, </w:t>
            </w:r>
            <w:r w:rsidRPr="00272930">
              <w:rPr>
                <w:i/>
                <w:color w:val="000000"/>
                <w:sz w:val="16"/>
                <w:szCs w:val="16"/>
              </w:rPr>
              <w:t>European Communities – Anti-Dumping Duties on Imports of Cotton-Type Bed Linen from India</w:t>
            </w:r>
            <w:r w:rsidRPr="00272930">
              <w:rPr>
                <w:color w:val="000000"/>
                <w:sz w:val="16"/>
                <w:szCs w:val="16"/>
              </w:rPr>
              <w:t xml:space="preserve">, </w:t>
            </w:r>
            <w:hyperlink r:id="rId18" w:history="1">
              <w:r w:rsidRPr="00272930">
                <w:rPr>
                  <w:rStyle w:val="Hyperlink"/>
                  <w:sz w:val="16"/>
                  <w:szCs w:val="16"/>
                </w:rPr>
                <w:t>WT/DS141/R</w:t>
              </w:r>
            </w:hyperlink>
            <w:r w:rsidRPr="00272930">
              <w:rPr>
                <w:color w:val="000000"/>
                <w:sz w:val="16"/>
                <w:szCs w:val="16"/>
              </w:rPr>
              <w:t>, adopted 12 March 2001, as modified by Appellate</w:t>
            </w:r>
            <w:r w:rsidR="00BA4836" w:rsidRPr="00272930">
              <w:rPr>
                <w:color w:val="000000"/>
                <w:sz w:val="16"/>
                <w:szCs w:val="16"/>
              </w:rPr>
              <w:t> Body</w:t>
            </w:r>
            <w:r w:rsidRPr="00272930">
              <w:rPr>
                <w:color w:val="000000"/>
                <w:sz w:val="16"/>
                <w:szCs w:val="16"/>
              </w:rPr>
              <w:t xml:space="preserve"> Report WT/DS141/AB/R, DSR 2001:VI, </w:t>
            </w:r>
            <w:r w:rsidR="00270F7B" w:rsidRPr="00272930">
              <w:rPr>
                <w:color w:val="000000"/>
                <w:sz w:val="16"/>
                <w:szCs w:val="16"/>
              </w:rPr>
              <w:t>p. </w:t>
            </w:r>
            <w:r w:rsidRPr="00272930">
              <w:rPr>
                <w:color w:val="000000"/>
                <w:sz w:val="16"/>
                <w:szCs w:val="16"/>
              </w:rPr>
              <w:t>2077</w:t>
            </w:r>
          </w:p>
        </w:tc>
      </w:tr>
      <w:tr w:rsidR="008943C4" w:rsidRPr="00272930" w14:paraId="6CDDAAF1" w14:textId="77777777" w:rsidTr="00A92A75">
        <w:trPr>
          <w:cnfStyle w:val="000000010000" w:firstRow="0" w:lastRow="0" w:firstColumn="0" w:lastColumn="0" w:oddVBand="0" w:evenVBand="0" w:oddHBand="0" w:evenHBand="1" w:firstRowFirstColumn="0" w:firstRowLastColumn="0" w:lastRowFirstColumn="0" w:lastRowLastColumn="0"/>
          <w:cantSplit/>
        </w:trPr>
        <w:tc>
          <w:tcPr>
            <w:tcW w:w="2689" w:type="dxa"/>
            <w:tcBorders>
              <w:top w:val="nil"/>
              <w:left w:val="single" w:sz="4" w:space="0" w:color="auto"/>
              <w:bottom w:val="nil"/>
              <w:right w:val="single" w:sz="4" w:space="0" w:color="auto"/>
            </w:tcBorders>
          </w:tcPr>
          <w:p w14:paraId="5531C384" w14:textId="77777777" w:rsidR="008943C4" w:rsidRPr="00272930" w:rsidRDefault="008943C4" w:rsidP="008943C4">
            <w:pPr>
              <w:spacing w:before="40" w:after="40"/>
              <w:jc w:val="left"/>
              <w:rPr>
                <w:i/>
                <w:color w:val="000000"/>
                <w:sz w:val="16"/>
                <w:szCs w:val="16"/>
              </w:rPr>
            </w:pPr>
            <w:r w:rsidRPr="00272930">
              <w:rPr>
                <w:i/>
                <w:color w:val="000000"/>
                <w:sz w:val="16"/>
                <w:szCs w:val="16"/>
              </w:rPr>
              <w:t xml:space="preserve">EC – Fasteners (China) </w:t>
            </w:r>
          </w:p>
        </w:tc>
        <w:tc>
          <w:tcPr>
            <w:tcW w:w="6237" w:type="dxa"/>
            <w:tcBorders>
              <w:top w:val="nil"/>
              <w:left w:val="single" w:sz="4" w:space="0" w:color="auto"/>
              <w:bottom w:val="nil"/>
              <w:right w:val="single" w:sz="4" w:space="0" w:color="auto"/>
            </w:tcBorders>
          </w:tcPr>
          <w:p w14:paraId="71267EDC" w14:textId="032306B3" w:rsidR="008943C4" w:rsidRPr="00272930" w:rsidRDefault="00D9283E" w:rsidP="008943C4">
            <w:pPr>
              <w:tabs>
                <w:tab w:val="left" w:pos="2268"/>
                <w:tab w:val="left" w:pos="4536"/>
              </w:tabs>
              <w:spacing w:before="40" w:after="40"/>
              <w:jc w:val="left"/>
              <w:rPr>
                <w:color w:val="000000"/>
                <w:sz w:val="16"/>
                <w:szCs w:val="16"/>
              </w:rPr>
            </w:pPr>
            <w:r w:rsidRPr="00272930">
              <w:rPr>
                <w:color w:val="000000"/>
                <w:sz w:val="16"/>
                <w:szCs w:val="16"/>
              </w:rPr>
              <w:t>Appellate</w:t>
            </w:r>
            <w:r w:rsidR="00BA4836" w:rsidRPr="00272930">
              <w:rPr>
                <w:color w:val="000000"/>
                <w:sz w:val="16"/>
                <w:szCs w:val="16"/>
              </w:rPr>
              <w:t> Body</w:t>
            </w:r>
            <w:r w:rsidRPr="00272930">
              <w:rPr>
                <w:color w:val="000000"/>
                <w:sz w:val="16"/>
                <w:szCs w:val="16"/>
              </w:rPr>
              <w:t xml:space="preserve"> Report, </w:t>
            </w:r>
            <w:r w:rsidRPr="00272930">
              <w:rPr>
                <w:i/>
                <w:iCs/>
                <w:color w:val="000000"/>
                <w:sz w:val="16"/>
                <w:szCs w:val="16"/>
              </w:rPr>
              <w:t>European Communities – Definitive Anti-Dumping Measures on Certain Iron or Steel Fasteners from China</w:t>
            </w:r>
            <w:r w:rsidRPr="00272930">
              <w:rPr>
                <w:color w:val="000000"/>
                <w:sz w:val="16"/>
                <w:szCs w:val="16"/>
              </w:rPr>
              <w:t xml:space="preserve">, </w:t>
            </w:r>
            <w:hyperlink r:id="rId19" w:history="1">
              <w:r w:rsidRPr="00272930">
                <w:rPr>
                  <w:rStyle w:val="Hyperlink"/>
                  <w:sz w:val="16"/>
                  <w:szCs w:val="16"/>
                </w:rPr>
                <w:t>WT/DS397/AB/R</w:t>
              </w:r>
            </w:hyperlink>
            <w:r w:rsidRPr="00272930">
              <w:rPr>
                <w:color w:val="000000"/>
                <w:sz w:val="16"/>
                <w:szCs w:val="16"/>
              </w:rPr>
              <w:t xml:space="preserve">, adopted 28 July 2011, DSR 2011:VII, </w:t>
            </w:r>
            <w:r w:rsidR="00270F7B" w:rsidRPr="00272930">
              <w:rPr>
                <w:color w:val="000000"/>
                <w:sz w:val="16"/>
                <w:szCs w:val="16"/>
              </w:rPr>
              <w:t>p. </w:t>
            </w:r>
            <w:r w:rsidRPr="00272930">
              <w:rPr>
                <w:color w:val="000000"/>
                <w:sz w:val="16"/>
                <w:szCs w:val="16"/>
              </w:rPr>
              <w:t>3995</w:t>
            </w:r>
          </w:p>
        </w:tc>
      </w:tr>
      <w:tr w:rsidR="008943C4" w:rsidRPr="00272930" w14:paraId="78DB8C1A" w14:textId="77777777" w:rsidTr="00A92A75">
        <w:trPr>
          <w:cantSplit/>
        </w:trPr>
        <w:tc>
          <w:tcPr>
            <w:tcW w:w="2689" w:type="dxa"/>
            <w:tcBorders>
              <w:top w:val="nil"/>
              <w:left w:val="single" w:sz="4" w:space="0" w:color="auto"/>
              <w:bottom w:val="nil"/>
              <w:right w:val="single" w:sz="4" w:space="0" w:color="auto"/>
            </w:tcBorders>
          </w:tcPr>
          <w:p w14:paraId="5D96C274" w14:textId="2E40A082" w:rsidR="008943C4" w:rsidRPr="00272930" w:rsidRDefault="008943C4" w:rsidP="008943C4">
            <w:pPr>
              <w:spacing w:before="40" w:after="40"/>
              <w:jc w:val="left"/>
              <w:rPr>
                <w:i/>
                <w:color w:val="000000"/>
                <w:sz w:val="16"/>
                <w:szCs w:val="16"/>
              </w:rPr>
            </w:pPr>
            <w:r w:rsidRPr="00272930">
              <w:rPr>
                <w:i/>
                <w:color w:val="000000"/>
                <w:sz w:val="16"/>
                <w:szCs w:val="16"/>
              </w:rPr>
              <w:t>EC – Fasteners (China) (Article</w:t>
            </w:r>
            <w:r w:rsidR="00BA4836" w:rsidRPr="00272930">
              <w:rPr>
                <w:i/>
                <w:color w:val="000000"/>
                <w:sz w:val="16"/>
                <w:szCs w:val="16"/>
              </w:rPr>
              <w:t> </w:t>
            </w:r>
            <w:r w:rsidRPr="00272930">
              <w:rPr>
                <w:i/>
                <w:color w:val="000000"/>
                <w:sz w:val="16"/>
                <w:szCs w:val="16"/>
              </w:rPr>
              <w:t xml:space="preserve">21.5 – China) </w:t>
            </w:r>
          </w:p>
        </w:tc>
        <w:tc>
          <w:tcPr>
            <w:tcW w:w="6237" w:type="dxa"/>
            <w:tcBorders>
              <w:top w:val="nil"/>
              <w:left w:val="single" w:sz="4" w:space="0" w:color="auto"/>
              <w:bottom w:val="nil"/>
              <w:right w:val="single" w:sz="4" w:space="0" w:color="auto"/>
            </w:tcBorders>
          </w:tcPr>
          <w:p w14:paraId="7BAEB826" w14:textId="20CC5BDF" w:rsidR="008943C4" w:rsidRPr="00272930" w:rsidRDefault="00D9283E" w:rsidP="008943C4">
            <w:pPr>
              <w:tabs>
                <w:tab w:val="left" w:pos="2268"/>
                <w:tab w:val="left" w:pos="4536"/>
              </w:tabs>
              <w:spacing w:before="40" w:after="40"/>
              <w:jc w:val="left"/>
              <w:rPr>
                <w:color w:val="000000"/>
                <w:sz w:val="16"/>
                <w:szCs w:val="16"/>
              </w:rPr>
            </w:pPr>
            <w:r w:rsidRPr="00272930">
              <w:rPr>
                <w:color w:val="000000"/>
                <w:spacing w:val="-2"/>
                <w:sz w:val="16"/>
                <w:szCs w:val="16"/>
              </w:rPr>
              <w:t>Appellate</w:t>
            </w:r>
            <w:r w:rsidR="00BA4836" w:rsidRPr="00272930">
              <w:rPr>
                <w:color w:val="000000"/>
                <w:spacing w:val="-2"/>
                <w:sz w:val="16"/>
                <w:szCs w:val="16"/>
              </w:rPr>
              <w:t> Body</w:t>
            </w:r>
            <w:r w:rsidRPr="00272930">
              <w:rPr>
                <w:color w:val="000000"/>
                <w:spacing w:val="-2"/>
                <w:sz w:val="16"/>
                <w:szCs w:val="16"/>
              </w:rPr>
              <w:t xml:space="preserve"> Report, </w:t>
            </w:r>
            <w:r w:rsidRPr="00272930">
              <w:rPr>
                <w:i/>
                <w:iCs/>
                <w:color w:val="000000"/>
                <w:sz w:val="16"/>
                <w:szCs w:val="16"/>
              </w:rPr>
              <w:t>European Communities – Definitive Anti-Dumping Measures on Certain Iron or Steel Fasteners from China – Recourse to Article</w:t>
            </w:r>
            <w:r w:rsidR="00BA4836" w:rsidRPr="00272930">
              <w:rPr>
                <w:i/>
                <w:iCs/>
                <w:color w:val="000000"/>
                <w:sz w:val="16"/>
                <w:szCs w:val="16"/>
              </w:rPr>
              <w:t> </w:t>
            </w:r>
            <w:r w:rsidRPr="00272930">
              <w:rPr>
                <w:i/>
                <w:iCs/>
                <w:color w:val="000000"/>
                <w:sz w:val="16"/>
                <w:szCs w:val="16"/>
              </w:rPr>
              <w:t>21.5 of the DSU by China</w:t>
            </w:r>
            <w:r w:rsidRPr="00272930">
              <w:rPr>
                <w:color w:val="000000"/>
                <w:sz w:val="16"/>
                <w:szCs w:val="16"/>
              </w:rPr>
              <w:t xml:space="preserve">, </w:t>
            </w:r>
            <w:hyperlink r:id="rId20" w:history="1">
              <w:r w:rsidRPr="00272930">
                <w:rPr>
                  <w:rStyle w:val="Hyperlink"/>
                  <w:rFonts w:eastAsia="Times New Roman"/>
                  <w:bCs/>
                  <w:sz w:val="16"/>
                  <w:szCs w:val="16"/>
                </w:rPr>
                <w:t>WT/DS397/AB/RW</w:t>
              </w:r>
            </w:hyperlink>
            <w:r w:rsidRPr="00272930">
              <w:rPr>
                <w:color w:val="000000"/>
                <w:sz w:val="16"/>
                <w:szCs w:val="16"/>
              </w:rPr>
              <w:t xml:space="preserve"> and </w:t>
            </w:r>
            <w:r w:rsidRPr="00272930">
              <w:rPr>
                <w:rFonts w:eastAsia="Times New Roman"/>
                <w:bCs/>
                <w:color w:val="000000"/>
                <w:sz w:val="16"/>
                <w:szCs w:val="16"/>
              </w:rPr>
              <w:t>Add.1</w:t>
            </w:r>
            <w:r w:rsidRPr="00272930">
              <w:rPr>
                <w:color w:val="000000"/>
                <w:sz w:val="16"/>
                <w:szCs w:val="16"/>
              </w:rPr>
              <w:t xml:space="preserve">, adopted 12 February 2016, DSR 2016:I, </w:t>
            </w:r>
            <w:r w:rsidR="00270F7B" w:rsidRPr="00272930">
              <w:rPr>
                <w:color w:val="000000"/>
                <w:sz w:val="16"/>
                <w:szCs w:val="16"/>
              </w:rPr>
              <w:t>p. </w:t>
            </w:r>
            <w:r w:rsidRPr="00272930">
              <w:rPr>
                <w:color w:val="000000"/>
                <w:sz w:val="16"/>
                <w:szCs w:val="16"/>
              </w:rPr>
              <w:t>7</w:t>
            </w:r>
          </w:p>
        </w:tc>
      </w:tr>
      <w:tr w:rsidR="008943C4" w:rsidRPr="00272930" w14:paraId="69BB410A" w14:textId="77777777" w:rsidTr="00A92A75">
        <w:trPr>
          <w:cnfStyle w:val="000000010000" w:firstRow="0" w:lastRow="0" w:firstColumn="0" w:lastColumn="0" w:oddVBand="0" w:evenVBand="0" w:oddHBand="0" w:evenHBand="1" w:firstRowFirstColumn="0" w:firstRowLastColumn="0" w:lastRowFirstColumn="0" w:lastRowLastColumn="0"/>
          <w:cantSplit/>
        </w:trPr>
        <w:tc>
          <w:tcPr>
            <w:tcW w:w="2689" w:type="dxa"/>
            <w:tcBorders>
              <w:top w:val="nil"/>
              <w:left w:val="single" w:sz="4" w:space="0" w:color="auto"/>
              <w:bottom w:val="nil"/>
              <w:right w:val="single" w:sz="4" w:space="0" w:color="auto"/>
            </w:tcBorders>
          </w:tcPr>
          <w:p w14:paraId="3C8110C2" w14:textId="77777777" w:rsidR="008943C4" w:rsidRPr="00272930" w:rsidRDefault="008943C4" w:rsidP="008943C4">
            <w:pPr>
              <w:spacing w:before="40" w:after="40"/>
              <w:jc w:val="left"/>
              <w:rPr>
                <w:i/>
                <w:color w:val="000000"/>
                <w:sz w:val="16"/>
                <w:szCs w:val="16"/>
              </w:rPr>
            </w:pPr>
            <w:r w:rsidRPr="00272930">
              <w:rPr>
                <w:i/>
                <w:color w:val="000000"/>
                <w:sz w:val="16"/>
                <w:szCs w:val="16"/>
              </w:rPr>
              <w:t xml:space="preserve">EC – Salmon (Norway) </w:t>
            </w:r>
          </w:p>
        </w:tc>
        <w:tc>
          <w:tcPr>
            <w:tcW w:w="6237" w:type="dxa"/>
            <w:tcBorders>
              <w:top w:val="nil"/>
              <w:left w:val="single" w:sz="4" w:space="0" w:color="auto"/>
              <w:bottom w:val="nil"/>
              <w:right w:val="single" w:sz="4" w:space="0" w:color="auto"/>
            </w:tcBorders>
          </w:tcPr>
          <w:p w14:paraId="3E6CA9CF" w14:textId="35D5D034" w:rsidR="008943C4" w:rsidRPr="00272930" w:rsidRDefault="00D9283E" w:rsidP="008943C4">
            <w:pPr>
              <w:tabs>
                <w:tab w:val="left" w:pos="2268"/>
                <w:tab w:val="left" w:pos="4536"/>
              </w:tabs>
              <w:spacing w:before="40" w:after="40"/>
              <w:jc w:val="left"/>
              <w:rPr>
                <w:color w:val="000000"/>
                <w:sz w:val="16"/>
                <w:szCs w:val="16"/>
              </w:rPr>
            </w:pPr>
            <w:r w:rsidRPr="00272930">
              <w:rPr>
                <w:color w:val="000000"/>
                <w:sz w:val="16"/>
                <w:szCs w:val="16"/>
              </w:rPr>
              <w:t>Panel</w:t>
            </w:r>
            <w:r w:rsidR="00BA4836" w:rsidRPr="00272930">
              <w:rPr>
                <w:color w:val="000000"/>
                <w:sz w:val="16"/>
                <w:szCs w:val="16"/>
              </w:rPr>
              <w:t> Report</w:t>
            </w:r>
            <w:r w:rsidRPr="00272930">
              <w:rPr>
                <w:color w:val="000000"/>
                <w:sz w:val="16"/>
                <w:szCs w:val="16"/>
              </w:rPr>
              <w:t xml:space="preserve">, </w:t>
            </w:r>
            <w:r w:rsidRPr="00272930">
              <w:rPr>
                <w:i/>
                <w:color w:val="000000"/>
                <w:sz w:val="16"/>
                <w:szCs w:val="16"/>
              </w:rPr>
              <w:t>European Communities – Anti-Dumping Measure on Farmed Salmon from Norway</w:t>
            </w:r>
            <w:r w:rsidRPr="00272930">
              <w:rPr>
                <w:color w:val="000000"/>
                <w:sz w:val="16"/>
                <w:szCs w:val="16"/>
              </w:rPr>
              <w:t xml:space="preserve">, </w:t>
            </w:r>
            <w:hyperlink r:id="rId21" w:history="1">
              <w:r w:rsidRPr="00272930">
                <w:rPr>
                  <w:rStyle w:val="Hyperlink"/>
                  <w:sz w:val="16"/>
                  <w:szCs w:val="16"/>
                </w:rPr>
                <w:t>WT/DS337/R</w:t>
              </w:r>
            </w:hyperlink>
            <w:r w:rsidRPr="00272930">
              <w:rPr>
                <w:color w:val="000000"/>
                <w:sz w:val="16"/>
                <w:szCs w:val="16"/>
              </w:rPr>
              <w:t>, adopted 15 January 2008, and Corr.1, DSR 2008:I, p. 3</w:t>
            </w:r>
          </w:p>
        </w:tc>
      </w:tr>
      <w:tr w:rsidR="008943C4" w:rsidRPr="00272930" w14:paraId="3C4ED7AF" w14:textId="77777777" w:rsidTr="00A92A75">
        <w:trPr>
          <w:cantSplit/>
        </w:trPr>
        <w:tc>
          <w:tcPr>
            <w:tcW w:w="2689" w:type="dxa"/>
            <w:tcBorders>
              <w:top w:val="nil"/>
              <w:left w:val="single" w:sz="4" w:space="0" w:color="auto"/>
              <w:bottom w:val="nil"/>
              <w:right w:val="single" w:sz="4" w:space="0" w:color="auto"/>
            </w:tcBorders>
          </w:tcPr>
          <w:p w14:paraId="4FBB0A7A" w14:textId="77777777" w:rsidR="008943C4" w:rsidRPr="00272930" w:rsidRDefault="008943C4" w:rsidP="008943C4">
            <w:pPr>
              <w:spacing w:before="40" w:after="40"/>
              <w:jc w:val="left"/>
              <w:rPr>
                <w:i/>
                <w:color w:val="000000"/>
                <w:sz w:val="16"/>
                <w:szCs w:val="16"/>
              </w:rPr>
            </w:pPr>
            <w:r w:rsidRPr="00272930">
              <w:rPr>
                <w:i/>
                <w:color w:val="000000"/>
                <w:sz w:val="16"/>
                <w:szCs w:val="16"/>
              </w:rPr>
              <w:t>EC – Selected Customs Matter</w:t>
            </w:r>
          </w:p>
        </w:tc>
        <w:tc>
          <w:tcPr>
            <w:tcW w:w="6237" w:type="dxa"/>
            <w:tcBorders>
              <w:top w:val="nil"/>
              <w:left w:val="single" w:sz="4" w:space="0" w:color="auto"/>
              <w:bottom w:val="nil"/>
              <w:right w:val="single" w:sz="4" w:space="0" w:color="auto"/>
            </w:tcBorders>
          </w:tcPr>
          <w:p w14:paraId="558DCF19" w14:textId="43AF6949" w:rsidR="008943C4" w:rsidRPr="00272930" w:rsidRDefault="00D9283E" w:rsidP="008943C4">
            <w:pPr>
              <w:tabs>
                <w:tab w:val="left" w:pos="2268"/>
                <w:tab w:val="left" w:pos="4536"/>
              </w:tabs>
              <w:spacing w:before="40" w:after="40"/>
              <w:jc w:val="left"/>
              <w:rPr>
                <w:color w:val="000000"/>
                <w:sz w:val="16"/>
                <w:szCs w:val="16"/>
              </w:rPr>
            </w:pPr>
            <w:r w:rsidRPr="00272930">
              <w:rPr>
                <w:color w:val="000000"/>
                <w:sz w:val="16"/>
                <w:szCs w:val="16"/>
              </w:rPr>
              <w:t>Appellate</w:t>
            </w:r>
            <w:r w:rsidR="00BA4836" w:rsidRPr="00272930">
              <w:rPr>
                <w:color w:val="000000"/>
                <w:sz w:val="16"/>
                <w:szCs w:val="16"/>
              </w:rPr>
              <w:t> Body</w:t>
            </w:r>
            <w:r w:rsidRPr="00272930">
              <w:rPr>
                <w:color w:val="000000"/>
                <w:sz w:val="16"/>
                <w:szCs w:val="16"/>
              </w:rPr>
              <w:t xml:space="preserve"> Report, </w:t>
            </w:r>
            <w:r w:rsidRPr="00272930">
              <w:rPr>
                <w:i/>
                <w:color w:val="000000"/>
                <w:sz w:val="16"/>
                <w:szCs w:val="16"/>
              </w:rPr>
              <w:t>European Communities – Selected Customs Matters</w:t>
            </w:r>
            <w:r w:rsidRPr="00272930">
              <w:rPr>
                <w:color w:val="000000"/>
                <w:sz w:val="16"/>
                <w:szCs w:val="16"/>
              </w:rPr>
              <w:t xml:space="preserve">, </w:t>
            </w:r>
            <w:hyperlink r:id="rId22" w:history="1">
              <w:r w:rsidRPr="00272930">
                <w:rPr>
                  <w:rStyle w:val="Hyperlink"/>
                  <w:sz w:val="16"/>
                  <w:szCs w:val="16"/>
                </w:rPr>
                <w:t>WT/DS315/AB/R</w:t>
              </w:r>
            </w:hyperlink>
            <w:r w:rsidRPr="00272930">
              <w:rPr>
                <w:color w:val="000000"/>
                <w:sz w:val="16"/>
                <w:szCs w:val="16"/>
              </w:rPr>
              <w:t>, adopted 11 December 2006, DSR 2006:IX, p. 3791</w:t>
            </w:r>
          </w:p>
        </w:tc>
      </w:tr>
      <w:tr w:rsidR="008943C4" w:rsidRPr="00272930" w14:paraId="3C58C70B" w14:textId="77777777" w:rsidTr="00A92A75">
        <w:trPr>
          <w:cnfStyle w:val="000000010000" w:firstRow="0" w:lastRow="0" w:firstColumn="0" w:lastColumn="0" w:oddVBand="0" w:evenVBand="0" w:oddHBand="0" w:evenHBand="1" w:firstRowFirstColumn="0" w:firstRowLastColumn="0" w:lastRowFirstColumn="0" w:lastRowLastColumn="0"/>
          <w:cantSplit/>
        </w:trPr>
        <w:tc>
          <w:tcPr>
            <w:tcW w:w="2689" w:type="dxa"/>
            <w:tcBorders>
              <w:top w:val="nil"/>
              <w:left w:val="single" w:sz="4" w:space="0" w:color="auto"/>
              <w:bottom w:val="nil"/>
              <w:right w:val="single" w:sz="4" w:space="0" w:color="auto"/>
            </w:tcBorders>
          </w:tcPr>
          <w:p w14:paraId="37B53A1A" w14:textId="77777777" w:rsidR="008943C4" w:rsidRPr="00272930" w:rsidRDefault="008943C4" w:rsidP="008943C4">
            <w:pPr>
              <w:spacing w:before="40" w:after="40"/>
              <w:jc w:val="left"/>
              <w:rPr>
                <w:i/>
                <w:color w:val="000000"/>
                <w:sz w:val="16"/>
                <w:szCs w:val="16"/>
              </w:rPr>
            </w:pPr>
            <w:r w:rsidRPr="00272930">
              <w:rPr>
                <w:i/>
                <w:color w:val="000000"/>
                <w:sz w:val="16"/>
                <w:szCs w:val="16"/>
              </w:rPr>
              <w:t>EC – Tube or Pipe Fittings</w:t>
            </w:r>
          </w:p>
        </w:tc>
        <w:tc>
          <w:tcPr>
            <w:tcW w:w="6237" w:type="dxa"/>
            <w:tcBorders>
              <w:top w:val="nil"/>
              <w:left w:val="single" w:sz="4" w:space="0" w:color="auto"/>
              <w:bottom w:val="nil"/>
              <w:right w:val="single" w:sz="4" w:space="0" w:color="auto"/>
            </w:tcBorders>
          </w:tcPr>
          <w:p w14:paraId="3E82D601" w14:textId="052210C0" w:rsidR="008943C4" w:rsidRPr="00272930" w:rsidRDefault="005675BF" w:rsidP="008943C4">
            <w:pPr>
              <w:tabs>
                <w:tab w:val="left" w:pos="2268"/>
                <w:tab w:val="left" w:pos="4536"/>
              </w:tabs>
              <w:spacing w:before="40" w:after="40"/>
              <w:jc w:val="left"/>
              <w:rPr>
                <w:color w:val="000000"/>
                <w:sz w:val="16"/>
                <w:szCs w:val="16"/>
              </w:rPr>
            </w:pPr>
            <w:r w:rsidRPr="00272930">
              <w:rPr>
                <w:color w:val="000000"/>
                <w:sz w:val="16"/>
                <w:szCs w:val="16"/>
              </w:rPr>
              <w:t>Panel</w:t>
            </w:r>
            <w:r w:rsidR="00BA4836" w:rsidRPr="00272930">
              <w:rPr>
                <w:color w:val="000000"/>
                <w:sz w:val="16"/>
                <w:szCs w:val="16"/>
              </w:rPr>
              <w:t> Report</w:t>
            </w:r>
            <w:r w:rsidRPr="00272930">
              <w:rPr>
                <w:color w:val="000000"/>
                <w:sz w:val="16"/>
                <w:szCs w:val="16"/>
              </w:rPr>
              <w:t xml:space="preserve">, </w:t>
            </w:r>
            <w:r w:rsidRPr="00272930">
              <w:rPr>
                <w:i/>
                <w:color w:val="000000"/>
                <w:sz w:val="16"/>
                <w:szCs w:val="16"/>
              </w:rPr>
              <w:t>European Communities – Anti-Dumping Duties on Malleable Cast Iron Tube or Pipe Fittings from Brazil</w:t>
            </w:r>
            <w:r w:rsidRPr="00272930">
              <w:rPr>
                <w:color w:val="000000"/>
                <w:sz w:val="16"/>
                <w:szCs w:val="16"/>
              </w:rPr>
              <w:t xml:space="preserve">, </w:t>
            </w:r>
            <w:hyperlink r:id="rId23" w:history="1">
              <w:r w:rsidRPr="00272930">
                <w:rPr>
                  <w:rStyle w:val="Hyperlink"/>
                  <w:sz w:val="16"/>
                  <w:szCs w:val="16"/>
                </w:rPr>
                <w:t>WT/DS219/R</w:t>
              </w:r>
            </w:hyperlink>
            <w:r w:rsidRPr="00272930">
              <w:rPr>
                <w:color w:val="000000"/>
                <w:sz w:val="16"/>
                <w:szCs w:val="16"/>
              </w:rPr>
              <w:t>, adopted 18 August 2003, as modified by Appellate</w:t>
            </w:r>
            <w:r w:rsidR="00BA4836" w:rsidRPr="00272930">
              <w:rPr>
                <w:color w:val="000000"/>
                <w:sz w:val="16"/>
                <w:szCs w:val="16"/>
              </w:rPr>
              <w:t> Body</w:t>
            </w:r>
            <w:r w:rsidRPr="00272930">
              <w:rPr>
                <w:color w:val="000000"/>
                <w:sz w:val="16"/>
                <w:szCs w:val="16"/>
              </w:rPr>
              <w:t xml:space="preserve"> Report WT/DS219/AB/R, DSR 2003:VII, p. 2701</w:t>
            </w:r>
          </w:p>
        </w:tc>
      </w:tr>
      <w:tr w:rsidR="008943C4" w:rsidRPr="00272930" w14:paraId="128A8A8C" w14:textId="77777777" w:rsidTr="00A92A75">
        <w:trPr>
          <w:cantSplit/>
        </w:trPr>
        <w:tc>
          <w:tcPr>
            <w:tcW w:w="2689" w:type="dxa"/>
            <w:tcBorders>
              <w:top w:val="nil"/>
              <w:left w:val="single" w:sz="4" w:space="0" w:color="auto"/>
              <w:bottom w:val="nil"/>
              <w:right w:val="single" w:sz="4" w:space="0" w:color="auto"/>
            </w:tcBorders>
          </w:tcPr>
          <w:p w14:paraId="34D8D34E" w14:textId="77777777" w:rsidR="008943C4" w:rsidRPr="00272930" w:rsidRDefault="008943C4" w:rsidP="008943C4">
            <w:pPr>
              <w:spacing w:before="40" w:after="40"/>
              <w:jc w:val="left"/>
              <w:rPr>
                <w:i/>
                <w:color w:val="000000"/>
                <w:sz w:val="16"/>
                <w:szCs w:val="16"/>
              </w:rPr>
            </w:pPr>
            <w:r w:rsidRPr="00272930">
              <w:rPr>
                <w:i/>
                <w:color w:val="000000"/>
                <w:sz w:val="16"/>
                <w:szCs w:val="16"/>
              </w:rPr>
              <w:t>EU – Biodiesel (Argentina)</w:t>
            </w:r>
          </w:p>
        </w:tc>
        <w:tc>
          <w:tcPr>
            <w:tcW w:w="6237" w:type="dxa"/>
            <w:tcBorders>
              <w:top w:val="nil"/>
              <w:left w:val="single" w:sz="4" w:space="0" w:color="auto"/>
              <w:bottom w:val="nil"/>
              <w:right w:val="single" w:sz="4" w:space="0" w:color="auto"/>
            </w:tcBorders>
          </w:tcPr>
          <w:p w14:paraId="7D2F16CC" w14:textId="2A6A26B0" w:rsidR="008943C4" w:rsidRPr="00272930" w:rsidRDefault="005675BF" w:rsidP="008943C4">
            <w:pPr>
              <w:tabs>
                <w:tab w:val="left" w:pos="2268"/>
                <w:tab w:val="left" w:pos="4536"/>
              </w:tabs>
              <w:spacing w:before="40" w:after="40"/>
              <w:jc w:val="left"/>
              <w:rPr>
                <w:color w:val="000000"/>
                <w:sz w:val="16"/>
                <w:szCs w:val="16"/>
              </w:rPr>
            </w:pPr>
            <w:r w:rsidRPr="00272930">
              <w:rPr>
                <w:color w:val="000000"/>
                <w:sz w:val="16"/>
                <w:szCs w:val="16"/>
              </w:rPr>
              <w:t>Panel</w:t>
            </w:r>
            <w:r w:rsidR="00BA4836" w:rsidRPr="00272930">
              <w:rPr>
                <w:color w:val="000000"/>
                <w:sz w:val="16"/>
                <w:szCs w:val="16"/>
              </w:rPr>
              <w:t> Report</w:t>
            </w:r>
            <w:r w:rsidRPr="00272930">
              <w:rPr>
                <w:color w:val="000000"/>
                <w:sz w:val="16"/>
                <w:szCs w:val="16"/>
              </w:rPr>
              <w:t xml:space="preserve">, </w:t>
            </w:r>
            <w:r w:rsidRPr="00272930">
              <w:rPr>
                <w:i/>
                <w:color w:val="000000"/>
                <w:sz w:val="16"/>
                <w:szCs w:val="16"/>
              </w:rPr>
              <w:t>European Union – Anti-Dumping Measures on Biodiesel from Argentina</w:t>
            </w:r>
            <w:r w:rsidRPr="00272930">
              <w:rPr>
                <w:color w:val="000000"/>
                <w:sz w:val="16"/>
                <w:szCs w:val="16"/>
              </w:rPr>
              <w:t xml:space="preserve">, </w:t>
            </w:r>
            <w:hyperlink r:id="rId24" w:history="1">
              <w:r w:rsidRPr="00272930">
                <w:rPr>
                  <w:rStyle w:val="Hyperlink"/>
                  <w:sz w:val="16"/>
                  <w:szCs w:val="16"/>
                </w:rPr>
                <w:t>WT/DS473/R</w:t>
              </w:r>
            </w:hyperlink>
            <w:r w:rsidRPr="00272930">
              <w:rPr>
                <w:color w:val="000000"/>
                <w:sz w:val="16"/>
                <w:szCs w:val="16"/>
              </w:rPr>
              <w:t xml:space="preserve"> </w:t>
            </w:r>
            <w:r w:rsidRPr="00272930">
              <w:rPr>
                <w:color w:val="000000"/>
                <w:spacing w:val="-2"/>
                <w:sz w:val="16"/>
                <w:szCs w:val="16"/>
              </w:rPr>
              <w:t xml:space="preserve">and Add.1, </w:t>
            </w:r>
            <w:r w:rsidRPr="00272930">
              <w:rPr>
                <w:color w:val="000000"/>
                <w:sz w:val="16"/>
                <w:szCs w:val="16"/>
              </w:rPr>
              <w:t>adopted 26 October 2016, as modified by Appellate</w:t>
            </w:r>
            <w:r w:rsidR="00BA4836" w:rsidRPr="00272930">
              <w:rPr>
                <w:color w:val="000000"/>
                <w:sz w:val="16"/>
                <w:szCs w:val="16"/>
              </w:rPr>
              <w:t> Body</w:t>
            </w:r>
            <w:r w:rsidRPr="00272930">
              <w:rPr>
                <w:color w:val="000000"/>
                <w:sz w:val="16"/>
                <w:szCs w:val="16"/>
              </w:rPr>
              <w:t xml:space="preserve"> Report WT/DS473/AB/R, DSR 2016:VI, p. 3077</w:t>
            </w:r>
          </w:p>
        </w:tc>
      </w:tr>
      <w:tr w:rsidR="008943C4" w:rsidRPr="00272930" w14:paraId="04294156" w14:textId="77777777" w:rsidTr="00A92A75">
        <w:trPr>
          <w:cnfStyle w:val="000000010000" w:firstRow="0" w:lastRow="0" w:firstColumn="0" w:lastColumn="0" w:oddVBand="0" w:evenVBand="0" w:oddHBand="0" w:evenHBand="1" w:firstRowFirstColumn="0" w:firstRowLastColumn="0" w:lastRowFirstColumn="0" w:lastRowLastColumn="0"/>
          <w:cantSplit/>
        </w:trPr>
        <w:tc>
          <w:tcPr>
            <w:tcW w:w="2689" w:type="dxa"/>
            <w:tcBorders>
              <w:top w:val="nil"/>
              <w:left w:val="single" w:sz="4" w:space="0" w:color="auto"/>
              <w:bottom w:val="nil"/>
              <w:right w:val="single" w:sz="4" w:space="0" w:color="auto"/>
            </w:tcBorders>
          </w:tcPr>
          <w:p w14:paraId="67F1C8D7" w14:textId="77777777" w:rsidR="008943C4" w:rsidRPr="00272930" w:rsidRDefault="008943C4" w:rsidP="008943C4">
            <w:pPr>
              <w:spacing w:before="40" w:after="40"/>
              <w:jc w:val="left"/>
              <w:rPr>
                <w:i/>
                <w:color w:val="000000"/>
                <w:sz w:val="16"/>
                <w:szCs w:val="16"/>
              </w:rPr>
            </w:pPr>
            <w:r w:rsidRPr="00272930">
              <w:rPr>
                <w:i/>
                <w:color w:val="000000"/>
                <w:sz w:val="16"/>
                <w:szCs w:val="16"/>
              </w:rPr>
              <w:t>EU – Fatty Alcohols (Indonesia)</w:t>
            </w:r>
          </w:p>
        </w:tc>
        <w:tc>
          <w:tcPr>
            <w:tcW w:w="6237" w:type="dxa"/>
            <w:tcBorders>
              <w:top w:val="nil"/>
              <w:left w:val="single" w:sz="4" w:space="0" w:color="auto"/>
              <w:bottom w:val="nil"/>
              <w:right w:val="single" w:sz="4" w:space="0" w:color="auto"/>
            </w:tcBorders>
          </w:tcPr>
          <w:p w14:paraId="41B2D1D9" w14:textId="57DFE71E" w:rsidR="008943C4" w:rsidRPr="00272930" w:rsidRDefault="005675BF" w:rsidP="008943C4">
            <w:pPr>
              <w:tabs>
                <w:tab w:val="left" w:pos="2268"/>
                <w:tab w:val="left" w:pos="4536"/>
              </w:tabs>
              <w:spacing w:before="40" w:after="40"/>
              <w:jc w:val="left"/>
              <w:rPr>
                <w:color w:val="000000"/>
                <w:sz w:val="16"/>
                <w:szCs w:val="16"/>
              </w:rPr>
            </w:pPr>
            <w:r w:rsidRPr="00272930">
              <w:rPr>
                <w:color w:val="000000"/>
                <w:sz w:val="16"/>
                <w:szCs w:val="16"/>
              </w:rPr>
              <w:t>Appellate</w:t>
            </w:r>
            <w:r w:rsidR="00BA4836" w:rsidRPr="00272930">
              <w:rPr>
                <w:color w:val="000000"/>
                <w:sz w:val="16"/>
                <w:szCs w:val="16"/>
              </w:rPr>
              <w:t> Body</w:t>
            </w:r>
            <w:r w:rsidRPr="00272930">
              <w:rPr>
                <w:color w:val="000000"/>
                <w:sz w:val="16"/>
                <w:szCs w:val="16"/>
              </w:rPr>
              <w:t xml:space="preserve"> Report, </w:t>
            </w:r>
            <w:r w:rsidRPr="00272930">
              <w:rPr>
                <w:i/>
                <w:color w:val="000000"/>
                <w:sz w:val="16"/>
                <w:szCs w:val="16"/>
              </w:rPr>
              <w:t>European Union – Anti-Dumping Measures on Imports of Certain Fatty Alcohols from Indonesia</w:t>
            </w:r>
            <w:r w:rsidRPr="00272930">
              <w:rPr>
                <w:color w:val="000000"/>
                <w:sz w:val="16"/>
                <w:szCs w:val="16"/>
              </w:rPr>
              <w:t xml:space="preserve">, </w:t>
            </w:r>
            <w:hyperlink r:id="rId25" w:history="1">
              <w:r w:rsidRPr="00272930">
                <w:rPr>
                  <w:rStyle w:val="Hyperlink"/>
                  <w:sz w:val="16"/>
                  <w:szCs w:val="16"/>
                </w:rPr>
                <w:t>WT/DS442/AB/R</w:t>
              </w:r>
            </w:hyperlink>
            <w:r w:rsidRPr="00272930">
              <w:rPr>
                <w:color w:val="000000"/>
                <w:sz w:val="16"/>
                <w:szCs w:val="16"/>
              </w:rPr>
              <w:t xml:space="preserve"> and Add.1, adopted 29 September 2017, DSR 2017:VI, </w:t>
            </w:r>
            <w:r w:rsidR="00270F7B" w:rsidRPr="00272930">
              <w:rPr>
                <w:color w:val="000000"/>
                <w:sz w:val="16"/>
                <w:szCs w:val="16"/>
              </w:rPr>
              <w:t>p. </w:t>
            </w:r>
            <w:r w:rsidRPr="00272930">
              <w:rPr>
                <w:color w:val="000000"/>
                <w:sz w:val="16"/>
                <w:szCs w:val="16"/>
              </w:rPr>
              <w:t>2613</w:t>
            </w:r>
          </w:p>
        </w:tc>
      </w:tr>
      <w:tr w:rsidR="008943C4" w:rsidRPr="00272930" w14:paraId="55BAD9FA" w14:textId="77777777" w:rsidTr="00A92A75">
        <w:trPr>
          <w:cantSplit/>
        </w:trPr>
        <w:tc>
          <w:tcPr>
            <w:tcW w:w="2689" w:type="dxa"/>
            <w:tcBorders>
              <w:top w:val="nil"/>
              <w:left w:val="single" w:sz="4" w:space="0" w:color="auto"/>
              <w:bottom w:val="nil"/>
              <w:right w:val="single" w:sz="4" w:space="0" w:color="auto"/>
            </w:tcBorders>
          </w:tcPr>
          <w:p w14:paraId="3DBC2901" w14:textId="77777777" w:rsidR="008943C4" w:rsidRPr="00272930" w:rsidRDefault="008943C4" w:rsidP="008943C4">
            <w:pPr>
              <w:spacing w:before="40" w:after="40"/>
              <w:jc w:val="left"/>
              <w:rPr>
                <w:i/>
                <w:color w:val="000000"/>
                <w:sz w:val="16"/>
                <w:szCs w:val="16"/>
              </w:rPr>
            </w:pPr>
            <w:r w:rsidRPr="00272930">
              <w:rPr>
                <w:i/>
                <w:color w:val="000000"/>
                <w:sz w:val="16"/>
                <w:szCs w:val="16"/>
              </w:rPr>
              <w:t>Guatemala – Cement II</w:t>
            </w:r>
          </w:p>
        </w:tc>
        <w:tc>
          <w:tcPr>
            <w:tcW w:w="6237" w:type="dxa"/>
            <w:tcBorders>
              <w:top w:val="nil"/>
              <w:left w:val="single" w:sz="4" w:space="0" w:color="auto"/>
              <w:bottom w:val="nil"/>
              <w:right w:val="single" w:sz="4" w:space="0" w:color="auto"/>
            </w:tcBorders>
          </w:tcPr>
          <w:p w14:paraId="767DDE02" w14:textId="59A55462" w:rsidR="008943C4" w:rsidRPr="00272930" w:rsidRDefault="005675BF" w:rsidP="008943C4">
            <w:pPr>
              <w:tabs>
                <w:tab w:val="left" w:pos="2268"/>
                <w:tab w:val="left" w:pos="4536"/>
              </w:tabs>
              <w:spacing w:before="40" w:after="40"/>
              <w:jc w:val="left"/>
              <w:rPr>
                <w:color w:val="000000"/>
                <w:sz w:val="16"/>
                <w:szCs w:val="16"/>
              </w:rPr>
            </w:pPr>
            <w:r w:rsidRPr="00272930">
              <w:rPr>
                <w:color w:val="000000"/>
                <w:sz w:val="16"/>
                <w:szCs w:val="16"/>
              </w:rPr>
              <w:t>Panel</w:t>
            </w:r>
            <w:r w:rsidR="00BA4836" w:rsidRPr="00272930">
              <w:rPr>
                <w:color w:val="000000"/>
                <w:sz w:val="16"/>
                <w:szCs w:val="16"/>
              </w:rPr>
              <w:t> Report</w:t>
            </w:r>
            <w:r w:rsidRPr="00272930">
              <w:rPr>
                <w:color w:val="000000"/>
                <w:sz w:val="16"/>
                <w:szCs w:val="16"/>
              </w:rPr>
              <w:t xml:space="preserve">, </w:t>
            </w:r>
            <w:r w:rsidRPr="00272930">
              <w:rPr>
                <w:i/>
                <w:color w:val="000000"/>
                <w:sz w:val="16"/>
                <w:szCs w:val="16"/>
              </w:rPr>
              <w:t>Guatemala – Definitive Anti-Dumping Measures on Grey Portland Cement from Mexico</w:t>
            </w:r>
            <w:r w:rsidRPr="00272930">
              <w:rPr>
                <w:color w:val="000000"/>
                <w:sz w:val="16"/>
                <w:szCs w:val="16"/>
              </w:rPr>
              <w:t xml:space="preserve">, </w:t>
            </w:r>
            <w:hyperlink r:id="rId26" w:history="1">
              <w:r w:rsidRPr="00272930">
                <w:rPr>
                  <w:rStyle w:val="Hyperlink"/>
                  <w:sz w:val="16"/>
                  <w:szCs w:val="16"/>
                </w:rPr>
                <w:t>WT/DS156/R</w:t>
              </w:r>
            </w:hyperlink>
            <w:r w:rsidRPr="00272930">
              <w:rPr>
                <w:color w:val="000000"/>
                <w:sz w:val="16"/>
                <w:szCs w:val="16"/>
              </w:rPr>
              <w:t>, adopted 17 November 2000, DSR 2000:XI, p. 5295</w:t>
            </w:r>
          </w:p>
        </w:tc>
      </w:tr>
      <w:tr w:rsidR="008943C4" w:rsidRPr="00272930" w14:paraId="61D89F46" w14:textId="77777777" w:rsidTr="00CA1995">
        <w:trPr>
          <w:cnfStyle w:val="000000010000" w:firstRow="0" w:lastRow="0" w:firstColumn="0" w:lastColumn="0" w:oddVBand="0" w:evenVBand="0" w:oddHBand="0" w:evenHBand="1" w:firstRowFirstColumn="0" w:firstRowLastColumn="0" w:lastRowFirstColumn="0" w:lastRowLastColumn="0"/>
          <w:cantSplit/>
        </w:trPr>
        <w:tc>
          <w:tcPr>
            <w:tcW w:w="2689" w:type="dxa"/>
            <w:tcBorders>
              <w:top w:val="nil"/>
              <w:left w:val="single" w:sz="4" w:space="0" w:color="auto"/>
              <w:bottom w:val="nil"/>
              <w:right w:val="single" w:sz="4" w:space="0" w:color="auto"/>
            </w:tcBorders>
          </w:tcPr>
          <w:p w14:paraId="7C493158" w14:textId="77777777" w:rsidR="008943C4" w:rsidRPr="00272930" w:rsidRDefault="008943C4" w:rsidP="008943C4">
            <w:pPr>
              <w:spacing w:before="40" w:after="40"/>
              <w:jc w:val="left"/>
              <w:rPr>
                <w:i/>
                <w:color w:val="000000"/>
                <w:sz w:val="16"/>
                <w:szCs w:val="16"/>
              </w:rPr>
            </w:pPr>
            <w:r w:rsidRPr="00272930">
              <w:rPr>
                <w:i/>
                <w:color w:val="000000"/>
                <w:sz w:val="16"/>
                <w:szCs w:val="16"/>
              </w:rPr>
              <w:t>Korea – Dairy</w:t>
            </w:r>
          </w:p>
        </w:tc>
        <w:tc>
          <w:tcPr>
            <w:tcW w:w="6237" w:type="dxa"/>
            <w:tcBorders>
              <w:top w:val="nil"/>
              <w:left w:val="single" w:sz="4" w:space="0" w:color="auto"/>
              <w:bottom w:val="nil"/>
              <w:right w:val="single" w:sz="4" w:space="0" w:color="auto"/>
            </w:tcBorders>
          </w:tcPr>
          <w:p w14:paraId="05106AAA" w14:textId="2B351D18" w:rsidR="008943C4" w:rsidRPr="00272930" w:rsidRDefault="005675BF" w:rsidP="008943C4">
            <w:pPr>
              <w:tabs>
                <w:tab w:val="left" w:pos="2268"/>
                <w:tab w:val="left" w:pos="4536"/>
              </w:tabs>
              <w:spacing w:before="40" w:after="40"/>
              <w:jc w:val="left"/>
              <w:rPr>
                <w:color w:val="000000"/>
                <w:sz w:val="16"/>
                <w:szCs w:val="16"/>
              </w:rPr>
            </w:pPr>
            <w:r w:rsidRPr="00272930">
              <w:rPr>
                <w:color w:val="000000"/>
                <w:sz w:val="16"/>
                <w:szCs w:val="16"/>
              </w:rPr>
              <w:t>Appellate</w:t>
            </w:r>
            <w:r w:rsidR="00BA4836" w:rsidRPr="00272930">
              <w:rPr>
                <w:color w:val="000000"/>
                <w:sz w:val="16"/>
                <w:szCs w:val="16"/>
              </w:rPr>
              <w:t> Body</w:t>
            </w:r>
            <w:r w:rsidRPr="00272930">
              <w:rPr>
                <w:color w:val="000000"/>
                <w:sz w:val="16"/>
                <w:szCs w:val="16"/>
              </w:rPr>
              <w:t xml:space="preserve"> Report, </w:t>
            </w:r>
            <w:r w:rsidRPr="00272930">
              <w:rPr>
                <w:i/>
                <w:color w:val="000000"/>
                <w:sz w:val="16"/>
                <w:szCs w:val="16"/>
              </w:rPr>
              <w:t>Korea – Definitive Safeguard Measure on Imports of Certain Dairy Products</w:t>
            </w:r>
            <w:r w:rsidRPr="00272930">
              <w:rPr>
                <w:color w:val="000000"/>
                <w:sz w:val="16"/>
                <w:szCs w:val="16"/>
              </w:rPr>
              <w:t xml:space="preserve">, </w:t>
            </w:r>
            <w:hyperlink r:id="rId27" w:history="1">
              <w:r w:rsidRPr="00272930">
                <w:rPr>
                  <w:rStyle w:val="Hyperlink"/>
                  <w:sz w:val="16"/>
                  <w:szCs w:val="16"/>
                </w:rPr>
                <w:t>WT/DS98/AB/R</w:t>
              </w:r>
            </w:hyperlink>
            <w:r w:rsidRPr="00272930">
              <w:rPr>
                <w:color w:val="000000"/>
                <w:sz w:val="16"/>
                <w:szCs w:val="16"/>
              </w:rPr>
              <w:t>, adopted 12 January 2000, DSR 2000:I, p. 3</w:t>
            </w:r>
          </w:p>
        </w:tc>
      </w:tr>
      <w:tr w:rsidR="00E20FAE" w:rsidRPr="00272930" w14:paraId="047BAD61" w14:textId="77777777" w:rsidTr="00CA1995">
        <w:trPr>
          <w:cantSplit/>
        </w:trPr>
        <w:tc>
          <w:tcPr>
            <w:tcW w:w="2689" w:type="dxa"/>
            <w:tcBorders>
              <w:top w:val="nil"/>
              <w:left w:val="single" w:sz="4" w:space="0" w:color="auto"/>
              <w:bottom w:val="single" w:sz="4" w:space="0" w:color="auto"/>
              <w:right w:val="single" w:sz="4" w:space="0" w:color="auto"/>
            </w:tcBorders>
          </w:tcPr>
          <w:p w14:paraId="02ADDEF9" w14:textId="77777777" w:rsidR="00E20FAE" w:rsidRPr="00272930" w:rsidRDefault="00E20FAE" w:rsidP="0059245A">
            <w:pPr>
              <w:spacing w:before="40" w:after="40"/>
              <w:jc w:val="left"/>
              <w:rPr>
                <w:i/>
                <w:color w:val="000000"/>
                <w:sz w:val="16"/>
                <w:szCs w:val="16"/>
              </w:rPr>
            </w:pPr>
            <w:r w:rsidRPr="00272930">
              <w:rPr>
                <w:i/>
                <w:color w:val="000000"/>
                <w:sz w:val="16"/>
                <w:szCs w:val="16"/>
              </w:rPr>
              <w:t>Korea – Pneumatic Valves (Japan)</w:t>
            </w:r>
          </w:p>
        </w:tc>
        <w:tc>
          <w:tcPr>
            <w:tcW w:w="6237" w:type="dxa"/>
            <w:tcBorders>
              <w:top w:val="nil"/>
              <w:left w:val="single" w:sz="4" w:space="0" w:color="auto"/>
              <w:bottom w:val="single" w:sz="4" w:space="0" w:color="auto"/>
              <w:right w:val="single" w:sz="4" w:space="0" w:color="auto"/>
            </w:tcBorders>
          </w:tcPr>
          <w:p w14:paraId="634FB911" w14:textId="27FD456C" w:rsidR="00E20FAE" w:rsidRPr="00272930" w:rsidRDefault="00E20FAE" w:rsidP="0059245A">
            <w:pPr>
              <w:tabs>
                <w:tab w:val="left" w:pos="2268"/>
                <w:tab w:val="left" w:pos="4536"/>
              </w:tabs>
              <w:spacing w:before="40" w:after="40"/>
              <w:jc w:val="left"/>
              <w:rPr>
                <w:color w:val="000000"/>
                <w:sz w:val="16"/>
                <w:szCs w:val="16"/>
              </w:rPr>
            </w:pPr>
            <w:r w:rsidRPr="00272930">
              <w:rPr>
                <w:color w:val="000000"/>
                <w:sz w:val="16"/>
                <w:szCs w:val="16"/>
              </w:rPr>
              <w:t>Appellate</w:t>
            </w:r>
            <w:r w:rsidR="00BA4836" w:rsidRPr="00272930">
              <w:rPr>
                <w:color w:val="000000"/>
                <w:sz w:val="16"/>
                <w:szCs w:val="16"/>
              </w:rPr>
              <w:t> Body</w:t>
            </w:r>
            <w:r w:rsidRPr="00272930">
              <w:rPr>
                <w:color w:val="000000"/>
                <w:sz w:val="16"/>
                <w:szCs w:val="16"/>
              </w:rPr>
              <w:t xml:space="preserve"> Report, </w:t>
            </w:r>
            <w:r w:rsidRPr="00272930">
              <w:rPr>
                <w:i/>
                <w:color w:val="000000"/>
                <w:sz w:val="16"/>
                <w:szCs w:val="16"/>
              </w:rPr>
              <w:t>Korea – Anti-Dumping Duties on Pneumatic Valves from Japan</w:t>
            </w:r>
            <w:r w:rsidRPr="00272930">
              <w:rPr>
                <w:color w:val="000000"/>
                <w:sz w:val="16"/>
                <w:szCs w:val="16"/>
              </w:rPr>
              <w:t xml:space="preserve">, </w:t>
            </w:r>
            <w:hyperlink r:id="rId28" w:history="1">
              <w:r w:rsidRPr="00272930">
                <w:rPr>
                  <w:rStyle w:val="Hyperlink"/>
                  <w:sz w:val="16"/>
                  <w:szCs w:val="16"/>
                </w:rPr>
                <w:t>WT/DS504/AB/R</w:t>
              </w:r>
            </w:hyperlink>
            <w:r w:rsidRPr="00272930">
              <w:rPr>
                <w:color w:val="000000"/>
                <w:sz w:val="16"/>
                <w:szCs w:val="16"/>
              </w:rPr>
              <w:t xml:space="preserve"> and Add.1, adopted 30 September 2019, DSR 2019:XI, </w:t>
            </w:r>
            <w:r w:rsidR="00270F7B" w:rsidRPr="00272930">
              <w:rPr>
                <w:color w:val="000000"/>
                <w:sz w:val="16"/>
                <w:szCs w:val="16"/>
              </w:rPr>
              <w:t>p. </w:t>
            </w:r>
            <w:r w:rsidRPr="00272930">
              <w:rPr>
                <w:color w:val="000000"/>
                <w:sz w:val="16"/>
                <w:szCs w:val="16"/>
              </w:rPr>
              <w:t>5637</w:t>
            </w:r>
          </w:p>
        </w:tc>
      </w:tr>
      <w:tr w:rsidR="008943C4" w:rsidRPr="00272930" w14:paraId="0844CC96" w14:textId="77777777" w:rsidTr="00CA1995">
        <w:trPr>
          <w:cnfStyle w:val="000000010000" w:firstRow="0" w:lastRow="0" w:firstColumn="0" w:lastColumn="0" w:oddVBand="0" w:evenVBand="0" w:oddHBand="0" w:evenHBand="1" w:firstRowFirstColumn="0" w:firstRowLastColumn="0" w:lastRowFirstColumn="0" w:lastRowLastColumn="0"/>
          <w:cantSplit/>
        </w:trPr>
        <w:tc>
          <w:tcPr>
            <w:tcW w:w="2689" w:type="dxa"/>
            <w:tcBorders>
              <w:top w:val="single" w:sz="4" w:space="0" w:color="auto"/>
              <w:left w:val="single" w:sz="4" w:space="0" w:color="auto"/>
              <w:bottom w:val="nil"/>
              <w:right w:val="single" w:sz="4" w:space="0" w:color="auto"/>
            </w:tcBorders>
          </w:tcPr>
          <w:p w14:paraId="4E631E04" w14:textId="77777777" w:rsidR="008943C4" w:rsidRPr="00272930" w:rsidRDefault="008943C4" w:rsidP="008943C4">
            <w:pPr>
              <w:spacing w:before="40" w:after="40"/>
              <w:jc w:val="left"/>
              <w:rPr>
                <w:i/>
                <w:color w:val="000000"/>
                <w:sz w:val="16"/>
                <w:szCs w:val="16"/>
              </w:rPr>
            </w:pPr>
            <w:r w:rsidRPr="00272930">
              <w:rPr>
                <w:i/>
                <w:color w:val="000000"/>
                <w:sz w:val="16"/>
                <w:szCs w:val="16"/>
              </w:rPr>
              <w:lastRenderedPageBreak/>
              <w:t>Korea – Pneumatic Valves (Japan)</w:t>
            </w:r>
          </w:p>
        </w:tc>
        <w:tc>
          <w:tcPr>
            <w:tcW w:w="6237" w:type="dxa"/>
            <w:tcBorders>
              <w:top w:val="single" w:sz="4" w:space="0" w:color="auto"/>
              <w:left w:val="single" w:sz="4" w:space="0" w:color="auto"/>
              <w:bottom w:val="nil"/>
              <w:right w:val="single" w:sz="4" w:space="0" w:color="auto"/>
            </w:tcBorders>
          </w:tcPr>
          <w:p w14:paraId="4B835446" w14:textId="1D1AC67A" w:rsidR="008943C4" w:rsidRPr="00272930" w:rsidRDefault="005675BF" w:rsidP="008943C4">
            <w:pPr>
              <w:tabs>
                <w:tab w:val="left" w:pos="2268"/>
                <w:tab w:val="left" w:pos="4536"/>
              </w:tabs>
              <w:spacing w:before="40" w:after="40"/>
              <w:jc w:val="left"/>
              <w:rPr>
                <w:color w:val="000000"/>
                <w:sz w:val="16"/>
                <w:szCs w:val="16"/>
              </w:rPr>
            </w:pPr>
            <w:r w:rsidRPr="00272930">
              <w:rPr>
                <w:color w:val="000000"/>
                <w:sz w:val="16"/>
                <w:szCs w:val="16"/>
              </w:rPr>
              <w:t>Panel</w:t>
            </w:r>
            <w:r w:rsidR="00BA4836" w:rsidRPr="00272930">
              <w:rPr>
                <w:color w:val="000000"/>
                <w:sz w:val="16"/>
                <w:szCs w:val="16"/>
              </w:rPr>
              <w:t> Report</w:t>
            </w:r>
            <w:r w:rsidRPr="00272930">
              <w:rPr>
                <w:color w:val="000000"/>
                <w:sz w:val="16"/>
                <w:szCs w:val="16"/>
              </w:rPr>
              <w:t xml:space="preserve">, </w:t>
            </w:r>
            <w:r w:rsidRPr="00272930">
              <w:rPr>
                <w:i/>
                <w:color w:val="000000"/>
                <w:sz w:val="16"/>
                <w:szCs w:val="16"/>
              </w:rPr>
              <w:t>Korea – Anti-Dumping Duties on Pneumatic Valves from Japan</w:t>
            </w:r>
            <w:r w:rsidRPr="00272930">
              <w:rPr>
                <w:color w:val="000000"/>
                <w:sz w:val="16"/>
                <w:szCs w:val="16"/>
              </w:rPr>
              <w:t xml:space="preserve">, </w:t>
            </w:r>
            <w:hyperlink r:id="rId29" w:history="1">
              <w:r w:rsidRPr="00272930">
                <w:rPr>
                  <w:rStyle w:val="Hyperlink"/>
                  <w:sz w:val="16"/>
                  <w:szCs w:val="16"/>
                </w:rPr>
                <w:t>WT/DS504/R</w:t>
              </w:r>
            </w:hyperlink>
            <w:r w:rsidRPr="00272930">
              <w:rPr>
                <w:color w:val="000000"/>
                <w:sz w:val="16"/>
                <w:szCs w:val="16"/>
              </w:rPr>
              <w:t xml:space="preserve"> and Add.1, adopted 30 September 2019, as modified by Appellate</w:t>
            </w:r>
            <w:r w:rsidR="00BA4836" w:rsidRPr="00272930">
              <w:rPr>
                <w:color w:val="000000"/>
                <w:sz w:val="16"/>
                <w:szCs w:val="16"/>
              </w:rPr>
              <w:t> Body</w:t>
            </w:r>
            <w:r w:rsidRPr="00272930">
              <w:rPr>
                <w:color w:val="000000"/>
                <w:sz w:val="16"/>
                <w:szCs w:val="16"/>
              </w:rPr>
              <w:t xml:space="preserve"> Report WT/DS504/AB/R, DSR 2019:XI, </w:t>
            </w:r>
            <w:r w:rsidR="00270F7B" w:rsidRPr="00272930">
              <w:rPr>
                <w:color w:val="000000"/>
                <w:sz w:val="16"/>
                <w:szCs w:val="16"/>
              </w:rPr>
              <w:t>p. </w:t>
            </w:r>
            <w:r w:rsidRPr="00272930">
              <w:rPr>
                <w:color w:val="000000"/>
                <w:sz w:val="16"/>
                <w:szCs w:val="16"/>
              </w:rPr>
              <w:t>5935</w:t>
            </w:r>
          </w:p>
        </w:tc>
      </w:tr>
      <w:tr w:rsidR="008943C4" w:rsidRPr="00272930" w14:paraId="7EC01022" w14:textId="77777777" w:rsidTr="00A92A75">
        <w:trPr>
          <w:cantSplit/>
        </w:trPr>
        <w:tc>
          <w:tcPr>
            <w:tcW w:w="2689" w:type="dxa"/>
            <w:tcBorders>
              <w:top w:val="nil"/>
              <w:left w:val="single" w:sz="4" w:space="0" w:color="auto"/>
              <w:bottom w:val="nil"/>
              <w:right w:val="single" w:sz="4" w:space="0" w:color="auto"/>
            </w:tcBorders>
          </w:tcPr>
          <w:p w14:paraId="35BC6639" w14:textId="334E8AF6" w:rsidR="008943C4" w:rsidRPr="00272930" w:rsidRDefault="008943C4" w:rsidP="008943C4">
            <w:pPr>
              <w:spacing w:before="40" w:after="40"/>
              <w:jc w:val="left"/>
              <w:rPr>
                <w:i/>
                <w:color w:val="000000"/>
                <w:sz w:val="16"/>
                <w:szCs w:val="16"/>
              </w:rPr>
            </w:pPr>
            <w:r w:rsidRPr="00272930">
              <w:rPr>
                <w:i/>
                <w:color w:val="000000"/>
                <w:sz w:val="16"/>
                <w:szCs w:val="16"/>
              </w:rPr>
              <w:t>Mexico – Anti</w:t>
            </w:r>
            <w:r w:rsidR="005514B4" w:rsidRPr="00272930">
              <w:rPr>
                <w:i/>
                <w:color w:val="000000"/>
                <w:sz w:val="16"/>
                <w:szCs w:val="16"/>
              </w:rPr>
              <w:noBreakHyphen/>
            </w:r>
            <w:r w:rsidRPr="00272930">
              <w:rPr>
                <w:i/>
                <w:color w:val="000000"/>
                <w:sz w:val="16"/>
                <w:szCs w:val="16"/>
              </w:rPr>
              <w:t>Dumping Measures on Rice</w:t>
            </w:r>
          </w:p>
        </w:tc>
        <w:tc>
          <w:tcPr>
            <w:tcW w:w="6237" w:type="dxa"/>
            <w:tcBorders>
              <w:top w:val="nil"/>
              <w:left w:val="single" w:sz="4" w:space="0" w:color="auto"/>
              <w:bottom w:val="nil"/>
              <w:right w:val="single" w:sz="4" w:space="0" w:color="auto"/>
            </w:tcBorders>
          </w:tcPr>
          <w:p w14:paraId="17AA63B7" w14:textId="36D4521B" w:rsidR="008943C4" w:rsidRPr="00272930" w:rsidRDefault="005675BF" w:rsidP="008943C4">
            <w:pPr>
              <w:tabs>
                <w:tab w:val="left" w:pos="2268"/>
                <w:tab w:val="left" w:pos="4536"/>
              </w:tabs>
              <w:spacing w:before="40" w:after="40"/>
              <w:jc w:val="left"/>
              <w:rPr>
                <w:color w:val="000000"/>
                <w:sz w:val="16"/>
                <w:szCs w:val="16"/>
              </w:rPr>
            </w:pPr>
            <w:r w:rsidRPr="00272930">
              <w:rPr>
                <w:color w:val="000000"/>
                <w:sz w:val="16"/>
                <w:szCs w:val="16"/>
              </w:rPr>
              <w:t>Appellate</w:t>
            </w:r>
            <w:r w:rsidR="00BA4836" w:rsidRPr="00272930">
              <w:rPr>
                <w:color w:val="000000"/>
                <w:sz w:val="16"/>
                <w:szCs w:val="16"/>
              </w:rPr>
              <w:t> Body</w:t>
            </w:r>
            <w:r w:rsidRPr="00272930">
              <w:rPr>
                <w:color w:val="000000"/>
                <w:sz w:val="16"/>
                <w:szCs w:val="16"/>
              </w:rPr>
              <w:t xml:space="preserve"> Report, </w:t>
            </w:r>
            <w:r w:rsidRPr="00272930">
              <w:rPr>
                <w:i/>
                <w:color w:val="000000"/>
                <w:sz w:val="16"/>
                <w:szCs w:val="16"/>
              </w:rPr>
              <w:t>Mexico – Definitive Anti-Dumping Measures on Beef and Rice, Complaint with Respect to Rice</w:t>
            </w:r>
            <w:r w:rsidRPr="00272930">
              <w:rPr>
                <w:color w:val="000000"/>
                <w:sz w:val="16"/>
                <w:szCs w:val="16"/>
              </w:rPr>
              <w:t xml:space="preserve">, </w:t>
            </w:r>
            <w:hyperlink r:id="rId30" w:history="1">
              <w:r w:rsidRPr="00272930">
                <w:rPr>
                  <w:rStyle w:val="Hyperlink"/>
                  <w:sz w:val="16"/>
                  <w:szCs w:val="16"/>
                </w:rPr>
                <w:t>WT/DS295/AB/R</w:t>
              </w:r>
            </w:hyperlink>
            <w:r w:rsidRPr="00272930">
              <w:rPr>
                <w:color w:val="000000"/>
                <w:sz w:val="16"/>
                <w:szCs w:val="16"/>
              </w:rPr>
              <w:t>, adopted 20 December 2005, DSR 2005:XXII, p. 10853</w:t>
            </w:r>
          </w:p>
        </w:tc>
      </w:tr>
      <w:tr w:rsidR="008943C4" w:rsidRPr="00272930" w14:paraId="489D7B07" w14:textId="77777777" w:rsidTr="00A92A75">
        <w:trPr>
          <w:cnfStyle w:val="000000010000" w:firstRow="0" w:lastRow="0" w:firstColumn="0" w:lastColumn="0" w:oddVBand="0" w:evenVBand="0" w:oddHBand="0" w:evenHBand="1" w:firstRowFirstColumn="0" w:firstRowLastColumn="0" w:lastRowFirstColumn="0" w:lastRowLastColumn="0"/>
          <w:cantSplit/>
        </w:trPr>
        <w:tc>
          <w:tcPr>
            <w:tcW w:w="2689" w:type="dxa"/>
            <w:tcBorders>
              <w:top w:val="nil"/>
              <w:left w:val="single" w:sz="4" w:space="0" w:color="auto"/>
              <w:bottom w:val="nil"/>
              <w:right w:val="single" w:sz="4" w:space="0" w:color="auto"/>
            </w:tcBorders>
          </w:tcPr>
          <w:p w14:paraId="2937F272" w14:textId="77777777" w:rsidR="008943C4" w:rsidRPr="00272930" w:rsidRDefault="008943C4" w:rsidP="008943C4">
            <w:pPr>
              <w:spacing w:before="40" w:after="40"/>
              <w:jc w:val="left"/>
              <w:rPr>
                <w:i/>
                <w:color w:val="000000"/>
                <w:sz w:val="16"/>
                <w:szCs w:val="16"/>
              </w:rPr>
            </w:pPr>
            <w:r w:rsidRPr="00272930">
              <w:rPr>
                <w:i/>
                <w:color w:val="000000"/>
                <w:sz w:val="16"/>
                <w:szCs w:val="16"/>
              </w:rPr>
              <w:t>Mexico – Anti-Dumping Measures on Rice</w:t>
            </w:r>
          </w:p>
        </w:tc>
        <w:tc>
          <w:tcPr>
            <w:tcW w:w="6237" w:type="dxa"/>
            <w:tcBorders>
              <w:top w:val="nil"/>
              <w:left w:val="single" w:sz="4" w:space="0" w:color="auto"/>
              <w:bottom w:val="nil"/>
              <w:right w:val="single" w:sz="4" w:space="0" w:color="auto"/>
            </w:tcBorders>
          </w:tcPr>
          <w:p w14:paraId="1DAE73CF" w14:textId="41CDF06D" w:rsidR="008943C4" w:rsidRPr="00272930" w:rsidRDefault="005675BF" w:rsidP="008943C4">
            <w:pPr>
              <w:spacing w:before="40" w:after="40"/>
              <w:jc w:val="left"/>
              <w:rPr>
                <w:color w:val="000000"/>
                <w:sz w:val="16"/>
                <w:szCs w:val="16"/>
              </w:rPr>
            </w:pPr>
            <w:r w:rsidRPr="00272930">
              <w:rPr>
                <w:color w:val="000000"/>
                <w:sz w:val="16"/>
                <w:szCs w:val="16"/>
              </w:rPr>
              <w:t>Panel</w:t>
            </w:r>
            <w:r w:rsidR="00BA4836" w:rsidRPr="00272930">
              <w:rPr>
                <w:color w:val="000000"/>
                <w:sz w:val="16"/>
                <w:szCs w:val="16"/>
              </w:rPr>
              <w:t> Report</w:t>
            </w:r>
            <w:r w:rsidRPr="00272930">
              <w:rPr>
                <w:color w:val="000000"/>
                <w:sz w:val="16"/>
                <w:szCs w:val="16"/>
              </w:rPr>
              <w:t xml:space="preserve">, </w:t>
            </w:r>
            <w:r w:rsidRPr="00272930">
              <w:rPr>
                <w:i/>
                <w:color w:val="000000"/>
                <w:sz w:val="16"/>
                <w:szCs w:val="16"/>
              </w:rPr>
              <w:t>Mexico – Definitive Anti-Dumping Measures on Beef and Rice, Complaint with Respect to Rice</w:t>
            </w:r>
            <w:r w:rsidRPr="00272930">
              <w:rPr>
                <w:color w:val="000000"/>
                <w:sz w:val="16"/>
                <w:szCs w:val="16"/>
              </w:rPr>
              <w:t xml:space="preserve">, </w:t>
            </w:r>
            <w:hyperlink r:id="rId31" w:history="1">
              <w:r w:rsidRPr="00272930">
                <w:rPr>
                  <w:rStyle w:val="Hyperlink"/>
                  <w:sz w:val="16"/>
                  <w:szCs w:val="16"/>
                </w:rPr>
                <w:t>WT/DS295/R</w:t>
              </w:r>
            </w:hyperlink>
            <w:r w:rsidRPr="00272930">
              <w:rPr>
                <w:color w:val="000000"/>
                <w:sz w:val="16"/>
                <w:szCs w:val="16"/>
              </w:rPr>
              <w:t>, adopted 20 December 2005, as modified by Appellate</w:t>
            </w:r>
            <w:r w:rsidR="00BA4836" w:rsidRPr="00272930">
              <w:rPr>
                <w:color w:val="000000"/>
                <w:sz w:val="16"/>
                <w:szCs w:val="16"/>
              </w:rPr>
              <w:t> Body</w:t>
            </w:r>
            <w:r w:rsidRPr="00272930">
              <w:rPr>
                <w:color w:val="000000"/>
                <w:sz w:val="16"/>
                <w:szCs w:val="16"/>
              </w:rPr>
              <w:t xml:space="preserve"> Report WT/DS295/AB/R, DSR 2005:XXIII, p. 11007</w:t>
            </w:r>
          </w:p>
        </w:tc>
      </w:tr>
      <w:tr w:rsidR="008943C4" w:rsidRPr="00272930" w14:paraId="581B7568" w14:textId="77777777" w:rsidTr="00A92A75">
        <w:trPr>
          <w:cantSplit/>
        </w:trPr>
        <w:tc>
          <w:tcPr>
            <w:tcW w:w="2689" w:type="dxa"/>
            <w:tcBorders>
              <w:top w:val="nil"/>
              <w:left w:val="single" w:sz="4" w:space="0" w:color="auto"/>
              <w:bottom w:val="nil"/>
              <w:right w:val="single" w:sz="4" w:space="0" w:color="auto"/>
            </w:tcBorders>
          </w:tcPr>
          <w:p w14:paraId="5C85A989" w14:textId="77777777" w:rsidR="008943C4" w:rsidRPr="00272930" w:rsidRDefault="008943C4" w:rsidP="008943C4">
            <w:pPr>
              <w:spacing w:before="40" w:after="40"/>
              <w:jc w:val="left"/>
              <w:rPr>
                <w:i/>
                <w:color w:val="000000"/>
                <w:sz w:val="16"/>
                <w:szCs w:val="16"/>
              </w:rPr>
            </w:pPr>
            <w:r w:rsidRPr="00272930">
              <w:rPr>
                <w:i/>
                <w:color w:val="000000"/>
                <w:sz w:val="16"/>
                <w:szCs w:val="16"/>
              </w:rPr>
              <w:t>Mexico – Steel Pipes and Tubes</w:t>
            </w:r>
          </w:p>
        </w:tc>
        <w:tc>
          <w:tcPr>
            <w:tcW w:w="6237" w:type="dxa"/>
            <w:tcBorders>
              <w:top w:val="nil"/>
              <w:left w:val="single" w:sz="4" w:space="0" w:color="auto"/>
              <w:bottom w:val="nil"/>
              <w:right w:val="single" w:sz="4" w:space="0" w:color="auto"/>
            </w:tcBorders>
          </w:tcPr>
          <w:p w14:paraId="0EC5DF7D" w14:textId="2317B362" w:rsidR="008943C4" w:rsidRPr="00272930" w:rsidRDefault="005675BF" w:rsidP="008943C4">
            <w:pPr>
              <w:tabs>
                <w:tab w:val="left" w:pos="2268"/>
                <w:tab w:val="left" w:pos="4536"/>
              </w:tabs>
              <w:spacing w:before="40" w:after="40"/>
              <w:jc w:val="left"/>
              <w:rPr>
                <w:color w:val="000000"/>
                <w:sz w:val="16"/>
                <w:szCs w:val="16"/>
              </w:rPr>
            </w:pPr>
            <w:r w:rsidRPr="00272930">
              <w:rPr>
                <w:color w:val="000000"/>
                <w:sz w:val="16"/>
                <w:szCs w:val="16"/>
              </w:rPr>
              <w:t>Panel</w:t>
            </w:r>
            <w:r w:rsidR="00BA4836" w:rsidRPr="00272930">
              <w:rPr>
                <w:color w:val="000000"/>
                <w:sz w:val="16"/>
                <w:szCs w:val="16"/>
              </w:rPr>
              <w:t> Report</w:t>
            </w:r>
            <w:r w:rsidRPr="00272930">
              <w:rPr>
                <w:color w:val="000000"/>
                <w:sz w:val="16"/>
                <w:szCs w:val="16"/>
              </w:rPr>
              <w:t xml:space="preserve">, </w:t>
            </w:r>
            <w:r w:rsidRPr="00272930">
              <w:rPr>
                <w:i/>
                <w:color w:val="000000"/>
                <w:sz w:val="16"/>
                <w:szCs w:val="16"/>
              </w:rPr>
              <w:t>Mexico – Anti-Dumping Duties on Steel Pipes and Tubes from Guatemala</w:t>
            </w:r>
            <w:r w:rsidRPr="00272930">
              <w:rPr>
                <w:color w:val="000000"/>
                <w:sz w:val="16"/>
                <w:szCs w:val="16"/>
              </w:rPr>
              <w:t xml:space="preserve">, </w:t>
            </w:r>
            <w:hyperlink r:id="rId32" w:history="1">
              <w:r w:rsidRPr="00272930">
                <w:rPr>
                  <w:rStyle w:val="Hyperlink"/>
                  <w:sz w:val="16"/>
                  <w:szCs w:val="16"/>
                </w:rPr>
                <w:t>WT/DS331/R</w:t>
              </w:r>
            </w:hyperlink>
            <w:r w:rsidRPr="00272930">
              <w:rPr>
                <w:color w:val="000000"/>
                <w:sz w:val="16"/>
                <w:szCs w:val="16"/>
              </w:rPr>
              <w:t>, adopted 24 July 2007, DSR 2007:IV, p. 1207</w:t>
            </w:r>
          </w:p>
        </w:tc>
      </w:tr>
      <w:tr w:rsidR="00CB14C8" w:rsidRPr="00272930" w14:paraId="4743BB1E" w14:textId="77777777" w:rsidTr="00A92A75">
        <w:trPr>
          <w:cnfStyle w:val="000000010000" w:firstRow="0" w:lastRow="0" w:firstColumn="0" w:lastColumn="0" w:oddVBand="0" w:evenVBand="0" w:oddHBand="0" w:evenHBand="1" w:firstRowFirstColumn="0" w:firstRowLastColumn="0" w:lastRowFirstColumn="0" w:lastRowLastColumn="0"/>
          <w:cantSplit/>
        </w:trPr>
        <w:tc>
          <w:tcPr>
            <w:tcW w:w="2689" w:type="dxa"/>
            <w:tcBorders>
              <w:top w:val="nil"/>
              <w:left w:val="single" w:sz="4" w:space="0" w:color="auto"/>
              <w:bottom w:val="nil"/>
              <w:right w:val="single" w:sz="4" w:space="0" w:color="auto"/>
            </w:tcBorders>
          </w:tcPr>
          <w:p w14:paraId="45C04A16" w14:textId="2A10313C" w:rsidR="00CB14C8" w:rsidRPr="00272930" w:rsidRDefault="00CB14C8" w:rsidP="008943C4">
            <w:pPr>
              <w:spacing w:before="40" w:after="40"/>
              <w:jc w:val="left"/>
              <w:rPr>
                <w:i/>
                <w:color w:val="000000"/>
                <w:sz w:val="16"/>
                <w:szCs w:val="16"/>
              </w:rPr>
            </w:pPr>
            <w:r w:rsidRPr="00272930">
              <w:rPr>
                <w:i/>
                <w:iCs/>
                <w:sz w:val="16"/>
                <w:szCs w:val="16"/>
              </w:rPr>
              <w:t>Morocco – Definitive AD Measures on Exercise Books (Tunisia)</w:t>
            </w:r>
          </w:p>
        </w:tc>
        <w:tc>
          <w:tcPr>
            <w:tcW w:w="6237" w:type="dxa"/>
            <w:tcBorders>
              <w:top w:val="nil"/>
              <w:left w:val="single" w:sz="4" w:space="0" w:color="auto"/>
              <w:bottom w:val="nil"/>
              <w:right w:val="single" w:sz="4" w:space="0" w:color="auto"/>
            </w:tcBorders>
          </w:tcPr>
          <w:p w14:paraId="7CE70F52" w14:textId="202C1B2E" w:rsidR="00CB14C8" w:rsidRPr="00272930" w:rsidRDefault="00CB14C8" w:rsidP="008943C4">
            <w:pPr>
              <w:tabs>
                <w:tab w:val="left" w:pos="2268"/>
                <w:tab w:val="left" w:pos="4536"/>
              </w:tabs>
              <w:spacing w:before="40" w:after="40"/>
              <w:jc w:val="left"/>
              <w:rPr>
                <w:color w:val="000000"/>
                <w:sz w:val="16"/>
                <w:szCs w:val="16"/>
              </w:rPr>
            </w:pPr>
            <w:r w:rsidRPr="00272930">
              <w:rPr>
                <w:color w:val="000000"/>
                <w:sz w:val="16"/>
                <w:szCs w:val="16"/>
              </w:rPr>
              <w:t>Panel</w:t>
            </w:r>
            <w:r w:rsidR="00BA4836" w:rsidRPr="00272930">
              <w:rPr>
                <w:color w:val="000000"/>
                <w:sz w:val="16"/>
                <w:szCs w:val="16"/>
              </w:rPr>
              <w:t> Report</w:t>
            </w:r>
            <w:r w:rsidRPr="00272930">
              <w:rPr>
                <w:color w:val="000000"/>
                <w:sz w:val="16"/>
                <w:szCs w:val="16"/>
              </w:rPr>
              <w:t xml:space="preserve">, </w:t>
            </w:r>
            <w:r w:rsidRPr="00272930">
              <w:rPr>
                <w:i/>
                <w:iCs/>
                <w:color w:val="000000"/>
                <w:sz w:val="16"/>
                <w:szCs w:val="16"/>
              </w:rPr>
              <w:t>Morocco – Definitive Anti-Dumping Measures on School Exercise Books from Tunisia</w:t>
            </w:r>
            <w:r w:rsidRPr="00272930">
              <w:rPr>
                <w:color w:val="000000"/>
                <w:sz w:val="16"/>
                <w:szCs w:val="16"/>
              </w:rPr>
              <w:t xml:space="preserve">, </w:t>
            </w:r>
            <w:hyperlink r:id="rId33" w:history="1">
              <w:r w:rsidRPr="00272930">
                <w:rPr>
                  <w:rStyle w:val="Hyperlink"/>
                  <w:sz w:val="16"/>
                  <w:szCs w:val="16"/>
                </w:rPr>
                <w:t>WT/DS578/R</w:t>
              </w:r>
            </w:hyperlink>
            <w:r w:rsidRPr="00272930">
              <w:rPr>
                <w:rStyle w:val="Hyperlink"/>
                <w:sz w:val="16"/>
                <w:szCs w:val="16"/>
              </w:rPr>
              <w:t xml:space="preserve"> and Add.1</w:t>
            </w:r>
            <w:r w:rsidRPr="00272930">
              <w:rPr>
                <w:rStyle w:val="Hyperlink"/>
                <w:color w:val="auto"/>
                <w:sz w:val="16"/>
                <w:szCs w:val="16"/>
                <w:u w:val="none"/>
              </w:rPr>
              <w:t xml:space="preserve">, </w:t>
            </w:r>
            <w:r w:rsidRPr="00272930">
              <w:rPr>
                <w:sz w:val="16"/>
                <w:szCs w:val="16"/>
              </w:rPr>
              <w:t>circulated to WTO Members 27 July </w:t>
            </w:r>
            <w:r w:rsidRPr="00272930">
              <w:rPr>
                <w:color w:val="000000"/>
                <w:sz w:val="16"/>
                <w:szCs w:val="16"/>
              </w:rPr>
              <w:t>2021, appealed on 28</w:t>
            </w:r>
            <w:r w:rsidR="00BA4836" w:rsidRPr="00272930">
              <w:rPr>
                <w:color w:val="000000"/>
                <w:sz w:val="16"/>
                <w:szCs w:val="16"/>
              </w:rPr>
              <w:t> July 2021</w:t>
            </w:r>
          </w:p>
        </w:tc>
      </w:tr>
      <w:tr w:rsidR="00DF5F51" w:rsidRPr="00DF5F51" w14:paraId="363F37E4" w14:textId="77777777" w:rsidTr="00A92A75">
        <w:trPr>
          <w:cantSplit/>
        </w:trPr>
        <w:tc>
          <w:tcPr>
            <w:tcW w:w="2689" w:type="dxa"/>
            <w:tcBorders>
              <w:top w:val="nil"/>
              <w:left w:val="single" w:sz="4" w:space="0" w:color="auto"/>
              <w:bottom w:val="nil"/>
              <w:right w:val="single" w:sz="4" w:space="0" w:color="auto"/>
            </w:tcBorders>
          </w:tcPr>
          <w:p w14:paraId="507A6984" w14:textId="27A341EF" w:rsidR="00DF5F51" w:rsidRPr="00DF5F51" w:rsidRDefault="00DF5F51" w:rsidP="008943C4">
            <w:pPr>
              <w:spacing w:before="40" w:after="40"/>
              <w:jc w:val="left"/>
              <w:rPr>
                <w:i/>
                <w:color w:val="000000"/>
                <w:sz w:val="16"/>
                <w:szCs w:val="20"/>
              </w:rPr>
            </w:pPr>
            <w:r w:rsidRPr="00C17D98">
              <w:rPr>
                <w:i/>
                <w:iCs/>
                <w:sz w:val="16"/>
                <w:szCs w:val="20"/>
              </w:rPr>
              <w:t>US – Oil Country Tubular Goods Sunset Reviews</w:t>
            </w:r>
          </w:p>
        </w:tc>
        <w:tc>
          <w:tcPr>
            <w:tcW w:w="6237" w:type="dxa"/>
            <w:tcBorders>
              <w:top w:val="nil"/>
              <w:left w:val="single" w:sz="4" w:space="0" w:color="auto"/>
              <w:bottom w:val="nil"/>
              <w:right w:val="single" w:sz="4" w:space="0" w:color="auto"/>
            </w:tcBorders>
          </w:tcPr>
          <w:p w14:paraId="032ED21C" w14:textId="10D633B9" w:rsidR="00DF5F51" w:rsidRPr="00DF5F51" w:rsidRDefault="00DF5F51" w:rsidP="008943C4">
            <w:pPr>
              <w:tabs>
                <w:tab w:val="left" w:pos="2268"/>
                <w:tab w:val="left" w:pos="4536"/>
              </w:tabs>
              <w:spacing w:before="40" w:after="40"/>
              <w:jc w:val="left"/>
              <w:rPr>
                <w:color w:val="000000"/>
                <w:sz w:val="16"/>
                <w:szCs w:val="20"/>
              </w:rPr>
            </w:pPr>
            <w:r w:rsidRPr="0083679E">
              <w:rPr>
                <w:color w:val="000000"/>
                <w:sz w:val="16"/>
                <w:szCs w:val="16"/>
              </w:rPr>
              <w:t>Appellate</w:t>
            </w:r>
            <w:r w:rsidR="00126344">
              <w:rPr>
                <w:color w:val="000000"/>
                <w:sz w:val="16"/>
                <w:szCs w:val="16"/>
              </w:rPr>
              <w:t> Body</w:t>
            </w:r>
            <w:r w:rsidRPr="0083679E">
              <w:rPr>
                <w:color w:val="000000"/>
                <w:sz w:val="16"/>
                <w:szCs w:val="16"/>
              </w:rPr>
              <w:t xml:space="preserve"> Report, </w:t>
            </w:r>
            <w:r w:rsidRPr="0083679E">
              <w:rPr>
                <w:i/>
                <w:color w:val="000000"/>
                <w:sz w:val="16"/>
                <w:szCs w:val="16"/>
              </w:rPr>
              <w:t>United</w:t>
            </w:r>
            <w:r>
              <w:rPr>
                <w:i/>
                <w:color w:val="000000"/>
                <w:sz w:val="16"/>
                <w:szCs w:val="16"/>
              </w:rPr>
              <w:t> </w:t>
            </w:r>
            <w:r w:rsidRPr="0083679E">
              <w:rPr>
                <w:i/>
                <w:color w:val="000000"/>
                <w:sz w:val="16"/>
                <w:szCs w:val="16"/>
              </w:rPr>
              <w:t>States – Sunset Reviews of Anti-Dumping Measures on Oil Country Tubular Goods from Argentina</w:t>
            </w:r>
            <w:r w:rsidRPr="0083679E">
              <w:rPr>
                <w:color w:val="000000"/>
                <w:sz w:val="16"/>
                <w:szCs w:val="16"/>
              </w:rPr>
              <w:t xml:space="preserve">, </w:t>
            </w:r>
            <w:hyperlink r:id="rId34" w:history="1">
              <w:r w:rsidRPr="0083679E">
                <w:rPr>
                  <w:rStyle w:val="Hyperlink"/>
                  <w:sz w:val="16"/>
                  <w:szCs w:val="16"/>
                </w:rPr>
                <w:t>WT/DS268/AB/R</w:t>
              </w:r>
            </w:hyperlink>
            <w:r w:rsidRPr="0083679E">
              <w:rPr>
                <w:color w:val="000000"/>
                <w:sz w:val="16"/>
                <w:szCs w:val="16"/>
              </w:rPr>
              <w:t>, adopted 17</w:t>
            </w:r>
            <w:r>
              <w:rPr>
                <w:color w:val="000000"/>
                <w:sz w:val="16"/>
                <w:szCs w:val="16"/>
              </w:rPr>
              <w:t> </w:t>
            </w:r>
            <w:r w:rsidRPr="0083679E">
              <w:rPr>
                <w:color w:val="000000"/>
                <w:sz w:val="16"/>
                <w:szCs w:val="16"/>
              </w:rPr>
              <w:t>December</w:t>
            </w:r>
            <w:r>
              <w:rPr>
                <w:color w:val="000000"/>
                <w:sz w:val="16"/>
                <w:szCs w:val="16"/>
              </w:rPr>
              <w:t> </w:t>
            </w:r>
            <w:r w:rsidRPr="0083679E">
              <w:rPr>
                <w:color w:val="000000"/>
                <w:sz w:val="16"/>
                <w:szCs w:val="16"/>
              </w:rPr>
              <w:t>2004, DSR 2004:VII, p.</w:t>
            </w:r>
            <w:r>
              <w:rPr>
                <w:color w:val="000000"/>
                <w:sz w:val="16"/>
                <w:szCs w:val="16"/>
              </w:rPr>
              <w:t> </w:t>
            </w:r>
            <w:r w:rsidRPr="0083679E">
              <w:rPr>
                <w:color w:val="000000"/>
                <w:sz w:val="16"/>
                <w:szCs w:val="16"/>
              </w:rPr>
              <w:t>3257</w:t>
            </w:r>
          </w:p>
        </w:tc>
      </w:tr>
      <w:tr w:rsidR="008943C4" w:rsidRPr="00272930" w14:paraId="1CCB8691" w14:textId="77777777" w:rsidTr="00A92A75">
        <w:trPr>
          <w:cnfStyle w:val="000000010000" w:firstRow="0" w:lastRow="0" w:firstColumn="0" w:lastColumn="0" w:oddVBand="0" w:evenVBand="0" w:oddHBand="0" w:evenHBand="1" w:firstRowFirstColumn="0" w:firstRowLastColumn="0" w:lastRowFirstColumn="0" w:lastRowLastColumn="0"/>
          <w:cantSplit/>
        </w:trPr>
        <w:tc>
          <w:tcPr>
            <w:tcW w:w="2689" w:type="dxa"/>
            <w:tcBorders>
              <w:top w:val="nil"/>
              <w:left w:val="single" w:sz="4" w:space="0" w:color="auto"/>
              <w:bottom w:val="nil"/>
              <w:right w:val="single" w:sz="4" w:space="0" w:color="auto"/>
            </w:tcBorders>
          </w:tcPr>
          <w:p w14:paraId="3073FD0F" w14:textId="77777777" w:rsidR="008943C4" w:rsidRPr="00272930" w:rsidRDefault="008943C4" w:rsidP="008943C4">
            <w:pPr>
              <w:spacing w:before="40" w:after="40"/>
              <w:jc w:val="left"/>
              <w:rPr>
                <w:i/>
                <w:color w:val="000000"/>
                <w:sz w:val="16"/>
                <w:szCs w:val="16"/>
              </w:rPr>
            </w:pPr>
            <w:r w:rsidRPr="00272930">
              <w:rPr>
                <w:i/>
                <w:color w:val="000000"/>
                <w:sz w:val="16"/>
                <w:szCs w:val="16"/>
              </w:rPr>
              <w:t xml:space="preserve">US – Shrimp II (Viet Nam) </w:t>
            </w:r>
          </w:p>
        </w:tc>
        <w:tc>
          <w:tcPr>
            <w:tcW w:w="6237" w:type="dxa"/>
            <w:tcBorders>
              <w:top w:val="nil"/>
              <w:left w:val="single" w:sz="4" w:space="0" w:color="auto"/>
              <w:bottom w:val="nil"/>
              <w:right w:val="single" w:sz="4" w:space="0" w:color="auto"/>
            </w:tcBorders>
          </w:tcPr>
          <w:p w14:paraId="6CBFFFF7" w14:textId="1400A702" w:rsidR="008943C4" w:rsidRPr="00272930" w:rsidRDefault="005675BF" w:rsidP="008943C4">
            <w:pPr>
              <w:tabs>
                <w:tab w:val="left" w:pos="2268"/>
                <w:tab w:val="left" w:pos="4536"/>
              </w:tabs>
              <w:spacing w:before="40" w:after="40"/>
              <w:jc w:val="left"/>
              <w:rPr>
                <w:color w:val="000000"/>
                <w:sz w:val="16"/>
                <w:szCs w:val="16"/>
              </w:rPr>
            </w:pPr>
            <w:r w:rsidRPr="00272930">
              <w:rPr>
                <w:color w:val="000000"/>
                <w:sz w:val="16"/>
                <w:szCs w:val="16"/>
              </w:rPr>
              <w:t>Panel</w:t>
            </w:r>
            <w:r w:rsidR="00BA4836" w:rsidRPr="00272930">
              <w:rPr>
                <w:color w:val="000000"/>
                <w:sz w:val="16"/>
                <w:szCs w:val="16"/>
              </w:rPr>
              <w:t> Report</w:t>
            </w:r>
            <w:r w:rsidRPr="00272930">
              <w:rPr>
                <w:color w:val="000000"/>
                <w:sz w:val="16"/>
                <w:szCs w:val="16"/>
              </w:rPr>
              <w:t xml:space="preserve">, </w:t>
            </w:r>
            <w:r w:rsidRPr="00272930">
              <w:rPr>
                <w:i/>
                <w:color w:val="000000"/>
                <w:sz w:val="16"/>
                <w:szCs w:val="16"/>
              </w:rPr>
              <w:t>United States – Anti-Dumping Measures on Certain Shrimp from Viet</w:t>
            </w:r>
            <w:r w:rsidR="00BA4836" w:rsidRPr="00272930">
              <w:rPr>
                <w:i/>
                <w:color w:val="000000"/>
                <w:sz w:val="16"/>
                <w:szCs w:val="16"/>
              </w:rPr>
              <w:t> Nam</w:t>
            </w:r>
            <w:r w:rsidRPr="00272930">
              <w:rPr>
                <w:color w:val="000000"/>
                <w:sz w:val="16"/>
                <w:szCs w:val="16"/>
              </w:rPr>
              <w:t xml:space="preserve">, </w:t>
            </w:r>
            <w:hyperlink r:id="rId35" w:history="1">
              <w:r w:rsidRPr="00272930">
                <w:rPr>
                  <w:rStyle w:val="Hyperlink"/>
                  <w:sz w:val="16"/>
                  <w:szCs w:val="16"/>
                </w:rPr>
                <w:t>WT/DS429/R</w:t>
              </w:r>
            </w:hyperlink>
            <w:r w:rsidRPr="00272930">
              <w:rPr>
                <w:color w:val="000000"/>
                <w:sz w:val="16"/>
                <w:szCs w:val="16"/>
              </w:rPr>
              <w:t xml:space="preserve"> and Add.1, </w:t>
            </w:r>
            <w:r w:rsidRPr="00272930">
              <w:rPr>
                <w:color w:val="000000"/>
                <w:spacing w:val="-2"/>
                <w:sz w:val="16"/>
                <w:szCs w:val="16"/>
              </w:rPr>
              <w:t>adopted 22 April 2015, upheld by Appellate</w:t>
            </w:r>
            <w:r w:rsidR="00BA4836" w:rsidRPr="00272930">
              <w:rPr>
                <w:color w:val="000000"/>
                <w:spacing w:val="-2"/>
                <w:sz w:val="16"/>
                <w:szCs w:val="16"/>
              </w:rPr>
              <w:t> Body</w:t>
            </w:r>
            <w:r w:rsidRPr="00272930">
              <w:rPr>
                <w:color w:val="000000"/>
                <w:spacing w:val="-2"/>
                <w:sz w:val="16"/>
                <w:szCs w:val="16"/>
              </w:rPr>
              <w:t xml:space="preserve"> Report WT/DS429/AB/R, DSR 2015:III, p. 1341</w:t>
            </w:r>
          </w:p>
        </w:tc>
      </w:tr>
      <w:tr w:rsidR="008943C4" w:rsidRPr="00272930" w14:paraId="290E4891" w14:textId="77777777" w:rsidTr="00A92A75">
        <w:trPr>
          <w:cantSplit/>
        </w:trPr>
        <w:tc>
          <w:tcPr>
            <w:tcW w:w="2689" w:type="dxa"/>
            <w:tcBorders>
              <w:top w:val="nil"/>
              <w:left w:val="single" w:sz="4" w:space="0" w:color="auto"/>
              <w:bottom w:val="single" w:sz="4" w:space="0" w:color="auto"/>
              <w:right w:val="single" w:sz="4" w:space="0" w:color="auto"/>
            </w:tcBorders>
          </w:tcPr>
          <w:p w14:paraId="46F62871" w14:textId="7CB8ED9B" w:rsidR="008943C4" w:rsidRPr="00272930" w:rsidRDefault="008943C4" w:rsidP="008943C4">
            <w:pPr>
              <w:spacing w:before="40" w:after="40"/>
              <w:jc w:val="left"/>
              <w:rPr>
                <w:i/>
                <w:color w:val="000000"/>
                <w:sz w:val="16"/>
                <w:szCs w:val="16"/>
              </w:rPr>
            </w:pPr>
            <w:r w:rsidRPr="00272930">
              <w:rPr>
                <w:i/>
                <w:color w:val="000000"/>
                <w:sz w:val="16"/>
                <w:szCs w:val="16"/>
              </w:rPr>
              <w:t>US – Softwood Lumber</w:t>
            </w:r>
            <w:r w:rsidR="00856AE5" w:rsidRPr="00272930">
              <w:rPr>
                <w:i/>
                <w:color w:val="000000"/>
                <w:sz w:val="16"/>
                <w:szCs w:val="16"/>
              </w:rPr>
              <w:t> </w:t>
            </w:r>
            <w:r w:rsidRPr="00272930">
              <w:rPr>
                <w:i/>
                <w:color w:val="000000"/>
                <w:sz w:val="16"/>
                <w:szCs w:val="16"/>
              </w:rPr>
              <w:t>V</w:t>
            </w:r>
          </w:p>
        </w:tc>
        <w:tc>
          <w:tcPr>
            <w:tcW w:w="6237" w:type="dxa"/>
            <w:tcBorders>
              <w:top w:val="nil"/>
              <w:left w:val="single" w:sz="4" w:space="0" w:color="auto"/>
              <w:bottom w:val="single" w:sz="4" w:space="0" w:color="auto"/>
              <w:right w:val="single" w:sz="4" w:space="0" w:color="auto"/>
            </w:tcBorders>
          </w:tcPr>
          <w:p w14:paraId="6C7A40A1" w14:textId="432F5002" w:rsidR="008943C4" w:rsidRPr="00272930" w:rsidRDefault="005675BF" w:rsidP="008943C4">
            <w:pPr>
              <w:tabs>
                <w:tab w:val="left" w:pos="2268"/>
                <w:tab w:val="left" w:pos="4536"/>
              </w:tabs>
              <w:spacing w:before="40" w:after="40"/>
              <w:jc w:val="left"/>
              <w:rPr>
                <w:color w:val="000000"/>
                <w:sz w:val="16"/>
                <w:szCs w:val="16"/>
              </w:rPr>
            </w:pPr>
            <w:r w:rsidRPr="00272930">
              <w:rPr>
                <w:color w:val="000000"/>
                <w:sz w:val="16"/>
                <w:szCs w:val="16"/>
              </w:rPr>
              <w:t>Panel</w:t>
            </w:r>
            <w:r w:rsidR="00BA4836" w:rsidRPr="00272930">
              <w:rPr>
                <w:color w:val="000000"/>
                <w:sz w:val="16"/>
                <w:szCs w:val="16"/>
              </w:rPr>
              <w:t> Report</w:t>
            </w:r>
            <w:r w:rsidRPr="00272930">
              <w:rPr>
                <w:color w:val="000000"/>
                <w:sz w:val="16"/>
                <w:szCs w:val="16"/>
              </w:rPr>
              <w:t xml:space="preserve">, </w:t>
            </w:r>
            <w:r w:rsidRPr="00272930">
              <w:rPr>
                <w:i/>
                <w:color w:val="000000"/>
                <w:sz w:val="16"/>
                <w:szCs w:val="16"/>
              </w:rPr>
              <w:t>United States – Final Dumping Determination on Softwood Lumber from Canada</w:t>
            </w:r>
            <w:r w:rsidRPr="00272930">
              <w:rPr>
                <w:color w:val="000000"/>
                <w:sz w:val="16"/>
                <w:szCs w:val="16"/>
              </w:rPr>
              <w:t xml:space="preserve">, </w:t>
            </w:r>
            <w:hyperlink r:id="rId36" w:history="1">
              <w:r w:rsidRPr="00272930">
                <w:rPr>
                  <w:rStyle w:val="Hyperlink"/>
                  <w:sz w:val="16"/>
                  <w:szCs w:val="16"/>
                </w:rPr>
                <w:t>WT/DS264/R</w:t>
              </w:r>
            </w:hyperlink>
            <w:r w:rsidRPr="00272930">
              <w:rPr>
                <w:color w:val="000000"/>
                <w:sz w:val="16"/>
                <w:szCs w:val="16"/>
              </w:rPr>
              <w:t>, adopted 31 August 2004, as modified by Appellate</w:t>
            </w:r>
            <w:r w:rsidR="00BA4836" w:rsidRPr="00272930">
              <w:rPr>
                <w:color w:val="000000"/>
                <w:sz w:val="16"/>
                <w:szCs w:val="16"/>
              </w:rPr>
              <w:t> Body</w:t>
            </w:r>
            <w:r w:rsidRPr="00272930">
              <w:rPr>
                <w:color w:val="000000"/>
                <w:sz w:val="16"/>
                <w:szCs w:val="16"/>
              </w:rPr>
              <w:t xml:space="preserve"> Report WT/DS264/AB/R, DSR 2004:V, p. 1937</w:t>
            </w:r>
          </w:p>
        </w:tc>
      </w:tr>
    </w:tbl>
    <w:p w14:paraId="16492ED7" w14:textId="77777777" w:rsidR="009B5916" w:rsidRPr="00272930" w:rsidRDefault="009B5916" w:rsidP="00B709B7">
      <w:pPr>
        <w:jc w:val="left"/>
      </w:pPr>
    </w:p>
    <w:p w14:paraId="2B87E9F8" w14:textId="7C34F287" w:rsidR="009264D9" w:rsidRPr="00272930" w:rsidRDefault="009264D9" w:rsidP="00B709B7">
      <w:pPr>
        <w:jc w:val="left"/>
      </w:pPr>
      <w:r w:rsidRPr="00272930">
        <w:br w:type="page"/>
      </w:r>
    </w:p>
    <w:p w14:paraId="76919DE1" w14:textId="77777777" w:rsidR="007E023E" w:rsidRPr="00272930" w:rsidRDefault="007E023E" w:rsidP="00B709B7"/>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508"/>
        <w:gridCol w:w="4508"/>
      </w:tblGrid>
      <w:tr w:rsidR="007E023E" w:rsidRPr="00272930" w14:paraId="5CA038D9" w14:textId="77777777" w:rsidTr="0011532C">
        <w:tc>
          <w:tcPr>
            <w:tcW w:w="4508" w:type="dxa"/>
          </w:tcPr>
          <w:p w14:paraId="62E14D4B" w14:textId="7C50D777" w:rsidR="007E023E" w:rsidRPr="00272930" w:rsidRDefault="007E023E" w:rsidP="00B709B7">
            <w:pPr>
              <w:rPr>
                <w:szCs w:val="18"/>
              </w:rPr>
            </w:pPr>
            <w:r w:rsidRPr="00272930">
              <w:rPr>
                <w:szCs w:val="18"/>
              </w:rPr>
              <w:t>Parties:</w:t>
            </w:r>
          </w:p>
          <w:p w14:paraId="77FF4505" w14:textId="77777777" w:rsidR="00856C72" w:rsidRPr="00272930" w:rsidRDefault="00856C72" w:rsidP="00B709B7">
            <w:pPr>
              <w:pStyle w:val="BodyText"/>
              <w:numPr>
                <w:ilvl w:val="0"/>
                <w:numId w:val="0"/>
              </w:numPr>
              <w:spacing w:after="0"/>
              <w:rPr>
                <w:szCs w:val="18"/>
              </w:rPr>
            </w:pPr>
          </w:p>
          <w:p w14:paraId="47B8BA8F" w14:textId="7213ADCB" w:rsidR="007E023E" w:rsidRPr="00272930" w:rsidRDefault="007E023E" w:rsidP="00B709B7">
            <w:pPr>
              <w:pStyle w:val="BodyText"/>
              <w:numPr>
                <w:ilvl w:val="0"/>
                <w:numId w:val="0"/>
              </w:numPr>
              <w:spacing w:after="0"/>
              <w:rPr>
                <w:szCs w:val="18"/>
              </w:rPr>
            </w:pPr>
            <w:r w:rsidRPr="00272930">
              <w:rPr>
                <w:szCs w:val="18"/>
              </w:rPr>
              <w:t>Colombia</w:t>
            </w:r>
          </w:p>
          <w:p w14:paraId="0AFF235C" w14:textId="385DC9F7" w:rsidR="007E023E" w:rsidRPr="00272930" w:rsidRDefault="007E023E" w:rsidP="00B709B7">
            <w:pPr>
              <w:pStyle w:val="BodyText"/>
              <w:numPr>
                <w:ilvl w:val="0"/>
                <w:numId w:val="0"/>
              </w:numPr>
              <w:spacing w:after="0"/>
              <w:rPr>
                <w:szCs w:val="18"/>
              </w:rPr>
            </w:pPr>
            <w:r w:rsidRPr="00272930">
              <w:rPr>
                <w:szCs w:val="18"/>
              </w:rPr>
              <w:t>European</w:t>
            </w:r>
            <w:r w:rsidR="000F0D20" w:rsidRPr="00272930">
              <w:rPr>
                <w:szCs w:val="18"/>
              </w:rPr>
              <w:t> Union</w:t>
            </w:r>
          </w:p>
          <w:p w14:paraId="0D08F3C4" w14:textId="78FC394A" w:rsidR="007E023E" w:rsidRPr="00272930" w:rsidRDefault="007E023E" w:rsidP="00B709B7">
            <w:pPr>
              <w:pStyle w:val="BodyText"/>
              <w:numPr>
                <w:ilvl w:val="0"/>
                <w:numId w:val="0"/>
              </w:numPr>
              <w:spacing w:after="0"/>
              <w:rPr>
                <w:szCs w:val="18"/>
              </w:rPr>
            </w:pPr>
          </w:p>
        </w:tc>
        <w:tc>
          <w:tcPr>
            <w:tcW w:w="4508" w:type="dxa"/>
          </w:tcPr>
          <w:p w14:paraId="59C257B9" w14:textId="77777777" w:rsidR="007E023E" w:rsidRPr="008C22FB" w:rsidRDefault="007E023E" w:rsidP="00B709B7">
            <w:pPr>
              <w:pStyle w:val="BodyText"/>
              <w:numPr>
                <w:ilvl w:val="0"/>
                <w:numId w:val="0"/>
              </w:numPr>
              <w:spacing w:after="0"/>
              <w:ind w:left="484"/>
              <w:rPr>
                <w:szCs w:val="18"/>
                <w:lang w:val="es-ES"/>
              </w:rPr>
            </w:pPr>
            <w:proofErr w:type="spellStart"/>
            <w:r w:rsidRPr="008C22FB">
              <w:rPr>
                <w:szCs w:val="18"/>
                <w:lang w:val="es-ES"/>
              </w:rPr>
              <w:t>Arbitrators</w:t>
            </w:r>
            <w:proofErr w:type="spellEnd"/>
            <w:r w:rsidRPr="008C22FB">
              <w:rPr>
                <w:szCs w:val="18"/>
                <w:lang w:val="es-ES"/>
              </w:rPr>
              <w:t>:</w:t>
            </w:r>
          </w:p>
          <w:p w14:paraId="18E283EF" w14:textId="4A273521" w:rsidR="00856C72" w:rsidRPr="008C22FB" w:rsidRDefault="00856C72" w:rsidP="00B709B7">
            <w:pPr>
              <w:pStyle w:val="BodyText"/>
              <w:numPr>
                <w:ilvl w:val="0"/>
                <w:numId w:val="0"/>
              </w:numPr>
              <w:spacing w:after="0"/>
              <w:ind w:left="484"/>
              <w:rPr>
                <w:szCs w:val="18"/>
                <w:lang w:val="es-ES"/>
              </w:rPr>
            </w:pPr>
            <w:r w:rsidRPr="008C22FB">
              <w:rPr>
                <w:szCs w:val="18"/>
                <w:lang w:val="es-ES"/>
              </w:rPr>
              <w:t xml:space="preserve">José Alfredo </w:t>
            </w:r>
            <w:proofErr w:type="spellStart"/>
            <w:r w:rsidRPr="008C22FB">
              <w:rPr>
                <w:szCs w:val="18"/>
                <w:lang w:val="es-ES"/>
              </w:rPr>
              <w:t>Graça</w:t>
            </w:r>
            <w:proofErr w:type="spellEnd"/>
            <w:r w:rsidRPr="008C22FB">
              <w:rPr>
                <w:szCs w:val="18"/>
                <w:lang w:val="es-ES"/>
              </w:rPr>
              <w:t xml:space="preserve"> Lima, </w:t>
            </w:r>
            <w:proofErr w:type="spellStart"/>
            <w:r w:rsidRPr="008C22FB">
              <w:rPr>
                <w:szCs w:val="18"/>
                <w:lang w:val="es-ES"/>
              </w:rPr>
              <w:t>Chairperson</w:t>
            </w:r>
            <w:proofErr w:type="spellEnd"/>
          </w:p>
          <w:p w14:paraId="32169CAE" w14:textId="5D2E1405" w:rsidR="00856C72" w:rsidRPr="008C22FB" w:rsidRDefault="00856C72" w:rsidP="00B709B7">
            <w:pPr>
              <w:pStyle w:val="BodyText"/>
              <w:numPr>
                <w:ilvl w:val="0"/>
                <w:numId w:val="0"/>
              </w:numPr>
              <w:spacing w:after="0"/>
              <w:ind w:left="484"/>
              <w:rPr>
                <w:szCs w:val="18"/>
                <w:lang w:val="es-ES"/>
              </w:rPr>
            </w:pPr>
            <w:r w:rsidRPr="008C22FB">
              <w:rPr>
                <w:szCs w:val="18"/>
                <w:lang w:val="es-ES"/>
              </w:rPr>
              <w:t>Alejandro Jara</w:t>
            </w:r>
          </w:p>
          <w:p w14:paraId="2B7C5A48" w14:textId="1B2FAC35" w:rsidR="007E023E" w:rsidRPr="00272930" w:rsidRDefault="00856C72" w:rsidP="00B709B7">
            <w:pPr>
              <w:pStyle w:val="BodyText"/>
              <w:numPr>
                <w:ilvl w:val="0"/>
                <w:numId w:val="0"/>
              </w:numPr>
              <w:spacing w:after="0"/>
              <w:ind w:left="484"/>
              <w:rPr>
                <w:szCs w:val="18"/>
              </w:rPr>
            </w:pPr>
            <w:r w:rsidRPr="00272930">
              <w:rPr>
                <w:szCs w:val="18"/>
              </w:rPr>
              <w:t>Joost Pauwelyn</w:t>
            </w:r>
          </w:p>
        </w:tc>
      </w:tr>
      <w:tr w:rsidR="007E023E" w:rsidRPr="00272930" w14:paraId="3AB542B5" w14:textId="77777777" w:rsidTr="0011532C">
        <w:tc>
          <w:tcPr>
            <w:tcW w:w="4508" w:type="dxa"/>
          </w:tcPr>
          <w:p w14:paraId="587004EB" w14:textId="649207C1" w:rsidR="007E023E" w:rsidRPr="00272930" w:rsidRDefault="007E023E" w:rsidP="00B709B7">
            <w:pPr>
              <w:pStyle w:val="BodyText"/>
              <w:numPr>
                <w:ilvl w:val="0"/>
                <w:numId w:val="0"/>
              </w:numPr>
              <w:spacing w:after="0"/>
              <w:rPr>
                <w:szCs w:val="18"/>
              </w:rPr>
            </w:pPr>
            <w:r w:rsidRPr="00272930">
              <w:rPr>
                <w:szCs w:val="18"/>
              </w:rPr>
              <w:t>Third Parties:</w:t>
            </w:r>
          </w:p>
          <w:p w14:paraId="040762F4" w14:textId="77777777" w:rsidR="004D424A" w:rsidRPr="00272930" w:rsidRDefault="004D424A" w:rsidP="00B709B7">
            <w:pPr>
              <w:pStyle w:val="BodyText"/>
              <w:numPr>
                <w:ilvl w:val="0"/>
                <w:numId w:val="0"/>
              </w:numPr>
              <w:spacing w:after="0"/>
              <w:ind w:right="441"/>
              <w:rPr>
                <w:szCs w:val="18"/>
              </w:rPr>
            </w:pPr>
          </w:p>
          <w:p w14:paraId="0D84FC72" w14:textId="6B834476" w:rsidR="007E023E" w:rsidRPr="00272930" w:rsidRDefault="007E023E" w:rsidP="00B709B7">
            <w:pPr>
              <w:pStyle w:val="BodyText"/>
              <w:numPr>
                <w:ilvl w:val="0"/>
                <w:numId w:val="0"/>
              </w:numPr>
              <w:tabs>
                <w:tab w:val="left" w:pos="1880"/>
              </w:tabs>
              <w:spacing w:after="0"/>
              <w:ind w:right="441"/>
              <w:rPr>
                <w:szCs w:val="18"/>
              </w:rPr>
            </w:pPr>
            <w:r w:rsidRPr="00272930">
              <w:rPr>
                <w:szCs w:val="18"/>
              </w:rPr>
              <w:t>Brazil</w:t>
            </w:r>
            <w:r w:rsidR="004D424A" w:rsidRPr="00272930">
              <w:rPr>
                <w:szCs w:val="18"/>
              </w:rPr>
              <w:tab/>
            </w:r>
            <w:r w:rsidRPr="00272930">
              <w:rPr>
                <w:szCs w:val="18"/>
              </w:rPr>
              <w:t>Japan</w:t>
            </w:r>
          </w:p>
          <w:p w14:paraId="30D8B87C" w14:textId="647B483E" w:rsidR="007E023E" w:rsidRPr="00272930" w:rsidRDefault="007E023E" w:rsidP="00B709B7">
            <w:pPr>
              <w:pStyle w:val="BodyText"/>
              <w:numPr>
                <w:ilvl w:val="0"/>
                <w:numId w:val="0"/>
              </w:numPr>
              <w:tabs>
                <w:tab w:val="left" w:pos="1880"/>
              </w:tabs>
              <w:spacing w:after="0"/>
              <w:ind w:right="441"/>
              <w:rPr>
                <w:szCs w:val="18"/>
              </w:rPr>
            </w:pPr>
            <w:r w:rsidRPr="00272930">
              <w:rPr>
                <w:szCs w:val="18"/>
              </w:rPr>
              <w:t>China</w:t>
            </w:r>
            <w:r w:rsidR="004D424A" w:rsidRPr="00272930">
              <w:rPr>
                <w:szCs w:val="18"/>
              </w:rPr>
              <w:tab/>
            </w:r>
            <w:r w:rsidRPr="00272930">
              <w:rPr>
                <w:szCs w:val="18"/>
              </w:rPr>
              <w:t>Russian</w:t>
            </w:r>
            <w:r w:rsidR="007E1811" w:rsidRPr="00272930">
              <w:rPr>
                <w:szCs w:val="18"/>
              </w:rPr>
              <w:t> Federation</w:t>
            </w:r>
          </w:p>
          <w:p w14:paraId="3E1170A0" w14:textId="761A7968" w:rsidR="007E023E" w:rsidRPr="00272930" w:rsidRDefault="007E023E" w:rsidP="00B709B7">
            <w:pPr>
              <w:pStyle w:val="BodyText"/>
              <w:numPr>
                <w:ilvl w:val="0"/>
                <w:numId w:val="0"/>
              </w:numPr>
              <w:tabs>
                <w:tab w:val="left" w:pos="1880"/>
              </w:tabs>
              <w:spacing w:after="0"/>
              <w:ind w:right="441"/>
              <w:rPr>
                <w:szCs w:val="18"/>
              </w:rPr>
            </w:pPr>
            <w:r w:rsidRPr="00272930">
              <w:rPr>
                <w:szCs w:val="18"/>
              </w:rPr>
              <w:t>Honduras</w:t>
            </w:r>
            <w:r w:rsidR="004D424A" w:rsidRPr="00272930">
              <w:rPr>
                <w:szCs w:val="18"/>
              </w:rPr>
              <w:tab/>
            </w:r>
            <w:r w:rsidRPr="00272930">
              <w:rPr>
                <w:szCs w:val="18"/>
              </w:rPr>
              <w:t>Türkiye</w:t>
            </w:r>
          </w:p>
          <w:p w14:paraId="09B1BB9F" w14:textId="0F436172" w:rsidR="007E023E" w:rsidRPr="00272930" w:rsidRDefault="007E023E" w:rsidP="00B709B7">
            <w:pPr>
              <w:pStyle w:val="BodyText"/>
              <w:numPr>
                <w:ilvl w:val="0"/>
                <w:numId w:val="0"/>
              </w:numPr>
              <w:tabs>
                <w:tab w:val="left" w:pos="1880"/>
              </w:tabs>
              <w:spacing w:after="0"/>
              <w:ind w:right="441"/>
              <w:rPr>
                <w:szCs w:val="18"/>
              </w:rPr>
            </w:pPr>
            <w:r w:rsidRPr="00272930">
              <w:rPr>
                <w:szCs w:val="18"/>
              </w:rPr>
              <w:t>India</w:t>
            </w:r>
            <w:r w:rsidR="004D424A" w:rsidRPr="00272930">
              <w:rPr>
                <w:szCs w:val="18"/>
              </w:rPr>
              <w:tab/>
            </w:r>
            <w:r w:rsidRPr="00272930">
              <w:rPr>
                <w:szCs w:val="18"/>
              </w:rPr>
              <w:t>United</w:t>
            </w:r>
            <w:r w:rsidR="000F0D20" w:rsidRPr="00272930">
              <w:rPr>
                <w:szCs w:val="18"/>
              </w:rPr>
              <w:t> States</w:t>
            </w:r>
          </w:p>
        </w:tc>
        <w:tc>
          <w:tcPr>
            <w:tcW w:w="4508" w:type="dxa"/>
          </w:tcPr>
          <w:p w14:paraId="02776DA0" w14:textId="77777777" w:rsidR="007E023E" w:rsidRPr="00272930" w:rsidRDefault="007E023E" w:rsidP="00B709B7">
            <w:pPr>
              <w:pStyle w:val="Heading2"/>
              <w:numPr>
                <w:ilvl w:val="0"/>
                <w:numId w:val="0"/>
              </w:numPr>
              <w:spacing w:after="0"/>
              <w:outlineLvl w:val="1"/>
              <w:rPr>
                <w:szCs w:val="18"/>
              </w:rPr>
            </w:pPr>
          </w:p>
        </w:tc>
      </w:tr>
    </w:tbl>
    <w:p w14:paraId="47FFBEBF" w14:textId="426C6962" w:rsidR="007E023E" w:rsidRPr="00272930" w:rsidRDefault="007E023E" w:rsidP="00B709B7">
      <w:pPr>
        <w:pStyle w:val="Heading4"/>
        <w:numPr>
          <w:ilvl w:val="0"/>
          <w:numId w:val="0"/>
        </w:numPr>
        <w:rPr>
          <w:szCs w:val="18"/>
        </w:rPr>
      </w:pPr>
    </w:p>
    <w:p w14:paraId="11CFA967" w14:textId="63E0C2D4" w:rsidR="00D66402" w:rsidRPr="00272930" w:rsidRDefault="004F298F" w:rsidP="00B709B7">
      <w:pPr>
        <w:pStyle w:val="Heading1"/>
        <w:rPr>
          <w:szCs w:val="18"/>
        </w:rPr>
      </w:pPr>
      <w:bookmarkStart w:id="4" w:name="_Toc122339702"/>
      <w:r w:rsidRPr="00272930">
        <w:rPr>
          <w:szCs w:val="18"/>
        </w:rPr>
        <w:t>INTRODUCTION</w:t>
      </w:r>
      <w:bookmarkEnd w:id="4"/>
    </w:p>
    <w:p w14:paraId="66A2953B" w14:textId="6AAC9073" w:rsidR="008703A8" w:rsidRPr="00272930" w:rsidRDefault="004F298F" w:rsidP="00B709B7">
      <w:pPr>
        <w:pStyle w:val="BodyText"/>
        <w:numPr>
          <w:ilvl w:val="6"/>
          <w:numId w:val="18"/>
        </w:numPr>
        <w:rPr>
          <w:szCs w:val="18"/>
        </w:rPr>
      </w:pPr>
      <w:r w:rsidRPr="00272930">
        <w:rPr>
          <w:szCs w:val="18"/>
        </w:rPr>
        <w:t>This Arbitration concerns</w:t>
      </w:r>
      <w:r w:rsidR="00C75387" w:rsidRPr="00272930">
        <w:rPr>
          <w:szCs w:val="18"/>
        </w:rPr>
        <w:t xml:space="preserve"> certain</w:t>
      </w:r>
      <w:r w:rsidRPr="00272930">
        <w:rPr>
          <w:szCs w:val="18"/>
        </w:rPr>
        <w:t xml:space="preserve"> </w:t>
      </w:r>
      <w:r w:rsidR="00680169" w:rsidRPr="00272930">
        <w:rPr>
          <w:szCs w:val="18"/>
        </w:rPr>
        <w:t>issues of law and legal interpretation</w:t>
      </w:r>
      <w:r w:rsidR="00A32F03" w:rsidRPr="00272930">
        <w:rPr>
          <w:szCs w:val="18"/>
        </w:rPr>
        <w:t>s</w:t>
      </w:r>
      <w:r w:rsidR="00680169" w:rsidRPr="00272930">
        <w:rPr>
          <w:szCs w:val="18"/>
        </w:rPr>
        <w:t xml:space="preserve"> </w:t>
      </w:r>
      <w:r w:rsidR="006E46DC" w:rsidRPr="00272930">
        <w:rPr>
          <w:szCs w:val="18"/>
        </w:rPr>
        <w:t>developed in the Panel</w:t>
      </w:r>
      <w:r w:rsidR="000F0D20" w:rsidRPr="00272930">
        <w:rPr>
          <w:szCs w:val="18"/>
        </w:rPr>
        <w:t> Report</w:t>
      </w:r>
      <w:r w:rsidR="006E46DC" w:rsidRPr="00272930">
        <w:rPr>
          <w:szCs w:val="18"/>
        </w:rPr>
        <w:t xml:space="preserve">, </w:t>
      </w:r>
      <w:r w:rsidR="006E46DC" w:rsidRPr="00272930">
        <w:rPr>
          <w:i/>
          <w:iCs/>
          <w:szCs w:val="18"/>
        </w:rPr>
        <w:t xml:space="preserve">Colombia </w:t>
      </w:r>
      <w:r w:rsidR="006A67A7" w:rsidRPr="00272930">
        <w:rPr>
          <w:i/>
          <w:iCs/>
          <w:szCs w:val="18"/>
        </w:rPr>
        <w:t>–</w:t>
      </w:r>
      <w:r w:rsidR="006E46DC" w:rsidRPr="00272930">
        <w:rPr>
          <w:i/>
          <w:iCs/>
          <w:szCs w:val="18"/>
        </w:rPr>
        <w:t xml:space="preserve"> Anti-Dumping Duties on Frozen Fries from Belgium, Germany and the Netherlands</w:t>
      </w:r>
      <w:r w:rsidR="006E46DC" w:rsidRPr="00272930">
        <w:rPr>
          <w:szCs w:val="18"/>
        </w:rPr>
        <w:t>.</w:t>
      </w:r>
      <w:r w:rsidR="006E46DC" w:rsidRPr="00272930">
        <w:rPr>
          <w:rStyle w:val="FootnoteReference"/>
          <w:szCs w:val="18"/>
        </w:rPr>
        <w:footnoteReference w:id="2"/>
      </w:r>
      <w:r w:rsidR="00A20F16" w:rsidRPr="00272930">
        <w:rPr>
          <w:szCs w:val="18"/>
        </w:rPr>
        <w:t xml:space="preserve"> These </w:t>
      </w:r>
      <w:r w:rsidR="00F511C2" w:rsidRPr="00272930">
        <w:rPr>
          <w:szCs w:val="18"/>
        </w:rPr>
        <w:t xml:space="preserve">issues </w:t>
      </w:r>
      <w:r w:rsidR="00A20F16" w:rsidRPr="00272930">
        <w:rPr>
          <w:szCs w:val="18"/>
        </w:rPr>
        <w:t xml:space="preserve">of law and legal interpretations relate to </w:t>
      </w:r>
      <w:r w:rsidR="00042B19" w:rsidRPr="00272930">
        <w:rPr>
          <w:szCs w:val="18"/>
        </w:rPr>
        <w:t>the Panel</w:t>
      </w:r>
      <w:r w:rsidR="00972276" w:rsidRPr="00272930">
        <w:rPr>
          <w:szCs w:val="18"/>
        </w:rPr>
        <w:t>'</w:t>
      </w:r>
      <w:r w:rsidR="00042B19" w:rsidRPr="00272930">
        <w:rPr>
          <w:szCs w:val="18"/>
        </w:rPr>
        <w:t xml:space="preserve">s findings </w:t>
      </w:r>
      <w:r w:rsidR="00651458" w:rsidRPr="00272930">
        <w:rPr>
          <w:szCs w:val="18"/>
        </w:rPr>
        <w:t xml:space="preserve">regarding the consistency </w:t>
      </w:r>
      <w:r w:rsidR="00C73358" w:rsidRPr="00272930">
        <w:rPr>
          <w:szCs w:val="18"/>
        </w:rPr>
        <w:t xml:space="preserve">with </w:t>
      </w:r>
      <w:r w:rsidR="00A20F16" w:rsidRPr="00272930">
        <w:rPr>
          <w:szCs w:val="18"/>
        </w:rPr>
        <w:t xml:space="preserve">the </w:t>
      </w:r>
      <w:r w:rsidR="00C578A9" w:rsidRPr="00272930">
        <w:rPr>
          <w:szCs w:val="18"/>
        </w:rPr>
        <w:t>Agreement on the Implementation of Article</w:t>
      </w:r>
      <w:r w:rsidR="000F0D20" w:rsidRPr="00272930">
        <w:rPr>
          <w:szCs w:val="18"/>
        </w:rPr>
        <w:t> </w:t>
      </w:r>
      <w:r w:rsidR="00C578A9" w:rsidRPr="00272930">
        <w:rPr>
          <w:szCs w:val="18"/>
        </w:rPr>
        <w:t>VI of the General Agreement on Tariffs and Trade 1994 (Anti-Dumping Agreement) of</w:t>
      </w:r>
      <w:r w:rsidR="00F67F89" w:rsidRPr="00272930">
        <w:rPr>
          <w:szCs w:val="18"/>
        </w:rPr>
        <w:t xml:space="preserve"> </w:t>
      </w:r>
      <w:r w:rsidR="00C73358" w:rsidRPr="00272930">
        <w:rPr>
          <w:szCs w:val="18"/>
        </w:rPr>
        <w:t>the</w:t>
      </w:r>
      <w:r w:rsidR="00C578A9" w:rsidRPr="00272930">
        <w:rPr>
          <w:szCs w:val="18"/>
        </w:rPr>
        <w:t xml:space="preserve"> anti-dumping duties </w:t>
      </w:r>
      <w:r w:rsidR="00C73358" w:rsidRPr="00272930">
        <w:rPr>
          <w:szCs w:val="18"/>
        </w:rPr>
        <w:t xml:space="preserve">imposed by Colombia </w:t>
      </w:r>
      <w:r w:rsidR="00C578A9" w:rsidRPr="00272930">
        <w:rPr>
          <w:szCs w:val="18"/>
        </w:rPr>
        <w:t>on certain frozen potato products originating in Belgium, Germany, and the Netherlands.</w:t>
      </w:r>
    </w:p>
    <w:p w14:paraId="03701CED" w14:textId="4E5790AB" w:rsidR="00471108" w:rsidRPr="00272930" w:rsidRDefault="003C4290" w:rsidP="00B709B7">
      <w:pPr>
        <w:pStyle w:val="BodyText"/>
        <w:numPr>
          <w:ilvl w:val="6"/>
          <w:numId w:val="18"/>
        </w:numPr>
        <w:rPr>
          <w:szCs w:val="18"/>
        </w:rPr>
      </w:pPr>
      <w:r w:rsidRPr="00272930">
        <w:rPr>
          <w:szCs w:val="18"/>
        </w:rPr>
        <w:t>T</w:t>
      </w:r>
      <w:r w:rsidR="00CF6881" w:rsidRPr="00272930">
        <w:rPr>
          <w:szCs w:val="18"/>
        </w:rPr>
        <w:t xml:space="preserve">he </w:t>
      </w:r>
      <w:r w:rsidR="0038156A" w:rsidRPr="00272930">
        <w:rPr>
          <w:szCs w:val="18"/>
        </w:rPr>
        <w:t>Panel was established on 29</w:t>
      </w:r>
      <w:r w:rsidR="000F0D20" w:rsidRPr="00272930">
        <w:rPr>
          <w:szCs w:val="18"/>
        </w:rPr>
        <w:t> </w:t>
      </w:r>
      <w:r w:rsidR="0038156A" w:rsidRPr="00272930">
        <w:rPr>
          <w:szCs w:val="18"/>
        </w:rPr>
        <w:t>June</w:t>
      </w:r>
      <w:r w:rsidR="000F0D20" w:rsidRPr="00272930">
        <w:rPr>
          <w:szCs w:val="18"/>
        </w:rPr>
        <w:t> </w:t>
      </w:r>
      <w:r w:rsidR="0038156A" w:rsidRPr="00272930">
        <w:rPr>
          <w:szCs w:val="18"/>
        </w:rPr>
        <w:t xml:space="preserve">2020 </w:t>
      </w:r>
      <w:r w:rsidR="00114977" w:rsidRPr="00272930">
        <w:rPr>
          <w:szCs w:val="18"/>
        </w:rPr>
        <w:t xml:space="preserve">to consider a complaint by the </w:t>
      </w:r>
      <w:r w:rsidR="00CF6881" w:rsidRPr="00272930">
        <w:rPr>
          <w:szCs w:val="18"/>
        </w:rPr>
        <w:t>European</w:t>
      </w:r>
      <w:r w:rsidR="00C94E20" w:rsidRPr="00272930">
        <w:rPr>
          <w:szCs w:val="18"/>
        </w:rPr>
        <w:t> </w:t>
      </w:r>
      <w:r w:rsidR="00CF6881" w:rsidRPr="00272930">
        <w:rPr>
          <w:szCs w:val="18"/>
        </w:rPr>
        <w:t>Union</w:t>
      </w:r>
      <w:r w:rsidR="001D73F7" w:rsidRPr="00272930">
        <w:rPr>
          <w:szCs w:val="18"/>
        </w:rPr>
        <w:t xml:space="preserve"> </w:t>
      </w:r>
      <w:r w:rsidR="00065ED5" w:rsidRPr="00272930">
        <w:rPr>
          <w:szCs w:val="18"/>
        </w:rPr>
        <w:t>that</w:t>
      </w:r>
      <w:r w:rsidR="007D5C2A" w:rsidRPr="00272930">
        <w:rPr>
          <w:szCs w:val="18"/>
        </w:rPr>
        <w:t>, in imposing the above-</w:t>
      </w:r>
      <w:r w:rsidR="002776FD" w:rsidRPr="00272930">
        <w:rPr>
          <w:szCs w:val="18"/>
        </w:rPr>
        <w:t>mentioned duties,</w:t>
      </w:r>
      <w:r w:rsidR="00065ED5" w:rsidRPr="00272930">
        <w:rPr>
          <w:szCs w:val="18"/>
        </w:rPr>
        <w:t xml:space="preserve"> Colombia acted inconsistently with </w:t>
      </w:r>
      <w:r w:rsidR="000528F6" w:rsidRPr="00272930">
        <w:rPr>
          <w:szCs w:val="18"/>
        </w:rPr>
        <w:t>Articles </w:t>
      </w:r>
      <w:r w:rsidR="00200ADD" w:rsidRPr="00272930">
        <w:rPr>
          <w:szCs w:val="18"/>
        </w:rPr>
        <w:t xml:space="preserve">1, </w:t>
      </w:r>
      <w:r w:rsidR="00065ED5" w:rsidRPr="00272930">
        <w:rPr>
          <w:szCs w:val="18"/>
        </w:rPr>
        <w:t xml:space="preserve">2.1, 2.4, </w:t>
      </w:r>
      <w:r w:rsidR="009F23CA" w:rsidRPr="00272930">
        <w:rPr>
          <w:szCs w:val="18"/>
        </w:rPr>
        <w:t xml:space="preserve">2.4.1, 2.6, </w:t>
      </w:r>
      <w:r w:rsidR="00065ED5" w:rsidRPr="00272930">
        <w:rPr>
          <w:szCs w:val="18"/>
        </w:rPr>
        <w:t xml:space="preserve">3.1, 3.2, 3.4, 3.5, </w:t>
      </w:r>
      <w:r w:rsidR="00200ADD" w:rsidRPr="00272930">
        <w:rPr>
          <w:szCs w:val="18"/>
        </w:rPr>
        <w:t xml:space="preserve">3.6, 3.7, 3.8, </w:t>
      </w:r>
      <w:r w:rsidR="00065ED5" w:rsidRPr="00272930">
        <w:rPr>
          <w:szCs w:val="18"/>
        </w:rPr>
        <w:t xml:space="preserve">5.3, 5.8, </w:t>
      </w:r>
      <w:r w:rsidR="00200ADD" w:rsidRPr="00272930">
        <w:rPr>
          <w:szCs w:val="18"/>
        </w:rPr>
        <w:t xml:space="preserve">6.1.2, 6.2, </w:t>
      </w:r>
      <w:r w:rsidR="00065ED5" w:rsidRPr="00272930">
        <w:rPr>
          <w:szCs w:val="18"/>
        </w:rPr>
        <w:t xml:space="preserve">6.5, 6.5.1, 6.8, </w:t>
      </w:r>
      <w:r w:rsidR="00200ADD" w:rsidRPr="00272930">
        <w:rPr>
          <w:szCs w:val="18"/>
        </w:rPr>
        <w:t xml:space="preserve">6.9, 9.1, 9.2, 9.3, 11.1, 12.2, 12.2.2, </w:t>
      </w:r>
      <w:r w:rsidR="004C597D" w:rsidRPr="00272930">
        <w:rPr>
          <w:szCs w:val="18"/>
        </w:rPr>
        <w:t xml:space="preserve">and </w:t>
      </w:r>
      <w:r w:rsidR="00C32B23" w:rsidRPr="00272930">
        <w:rPr>
          <w:szCs w:val="18"/>
        </w:rPr>
        <w:t xml:space="preserve">18.1, </w:t>
      </w:r>
      <w:r w:rsidR="00065ED5" w:rsidRPr="00272930">
        <w:rPr>
          <w:szCs w:val="18"/>
        </w:rPr>
        <w:t xml:space="preserve">and </w:t>
      </w:r>
      <w:r w:rsidR="00270F7B" w:rsidRPr="00272930">
        <w:rPr>
          <w:szCs w:val="18"/>
        </w:rPr>
        <w:t>paragraphs </w:t>
      </w:r>
      <w:r w:rsidR="00065ED5" w:rsidRPr="00272930">
        <w:rPr>
          <w:szCs w:val="18"/>
        </w:rPr>
        <w:t>3 and 6 of Annex</w:t>
      </w:r>
      <w:r w:rsidR="00C94E20" w:rsidRPr="00272930">
        <w:rPr>
          <w:szCs w:val="18"/>
        </w:rPr>
        <w:t> </w:t>
      </w:r>
      <w:r w:rsidR="00065ED5" w:rsidRPr="00272930">
        <w:rPr>
          <w:szCs w:val="18"/>
        </w:rPr>
        <w:t xml:space="preserve">II </w:t>
      </w:r>
      <w:r w:rsidR="004C597D" w:rsidRPr="00272930">
        <w:rPr>
          <w:szCs w:val="18"/>
        </w:rPr>
        <w:t xml:space="preserve">to </w:t>
      </w:r>
      <w:r w:rsidR="00065ED5" w:rsidRPr="00272930">
        <w:rPr>
          <w:szCs w:val="18"/>
        </w:rPr>
        <w:t>the Anti-Dumping Agreement</w:t>
      </w:r>
      <w:r w:rsidR="00A24D22" w:rsidRPr="00272930">
        <w:rPr>
          <w:szCs w:val="18"/>
        </w:rPr>
        <w:t xml:space="preserve">, </w:t>
      </w:r>
      <w:r w:rsidR="00C32B23" w:rsidRPr="00272930">
        <w:rPr>
          <w:szCs w:val="18"/>
        </w:rPr>
        <w:t>Article</w:t>
      </w:r>
      <w:r w:rsidR="000F0D20" w:rsidRPr="00272930">
        <w:rPr>
          <w:szCs w:val="18"/>
        </w:rPr>
        <w:t> </w:t>
      </w:r>
      <w:r w:rsidR="00C32B23" w:rsidRPr="00272930">
        <w:rPr>
          <w:szCs w:val="18"/>
        </w:rPr>
        <w:t xml:space="preserve">10 of the </w:t>
      </w:r>
      <w:r w:rsidR="00155434" w:rsidRPr="00272930">
        <w:rPr>
          <w:szCs w:val="18"/>
        </w:rPr>
        <w:t>Agreement on Implementation of Article</w:t>
      </w:r>
      <w:r w:rsidR="007E1811" w:rsidRPr="00272930">
        <w:rPr>
          <w:szCs w:val="18"/>
        </w:rPr>
        <w:t> </w:t>
      </w:r>
      <w:r w:rsidR="00155434" w:rsidRPr="00272930">
        <w:rPr>
          <w:szCs w:val="18"/>
        </w:rPr>
        <w:t>VII of the General Agreement on Tariffs and Trade 1994 (</w:t>
      </w:r>
      <w:r w:rsidR="00C32B23" w:rsidRPr="00272930">
        <w:rPr>
          <w:szCs w:val="18"/>
        </w:rPr>
        <w:t>Customs Valuation Agreement</w:t>
      </w:r>
      <w:r w:rsidR="00155434" w:rsidRPr="00272930">
        <w:rPr>
          <w:szCs w:val="18"/>
        </w:rPr>
        <w:t>)</w:t>
      </w:r>
      <w:r w:rsidR="00A24D22" w:rsidRPr="00272930">
        <w:rPr>
          <w:szCs w:val="18"/>
        </w:rPr>
        <w:t>, and Article</w:t>
      </w:r>
      <w:r w:rsidR="000F0D20" w:rsidRPr="00272930">
        <w:rPr>
          <w:szCs w:val="18"/>
        </w:rPr>
        <w:t> </w:t>
      </w:r>
      <w:r w:rsidR="00A24D22" w:rsidRPr="00272930">
        <w:rPr>
          <w:szCs w:val="18"/>
        </w:rPr>
        <w:t xml:space="preserve">VI of the </w:t>
      </w:r>
      <w:r w:rsidR="00155434" w:rsidRPr="00272930">
        <w:rPr>
          <w:szCs w:val="18"/>
        </w:rPr>
        <w:t>General Agreement on Tariffs and Trade 1994 (</w:t>
      </w:r>
      <w:r w:rsidR="00A24D22" w:rsidRPr="00272930">
        <w:rPr>
          <w:szCs w:val="18"/>
        </w:rPr>
        <w:t>GATT</w:t>
      </w:r>
      <w:r w:rsidR="000F0D20" w:rsidRPr="00272930">
        <w:rPr>
          <w:szCs w:val="18"/>
        </w:rPr>
        <w:t> 1994</w:t>
      </w:r>
      <w:r w:rsidR="00155434" w:rsidRPr="00272930">
        <w:rPr>
          <w:szCs w:val="18"/>
        </w:rPr>
        <w:t>)</w:t>
      </w:r>
      <w:r w:rsidR="00065ED5" w:rsidRPr="00272930">
        <w:rPr>
          <w:szCs w:val="18"/>
        </w:rPr>
        <w:t>.</w:t>
      </w:r>
      <w:r w:rsidR="00B20785" w:rsidRPr="00272930">
        <w:rPr>
          <w:rStyle w:val="FootnoteReference"/>
          <w:szCs w:val="18"/>
        </w:rPr>
        <w:footnoteReference w:id="3"/>
      </w:r>
    </w:p>
    <w:p w14:paraId="190AAA01" w14:textId="29AA7C1D" w:rsidR="00EA34D7" w:rsidRPr="00272930" w:rsidRDefault="003C4290" w:rsidP="00B709B7">
      <w:pPr>
        <w:pStyle w:val="BodyText"/>
        <w:numPr>
          <w:ilvl w:val="6"/>
          <w:numId w:val="18"/>
        </w:numPr>
        <w:rPr>
          <w:szCs w:val="18"/>
        </w:rPr>
      </w:pPr>
      <w:r w:rsidRPr="00272930">
        <w:rPr>
          <w:szCs w:val="18"/>
        </w:rPr>
        <w:t>On 13</w:t>
      </w:r>
      <w:r w:rsidR="000F0D20" w:rsidRPr="00272930">
        <w:rPr>
          <w:szCs w:val="18"/>
        </w:rPr>
        <w:t> </w:t>
      </w:r>
      <w:r w:rsidRPr="00272930">
        <w:rPr>
          <w:szCs w:val="18"/>
        </w:rPr>
        <w:t>July</w:t>
      </w:r>
      <w:r w:rsidR="000F0D20" w:rsidRPr="00272930">
        <w:rPr>
          <w:szCs w:val="18"/>
        </w:rPr>
        <w:t> </w:t>
      </w:r>
      <w:r w:rsidRPr="00272930">
        <w:rPr>
          <w:szCs w:val="18"/>
        </w:rPr>
        <w:t>2020, the European</w:t>
      </w:r>
      <w:r w:rsidR="000F0D20" w:rsidRPr="00272930">
        <w:rPr>
          <w:szCs w:val="18"/>
        </w:rPr>
        <w:t> Union</w:t>
      </w:r>
      <w:r w:rsidRPr="00272930">
        <w:rPr>
          <w:szCs w:val="18"/>
        </w:rPr>
        <w:t xml:space="preserve"> and Colombia informed the</w:t>
      </w:r>
      <w:r w:rsidR="0046003C" w:rsidRPr="00272930">
        <w:rPr>
          <w:szCs w:val="18"/>
        </w:rPr>
        <w:t xml:space="preserve"> Dispute Settlement Body</w:t>
      </w:r>
      <w:r w:rsidRPr="00272930">
        <w:rPr>
          <w:szCs w:val="18"/>
        </w:rPr>
        <w:t xml:space="preserve"> </w:t>
      </w:r>
      <w:r w:rsidR="0046003C" w:rsidRPr="00272930">
        <w:rPr>
          <w:szCs w:val="18"/>
        </w:rPr>
        <w:t>(</w:t>
      </w:r>
      <w:r w:rsidR="00BF7817" w:rsidRPr="00272930">
        <w:rPr>
          <w:szCs w:val="18"/>
        </w:rPr>
        <w:t>DSB</w:t>
      </w:r>
      <w:r w:rsidR="0046003C" w:rsidRPr="00272930">
        <w:rPr>
          <w:szCs w:val="18"/>
        </w:rPr>
        <w:t>)</w:t>
      </w:r>
      <w:r w:rsidRPr="00272930">
        <w:rPr>
          <w:szCs w:val="18"/>
        </w:rPr>
        <w:t xml:space="preserve"> that they had agreed to </w:t>
      </w:r>
      <w:r w:rsidR="00155434" w:rsidRPr="00272930">
        <w:rPr>
          <w:szCs w:val="18"/>
        </w:rPr>
        <w:t>p</w:t>
      </w:r>
      <w:r w:rsidRPr="00272930">
        <w:rPr>
          <w:szCs w:val="18"/>
        </w:rPr>
        <w:t xml:space="preserve">rocedures for </w:t>
      </w:r>
      <w:r w:rsidR="00155434" w:rsidRPr="00272930">
        <w:rPr>
          <w:szCs w:val="18"/>
        </w:rPr>
        <w:t>a</w:t>
      </w:r>
      <w:r w:rsidRPr="00272930">
        <w:rPr>
          <w:szCs w:val="18"/>
        </w:rPr>
        <w:t>rbitration under Article</w:t>
      </w:r>
      <w:r w:rsidR="000F0D20" w:rsidRPr="00272930">
        <w:rPr>
          <w:szCs w:val="18"/>
        </w:rPr>
        <w:t> </w:t>
      </w:r>
      <w:r w:rsidRPr="00272930">
        <w:rPr>
          <w:szCs w:val="18"/>
        </w:rPr>
        <w:t xml:space="preserve">25 of the </w:t>
      </w:r>
      <w:r w:rsidR="00155434" w:rsidRPr="00272930">
        <w:rPr>
          <w:szCs w:val="18"/>
        </w:rPr>
        <w:t>Understanding on Rules and Procedures Governing the Settlement of Disputes (</w:t>
      </w:r>
      <w:r w:rsidRPr="00272930">
        <w:rPr>
          <w:szCs w:val="18"/>
        </w:rPr>
        <w:t>DSU</w:t>
      </w:r>
      <w:r w:rsidR="00155434" w:rsidRPr="00272930">
        <w:rPr>
          <w:szCs w:val="18"/>
        </w:rPr>
        <w:t>)</w:t>
      </w:r>
      <w:r w:rsidRPr="00272930">
        <w:rPr>
          <w:szCs w:val="18"/>
        </w:rPr>
        <w:t xml:space="preserve"> in this dispute.</w:t>
      </w:r>
      <w:r w:rsidR="00835FED" w:rsidRPr="00272930">
        <w:rPr>
          <w:rStyle w:val="FootnoteReference"/>
          <w:szCs w:val="18"/>
        </w:rPr>
        <w:footnoteReference w:id="4"/>
      </w:r>
      <w:r w:rsidRPr="00272930">
        <w:rPr>
          <w:szCs w:val="18"/>
        </w:rPr>
        <w:t xml:space="preserve"> These procedures were subsequently revised on 20</w:t>
      </w:r>
      <w:r w:rsidR="000F0D20" w:rsidRPr="00272930">
        <w:rPr>
          <w:szCs w:val="18"/>
        </w:rPr>
        <w:t> </w:t>
      </w:r>
      <w:r w:rsidRPr="00272930">
        <w:rPr>
          <w:szCs w:val="18"/>
        </w:rPr>
        <w:t>April</w:t>
      </w:r>
      <w:r w:rsidR="000F0D20" w:rsidRPr="00272930">
        <w:rPr>
          <w:szCs w:val="18"/>
        </w:rPr>
        <w:t> </w:t>
      </w:r>
      <w:r w:rsidRPr="00272930">
        <w:rPr>
          <w:szCs w:val="18"/>
        </w:rPr>
        <w:t>2021</w:t>
      </w:r>
      <w:r w:rsidR="00135D60" w:rsidRPr="00272930">
        <w:rPr>
          <w:szCs w:val="18"/>
        </w:rPr>
        <w:t xml:space="preserve"> (Agreed Procedures),</w:t>
      </w:r>
      <w:r w:rsidRPr="00272930">
        <w:rPr>
          <w:szCs w:val="18"/>
        </w:rPr>
        <w:t xml:space="preserve"> </w:t>
      </w:r>
      <w:r w:rsidR="00E92B22" w:rsidRPr="00272930">
        <w:rPr>
          <w:szCs w:val="18"/>
        </w:rPr>
        <w:t xml:space="preserve">and </w:t>
      </w:r>
      <w:r w:rsidRPr="00272930">
        <w:rPr>
          <w:szCs w:val="18"/>
        </w:rPr>
        <w:t xml:space="preserve">were entered into by the parties </w:t>
      </w:r>
      <w:r w:rsidR="00972276" w:rsidRPr="00272930">
        <w:rPr>
          <w:szCs w:val="18"/>
        </w:rPr>
        <w:t>"</w:t>
      </w:r>
      <w:r w:rsidRPr="00272930">
        <w:rPr>
          <w:szCs w:val="18"/>
        </w:rPr>
        <w:t>to give effect to communication JOB/DSB/1/Add.12</w:t>
      </w:r>
      <w:r w:rsidR="00972276" w:rsidRPr="00272930">
        <w:rPr>
          <w:szCs w:val="18"/>
        </w:rPr>
        <w:t>"</w:t>
      </w:r>
      <w:r w:rsidR="002776FD" w:rsidRPr="00272930">
        <w:rPr>
          <w:szCs w:val="18"/>
        </w:rPr>
        <w:t>, i.e.</w:t>
      </w:r>
      <w:r w:rsidR="004D424A" w:rsidRPr="00272930">
        <w:rPr>
          <w:szCs w:val="18"/>
        </w:rPr>
        <w:t> </w:t>
      </w:r>
      <w:r w:rsidRPr="00272930">
        <w:rPr>
          <w:szCs w:val="18"/>
        </w:rPr>
        <w:t xml:space="preserve">the Multi-Party Interim Appeal Arbitration Arrangement </w:t>
      </w:r>
      <w:r w:rsidR="009946CC" w:rsidRPr="00272930">
        <w:rPr>
          <w:szCs w:val="18"/>
        </w:rPr>
        <w:t xml:space="preserve">(MPIA) </w:t>
      </w:r>
      <w:r w:rsidR="00763903">
        <w:rPr>
          <w:szCs w:val="18"/>
        </w:rPr>
        <w:t>p</w:t>
      </w:r>
      <w:r w:rsidRPr="00272930">
        <w:rPr>
          <w:szCs w:val="18"/>
        </w:rPr>
        <w:t xml:space="preserve">ursuant </w:t>
      </w:r>
      <w:r w:rsidR="00EB7322" w:rsidRPr="00272930">
        <w:rPr>
          <w:szCs w:val="18"/>
        </w:rPr>
        <w:t>t</w:t>
      </w:r>
      <w:r w:rsidRPr="00272930">
        <w:rPr>
          <w:szCs w:val="18"/>
        </w:rPr>
        <w:t>o Article</w:t>
      </w:r>
      <w:r w:rsidR="00C94E20" w:rsidRPr="00272930">
        <w:rPr>
          <w:szCs w:val="18"/>
        </w:rPr>
        <w:t> </w:t>
      </w:r>
      <w:r w:rsidRPr="00272930">
        <w:rPr>
          <w:szCs w:val="18"/>
        </w:rPr>
        <w:t xml:space="preserve">25 </w:t>
      </w:r>
      <w:r w:rsidR="00EB7322" w:rsidRPr="00272930">
        <w:rPr>
          <w:szCs w:val="18"/>
        </w:rPr>
        <w:t>o</w:t>
      </w:r>
      <w:r w:rsidRPr="00272930">
        <w:rPr>
          <w:szCs w:val="18"/>
        </w:rPr>
        <w:t xml:space="preserve">f </w:t>
      </w:r>
      <w:r w:rsidR="00EB7322" w:rsidRPr="00272930">
        <w:rPr>
          <w:szCs w:val="18"/>
        </w:rPr>
        <w:t>t</w:t>
      </w:r>
      <w:r w:rsidRPr="00272930">
        <w:rPr>
          <w:szCs w:val="18"/>
        </w:rPr>
        <w:t>he DSU</w:t>
      </w:r>
      <w:r w:rsidR="00E935E1" w:rsidRPr="00272930">
        <w:rPr>
          <w:szCs w:val="18"/>
        </w:rPr>
        <w:t>,</w:t>
      </w:r>
      <w:r w:rsidRPr="00272930">
        <w:rPr>
          <w:szCs w:val="18"/>
        </w:rPr>
        <w:t xml:space="preserve"> and </w:t>
      </w:r>
      <w:r w:rsidR="00972276" w:rsidRPr="00272930">
        <w:rPr>
          <w:szCs w:val="18"/>
        </w:rPr>
        <w:t>"</w:t>
      </w:r>
      <w:r w:rsidRPr="00272930">
        <w:rPr>
          <w:szCs w:val="18"/>
        </w:rPr>
        <w:t>to decide any appeal from any final panel report as issued to the parties in [this] dispute</w:t>
      </w:r>
      <w:r w:rsidR="00972276" w:rsidRPr="00272930">
        <w:rPr>
          <w:szCs w:val="18"/>
        </w:rPr>
        <w:t>"</w:t>
      </w:r>
      <w:r w:rsidR="000F0D20" w:rsidRPr="00272930">
        <w:rPr>
          <w:szCs w:val="18"/>
        </w:rPr>
        <w:t>.</w:t>
      </w:r>
      <w:r w:rsidR="004D1C53" w:rsidRPr="00272930">
        <w:rPr>
          <w:rStyle w:val="FootnoteReference"/>
          <w:szCs w:val="18"/>
        </w:rPr>
        <w:footnoteReference w:id="5"/>
      </w:r>
    </w:p>
    <w:p w14:paraId="4FFFF9E4" w14:textId="144AD047" w:rsidR="00200966" w:rsidRPr="00272930" w:rsidRDefault="00CF6881" w:rsidP="00B709B7">
      <w:pPr>
        <w:pStyle w:val="BodyText"/>
        <w:numPr>
          <w:ilvl w:val="6"/>
          <w:numId w:val="18"/>
        </w:numPr>
        <w:rPr>
          <w:szCs w:val="18"/>
        </w:rPr>
      </w:pPr>
      <w:r w:rsidRPr="00272930">
        <w:rPr>
          <w:szCs w:val="18"/>
        </w:rPr>
        <w:t xml:space="preserve">On </w:t>
      </w:r>
      <w:r w:rsidR="00543D75" w:rsidRPr="00272930">
        <w:rPr>
          <w:szCs w:val="18"/>
        </w:rPr>
        <w:t>29</w:t>
      </w:r>
      <w:r w:rsidR="000F0D20" w:rsidRPr="00272930">
        <w:rPr>
          <w:szCs w:val="18"/>
        </w:rPr>
        <w:t> </w:t>
      </w:r>
      <w:r w:rsidR="00543D75" w:rsidRPr="00272930">
        <w:rPr>
          <w:szCs w:val="18"/>
        </w:rPr>
        <w:t>August</w:t>
      </w:r>
      <w:r w:rsidR="000F0D20" w:rsidRPr="00272930">
        <w:rPr>
          <w:szCs w:val="18"/>
        </w:rPr>
        <w:t> </w:t>
      </w:r>
      <w:r w:rsidR="00543D75" w:rsidRPr="00272930">
        <w:rPr>
          <w:szCs w:val="18"/>
        </w:rPr>
        <w:t>2022</w:t>
      </w:r>
      <w:r w:rsidRPr="00272930">
        <w:rPr>
          <w:szCs w:val="18"/>
        </w:rPr>
        <w:t xml:space="preserve">, the Panel issued </w:t>
      </w:r>
      <w:r w:rsidR="00763903" w:rsidRPr="00916B88">
        <w:rPr>
          <w:szCs w:val="18"/>
        </w:rPr>
        <w:t>the f</w:t>
      </w:r>
      <w:r w:rsidRPr="00916B88">
        <w:rPr>
          <w:szCs w:val="18"/>
        </w:rPr>
        <w:t>inal</w:t>
      </w:r>
      <w:r w:rsidR="00763903" w:rsidRPr="00916B88">
        <w:rPr>
          <w:szCs w:val="18"/>
        </w:rPr>
        <w:t xml:space="preserve"> Panel</w:t>
      </w:r>
      <w:r w:rsidRPr="00916B88">
        <w:rPr>
          <w:szCs w:val="18"/>
        </w:rPr>
        <w:t xml:space="preserve"> Report </w:t>
      </w:r>
      <w:r w:rsidR="00281466" w:rsidRPr="00916B88">
        <w:rPr>
          <w:szCs w:val="18"/>
        </w:rPr>
        <w:t xml:space="preserve">in English </w:t>
      </w:r>
      <w:r w:rsidRPr="00916B88">
        <w:rPr>
          <w:szCs w:val="18"/>
        </w:rPr>
        <w:t>to the parties</w:t>
      </w:r>
      <w:r w:rsidR="00A91550" w:rsidRPr="00916B88">
        <w:rPr>
          <w:szCs w:val="18"/>
        </w:rPr>
        <w:t>.</w:t>
      </w:r>
      <w:r w:rsidR="00A91550" w:rsidRPr="00916B88">
        <w:rPr>
          <w:rStyle w:val="FootnoteReference"/>
          <w:szCs w:val="18"/>
        </w:rPr>
        <w:footnoteReference w:id="6"/>
      </w:r>
      <w:r w:rsidR="00F0140E" w:rsidRPr="00916B88">
        <w:rPr>
          <w:szCs w:val="18"/>
        </w:rPr>
        <w:t xml:space="preserve"> </w:t>
      </w:r>
      <w:r w:rsidR="00C833E3" w:rsidRPr="00916B88">
        <w:rPr>
          <w:szCs w:val="18"/>
        </w:rPr>
        <w:t>F</w:t>
      </w:r>
      <w:r w:rsidR="005A52D3" w:rsidRPr="00916B88">
        <w:rPr>
          <w:szCs w:val="18"/>
        </w:rPr>
        <w:t xml:space="preserve">ollowing </w:t>
      </w:r>
      <w:r w:rsidR="00017948" w:rsidRPr="00916B88">
        <w:rPr>
          <w:szCs w:val="18"/>
        </w:rPr>
        <w:t xml:space="preserve">a communication from Colombia requesting the Panel to suspend its work </w:t>
      </w:r>
      <w:r w:rsidR="0073335A" w:rsidRPr="00916B88">
        <w:rPr>
          <w:szCs w:val="18"/>
        </w:rPr>
        <w:t>in order to facilitate arbitration under the Agreed Procedures</w:t>
      </w:r>
      <w:r w:rsidR="006C6EA5" w:rsidRPr="00916B88">
        <w:rPr>
          <w:rStyle w:val="FootnoteReference"/>
          <w:szCs w:val="18"/>
        </w:rPr>
        <w:footnoteReference w:id="7"/>
      </w:r>
      <w:r w:rsidR="005A52D3" w:rsidRPr="00916B88">
        <w:rPr>
          <w:szCs w:val="18"/>
        </w:rPr>
        <w:t>,</w:t>
      </w:r>
      <w:r w:rsidR="00041A89" w:rsidRPr="00916B88">
        <w:rPr>
          <w:szCs w:val="18"/>
        </w:rPr>
        <w:t xml:space="preserve"> </w:t>
      </w:r>
      <w:r w:rsidR="00BA0253" w:rsidRPr="00916B88">
        <w:rPr>
          <w:szCs w:val="18"/>
        </w:rPr>
        <w:t>the Panel</w:t>
      </w:r>
      <w:r w:rsidR="00417B6F" w:rsidRPr="00916B88">
        <w:rPr>
          <w:szCs w:val="18"/>
        </w:rPr>
        <w:t>,</w:t>
      </w:r>
      <w:r w:rsidR="00BA0253" w:rsidRPr="00916B88">
        <w:rPr>
          <w:szCs w:val="18"/>
        </w:rPr>
        <w:t xml:space="preserve"> </w:t>
      </w:r>
      <w:r w:rsidR="00417B6F" w:rsidRPr="00916B88">
        <w:rPr>
          <w:szCs w:val="18"/>
        </w:rPr>
        <w:t>on 13</w:t>
      </w:r>
      <w:r w:rsidR="000F0D20" w:rsidRPr="00916B88">
        <w:rPr>
          <w:szCs w:val="18"/>
        </w:rPr>
        <w:t> </w:t>
      </w:r>
      <w:r w:rsidR="00417B6F" w:rsidRPr="00916B88">
        <w:rPr>
          <w:szCs w:val="18"/>
        </w:rPr>
        <w:t>September</w:t>
      </w:r>
      <w:r w:rsidR="000F0D20" w:rsidRPr="00916B88">
        <w:rPr>
          <w:szCs w:val="18"/>
        </w:rPr>
        <w:t> </w:t>
      </w:r>
      <w:r w:rsidR="00417B6F" w:rsidRPr="00916B88">
        <w:rPr>
          <w:szCs w:val="18"/>
        </w:rPr>
        <w:t xml:space="preserve">2022, </w:t>
      </w:r>
      <w:r w:rsidR="00BA0253" w:rsidRPr="00916B88">
        <w:rPr>
          <w:szCs w:val="18"/>
        </w:rPr>
        <w:t xml:space="preserve">instructed the Dispute Settlement Registry to </w:t>
      </w:r>
      <w:r w:rsidR="00972276" w:rsidRPr="00916B88">
        <w:rPr>
          <w:szCs w:val="18"/>
        </w:rPr>
        <w:t>"</w:t>
      </w:r>
      <w:r w:rsidR="00BA0253" w:rsidRPr="00916B88">
        <w:rPr>
          <w:szCs w:val="18"/>
        </w:rPr>
        <w:t>transmit immediately the original English language version of the final Panel</w:t>
      </w:r>
      <w:r w:rsidR="00BA4836" w:rsidRPr="00916B88">
        <w:rPr>
          <w:szCs w:val="18"/>
        </w:rPr>
        <w:t> Report</w:t>
      </w:r>
      <w:r w:rsidR="00BA0253" w:rsidRPr="00916B88">
        <w:rPr>
          <w:szCs w:val="18"/>
        </w:rPr>
        <w:t xml:space="preserve"> … to the pool of </w:t>
      </w:r>
      <w:r w:rsidR="003B27FC" w:rsidRPr="00916B88">
        <w:rPr>
          <w:szCs w:val="18"/>
        </w:rPr>
        <w:t xml:space="preserve">[MPIA] </w:t>
      </w:r>
      <w:r w:rsidR="00BA0253" w:rsidRPr="00916B88">
        <w:rPr>
          <w:szCs w:val="18"/>
        </w:rPr>
        <w:t>arbitrators</w:t>
      </w:r>
      <w:r w:rsidR="00972276" w:rsidRPr="00916B88">
        <w:rPr>
          <w:szCs w:val="18"/>
        </w:rPr>
        <w:t>"</w:t>
      </w:r>
      <w:r w:rsidR="00E16A31" w:rsidRPr="00916B88">
        <w:rPr>
          <w:rStyle w:val="FootnoteReference"/>
          <w:szCs w:val="18"/>
        </w:rPr>
        <w:footnoteReference w:id="8"/>
      </w:r>
      <w:r w:rsidR="00E16A31" w:rsidRPr="00916B88">
        <w:rPr>
          <w:szCs w:val="18"/>
        </w:rPr>
        <w:t>,</w:t>
      </w:r>
      <w:r w:rsidR="002340C0" w:rsidRPr="00916B88">
        <w:rPr>
          <w:szCs w:val="18"/>
        </w:rPr>
        <w:t xml:space="preserve"> pursuant to the Additional Working Procedures of the Panel to facilitate arbitration under Article</w:t>
      </w:r>
      <w:r w:rsidR="000F0D20" w:rsidRPr="00916B88">
        <w:rPr>
          <w:szCs w:val="18"/>
        </w:rPr>
        <w:t> </w:t>
      </w:r>
      <w:r w:rsidR="002340C0" w:rsidRPr="00916B88">
        <w:rPr>
          <w:szCs w:val="18"/>
        </w:rPr>
        <w:t>25 of the DSU (the Panel</w:t>
      </w:r>
      <w:r w:rsidR="00972276" w:rsidRPr="00916B88">
        <w:rPr>
          <w:szCs w:val="18"/>
        </w:rPr>
        <w:t>'</w:t>
      </w:r>
      <w:r w:rsidR="002340C0" w:rsidRPr="00916B88">
        <w:rPr>
          <w:szCs w:val="18"/>
        </w:rPr>
        <w:t>s Additional Working Procedures)</w:t>
      </w:r>
      <w:r w:rsidR="00BA0253" w:rsidRPr="00916B88">
        <w:rPr>
          <w:szCs w:val="18"/>
        </w:rPr>
        <w:t>.</w:t>
      </w:r>
      <w:r w:rsidR="00417B6F" w:rsidRPr="00916B88">
        <w:rPr>
          <w:rStyle w:val="FootnoteReference"/>
          <w:szCs w:val="18"/>
        </w:rPr>
        <w:footnoteReference w:id="9"/>
      </w:r>
      <w:r w:rsidR="00E16A31" w:rsidRPr="00916B88">
        <w:rPr>
          <w:szCs w:val="18"/>
        </w:rPr>
        <w:t xml:space="preserve"> </w:t>
      </w:r>
      <w:r w:rsidR="00956BCC" w:rsidRPr="00916B88">
        <w:rPr>
          <w:szCs w:val="18"/>
        </w:rPr>
        <w:t>On 16</w:t>
      </w:r>
      <w:r w:rsidR="000F0D20" w:rsidRPr="00916B88">
        <w:rPr>
          <w:szCs w:val="18"/>
        </w:rPr>
        <w:t> </w:t>
      </w:r>
      <w:r w:rsidR="00956BCC" w:rsidRPr="00916B88">
        <w:rPr>
          <w:szCs w:val="18"/>
        </w:rPr>
        <w:t>September</w:t>
      </w:r>
      <w:r w:rsidR="000F0D20" w:rsidRPr="00916B88">
        <w:rPr>
          <w:szCs w:val="18"/>
        </w:rPr>
        <w:t> </w:t>
      </w:r>
      <w:r w:rsidR="00956BCC" w:rsidRPr="00916B88">
        <w:rPr>
          <w:szCs w:val="18"/>
        </w:rPr>
        <w:t>2022</w:t>
      </w:r>
      <w:r w:rsidR="005B32E0" w:rsidRPr="00916B88">
        <w:rPr>
          <w:szCs w:val="18"/>
        </w:rPr>
        <w:t xml:space="preserve">, </w:t>
      </w:r>
      <w:r w:rsidR="00BA0253" w:rsidRPr="00916B88">
        <w:rPr>
          <w:szCs w:val="18"/>
        </w:rPr>
        <w:t>the Panel transmitted the final Panel</w:t>
      </w:r>
      <w:r w:rsidR="000F0D20" w:rsidRPr="00916B88">
        <w:rPr>
          <w:szCs w:val="18"/>
        </w:rPr>
        <w:t> Report</w:t>
      </w:r>
      <w:r w:rsidR="00BA0253" w:rsidRPr="00916B88">
        <w:rPr>
          <w:szCs w:val="18"/>
        </w:rPr>
        <w:t xml:space="preserve"> in the</w:t>
      </w:r>
      <w:r w:rsidR="00BA0253" w:rsidRPr="00272930">
        <w:rPr>
          <w:szCs w:val="18"/>
        </w:rPr>
        <w:t xml:space="preserve"> </w:t>
      </w:r>
      <w:r w:rsidR="00BA0253" w:rsidRPr="00272930">
        <w:rPr>
          <w:szCs w:val="18"/>
        </w:rPr>
        <w:lastRenderedPageBreak/>
        <w:t>three</w:t>
      </w:r>
      <w:r w:rsidR="009341B1" w:rsidRPr="00272930">
        <w:rPr>
          <w:szCs w:val="18"/>
        </w:rPr>
        <w:t> </w:t>
      </w:r>
      <w:r w:rsidR="00BA0253" w:rsidRPr="00272930">
        <w:rPr>
          <w:szCs w:val="18"/>
        </w:rPr>
        <w:t>working languages of the WTO to the parties, third parties</w:t>
      </w:r>
      <w:r w:rsidR="004C597D" w:rsidRPr="00272930">
        <w:rPr>
          <w:szCs w:val="18"/>
        </w:rPr>
        <w:t>,</w:t>
      </w:r>
      <w:r w:rsidR="00BA0253" w:rsidRPr="00272930">
        <w:rPr>
          <w:szCs w:val="18"/>
        </w:rPr>
        <w:t xml:space="preserve"> and the pool of </w:t>
      </w:r>
      <w:r w:rsidR="00162143" w:rsidRPr="00272930">
        <w:rPr>
          <w:szCs w:val="18"/>
        </w:rPr>
        <w:t xml:space="preserve">MPIA </w:t>
      </w:r>
      <w:r w:rsidR="00BA0253" w:rsidRPr="00272930">
        <w:rPr>
          <w:szCs w:val="18"/>
        </w:rPr>
        <w:t>arbitrators</w:t>
      </w:r>
      <w:r w:rsidR="006D4D1D" w:rsidRPr="00272930">
        <w:rPr>
          <w:szCs w:val="18"/>
        </w:rPr>
        <w:t>,</w:t>
      </w:r>
      <w:r w:rsidR="003A57D6" w:rsidRPr="00272930">
        <w:rPr>
          <w:szCs w:val="18"/>
        </w:rPr>
        <w:t xml:space="preserve"> pursuant to the Panel</w:t>
      </w:r>
      <w:r w:rsidR="00972276" w:rsidRPr="00272930">
        <w:rPr>
          <w:szCs w:val="18"/>
        </w:rPr>
        <w:t>'</w:t>
      </w:r>
      <w:r w:rsidR="003A57D6" w:rsidRPr="00272930">
        <w:rPr>
          <w:szCs w:val="18"/>
        </w:rPr>
        <w:t>s Additional Working Procedures. On the same day, the Panel</w:t>
      </w:r>
      <w:r w:rsidR="002F28FF" w:rsidRPr="00272930">
        <w:rPr>
          <w:szCs w:val="18"/>
        </w:rPr>
        <w:t xml:space="preserve"> </w:t>
      </w:r>
      <w:r w:rsidR="00961104" w:rsidRPr="00272930">
        <w:rPr>
          <w:szCs w:val="18"/>
        </w:rPr>
        <w:t>i</w:t>
      </w:r>
      <w:r w:rsidR="005508DF" w:rsidRPr="00272930">
        <w:rPr>
          <w:szCs w:val="18"/>
        </w:rPr>
        <w:t>nform</w:t>
      </w:r>
      <w:r w:rsidR="00961104" w:rsidRPr="00272930">
        <w:rPr>
          <w:szCs w:val="18"/>
        </w:rPr>
        <w:t>ed</w:t>
      </w:r>
      <w:r w:rsidR="005508DF" w:rsidRPr="00272930">
        <w:rPr>
          <w:szCs w:val="18"/>
        </w:rPr>
        <w:t xml:space="preserve"> the</w:t>
      </w:r>
      <w:r w:rsidR="000B3523" w:rsidRPr="00272930">
        <w:rPr>
          <w:szCs w:val="18"/>
        </w:rPr>
        <w:t xml:space="preserve"> DSB</w:t>
      </w:r>
      <w:r w:rsidR="005508DF" w:rsidRPr="00272930">
        <w:rPr>
          <w:szCs w:val="18"/>
        </w:rPr>
        <w:t xml:space="preserve"> of its decision to grant the request to suspend the panel proceedings</w:t>
      </w:r>
      <w:r w:rsidR="000B3523" w:rsidRPr="00272930">
        <w:rPr>
          <w:szCs w:val="18"/>
        </w:rPr>
        <w:t>.</w:t>
      </w:r>
      <w:r w:rsidR="00B828EE" w:rsidRPr="00272930">
        <w:rPr>
          <w:rStyle w:val="FootnoteReference"/>
          <w:szCs w:val="18"/>
        </w:rPr>
        <w:footnoteReference w:id="10"/>
      </w:r>
    </w:p>
    <w:p w14:paraId="37FEBE79" w14:textId="0F08D8D5" w:rsidR="00A91550" w:rsidRPr="00272930" w:rsidRDefault="00471108" w:rsidP="00B709B7">
      <w:pPr>
        <w:pStyle w:val="BodyText"/>
        <w:numPr>
          <w:ilvl w:val="6"/>
          <w:numId w:val="18"/>
        </w:numPr>
        <w:rPr>
          <w:szCs w:val="18"/>
        </w:rPr>
      </w:pPr>
      <w:r w:rsidRPr="00272930">
        <w:rPr>
          <w:szCs w:val="18"/>
        </w:rPr>
        <w:t xml:space="preserve">In </w:t>
      </w:r>
      <w:r w:rsidR="00895917" w:rsidRPr="00272930">
        <w:rPr>
          <w:szCs w:val="18"/>
        </w:rPr>
        <w:t>its Report</w:t>
      </w:r>
      <w:r w:rsidRPr="00272930">
        <w:rPr>
          <w:szCs w:val="18"/>
        </w:rPr>
        <w:t>, the Panel</w:t>
      </w:r>
      <w:r w:rsidR="00B07EC2" w:rsidRPr="00272930">
        <w:rPr>
          <w:szCs w:val="18"/>
        </w:rPr>
        <w:t xml:space="preserve"> </w:t>
      </w:r>
      <w:r w:rsidRPr="00272930">
        <w:rPr>
          <w:szCs w:val="18"/>
        </w:rPr>
        <w:t>found that:</w:t>
      </w:r>
    </w:p>
    <w:p w14:paraId="2C50835B" w14:textId="09F4704A" w:rsidR="00656B33" w:rsidRPr="00272930" w:rsidRDefault="00656B33" w:rsidP="00B709B7">
      <w:pPr>
        <w:pStyle w:val="BodyText2"/>
        <w:numPr>
          <w:ilvl w:val="0"/>
          <w:numId w:val="23"/>
        </w:numPr>
        <w:tabs>
          <w:tab w:val="left" w:pos="1134"/>
        </w:tabs>
        <w:ind w:left="1134" w:hanging="567"/>
        <w:rPr>
          <w:szCs w:val="18"/>
        </w:rPr>
      </w:pPr>
      <w:r w:rsidRPr="00272930">
        <w:rPr>
          <w:szCs w:val="18"/>
        </w:rPr>
        <w:t>with respect to the European Union</w:t>
      </w:r>
      <w:r w:rsidR="00972276" w:rsidRPr="00272930">
        <w:rPr>
          <w:szCs w:val="18"/>
        </w:rPr>
        <w:t>'</w:t>
      </w:r>
      <w:r w:rsidRPr="00272930">
        <w:rPr>
          <w:szCs w:val="18"/>
        </w:rPr>
        <w:t xml:space="preserve">s claims concerning </w:t>
      </w:r>
      <w:r w:rsidR="00E07322" w:rsidRPr="00272930">
        <w:rPr>
          <w:szCs w:val="18"/>
        </w:rPr>
        <w:t>the</w:t>
      </w:r>
      <w:r w:rsidRPr="00272930">
        <w:rPr>
          <w:szCs w:val="18"/>
        </w:rPr>
        <w:t xml:space="preserve"> decision</w:t>
      </w:r>
      <w:r w:rsidR="00E07322" w:rsidRPr="00272930">
        <w:rPr>
          <w:szCs w:val="18"/>
        </w:rPr>
        <w:t xml:space="preserve"> of Colombia</w:t>
      </w:r>
      <w:r w:rsidR="00972276" w:rsidRPr="00272930">
        <w:rPr>
          <w:szCs w:val="18"/>
        </w:rPr>
        <w:t>'</w:t>
      </w:r>
      <w:r w:rsidR="00E07322" w:rsidRPr="00272930">
        <w:rPr>
          <w:szCs w:val="18"/>
        </w:rPr>
        <w:t xml:space="preserve">s Ministry of Trade, Industry and Tourism (MINCIT) </w:t>
      </w:r>
      <w:r w:rsidRPr="00272930">
        <w:rPr>
          <w:szCs w:val="18"/>
        </w:rPr>
        <w:t>to initiate the underlying investigation:</w:t>
      </w:r>
    </w:p>
    <w:p w14:paraId="27CC0297" w14:textId="4FB4375F" w:rsidR="00656B33" w:rsidRPr="00272930" w:rsidRDefault="00656B33" w:rsidP="00B709B7">
      <w:pPr>
        <w:pStyle w:val="BodyText3"/>
      </w:pPr>
      <w:r w:rsidRPr="00272930">
        <w:t>the European Union ha</w:t>
      </w:r>
      <w:r w:rsidR="00E07322" w:rsidRPr="00272930">
        <w:t>d</w:t>
      </w:r>
      <w:r w:rsidRPr="00272930">
        <w:t xml:space="preserve"> not established that Colombia acted inconsistently with Article 5.3 of the Anti-Dumping Agreement because MINCIT failed to verify that there was </w:t>
      </w:r>
      <w:r w:rsidR="00972276" w:rsidRPr="00272930">
        <w:t>"</w:t>
      </w:r>
      <w:r w:rsidRPr="00272930">
        <w:t>sufficient</w:t>
      </w:r>
      <w:r w:rsidR="00972276" w:rsidRPr="00272930">
        <w:t>"</w:t>
      </w:r>
      <w:r w:rsidRPr="00272930">
        <w:t xml:space="preserve"> evidence to initiate the investigation with respect to the full range of products covered by tariff subheading </w:t>
      </w:r>
      <w:proofErr w:type="gramStart"/>
      <w:r w:rsidRPr="00272930">
        <w:t>2004.10.00.00;</w:t>
      </w:r>
      <w:proofErr w:type="gramEnd"/>
    </w:p>
    <w:p w14:paraId="588C2E1A" w14:textId="116F5254" w:rsidR="00656B33" w:rsidRPr="00272930" w:rsidRDefault="00656B33" w:rsidP="00B709B7">
      <w:pPr>
        <w:pStyle w:val="BodyText3"/>
      </w:pPr>
      <w:r w:rsidRPr="00272930">
        <w:t>the European Union ha</w:t>
      </w:r>
      <w:r w:rsidR="00FC5E96" w:rsidRPr="00272930">
        <w:t>d</w:t>
      </w:r>
      <w:r w:rsidRPr="00272930">
        <w:t xml:space="preserve"> not established that Colombia acted inconsistently with its obligations under Article 5.3 because MINCIT did not have </w:t>
      </w:r>
      <w:r w:rsidR="00972276" w:rsidRPr="00272930">
        <w:t>"</w:t>
      </w:r>
      <w:r w:rsidRPr="00272930">
        <w:t>sufficient</w:t>
      </w:r>
      <w:r w:rsidR="00972276" w:rsidRPr="00272930">
        <w:t>"</w:t>
      </w:r>
      <w:r w:rsidRPr="00272930">
        <w:t xml:space="preserve"> evidence demonstrating that </w:t>
      </w:r>
      <w:r w:rsidR="00B86D50" w:rsidRPr="00272930">
        <w:rPr>
          <w:szCs w:val="18"/>
        </w:rPr>
        <w:t>the Colombian Federation of Potato Producers (</w:t>
      </w:r>
      <w:r w:rsidRPr="00272930">
        <w:rPr>
          <w:szCs w:val="18"/>
        </w:rPr>
        <w:t>FEDEPAPA</w:t>
      </w:r>
      <w:r w:rsidR="00B86D50" w:rsidRPr="00272930">
        <w:rPr>
          <w:szCs w:val="18"/>
        </w:rPr>
        <w:t>)</w:t>
      </w:r>
      <w:r w:rsidRPr="00272930">
        <w:t xml:space="preserve"> represented the domestic producers of the </w:t>
      </w:r>
      <w:r w:rsidR="00972276" w:rsidRPr="00272930">
        <w:t>"</w:t>
      </w:r>
      <w:r w:rsidRPr="00272930">
        <w:t>like</w:t>
      </w:r>
      <w:r w:rsidR="00972276" w:rsidRPr="00272930">
        <w:t>"</w:t>
      </w:r>
      <w:r w:rsidRPr="00272930">
        <w:t xml:space="preserve"> product so as to justify initiating the underlying </w:t>
      </w:r>
      <w:proofErr w:type="gramStart"/>
      <w:r w:rsidRPr="00272930">
        <w:t>investigation;</w:t>
      </w:r>
      <w:proofErr w:type="gramEnd"/>
    </w:p>
    <w:p w14:paraId="14D16DB8" w14:textId="7F71C877" w:rsidR="00656B33" w:rsidRPr="00272930" w:rsidRDefault="00656B33" w:rsidP="00B709B7">
      <w:pPr>
        <w:pStyle w:val="BodyText3"/>
      </w:pPr>
      <w:r w:rsidRPr="00272930">
        <w:t>the European Union ha</w:t>
      </w:r>
      <w:r w:rsidR="00FC5E96" w:rsidRPr="00272930">
        <w:t>d</w:t>
      </w:r>
      <w:r w:rsidRPr="00272930">
        <w:t xml:space="preserve"> established that Colombia acted inconsistently with Article 5.3 of the Anti</w:t>
      </w:r>
      <w:r w:rsidRPr="00272930">
        <w:noBreakHyphen/>
        <w:t>Dumping Agreement because, by failing to examine whether the use of third</w:t>
      </w:r>
      <w:r w:rsidRPr="00272930">
        <w:noBreakHyphen/>
        <w:t xml:space="preserve">country sales prices, instead of domestic sales prices, was </w:t>
      </w:r>
      <w:r w:rsidR="00972276" w:rsidRPr="00272930">
        <w:t>"</w:t>
      </w:r>
      <w:r w:rsidRPr="00272930">
        <w:t>appropriate</w:t>
      </w:r>
      <w:r w:rsidR="00972276" w:rsidRPr="00272930">
        <w:t>"</w:t>
      </w:r>
      <w:r w:rsidRPr="00272930">
        <w:t xml:space="preserve"> in the specific facts and circumstances of the investigation at issue, MINCIT did not examine the </w:t>
      </w:r>
      <w:r w:rsidR="00972276" w:rsidRPr="00272930">
        <w:t>"</w:t>
      </w:r>
      <w:r w:rsidRPr="00272930">
        <w:t>adequacy</w:t>
      </w:r>
      <w:r w:rsidR="00972276" w:rsidRPr="00272930">
        <w:t>"</w:t>
      </w:r>
      <w:r w:rsidRPr="00272930">
        <w:t xml:space="preserve"> of the evidence in the application to determine whether there is </w:t>
      </w:r>
      <w:r w:rsidR="00972276" w:rsidRPr="00272930">
        <w:t>"</w:t>
      </w:r>
      <w:r w:rsidRPr="00272930">
        <w:t>sufficient</w:t>
      </w:r>
      <w:r w:rsidR="00972276" w:rsidRPr="00272930">
        <w:t>"</w:t>
      </w:r>
      <w:r w:rsidRPr="00272930">
        <w:t xml:space="preserve"> evidence to justify the initiation of the underlying investigation;</w:t>
      </w:r>
    </w:p>
    <w:p w14:paraId="416AF041" w14:textId="61732F34" w:rsidR="00656B33" w:rsidRPr="00272930" w:rsidRDefault="00656B33" w:rsidP="00B709B7">
      <w:pPr>
        <w:pStyle w:val="BodyText3"/>
      </w:pPr>
      <w:r w:rsidRPr="00272930">
        <w:t>the European Union ha</w:t>
      </w:r>
      <w:r w:rsidR="00FC5E96" w:rsidRPr="00272930">
        <w:t>d</w:t>
      </w:r>
      <w:r w:rsidRPr="00272930">
        <w:t xml:space="preserve"> not established that Colombia acted inconsistently with its obligations under Article 5.3 because the evidence of injury examined and relied upon by MINCIT was insufficient to justify the initiation of the underlying </w:t>
      </w:r>
      <w:proofErr w:type="gramStart"/>
      <w:r w:rsidRPr="00272930">
        <w:t>investigation;</w:t>
      </w:r>
      <w:proofErr w:type="gramEnd"/>
    </w:p>
    <w:p w14:paraId="3E8FC13C" w14:textId="1BC0703B" w:rsidR="00656B33" w:rsidRPr="00272930" w:rsidRDefault="00656B33" w:rsidP="00B709B7">
      <w:pPr>
        <w:pStyle w:val="BodyText3"/>
      </w:pPr>
      <w:r w:rsidRPr="00272930">
        <w:t>the European Union ha</w:t>
      </w:r>
      <w:r w:rsidR="00FC5E96" w:rsidRPr="00272930">
        <w:t>d</w:t>
      </w:r>
      <w:r w:rsidRPr="00272930">
        <w:t xml:space="preserve"> not established that Colombia acted inconsistently with its obligations under Article 5.3 because the evidence of causal link examined and relied upon by MINCIT was insufficient to justify the initiation of the underlying investigation; and</w:t>
      </w:r>
    </w:p>
    <w:p w14:paraId="2BF4E98C" w14:textId="5370A06B" w:rsidR="00656B33" w:rsidRPr="00272930" w:rsidRDefault="00656B33" w:rsidP="00B709B7">
      <w:pPr>
        <w:pStyle w:val="BodyText3"/>
      </w:pPr>
      <w:r w:rsidRPr="00272930">
        <w:t>having found that Colombia acted inconsistently with its obligations under Article 5.3, the Panel d</w:t>
      </w:r>
      <w:r w:rsidR="009D01B8" w:rsidRPr="00272930">
        <w:t>id</w:t>
      </w:r>
      <w:r w:rsidRPr="00272930">
        <w:t xml:space="preserve"> not consider it necessary to make additional findings concerning the European Union</w:t>
      </w:r>
      <w:r w:rsidR="00972276" w:rsidRPr="00272930">
        <w:t>'</w:t>
      </w:r>
      <w:r w:rsidRPr="00272930">
        <w:t xml:space="preserve">s claim under Article 5.8 of the Anti-Dumping Agreement </w:t>
      </w:r>
      <w:proofErr w:type="gramStart"/>
      <w:r w:rsidRPr="00272930">
        <w:t>in order to</w:t>
      </w:r>
      <w:proofErr w:type="gramEnd"/>
      <w:r w:rsidRPr="00272930">
        <w:t xml:space="preserve"> provide a positive resolution to the present dispute.</w:t>
      </w:r>
      <w:r w:rsidR="00251720" w:rsidRPr="00272930">
        <w:rPr>
          <w:rStyle w:val="FootnoteReference"/>
          <w:szCs w:val="18"/>
        </w:rPr>
        <w:footnoteReference w:id="11"/>
      </w:r>
    </w:p>
    <w:p w14:paraId="6DB07606" w14:textId="4A663EBB" w:rsidR="00656B33" w:rsidRPr="00272930" w:rsidRDefault="00656B33" w:rsidP="00B709B7">
      <w:pPr>
        <w:pStyle w:val="BodyText2"/>
        <w:numPr>
          <w:ilvl w:val="0"/>
          <w:numId w:val="23"/>
        </w:numPr>
        <w:tabs>
          <w:tab w:val="left" w:pos="1134"/>
        </w:tabs>
        <w:ind w:left="1134" w:hanging="567"/>
        <w:rPr>
          <w:szCs w:val="18"/>
        </w:rPr>
      </w:pPr>
      <w:r w:rsidRPr="00272930">
        <w:rPr>
          <w:szCs w:val="18"/>
        </w:rPr>
        <w:t>With respect to the European Union</w:t>
      </w:r>
      <w:r w:rsidR="00972276" w:rsidRPr="00272930">
        <w:rPr>
          <w:szCs w:val="18"/>
        </w:rPr>
        <w:t>'</w:t>
      </w:r>
      <w:r w:rsidRPr="00272930">
        <w:rPr>
          <w:szCs w:val="18"/>
        </w:rPr>
        <w:t>s claims concerning the confidential treatment of certain information by MINCIT:</w:t>
      </w:r>
    </w:p>
    <w:p w14:paraId="25ACC00A" w14:textId="77B184DF" w:rsidR="00656B33" w:rsidRPr="00272930" w:rsidRDefault="00656B33" w:rsidP="00B709B7">
      <w:pPr>
        <w:pStyle w:val="BodyText3"/>
        <w:numPr>
          <w:ilvl w:val="8"/>
          <w:numId w:val="24"/>
        </w:numPr>
      </w:pPr>
      <w:r w:rsidRPr="00272930">
        <w:t>the European Union ha</w:t>
      </w:r>
      <w:r w:rsidR="009D01B8" w:rsidRPr="00272930">
        <w:t>d</w:t>
      </w:r>
      <w:r w:rsidRPr="00272930">
        <w:t xml:space="preserve"> established that Colombia acted inconsistently with its obligations under Article 6.5 of the Anti-Dumping Agreement with respect to the redacted information in section d(i) of FEDEPAPA</w:t>
      </w:r>
      <w:r w:rsidR="00972276" w:rsidRPr="00272930">
        <w:t>'</w:t>
      </w:r>
      <w:r w:rsidRPr="00272930">
        <w:t xml:space="preserve">s revised application because MINCIT granted confidential treatment to this information without a showing of </w:t>
      </w:r>
      <w:r w:rsidR="00972276" w:rsidRPr="00272930">
        <w:t>"</w:t>
      </w:r>
      <w:r w:rsidRPr="00272930">
        <w:t>good cause</w:t>
      </w:r>
      <w:r w:rsidR="00972276" w:rsidRPr="00272930">
        <w:t>"</w:t>
      </w:r>
      <w:r w:rsidRPr="00272930">
        <w:t xml:space="preserve"> by the applicant. Given this finding of inconsistency, the Panel d</w:t>
      </w:r>
      <w:r w:rsidR="009D01B8" w:rsidRPr="00272930">
        <w:t>id</w:t>
      </w:r>
      <w:r w:rsidRPr="00272930">
        <w:t xml:space="preserve"> not consider it necessary to make further findings on the European Union</w:t>
      </w:r>
      <w:r w:rsidR="00972276" w:rsidRPr="00272930">
        <w:t>'</w:t>
      </w:r>
      <w:r w:rsidRPr="00272930">
        <w:t xml:space="preserve">s claim under Article 6.5.1 concerning the information in section d(i) of the revised application in order to provide a positive resolution to the present </w:t>
      </w:r>
      <w:proofErr w:type="gramStart"/>
      <w:r w:rsidRPr="00272930">
        <w:t>dispute;</w:t>
      </w:r>
      <w:proofErr w:type="gramEnd"/>
    </w:p>
    <w:p w14:paraId="6F4FFCD9" w14:textId="2A99489D" w:rsidR="00656B33" w:rsidRPr="00272930" w:rsidRDefault="00656B33" w:rsidP="00B709B7">
      <w:pPr>
        <w:pStyle w:val="BodyText3"/>
      </w:pPr>
      <w:r w:rsidRPr="00272930">
        <w:t>the European Union ha</w:t>
      </w:r>
      <w:r w:rsidR="009D01B8" w:rsidRPr="00272930">
        <w:t>d</w:t>
      </w:r>
      <w:r w:rsidRPr="00272930">
        <w:t xml:space="preserve"> not established that Colombia acted inconsistently with its obligations under Article 6.5 in respect of the information contained in </w:t>
      </w:r>
      <w:r w:rsidR="00C94E20" w:rsidRPr="00272930">
        <w:lastRenderedPageBreak/>
        <w:t>A</w:t>
      </w:r>
      <w:r w:rsidRPr="00272930">
        <w:t>nnex 10 of the revised application because the European Union ha</w:t>
      </w:r>
      <w:r w:rsidR="009D01B8" w:rsidRPr="00272930">
        <w:t>d</w:t>
      </w:r>
      <w:r w:rsidRPr="00272930">
        <w:t xml:space="preserve"> not demonstrated: (a) that the applicant failed to show the necessary </w:t>
      </w:r>
      <w:r w:rsidR="00972276" w:rsidRPr="00272930">
        <w:t>"</w:t>
      </w:r>
      <w:r w:rsidRPr="00272930">
        <w:t>good cause</w:t>
      </w:r>
      <w:r w:rsidR="00972276" w:rsidRPr="00272930">
        <w:t>"</w:t>
      </w:r>
      <w:r w:rsidRPr="00272930">
        <w:t xml:space="preserve"> for the confidential treatment requested; and (b) MINCIT did not objectively assess the showing of </w:t>
      </w:r>
      <w:r w:rsidR="00972276" w:rsidRPr="00272930">
        <w:t>"</w:t>
      </w:r>
      <w:r w:rsidRPr="00272930">
        <w:t>good cause</w:t>
      </w:r>
      <w:r w:rsidR="00972276" w:rsidRPr="00272930">
        <w:t>"</w:t>
      </w:r>
      <w:r w:rsidRPr="00272930">
        <w:t xml:space="preserve"> as the basis of granting confidential treatment; and</w:t>
      </w:r>
    </w:p>
    <w:p w14:paraId="6AA3FA07" w14:textId="60F6B1C4" w:rsidR="00656B33" w:rsidRPr="00272930" w:rsidRDefault="00656B33" w:rsidP="00B709B7">
      <w:pPr>
        <w:pStyle w:val="BodyText3"/>
      </w:pPr>
      <w:r w:rsidRPr="00272930">
        <w:t>the European Union ha</w:t>
      </w:r>
      <w:r w:rsidR="009D01B8" w:rsidRPr="00272930">
        <w:t>d</w:t>
      </w:r>
      <w:r w:rsidRPr="00272930">
        <w:t xml:space="preserve"> established that Colombia acted inconsistently with its obligations under Article 6.5.1 of the Anti-Dumping Agreement with respect to the information contained in </w:t>
      </w:r>
      <w:r w:rsidR="00C94E20" w:rsidRPr="00272930">
        <w:t>A</w:t>
      </w:r>
      <w:r w:rsidRPr="00272930">
        <w:t>nnex 10 of FEDEPAPA</w:t>
      </w:r>
      <w:r w:rsidR="00972276" w:rsidRPr="00272930">
        <w:t>'</w:t>
      </w:r>
      <w:r w:rsidRPr="00272930">
        <w:t xml:space="preserve">s revised application because MINCIT did not </w:t>
      </w:r>
      <w:r w:rsidR="00972276" w:rsidRPr="00272930">
        <w:t>"</w:t>
      </w:r>
      <w:r w:rsidRPr="00272930">
        <w:t>require</w:t>
      </w:r>
      <w:r w:rsidR="00972276" w:rsidRPr="00272930">
        <w:t>"</w:t>
      </w:r>
      <w:r w:rsidRPr="00272930">
        <w:t xml:space="preserve"> the applicant to </w:t>
      </w:r>
      <w:r w:rsidR="00972276" w:rsidRPr="00272930">
        <w:t>"</w:t>
      </w:r>
      <w:r w:rsidRPr="00272930">
        <w:t>furnish</w:t>
      </w:r>
      <w:r w:rsidR="00972276" w:rsidRPr="00272930">
        <w:t>"</w:t>
      </w:r>
      <w:r w:rsidRPr="00272930">
        <w:t xml:space="preserve"> non</w:t>
      </w:r>
      <w:r w:rsidRPr="00272930">
        <w:noBreakHyphen/>
        <w:t xml:space="preserve">confidential summaries of the confidential information contained in </w:t>
      </w:r>
      <w:r w:rsidR="00C94E20" w:rsidRPr="00272930">
        <w:t>A</w:t>
      </w:r>
      <w:r w:rsidRPr="00272930">
        <w:t>nnex 10; and, to the extent that this information was not susceptible of summary, a statement of the reasons as to why summarization was not possible was not provided.</w:t>
      </w:r>
      <w:r w:rsidR="00AE27FA" w:rsidRPr="00272930">
        <w:rPr>
          <w:rStyle w:val="FootnoteReference"/>
          <w:szCs w:val="18"/>
        </w:rPr>
        <w:footnoteReference w:id="12"/>
      </w:r>
    </w:p>
    <w:p w14:paraId="2FBBDFA5" w14:textId="0EF428C6" w:rsidR="00656B33" w:rsidRPr="00272930" w:rsidRDefault="00656B33" w:rsidP="00B709B7">
      <w:pPr>
        <w:pStyle w:val="BodyText2"/>
        <w:numPr>
          <w:ilvl w:val="0"/>
          <w:numId w:val="23"/>
        </w:numPr>
        <w:tabs>
          <w:tab w:val="left" w:pos="1134"/>
        </w:tabs>
        <w:ind w:left="1134" w:hanging="567"/>
        <w:rPr>
          <w:szCs w:val="18"/>
        </w:rPr>
      </w:pPr>
      <w:r w:rsidRPr="00272930">
        <w:rPr>
          <w:szCs w:val="18"/>
        </w:rPr>
        <w:t>With respect to the European Union</w:t>
      </w:r>
      <w:r w:rsidR="00972276" w:rsidRPr="00272930">
        <w:rPr>
          <w:szCs w:val="18"/>
        </w:rPr>
        <w:t>'</w:t>
      </w:r>
      <w:r w:rsidRPr="00272930">
        <w:rPr>
          <w:szCs w:val="18"/>
        </w:rPr>
        <w:t xml:space="preserve">s claims concerning the alleged use of </w:t>
      </w:r>
      <w:r w:rsidR="00972276" w:rsidRPr="00272930">
        <w:rPr>
          <w:szCs w:val="18"/>
        </w:rPr>
        <w:t>"</w:t>
      </w:r>
      <w:r w:rsidRPr="00272930">
        <w:rPr>
          <w:szCs w:val="18"/>
        </w:rPr>
        <w:t>facts available</w:t>
      </w:r>
      <w:r w:rsidR="00972276" w:rsidRPr="00272930">
        <w:rPr>
          <w:szCs w:val="18"/>
        </w:rPr>
        <w:t>"</w:t>
      </w:r>
      <w:r w:rsidRPr="00272930">
        <w:rPr>
          <w:szCs w:val="18"/>
        </w:rPr>
        <w:t xml:space="preserve"> by MINCIT:</w:t>
      </w:r>
    </w:p>
    <w:p w14:paraId="557F9581" w14:textId="43EBEA9D" w:rsidR="00656B33" w:rsidRPr="00272930" w:rsidRDefault="00656B33" w:rsidP="00B709B7">
      <w:pPr>
        <w:pStyle w:val="BodyText3"/>
        <w:numPr>
          <w:ilvl w:val="8"/>
          <w:numId w:val="41"/>
        </w:numPr>
        <w:rPr>
          <w:szCs w:val="18"/>
        </w:rPr>
      </w:pPr>
      <w:r w:rsidRPr="00272930">
        <w:rPr>
          <w:szCs w:val="18"/>
        </w:rPr>
        <w:t>the European Union ha</w:t>
      </w:r>
      <w:r w:rsidR="009D01B8" w:rsidRPr="00272930">
        <w:rPr>
          <w:szCs w:val="18"/>
        </w:rPr>
        <w:t>d</w:t>
      </w:r>
      <w:r w:rsidRPr="00272930">
        <w:rPr>
          <w:szCs w:val="18"/>
        </w:rPr>
        <w:t xml:space="preserve"> established that Colombia acted inconsistently with its obligations under Article 6.8 of the Anti-Dumping Agreement because MINCIT disregarded the export prices that the exporters had provided in their questionnaire responses and, instead, elected to use export prices extracted from the </w:t>
      </w:r>
      <w:r w:rsidR="002928E3" w:rsidRPr="00272930">
        <w:rPr>
          <w:szCs w:val="18"/>
        </w:rPr>
        <w:t>National Directorate for Taxes and Customs (</w:t>
      </w:r>
      <w:r w:rsidRPr="00272930">
        <w:rPr>
          <w:szCs w:val="18"/>
        </w:rPr>
        <w:t>DIAN</w:t>
      </w:r>
      <w:r w:rsidR="002928E3" w:rsidRPr="00272930">
        <w:rPr>
          <w:szCs w:val="18"/>
        </w:rPr>
        <w:t>)</w:t>
      </w:r>
      <w:r w:rsidRPr="00272930">
        <w:rPr>
          <w:szCs w:val="18"/>
        </w:rPr>
        <w:t xml:space="preserve"> database to make its dumping determination; and</w:t>
      </w:r>
    </w:p>
    <w:p w14:paraId="1A976A87" w14:textId="449F4625" w:rsidR="00656B33" w:rsidRPr="00272930" w:rsidRDefault="00656B33" w:rsidP="00B709B7">
      <w:pPr>
        <w:pStyle w:val="BodyText3"/>
      </w:pPr>
      <w:r w:rsidRPr="00272930">
        <w:t>having found that Colombia acted inconsistently with its obligations under Article 6.8, the Panel d</w:t>
      </w:r>
      <w:r w:rsidR="006B567C" w:rsidRPr="00272930">
        <w:t>id</w:t>
      </w:r>
      <w:r w:rsidRPr="00272930">
        <w:t xml:space="preserve"> not consider it necessary to make additional findings as to whether Colombia also acted inconsistently with its obligations under </w:t>
      </w:r>
      <w:r w:rsidR="00270F7B" w:rsidRPr="00272930">
        <w:t>paragraphs </w:t>
      </w:r>
      <w:r w:rsidRPr="00272930">
        <w:t>3 and 6 of Annex</w:t>
      </w:r>
      <w:r w:rsidR="00C94E20" w:rsidRPr="00272930">
        <w:t> </w:t>
      </w:r>
      <w:r w:rsidRPr="00272930">
        <w:t xml:space="preserve">II and Article 2.1 </w:t>
      </w:r>
      <w:proofErr w:type="gramStart"/>
      <w:r w:rsidRPr="00272930">
        <w:t>in order to</w:t>
      </w:r>
      <w:proofErr w:type="gramEnd"/>
      <w:r w:rsidRPr="00272930">
        <w:t xml:space="preserve"> provide a positive resolution to the present dispute.</w:t>
      </w:r>
      <w:r w:rsidR="00AE27FA" w:rsidRPr="00272930">
        <w:rPr>
          <w:rStyle w:val="FootnoteReference"/>
          <w:szCs w:val="18"/>
        </w:rPr>
        <w:footnoteReference w:id="13"/>
      </w:r>
    </w:p>
    <w:p w14:paraId="3DDE8FC4" w14:textId="1552E0F8" w:rsidR="00656B33" w:rsidRPr="00272930" w:rsidRDefault="00656B33" w:rsidP="00B709B7">
      <w:pPr>
        <w:pStyle w:val="BodyText2"/>
        <w:numPr>
          <w:ilvl w:val="0"/>
          <w:numId w:val="23"/>
        </w:numPr>
        <w:tabs>
          <w:tab w:val="left" w:pos="1134"/>
        </w:tabs>
        <w:ind w:left="1134" w:hanging="567"/>
        <w:rPr>
          <w:szCs w:val="18"/>
        </w:rPr>
      </w:pPr>
      <w:r w:rsidRPr="00272930">
        <w:rPr>
          <w:szCs w:val="18"/>
        </w:rPr>
        <w:t>With respect to the European Union</w:t>
      </w:r>
      <w:r w:rsidR="00972276" w:rsidRPr="00272930">
        <w:rPr>
          <w:szCs w:val="18"/>
        </w:rPr>
        <w:t>'</w:t>
      </w:r>
      <w:r w:rsidRPr="00272930">
        <w:rPr>
          <w:szCs w:val="18"/>
        </w:rPr>
        <w:t>s claims concerning MINCIT</w:t>
      </w:r>
      <w:r w:rsidR="00972276" w:rsidRPr="00272930">
        <w:rPr>
          <w:szCs w:val="18"/>
        </w:rPr>
        <w:t>'</w:t>
      </w:r>
      <w:r w:rsidRPr="00272930">
        <w:rPr>
          <w:szCs w:val="18"/>
        </w:rPr>
        <w:t>s assessment of the exporters</w:t>
      </w:r>
      <w:r w:rsidR="00972276" w:rsidRPr="00272930">
        <w:rPr>
          <w:szCs w:val="18"/>
        </w:rPr>
        <w:t>'</w:t>
      </w:r>
      <w:r w:rsidRPr="00272930">
        <w:rPr>
          <w:szCs w:val="18"/>
        </w:rPr>
        <w:t xml:space="preserve"> requests for adjustments:</w:t>
      </w:r>
    </w:p>
    <w:p w14:paraId="1E3E1A10" w14:textId="5E9BAE6C" w:rsidR="00656B33" w:rsidRPr="00272930" w:rsidRDefault="00656B33" w:rsidP="00B709B7">
      <w:pPr>
        <w:pStyle w:val="BodyText3"/>
        <w:numPr>
          <w:ilvl w:val="8"/>
          <w:numId w:val="42"/>
        </w:numPr>
      </w:pPr>
      <w:r w:rsidRPr="00272930">
        <w:t>the European Union ha</w:t>
      </w:r>
      <w:r w:rsidR="006B567C" w:rsidRPr="00272930">
        <w:t>d</w:t>
      </w:r>
      <w:r w:rsidRPr="00272930">
        <w:t xml:space="preserve"> established that Colombia acted inconsistently with its obligation to make a </w:t>
      </w:r>
      <w:r w:rsidR="00972276" w:rsidRPr="00272930">
        <w:t>"</w:t>
      </w:r>
      <w:r w:rsidRPr="00272930">
        <w:t>fair comparison</w:t>
      </w:r>
      <w:r w:rsidR="00972276" w:rsidRPr="00272930">
        <w:t>"</w:t>
      </w:r>
      <w:r w:rsidRPr="00272930">
        <w:t xml:space="preserve"> under Article 2.4 of the Anti-Dumping Agreement because MINCIT denied the product mix-related adjustments requested by </w:t>
      </w:r>
      <w:proofErr w:type="spellStart"/>
      <w:r w:rsidRPr="00272930">
        <w:t>Agrarfrost</w:t>
      </w:r>
      <w:proofErr w:type="spellEnd"/>
      <w:r w:rsidRPr="00272930">
        <w:t xml:space="preserve">, </w:t>
      </w:r>
      <w:proofErr w:type="spellStart"/>
      <w:r w:rsidRPr="00272930">
        <w:t>Aviko</w:t>
      </w:r>
      <w:proofErr w:type="spellEnd"/>
      <w:r w:rsidRPr="00272930">
        <w:t xml:space="preserve">, and </w:t>
      </w:r>
      <w:proofErr w:type="spellStart"/>
      <w:proofErr w:type="gramStart"/>
      <w:r w:rsidRPr="00272930">
        <w:t>Mydibel</w:t>
      </w:r>
      <w:proofErr w:type="spellEnd"/>
      <w:r w:rsidRPr="00272930">
        <w:t>;</w:t>
      </w:r>
      <w:proofErr w:type="gramEnd"/>
    </w:p>
    <w:p w14:paraId="4F7A92B5" w14:textId="781EA810" w:rsidR="00656B33" w:rsidRPr="00272930" w:rsidRDefault="00656B33" w:rsidP="00B709B7">
      <w:pPr>
        <w:pStyle w:val="BodyText3"/>
      </w:pPr>
      <w:r w:rsidRPr="00272930">
        <w:t>the European Union</w:t>
      </w:r>
      <w:r w:rsidR="00972276" w:rsidRPr="00272930">
        <w:t>'</w:t>
      </w:r>
      <w:r w:rsidRPr="00272930">
        <w:t xml:space="preserve">s claim under Article 2.4 of the Anti-Dumping Agreement concerning </w:t>
      </w:r>
      <w:proofErr w:type="spellStart"/>
      <w:r w:rsidRPr="00272930">
        <w:t>Mydibel</w:t>
      </w:r>
      <w:r w:rsidR="00972276" w:rsidRPr="00272930">
        <w:t>'</w:t>
      </w:r>
      <w:r w:rsidRPr="00272930">
        <w:t>s</w:t>
      </w:r>
      <w:proofErr w:type="spellEnd"/>
      <w:r w:rsidRPr="00272930">
        <w:t> packaging cost-related adjustment request f</w:t>
      </w:r>
      <w:r w:rsidR="006B567C" w:rsidRPr="00272930">
        <w:t>ell</w:t>
      </w:r>
      <w:r w:rsidRPr="00272930">
        <w:t xml:space="preserve"> within the Panel</w:t>
      </w:r>
      <w:r w:rsidR="00972276" w:rsidRPr="00272930">
        <w:t>'</w:t>
      </w:r>
      <w:r w:rsidRPr="00272930">
        <w:t xml:space="preserve">s terms of </w:t>
      </w:r>
      <w:proofErr w:type="gramStart"/>
      <w:r w:rsidRPr="00272930">
        <w:t>reference;</w:t>
      </w:r>
      <w:proofErr w:type="gramEnd"/>
    </w:p>
    <w:p w14:paraId="2C5AFAC1" w14:textId="008A9C4F" w:rsidR="00656B33" w:rsidRPr="00272930" w:rsidRDefault="00656B33" w:rsidP="00B709B7">
      <w:pPr>
        <w:pStyle w:val="BodyText3"/>
      </w:pPr>
      <w:r w:rsidRPr="00272930">
        <w:t>the European Union ha</w:t>
      </w:r>
      <w:r w:rsidR="006B567C" w:rsidRPr="00272930">
        <w:t>d</w:t>
      </w:r>
      <w:r w:rsidRPr="00272930">
        <w:t xml:space="preserve"> established that Colombia acted inconsistently with its obligation to make a </w:t>
      </w:r>
      <w:r w:rsidR="00972276" w:rsidRPr="00272930">
        <w:t>"</w:t>
      </w:r>
      <w:r w:rsidRPr="00272930">
        <w:t>fair comparison</w:t>
      </w:r>
      <w:r w:rsidR="00972276" w:rsidRPr="00272930">
        <w:t>"</w:t>
      </w:r>
      <w:r w:rsidRPr="00272930">
        <w:t xml:space="preserve"> under Article 2.4 of the Anti-Dumping Agreement because MINCIT denied </w:t>
      </w:r>
      <w:proofErr w:type="spellStart"/>
      <w:r w:rsidRPr="00272930">
        <w:t>Mydibel</w:t>
      </w:r>
      <w:r w:rsidR="00972276" w:rsidRPr="00272930">
        <w:t>'</w:t>
      </w:r>
      <w:r w:rsidRPr="00272930">
        <w:t>s</w:t>
      </w:r>
      <w:proofErr w:type="spellEnd"/>
      <w:r w:rsidRPr="00272930">
        <w:t xml:space="preserve"> packaging cost-related adjustment </w:t>
      </w:r>
      <w:proofErr w:type="gramStart"/>
      <w:r w:rsidRPr="00272930">
        <w:t>request;</w:t>
      </w:r>
      <w:proofErr w:type="gramEnd"/>
    </w:p>
    <w:p w14:paraId="39527F27" w14:textId="3C57DB15" w:rsidR="00656B33" w:rsidRPr="00272930" w:rsidRDefault="00656B33" w:rsidP="00B709B7">
      <w:pPr>
        <w:pStyle w:val="BodyText3"/>
      </w:pPr>
      <w:r w:rsidRPr="00272930">
        <w:t>the European Union ha</w:t>
      </w:r>
      <w:r w:rsidR="006B567C" w:rsidRPr="00272930">
        <w:t>d</w:t>
      </w:r>
      <w:r w:rsidRPr="00272930">
        <w:t xml:space="preserve"> established that Colombia acted inconsistently with its obligation to make a </w:t>
      </w:r>
      <w:r w:rsidR="00972276" w:rsidRPr="00272930">
        <w:t>"</w:t>
      </w:r>
      <w:r w:rsidRPr="00272930">
        <w:t>fair comparison</w:t>
      </w:r>
      <w:r w:rsidR="00972276" w:rsidRPr="00272930">
        <w:t>"</w:t>
      </w:r>
      <w:r w:rsidRPr="00272930">
        <w:t xml:space="preserve"> under Article 2.4 of the Anti-Dumping Agreement because MINCIT denied </w:t>
      </w:r>
      <w:proofErr w:type="spellStart"/>
      <w:r w:rsidRPr="00272930">
        <w:t>Agrarfrost</w:t>
      </w:r>
      <w:r w:rsidR="00972276" w:rsidRPr="00272930">
        <w:t>'</w:t>
      </w:r>
      <w:r w:rsidRPr="00272930">
        <w:t>s</w:t>
      </w:r>
      <w:proofErr w:type="spellEnd"/>
      <w:r w:rsidRPr="00272930">
        <w:t> oil cost-related adjustment request; and</w:t>
      </w:r>
    </w:p>
    <w:p w14:paraId="2CE4C81F" w14:textId="2A6DC560" w:rsidR="00656B33" w:rsidRPr="00272930" w:rsidRDefault="00656B33" w:rsidP="00B709B7">
      <w:pPr>
        <w:pStyle w:val="BodyText3"/>
      </w:pPr>
      <w:r w:rsidRPr="00272930">
        <w:t xml:space="preserve">having found that Colombia acted inconsistently with its obligation to make a </w:t>
      </w:r>
      <w:r w:rsidR="00972276" w:rsidRPr="00272930">
        <w:t>"</w:t>
      </w:r>
      <w:r w:rsidRPr="00272930">
        <w:t>fair comparison</w:t>
      </w:r>
      <w:r w:rsidR="00972276" w:rsidRPr="00272930">
        <w:t>"</w:t>
      </w:r>
      <w:r w:rsidRPr="00272930">
        <w:t xml:space="preserve"> under Article 2.4, the Panel d</w:t>
      </w:r>
      <w:r w:rsidR="006B567C" w:rsidRPr="00272930">
        <w:t>id</w:t>
      </w:r>
      <w:r w:rsidRPr="00272930">
        <w:t xml:space="preserve"> not consider it necessary to make additional findings as to whether Colombia also acted inconsistently with its </w:t>
      </w:r>
      <w:r w:rsidRPr="00272930">
        <w:lastRenderedPageBreak/>
        <w:t xml:space="preserve">obligations under the last sentence of Article 2.4 </w:t>
      </w:r>
      <w:proofErr w:type="gramStart"/>
      <w:r w:rsidRPr="00272930">
        <w:t>in order to</w:t>
      </w:r>
      <w:proofErr w:type="gramEnd"/>
      <w:r w:rsidRPr="00272930">
        <w:t xml:space="preserve"> provide a positive resolution to the present dispute.</w:t>
      </w:r>
      <w:r w:rsidR="00AE27FA" w:rsidRPr="00272930">
        <w:rPr>
          <w:rStyle w:val="FootnoteReference"/>
          <w:szCs w:val="18"/>
        </w:rPr>
        <w:footnoteReference w:id="14"/>
      </w:r>
    </w:p>
    <w:p w14:paraId="5FDE15A4" w14:textId="70AFB236" w:rsidR="00656B33" w:rsidRPr="00272930" w:rsidRDefault="00656B33" w:rsidP="00B709B7">
      <w:pPr>
        <w:pStyle w:val="BodyText2"/>
        <w:keepNext/>
        <w:numPr>
          <w:ilvl w:val="0"/>
          <w:numId w:val="23"/>
        </w:numPr>
        <w:tabs>
          <w:tab w:val="left" w:pos="1134"/>
        </w:tabs>
        <w:ind w:left="1134" w:hanging="567"/>
        <w:rPr>
          <w:szCs w:val="18"/>
        </w:rPr>
      </w:pPr>
      <w:r w:rsidRPr="00272930">
        <w:rPr>
          <w:szCs w:val="18"/>
        </w:rPr>
        <w:t>With respect to the European Union</w:t>
      </w:r>
      <w:r w:rsidR="00972276" w:rsidRPr="00272930">
        <w:rPr>
          <w:szCs w:val="18"/>
        </w:rPr>
        <w:t>'</w:t>
      </w:r>
      <w:r w:rsidRPr="00272930">
        <w:rPr>
          <w:szCs w:val="18"/>
        </w:rPr>
        <w:t>s claims concerning MINCIT</w:t>
      </w:r>
      <w:r w:rsidR="00972276" w:rsidRPr="00272930">
        <w:rPr>
          <w:szCs w:val="18"/>
        </w:rPr>
        <w:t>'</w:t>
      </w:r>
      <w:r w:rsidRPr="00272930">
        <w:rPr>
          <w:szCs w:val="18"/>
        </w:rPr>
        <w:t>s injury and causation determinations:</w:t>
      </w:r>
    </w:p>
    <w:p w14:paraId="65F12040" w14:textId="7377EB92" w:rsidR="00656B33" w:rsidRPr="00272930" w:rsidRDefault="00656B33" w:rsidP="00B709B7">
      <w:pPr>
        <w:pStyle w:val="BodyText3"/>
        <w:numPr>
          <w:ilvl w:val="8"/>
          <w:numId w:val="43"/>
        </w:numPr>
      </w:pPr>
      <w:r w:rsidRPr="00272930">
        <w:t>the European Union ha</w:t>
      </w:r>
      <w:r w:rsidR="006B567C" w:rsidRPr="00272930">
        <w:t>d</w:t>
      </w:r>
      <w:r w:rsidRPr="00272930">
        <w:t xml:space="preserve"> established that Colombia acted inconsistently with its obligations under </w:t>
      </w:r>
      <w:r w:rsidR="000528F6" w:rsidRPr="00272930">
        <w:t>Articles </w:t>
      </w:r>
      <w:r w:rsidRPr="00272930">
        <w:t xml:space="preserve">3.1, 3.2, 3.4, and 3.5 of the Anti-Dumping Agreement because MINCIT included in its injury and causation determinations imports from the exporters that were determined to have: (a) final </w:t>
      </w:r>
      <w:r w:rsidRPr="00272930">
        <w:rPr>
          <w:i/>
          <w:iCs/>
        </w:rPr>
        <w:t>de</w:t>
      </w:r>
      <w:r w:rsidRPr="00272930">
        <w:rPr>
          <w:iCs/>
        </w:rPr>
        <w:t> </w:t>
      </w:r>
      <w:r w:rsidRPr="00272930">
        <w:rPr>
          <w:i/>
          <w:iCs/>
        </w:rPr>
        <w:t>minimis</w:t>
      </w:r>
      <w:r w:rsidRPr="00272930">
        <w:rPr>
          <w:iCs/>
        </w:rPr>
        <w:t xml:space="preserve"> </w:t>
      </w:r>
      <w:r w:rsidRPr="00272930">
        <w:t>margins of dumping (</w:t>
      </w:r>
      <w:proofErr w:type="spellStart"/>
      <w:r w:rsidRPr="00272930">
        <w:t>Clarebout</w:t>
      </w:r>
      <w:proofErr w:type="spellEnd"/>
      <w:r w:rsidRPr="00272930">
        <w:t xml:space="preserve"> (Belgium), </w:t>
      </w:r>
      <w:proofErr w:type="spellStart"/>
      <w:r w:rsidRPr="00272930">
        <w:t>Agristo</w:t>
      </w:r>
      <w:proofErr w:type="spellEnd"/>
      <w:r w:rsidRPr="00272930">
        <w:t xml:space="preserve"> (Belgium), and Other Companies (Belgium)); and (b) final </w:t>
      </w:r>
      <w:r w:rsidRPr="00272930">
        <w:rPr>
          <w:i/>
          <w:iCs/>
        </w:rPr>
        <w:t>negative</w:t>
      </w:r>
      <w:r w:rsidRPr="00272930">
        <w:rPr>
          <w:iCs/>
        </w:rPr>
        <w:t xml:space="preserve"> </w:t>
      </w:r>
      <w:r w:rsidRPr="00272930">
        <w:t>margins of dumping (</w:t>
      </w:r>
      <w:proofErr w:type="spellStart"/>
      <w:r w:rsidRPr="00272930">
        <w:t>Ecofrost</w:t>
      </w:r>
      <w:proofErr w:type="spellEnd"/>
      <w:r w:rsidRPr="00272930">
        <w:t xml:space="preserve"> (Belgium) and Farm Frites (the Netherlands)); and</w:t>
      </w:r>
    </w:p>
    <w:p w14:paraId="6E6F11C3" w14:textId="599082E4" w:rsidR="00656B33" w:rsidRPr="00272930" w:rsidRDefault="00656B33" w:rsidP="00B709B7">
      <w:pPr>
        <w:pStyle w:val="BodyText3"/>
      </w:pPr>
      <w:r w:rsidRPr="00272930">
        <w:t xml:space="preserve">having found that Colombia acted inconsistently with its obligations under </w:t>
      </w:r>
      <w:r w:rsidR="000528F6" w:rsidRPr="00272930">
        <w:t>Articles </w:t>
      </w:r>
      <w:r w:rsidRPr="00272930">
        <w:t xml:space="preserve">3.1, 3.2, 3.4, and 3.5, the Panel </w:t>
      </w:r>
      <w:r w:rsidR="007436BA" w:rsidRPr="00272930">
        <w:t>wa</w:t>
      </w:r>
      <w:r w:rsidRPr="00272930">
        <w:t>s not called upon to make further findings with respect to the other grounds presented by the European Union in support of its claims challenging MINCIT</w:t>
      </w:r>
      <w:r w:rsidR="00972276" w:rsidRPr="00272930">
        <w:t>'</w:t>
      </w:r>
      <w:r w:rsidRPr="00272930">
        <w:t xml:space="preserve">s analysis of the </w:t>
      </w:r>
      <w:r w:rsidR="00972276" w:rsidRPr="00272930">
        <w:t>"</w:t>
      </w:r>
      <w:r w:rsidRPr="00272930">
        <w:t>price effects</w:t>
      </w:r>
      <w:r w:rsidR="00972276" w:rsidRPr="00272930">
        <w:t>"</w:t>
      </w:r>
      <w:r w:rsidRPr="00272930">
        <w:t xml:space="preserve"> under </w:t>
      </w:r>
      <w:r w:rsidR="000528F6" w:rsidRPr="00272930">
        <w:t>Articles </w:t>
      </w:r>
      <w:r w:rsidRPr="00272930">
        <w:t xml:space="preserve">3.2 and 3.1; the impact on domestic industry under </w:t>
      </w:r>
      <w:r w:rsidR="000528F6" w:rsidRPr="00272930">
        <w:t>Articles </w:t>
      </w:r>
      <w:r w:rsidRPr="00272930">
        <w:t xml:space="preserve">3.4 and 3.1; and the causal link under </w:t>
      </w:r>
      <w:r w:rsidR="000528F6" w:rsidRPr="00272930">
        <w:t>Articles </w:t>
      </w:r>
      <w:r w:rsidRPr="00272930">
        <w:t>3.5 and 3.1.</w:t>
      </w:r>
      <w:r w:rsidR="00AE27FA" w:rsidRPr="00272930">
        <w:rPr>
          <w:rStyle w:val="FootnoteReference"/>
          <w:szCs w:val="18"/>
        </w:rPr>
        <w:footnoteReference w:id="15"/>
      </w:r>
    </w:p>
    <w:p w14:paraId="08873AB0" w14:textId="24DA9C4A" w:rsidR="00F362DF" w:rsidRPr="00272930" w:rsidRDefault="007436BA" w:rsidP="00B709B7">
      <w:pPr>
        <w:pStyle w:val="BodyText"/>
        <w:numPr>
          <w:ilvl w:val="6"/>
          <w:numId w:val="18"/>
        </w:numPr>
        <w:rPr>
          <w:szCs w:val="18"/>
        </w:rPr>
      </w:pPr>
      <w:r w:rsidRPr="00272930">
        <w:rPr>
          <w:szCs w:val="18"/>
        </w:rPr>
        <w:t>T</w:t>
      </w:r>
      <w:r w:rsidR="00F362DF" w:rsidRPr="00272930">
        <w:rPr>
          <w:szCs w:val="18"/>
        </w:rPr>
        <w:t>he Panel, pursuant to Article</w:t>
      </w:r>
      <w:r w:rsidR="000F0D20" w:rsidRPr="00272930">
        <w:rPr>
          <w:szCs w:val="18"/>
        </w:rPr>
        <w:t> </w:t>
      </w:r>
      <w:r w:rsidR="00F362DF" w:rsidRPr="00272930">
        <w:rPr>
          <w:szCs w:val="18"/>
        </w:rPr>
        <w:t xml:space="preserve">19.1 of the DSU, recommended that Colombia bring </w:t>
      </w:r>
      <w:r w:rsidR="00CB79DD" w:rsidRPr="00272930">
        <w:rPr>
          <w:szCs w:val="18"/>
        </w:rPr>
        <w:t>its</w:t>
      </w:r>
      <w:r w:rsidR="00F362DF" w:rsidRPr="00272930">
        <w:rPr>
          <w:szCs w:val="18"/>
        </w:rPr>
        <w:t xml:space="preserve"> measures into conformity with its obligations under the GATT</w:t>
      </w:r>
      <w:r w:rsidR="000F0D20" w:rsidRPr="00272930">
        <w:rPr>
          <w:szCs w:val="18"/>
        </w:rPr>
        <w:t> 1994</w:t>
      </w:r>
      <w:r w:rsidR="00F362DF" w:rsidRPr="00272930">
        <w:rPr>
          <w:szCs w:val="18"/>
        </w:rPr>
        <w:t xml:space="preserve"> and the Anti-Dumping Agreement.</w:t>
      </w:r>
      <w:r w:rsidR="00EB7322" w:rsidRPr="00272930">
        <w:rPr>
          <w:rStyle w:val="FootnoteReference"/>
          <w:szCs w:val="18"/>
        </w:rPr>
        <w:footnoteReference w:id="16"/>
      </w:r>
    </w:p>
    <w:p w14:paraId="5E053AC6" w14:textId="7B23B608" w:rsidR="00F362DF" w:rsidRPr="00272930" w:rsidRDefault="00804F54" w:rsidP="00B709B7">
      <w:pPr>
        <w:pStyle w:val="BodyText"/>
        <w:numPr>
          <w:ilvl w:val="6"/>
          <w:numId w:val="18"/>
        </w:numPr>
        <w:rPr>
          <w:szCs w:val="18"/>
        </w:rPr>
      </w:pPr>
      <w:bookmarkStart w:id="5" w:name="_Ref119246556"/>
      <w:r w:rsidRPr="00272930">
        <w:rPr>
          <w:szCs w:val="18"/>
        </w:rPr>
        <w:t>On 6</w:t>
      </w:r>
      <w:r w:rsidR="000F0D20" w:rsidRPr="00272930">
        <w:rPr>
          <w:szCs w:val="18"/>
        </w:rPr>
        <w:t> </w:t>
      </w:r>
      <w:r w:rsidRPr="00272930">
        <w:rPr>
          <w:szCs w:val="18"/>
        </w:rPr>
        <w:t>October</w:t>
      </w:r>
      <w:r w:rsidR="000F0D20" w:rsidRPr="00272930">
        <w:rPr>
          <w:szCs w:val="18"/>
        </w:rPr>
        <w:t> </w:t>
      </w:r>
      <w:r w:rsidRPr="00272930">
        <w:rPr>
          <w:szCs w:val="18"/>
        </w:rPr>
        <w:t xml:space="preserve">2022, </w:t>
      </w:r>
      <w:r w:rsidR="00FB46DD" w:rsidRPr="00272930">
        <w:rPr>
          <w:szCs w:val="18"/>
        </w:rPr>
        <w:t xml:space="preserve">Colombia </w:t>
      </w:r>
      <w:r w:rsidR="007E6D95" w:rsidRPr="00272930">
        <w:rPr>
          <w:szCs w:val="18"/>
        </w:rPr>
        <w:t>notified</w:t>
      </w:r>
      <w:r w:rsidRPr="00272930">
        <w:rPr>
          <w:szCs w:val="18"/>
        </w:rPr>
        <w:t xml:space="preserve"> the DSB </w:t>
      </w:r>
      <w:r w:rsidR="007E6D95" w:rsidRPr="00272930">
        <w:rPr>
          <w:szCs w:val="18"/>
        </w:rPr>
        <w:t xml:space="preserve">of its decision to </w:t>
      </w:r>
      <w:r w:rsidR="00E51B7B" w:rsidRPr="00272930">
        <w:rPr>
          <w:szCs w:val="18"/>
        </w:rPr>
        <w:t>initiate an arbitration under Article</w:t>
      </w:r>
      <w:r w:rsidR="000F0D20" w:rsidRPr="00272930">
        <w:rPr>
          <w:szCs w:val="18"/>
        </w:rPr>
        <w:t> </w:t>
      </w:r>
      <w:r w:rsidR="00E51B7B" w:rsidRPr="00272930">
        <w:rPr>
          <w:szCs w:val="18"/>
        </w:rPr>
        <w:t>25 of the DSU</w:t>
      </w:r>
      <w:r w:rsidR="00242DD3" w:rsidRPr="00272930">
        <w:rPr>
          <w:szCs w:val="18"/>
        </w:rPr>
        <w:t xml:space="preserve"> through </w:t>
      </w:r>
      <w:r w:rsidR="00CF6D79" w:rsidRPr="00272930">
        <w:rPr>
          <w:szCs w:val="18"/>
        </w:rPr>
        <w:t>a</w:t>
      </w:r>
      <w:r w:rsidRPr="00272930">
        <w:rPr>
          <w:szCs w:val="18"/>
        </w:rPr>
        <w:t xml:space="preserve"> </w:t>
      </w:r>
      <w:r w:rsidR="00972276" w:rsidRPr="00272930">
        <w:rPr>
          <w:szCs w:val="18"/>
        </w:rPr>
        <w:t>"</w:t>
      </w:r>
      <w:r w:rsidR="00AE2FB7" w:rsidRPr="00272930">
        <w:rPr>
          <w:szCs w:val="18"/>
        </w:rPr>
        <w:t>Notification of an Appeal</w:t>
      </w:r>
      <w:r w:rsidR="00972276" w:rsidRPr="00272930">
        <w:rPr>
          <w:szCs w:val="18"/>
        </w:rPr>
        <w:t>"</w:t>
      </w:r>
      <w:r w:rsidR="00AE2FB7" w:rsidRPr="00272930">
        <w:rPr>
          <w:szCs w:val="18"/>
        </w:rPr>
        <w:t xml:space="preserve"> </w:t>
      </w:r>
      <w:r w:rsidR="00CF6D79" w:rsidRPr="00272930">
        <w:rPr>
          <w:szCs w:val="18"/>
        </w:rPr>
        <w:t>pursuant to</w:t>
      </w:r>
      <w:r w:rsidR="00AE2FB7" w:rsidRPr="00272930">
        <w:rPr>
          <w:szCs w:val="18"/>
        </w:rPr>
        <w:t xml:space="preserve"> Article</w:t>
      </w:r>
      <w:r w:rsidR="000F0D20" w:rsidRPr="00272930">
        <w:rPr>
          <w:szCs w:val="18"/>
        </w:rPr>
        <w:t> </w:t>
      </w:r>
      <w:r w:rsidR="00AE2FB7" w:rsidRPr="00272930">
        <w:rPr>
          <w:szCs w:val="18"/>
        </w:rPr>
        <w:t xml:space="preserve">25 of the </w:t>
      </w:r>
      <w:r w:rsidR="00CF6D79" w:rsidRPr="00272930">
        <w:rPr>
          <w:szCs w:val="18"/>
        </w:rPr>
        <w:t>DSU,</w:t>
      </w:r>
      <w:r w:rsidR="00AE2FB7" w:rsidRPr="00272930">
        <w:rPr>
          <w:szCs w:val="18"/>
        </w:rPr>
        <w:t xml:space="preserve"> </w:t>
      </w:r>
      <w:r w:rsidR="00270F7B" w:rsidRPr="00272930">
        <w:rPr>
          <w:szCs w:val="18"/>
        </w:rPr>
        <w:t>paragraph </w:t>
      </w:r>
      <w:r w:rsidR="00AE2FB7" w:rsidRPr="00272930">
        <w:rPr>
          <w:szCs w:val="18"/>
        </w:rPr>
        <w:t>5 of the Agreed Procedures</w:t>
      </w:r>
      <w:r w:rsidR="00852AEA" w:rsidRPr="00272930">
        <w:rPr>
          <w:szCs w:val="18"/>
        </w:rPr>
        <w:t>,</w:t>
      </w:r>
      <w:r w:rsidR="00AE2FB7" w:rsidRPr="00272930">
        <w:rPr>
          <w:szCs w:val="18"/>
        </w:rPr>
        <w:t xml:space="preserve"> and Rule 20 of the Working Procedures for Appellate</w:t>
      </w:r>
      <w:r w:rsidR="00856AE5" w:rsidRPr="00272930">
        <w:rPr>
          <w:szCs w:val="18"/>
        </w:rPr>
        <w:t> </w:t>
      </w:r>
      <w:r w:rsidR="00AE2FB7" w:rsidRPr="00272930">
        <w:rPr>
          <w:szCs w:val="18"/>
        </w:rPr>
        <w:t>Review</w:t>
      </w:r>
      <w:r w:rsidR="00D27B03" w:rsidRPr="00272930">
        <w:rPr>
          <w:szCs w:val="18"/>
        </w:rPr>
        <w:t>.</w:t>
      </w:r>
      <w:bookmarkStart w:id="6" w:name="_Ref121122665"/>
      <w:r w:rsidR="00242DD3" w:rsidRPr="00272930">
        <w:rPr>
          <w:rStyle w:val="FootnoteReference"/>
          <w:szCs w:val="18"/>
        </w:rPr>
        <w:footnoteReference w:id="17"/>
      </w:r>
      <w:bookmarkEnd w:id="6"/>
      <w:r w:rsidR="00D27B03" w:rsidRPr="00272930">
        <w:rPr>
          <w:szCs w:val="18"/>
        </w:rPr>
        <w:t xml:space="preserve"> </w:t>
      </w:r>
      <w:r w:rsidR="001D1B55" w:rsidRPr="00272930">
        <w:rPr>
          <w:szCs w:val="18"/>
        </w:rPr>
        <w:t xml:space="preserve">On the same day, Colombia filed its written submission. </w:t>
      </w:r>
      <w:r w:rsidR="00D27B03" w:rsidRPr="00272930">
        <w:rPr>
          <w:szCs w:val="18"/>
        </w:rPr>
        <w:t>Colombia</w:t>
      </w:r>
      <w:r w:rsidR="00972276" w:rsidRPr="00272930">
        <w:rPr>
          <w:szCs w:val="18"/>
        </w:rPr>
        <w:t>'</w:t>
      </w:r>
      <w:r w:rsidR="00D27B03" w:rsidRPr="00272930">
        <w:rPr>
          <w:szCs w:val="18"/>
        </w:rPr>
        <w:t xml:space="preserve">s </w:t>
      </w:r>
      <w:r w:rsidR="00976E4F" w:rsidRPr="00272930">
        <w:rPr>
          <w:szCs w:val="18"/>
        </w:rPr>
        <w:t xml:space="preserve">Notice </w:t>
      </w:r>
      <w:r w:rsidR="001D1B55" w:rsidRPr="00272930">
        <w:rPr>
          <w:szCs w:val="18"/>
        </w:rPr>
        <w:t xml:space="preserve">of </w:t>
      </w:r>
      <w:r w:rsidR="00976E4F" w:rsidRPr="00272930">
        <w:rPr>
          <w:szCs w:val="18"/>
        </w:rPr>
        <w:t>A</w:t>
      </w:r>
      <w:r w:rsidR="001D1B55" w:rsidRPr="00272930">
        <w:rPr>
          <w:szCs w:val="18"/>
        </w:rPr>
        <w:t>ppeal</w:t>
      </w:r>
      <w:r w:rsidR="00D27B03" w:rsidRPr="00272930">
        <w:rPr>
          <w:szCs w:val="18"/>
        </w:rPr>
        <w:t>, together with t</w:t>
      </w:r>
      <w:r w:rsidR="00A876EB" w:rsidRPr="00272930">
        <w:rPr>
          <w:szCs w:val="18"/>
        </w:rPr>
        <w:t>he Panel</w:t>
      </w:r>
      <w:r w:rsidR="000F0D20" w:rsidRPr="00272930">
        <w:rPr>
          <w:szCs w:val="18"/>
        </w:rPr>
        <w:t> Report</w:t>
      </w:r>
      <w:r w:rsidR="00D27B03" w:rsidRPr="00272930">
        <w:rPr>
          <w:szCs w:val="18"/>
        </w:rPr>
        <w:t xml:space="preserve">, </w:t>
      </w:r>
      <w:r w:rsidR="00BC2B83" w:rsidRPr="00272930">
        <w:rPr>
          <w:szCs w:val="18"/>
        </w:rPr>
        <w:t xml:space="preserve">was </w:t>
      </w:r>
      <w:r w:rsidR="00D27B03" w:rsidRPr="00272930">
        <w:rPr>
          <w:szCs w:val="18"/>
        </w:rPr>
        <w:t xml:space="preserve">circulated to </w:t>
      </w:r>
      <w:r w:rsidR="00664DC3" w:rsidRPr="00272930">
        <w:rPr>
          <w:szCs w:val="18"/>
        </w:rPr>
        <w:t xml:space="preserve">Members </w:t>
      </w:r>
      <w:r w:rsidR="00D27B03" w:rsidRPr="00272930">
        <w:rPr>
          <w:szCs w:val="18"/>
        </w:rPr>
        <w:t xml:space="preserve">on </w:t>
      </w:r>
      <w:r w:rsidR="001D1B55" w:rsidRPr="00272930">
        <w:rPr>
          <w:szCs w:val="18"/>
        </w:rPr>
        <w:t>10</w:t>
      </w:r>
      <w:r w:rsidR="000F0D20" w:rsidRPr="00272930">
        <w:rPr>
          <w:szCs w:val="18"/>
        </w:rPr>
        <w:t> </w:t>
      </w:r>
      <w:r w:rsidR="001D1B55" w:rsidRPr="00272930">
        <w:rPr>
          <w:szCs w:val="18"/>
        </w:rPr>
        <w:t>October</w:t>
      </w:r>
      <w:r w:rsidR="000F0D20" w:rsidRPr="00272930">
        <w:rPr>
          <w:szCs w:val="18"/>
        </w:rPr>
        <w:t> </w:t>
      </w:r>
      <w:r w:rsidR="001D1B55" w:rsidRPr="00272930">
        <w:rPr>
          <w:szCs w:val="18"/>
        </w:rPr>
        <w:t>2022</w:t>
      </w:r>
      <w:r w:rsidR="00682890" w:rsidRPr="00272930">
        <w:rPr>
          <w:szCs w:val="18"/>
        </w:rPr>
        <w:t>.</w:t>
      </w:r>
      <w:bookmarkStart w:id="7" w:name="_Ref119246612"/>
      <w:r w:rsidRPr="00272930">
        <w:rPr>
          <w:rStyle w:val="FootnoteReference"/>
          <w:szCs w:val="18"/>
        </w:rPr>
        <w:footnoteReference w:id="18"/>
      </w:r>
      <w:bookmarkEnd w:id="5"/>
      <w:bookmarkEnd w:id="7"/>
    </w:p>
    <w:p w14:paraId="43BE506E" w14:textId="61758E04" w:rsidR="00470AA0" w:rsidRPr="00272930" w:rsidRDefault="007648C6" w:rsidP="00B709B7">
      <w:pPr>
        <w:pStyle w:val="BodyText"/>
        <w:numPr>
          <w:ilvl w:val="6"/>
          <w:numId w:val="18"/>
        </w:numPr>
        <w:rPr>
          <w:szCs w:val="18"/>
        </w:rPr>
      </w:pPr>
      <w:r w:rsidRPr="00272930">
        <w:rPr>
          <w:szCs w:val="18"/>
        </w:rPr>
        <w:t xml:space="preserve">Pursuant to </w:t>
      </w:r>
      <w:r w:rsidR="00270F7B" w:rsidRPr="00272930">
        <w:rPr>
          <w:szCs w:val="18"/>
        </w:rPr>
        <w:t>paragraph </w:t>
      </w:r>
      <w:r w:rsidR="007B03B1" w:rsidRPr="00272930">
        <w:rPr>
          <w:szCs w:val="18"/>
        </w:rPr>
        <w:t xml:space="preserve">7 of the Agreed Procedures, we were selected to </w:t>
      </w:r>
      <w:r w:rsidR="00E70858" w:rsidRPr="00272930">
        <w:rPr>
          <w:szCs w:val="18"/>
        </w:rPr>
        <w:t xml:space="preserve">be </w:t>
      </w:r>
      <w:r w:rsidR="007B03B1" w:rsidRPr="00272930">
        <w:rPr>
          <w:szCs w:val="18"/>
        </w:rPr>
        <w:t xml:space="preserve">the Arbitrators in these arbitration </w:t>
      </w:r>
      <w:proofErr w:type="gramStart"/>
      <w:r w:rsidR="007B03B1" w:rsidRPr="00272930">
        <w:rPr>
          <w:szCs w:val="18"/>
        </w:rPr>
        <w:t>proceedings</w:t>
      </w:r>
      <w:proofErr w:type="gramEnd"/>
      <w:r w:rsidR="002F01FD" w:rsidRPr="00272930">
        <w:rPr>
          <w:szCs w:val="18"/>
        </w:rPr>
        <w:t xml:space="preserve"> </w:t>
      </w:r>
      <w:r w:rsidR="00553865" w:rsidRPr="00272930">
        <w:rPr>
          <w:szCs w:val="18"/>
        </w:rPr>
        <w:t>and</w:t>
      </w:r>
      <w:r w:rsidR="002F01FD" w:rsidRPr="00272930">
        <w:rPr>
          <w:szCs w:val="18"/>
        </w:rPr>
        <w:t xml:space="preserve"> </w:t>
      </w:r>
      <w:r w:rsidR="0032597A" w:rsidRPr="00272930">
        <w:rPr>
          <w:szCs w:val="18"/>
        </w:rPr>
        <w:t>we elected Mr José Alfredo Graça Lima as the Chairperson in this Arbitration</w:t>
      </w:r>
      <w:r w:rsidR="007B03B1" w:rsidRPr="00272930">
        <w:rPr>
          <w:szCs w:val="18"/>
        </w:rPr>
        <w:t>.</w:t>
      </w:r>
      <w:bookmarkStart w:id="8" w:name="_Ref119246619"/>
      <w:r w:rsidR="007B03B1" w:rsidRPr="00272930">
        <w:rPr>
          <w:rStyle w:val="FootnoteReference"/>
          <w:szCs w:val="18"/>
        </w:rPr>
        <w:footnoteReference w:id="19"/>
      </w:r>
      <w:bookmarkEnd w:id="8"/>
      <w:r w:rsidR="002664EA" w:rsidRPr="00272930">
        <w:rPr>
          <w:szCs w:val="18"/>
        </w:rPr>
        <w:t xml:space="preserve"> On 12</w:t>
      </w:r>
      <w:r w:rsidR="000F0D20" w:rsidRPr="00272930">
        <w:rPr>
          <w:szCs w:val="18"/>
        </w:rPr>
        <w:t> </w:t>
      </w:r>
      <w:r w:rsidR="002664EA" w:rsidRPr="00272930">
        <w:rPr>
          <w:szCs w:val="18"/>
        </w:rPr>
        <w:t>October</w:t>
      </w:r>
      <w:r w:rsidR="000F0D20" w:rsidRPr="00272930">
        <w:rPr>
          <w:szCs w:val="18"/>
        </w:rPr>
        <w:t> </w:t>
      </w:r>
      <w:r w:rsidR="002664EA" w:rsidRPr="00272930">
        <w:rPr>
          <w:szCs w:val="18"/>
        </w:rPr>
        <w:t>2022, Members were informed of our appointment as Arbitrators</w:t>
      </w:r>
      <w:r w:rsidR="0032597A" w:rsidRPr="00272930">
        <w:rPr>
          <w:szCs w:val="18"/>
        </w:rPr>
        <w:t xml:space="preserve"> and the election of the Chairperson</w:t>
      </w:r>
      <w:r w:rsidR="002664EA" w:rsidRPr="00272930">
        <w:rPr>
          <w:szCs w:val="18"/>
        </w:rPr>
        <w:t>.</w:t>
      </w:r>
      <w:r w:rsidR="002664EA" w:rsidRPr="00272930">
        <w:rPr>
          <w:rStyle w:val="FootnoteReference"/>
          <w:szCs w:val="18"/>
        </w:rPr>
        <w:footnoteReference w:id="20"/>
      </w:r>
    </w:p>
    <w:p w14:paraId="0FEB8543" w14:textId="66DD6003" w:rsidR="00F93C0B" w:rsidRPr="00272930" w:rsidRDefault="002664EA" w:rsidP="00B709B7">
      <w:pPr>
        <w:pStyle w:val="BodyText"/>
        <w:numPr>
          <w:ilvl w:val="6"/>
          <w:numId w:val="18"/>
        </w:numPr>
        <w:rPr>
          <w:szCs w:val="18"/>
        </w:rPr>
      </w:pPr>
      <w:r w:rsidRPr="00272930">
        <w:rPr>
          <w:szCs w:val="18"/>
        </w:rPr>
        <w:t xml:space="preserve">Following </w:t>
      </w:r>
      <w:r w:rsidR="00F7308E" w:rsidRPr="00272930">
        <w:rPr>
          <w:szCs w:val="18"/>
        </w:rPr>
        <w:t xml:space="preserve">consultation with the parties at </w:t>
      </w:r>
      <w:r w:rsidRPr="00272930">
        <w:rPr>
          <w:szCs w:val="18"/>
        </w:rPr>
        <w:t xml:space="preserve">an organizational meeting </w:t>
      </w:r>
      <w:r w:rsidR="00AD310F" w:rsidRPr="00272930">
        <w:rPr>
          <w:szCs w:val="18"/>
        </w:rPr>
        <w:t xml:space="preserve">held </w:t>
      </w:r>
      <w:r w:rsidRPr="00272930">
        <w:rPr>
          <w:szCs w:val="18"/>
        </w:rPr>
        <w:t>on 18</w:t>
      </w:r>
      <w:r w:rsidR="00664DC3" w:rsidRPr="00272930">
        <w:rPr>
          <w:szCs w:val="18"/>
        </w:rPr>
        <w:t> </w:t>
      </w:r>
      <w:r w:rsidRPr="00272930">
        <w:rPr>
          <w:szCs w:val="18"/>
        </w:rPr>
        <w:t>October</w:t>
      </w:r>
      <w:r w:rsidR="00A76555" w:rsidRPr="00272930">
        <w:rPr>
          <w:szCs w:val="18"/>
        </w:rPr>
        <w:t> </w:t>
      </w:r>
      <w:r w:rsidRPr="00272930">
        <w:rPr>
          <w:szCs w:val="18"/>
        </w:rPr>
        <w:t>2022</w:t>
      </w:r>
      <w:r w:rsidR="005627D0" w:rsidRPr="00272930">
        <w:rPr>
          <w:szCs w:val="18"/>
        </w:rPr>
        <w:t>,</w:t>
      </w:r>
      <w:r w:rsidR="00EA34D7" w:rsidRPr="00272930">
        <w:rPr>
          <w:szCs w:val="18"/>
        </w:rPr>
        <w:t xml:space="preserve"> and pursuant to </w:t>
      </w:r>
      <w:r w:rsidR="00270F7B" w:rsidRPr="00272930">
        <w:rPr>
          <w:szCs w:val="18"/>
        </w:rPr>
        <w:t>paragraph </w:t>
      </w:r>
      <w:r w:rsidR="00EA34D7" w:rsidRPr="00272930">
        <w:rPr>
          <w:szCs w:val="18"/>
        </w:rPr>
        <w:t xml:space="preserve">12 of the Agreed Procedures, </w:t>
      </w:r>
      <w:r w:rsidRPr="00272930">
        <w:rPr>
          <w:szCs w:val="18"/>
        </w:rPr>
        <w:t>we</w:t>
      </w:r>
      <w:r w:rsidR="000A05E3" w:rsidRPr="00272930">
        <w:rPr>
          <w:szCs w:val="18"/>
        </w:rPr>
        <w:t xml:space="preserve"> adopted</w:t>
      </w:r>
      <w:r w:rsidR="00AD310F" w:rsidRPr="00272930">
        <w:rPr>
          <w:szCs w:val="18"/>
        </w:rPr>
        <w:t xml:space="preserve">, on </w:t>
      </w:r>
      <w:r w:rsidR="00AD310F" w:rsidRPr="00272930">
        <w:rPr>
          <w:bCs/>
          <w:szCs w:val="18"/>
        </w:rPr>
        <w:t>19 October 2022,</w:t>
      </w:r>
      <w:r w:rsidRPr="00272930">
        <w:rPr>
          <w:szCs w:val="18"/>
        </w:rPr>
        <w:t xml:space="preserve"> </w:t>
      </w:r>
      <w:r w:rsidR="0006717A" w:rsidRPr="00272930">
        <w:rPr>
          <w:szCs w:val="18"/>
        </w:rPr>
        <w:t>the</w:t>
      </w:r>
      <w:r w:rsidR="005A7431" w:rsidRPr="00272930">
        <w:rPr>
          <w:szCs w:val="18"/>
        </w:rPr>
        <w:t xml:space="preserve"> </w:t>
      </w:r>
      <w:r w:rsidRPr="00272930">
        <w:rPr>
          <w:szCs w:val="18"/>
        </w:rPr>
        <w:t>Additional Procedures for Arbitration under Article</w:t>
      </w:r>
      <w:r w:rsidR="000F0D20" w:rsidRPr="00272930">
        <w:rPr>
          <w:szCs w:val="18"/>
        </w:rPr>
        <w:t> </w:t>
      </w:r>
      <w:r w:rsidRPr="00272930">
        <w:rPr>
          <w:szCs w:val="18"/>
        </w:rPr>
        <w:t>25 of the DSU (A</w:t>
      </w:r>
      <w:r w:rsidR="00C6135E" w:rsidRPr="00272930">
        <w:rPr>
          <w:szCs w:val="18"/>
        </w:rPr>
        <w:t>dditional Procedures</w:t>
      </w:r>
      <w:r w:rsidR="00065ED5" w:rsidRPr="00272930">
        <w:rPr>
          <w:szCs w:val="18"/>
        </w:rPr>
        <w:t xml:space="preserve"> for Arbitration</w:t>
      </w:r>
      <w:r w:rsidR="00C6135E" w:rsidRPr="00272930">
        <w:rPr>
          <w:szCs w:val="18"/>
        </w:rPr>
        <w:t>)</w:t>
      </w:r>
      <w:r w:rsidR="002C6254" w:rsidRPr="00272930">
        <w:rPr>
          <w:bCs/>
          <w:szCs w:val="18"/>
        </w:rPr>
        <w:t>, including the Working Schedule.</w:t>
      </w:r>
      <w:r w:rsidR="00872CE7" w:rsidRPr="00272930">
        <w:rPr>
          <w:rStyle w:val="FootnoteReference"/>
          <w:szCs w:val="18"/>
        </w:rPr>
        <w:footnoteReference w:id="21"/>
      </w:r>
      <w:r w:rsidR="002C6254" w:rsidRPr="00272930">
        <w:rPr>
          <w:bCs/>
          <w:szCs w:val="18"/>
        </w:rPr>
        <w:t xml:space="preserve"> </w:t>
      </w:r>
      <w:r w:rsidR="00F93C0B" w:rsidRPr="00272930">
        <w:rPr>
          <w:bCs/>
          <w:szCs w:val="18"/>
        </w:rPr>
        <w:t>In addition, i</w:t>
      </w:r>
      <w:r w:rsidR="00F93C0B" w:rsidRPr="00272930">
        <w:rPr>
          <w:szCs w:val="18"/>
        </w:rPr>
        <w:t>n response to the parties</w:t>
      </w:r>
      <w:r w:rsidR="00972276" w:rsidRPr="00272930">
        <w:rPr>
          <w:szCs w:val="18"/>
        </w:rPr>
        <w:t>'</w:t>
      </w:r>
      <w:r w:rsidR="00F93C0B" w:rsidRPr="00272930">
        <w:rPr>
          <w:szCs w:val="18"/>
        </w:rPr>
        <w:t xml:space="preserve"> requests at the organizational meeting</w:t>
      </w:r>
      <w:r w:rsidR="005627D0" w:rsidRPr="00272930">
        <w:rPr>
          <w:szCs w:val="18"/>
        </w:rPr>
        <w:t xml:space="preserve"> with regard to the treatment and handling of business confidential information (BCI) and public viewing of the hearing</w:t>
      </w:r>
      <w:r w:rsidR="00F93C0B" w:rsidRPr="00272930">
        <w:rPr>
          <w:szCs w:val="18"/>
        </w:rPr>
        <w:t xml:space="preserve">, and after </w:t>
      </w:r>
      <w:r w:rsidR="005627D0" w:rsidRPr="00272930">
        <w:rPr>
          <w:szCs w:val="18"/>
        </w:rPr>
        <w:t>requesting and receiving comments from</w:t>
      </w:r>
      <w:r w:rsidR="00F93C0B" w:rsidRPr="00272930">
        <w:rPr>
          <w:szCs w:val="18"/>
        </w:rPr>
        <w:t xml:space="preserve"> the parties and third parties, we adopted</w:t>
      </w:r>
      <w:r w:rsidR="005627D0" w:rsidRPr="00272930">
        <w:rPr>
          <w:szCs w:val="18"/>
        </w:rPr>
        <w:t>, on 1</w:t>
      </w:r>
      <w:r w:rsidR="000F0D20" w:rsidRPr="00272930">
        <w:rPr>
          <w:szCs w:val="18"/>
        </w:rPr>
        <w:t> </w:t>
      </w:r>
      <w:r w:rsidR="005627D0" w:rsidRPr="00272930">
        <w:rPr>
          <w:szCs w:val="18"/>
        </w:rPr>
        <w:t>November</w:t>
      </w:r>
      <w:r w:rsidR="000F0D20" w:rsidRPr="00272930">
        <w:rPr>
          <w:szCs w:val="18"/>
        </w:rPr>
        <w:t> </w:t>
      </w:r>
      <w:r w:rsidR="005627D0" w:rsidRPr="00272930">
        <w:rPr>
          <w:szCs w:val="18"/>
        </w:rPr>
        <w:t>2022,</w:t>
      </w:r>
      <w:r w:rsidR="00F93C0B" w:rsidRPr="00272930">
        <w:rPr>
          <w:szCs w:val="18"/>
        </w:rPr>
        <w:t xml:space="preserve"> </w:t>
      </w:r>
      <w:r w:rsidR="00763903">
        <w:rPr>
          <w:szCs w:val="18"/>
        </w:rPr>
        <w:t xml:space="preserve">the </w:t>
      </w:r>
      <w:r w:rsidR="00F93C0B" w:rsidRPr="00272930">
        <w:rPr>
          <w:szCs w:val="18"/>
        </w:rPr>
        <w:t>Additional Procedures</w:t>
      </w:r>
      <w:r w:rsidR="001E19C5" w:rsidRPr="00272930">
        <w:rPr>
          <w:szCs w:val="18"/>
        </w:rPr>
        <w:t xml:space="preserve"> for</w:t>
      </w:r>
      <w:r w:rsidR="00F93C0B" w:rsidRPr="00272930">
        <w:rPr>
          <w:szCs w:val="18"/>
        </w:rPr>
        <w:t xml:space="preserve"> BCI</w:t>
      </w:r>
      <w:r w:rsidR="004C0F28" w:rsidRPr="00272930">
        <w:rPr>
          <w:szCs w:val="18"/>
        </w:rPr>
        <w:t> </w:t>
      </w:r>
      <w:r w:rsidR="00F93C0B" w:rsidRPr="00272930">
        <w:rPr>
          <w:szCs w:val="18"/>
        </w:rPr>
        <w:t>Protection and Partial Public Viewing of the Hearing.</w:t>
      </w:r>
      <w:r w:rsidR="00F93C0B" w:rsidRPr="00272930">
        <w:rPr>
          <w:rStyle w:val="FootnoteReference"/>
          <w:szCs w:val="18"/>
        </w:rPr>
        <w:footnoteReference w:id="22"/>
      </w:r>
    </w:p>
    <w:p w14:paraId="26158409" w14:textId="747F5316" w:rsidR="001370E3" w:rsidRPr="00272930" w:rsidRDefault="002C6254" w:rsidP="00B709B7">
      <w:pPr>
        <w:pStyle w:val="BodyText"/>
        <w:numPr>
          <w:ilvl w:val="6"/>
          <w:numId w:val="18"/>
        </w:numPr>
        <w:rPr>
          <w:szCs w:val="18"/>
        </w:rPr>
      </w:pPr>
      <w:r w:rsidRPr="00272930">
        <w:rPr>
          <w:bCs/>
          <w:szCs w:val="18"/>
        </w:rPr>
        <w:t>In accordance with the Working Schedule</w:t>
      </w:r>
      <w:r w:rsidR="008370B7" w:rsidRPr="00272930">
        <w:rPr>
          <w:bCs/>
          <w:szCs w:val="18"/>
        </w:rPr>
        <w:t xml:space="preserve"> contained in the </w:t>
      </w:r>
      <w:r w:rsidR="008370B7" w:rsidRPr="00272930">
        <w:rPr>
          <w:szCs w:val="18"/>
        </w:rPr>
        <w:t>Additional Procedures for Arbitration</w:t>
      </w:r>
      <w:r w:rsidRPr="00272930">
        <w:rPr>
          <w:bCs/>
          <w:szCs w:val="18"/>
        </w:rPr>
        <w:t xml:space="preserve">, </w:t>
      </w:r>
      <w:r w:rsidR="004D6CE0" w:rsidRPr="00272930">
        <w:rPr>
          <w:szCs w:val="18"/>
        </w:rPr>
        <w:t>the European</w:t>
      </w:r>
      <w:r w:rsidR="000F0D20" w:rsidRPr="00272930">
        <w:rPr>
          <w:szCs w:val="18"/>
        </w:rPr>
        <w:t> Union</w:t>
      </w:r>
      <w:r w:rsidR="004D6CE0" w:rsidRPr="00272930">
        <w:rPr>
          <w:szCs w:val="18"/>
        </w:rPr>
        <w:t xml:space="preserve"> filed its </w:t>
      </w:r>
      <w:r w:rsidRPr="00272930">
        <w:rPr>
          <w:szCs w:val="18"/>
        </w:rPr>
        <w:t xml:space="preserve">written </w:t>
      </w:r>
      <w:r w:rsidR="004D6CE0" w:rsidRPr="00272930">
        <w:rPr>
          <w:szCs w:val="18"/>
        </w:rPr>
        <w:t>submission</w:t>
      </w:r>
      <w:r w:rsidR="00630A8D" w:rsidRPr="00272930">
        <w:rPr>
          <w:bCs/>
          <w:szCs w:val="18"/>
        </w:rPr>
        <w:t xml:space="preserve"> o</w:t>
      </w:r>
      <w:r w:rsidR="00630A8D" w:rsidRPr="00272930">
        <w:rPr>
          <w:szCs w:val="18"/>
        </w:rPr>
        <w:t>n 24</w:t>
      </w:r>
      <w:r w:rsidR="000F0D20" w:rsidRPr="00272930">
        <w:rPr>
          <w:szCs w:val="18"/>
        </w:rPr>
        <w:t> </w:t>
      </w:r>
      <w:r w:rsidR="00630A8D" w:rsidRPr="00272930">
        <w:rPr>
          <w:szCs w:val="18"/>
        </w:rPr>
        <w:t>October</w:t>
      </w:r>
      <w:r w:rsidR="000F0D20" w:rsidRPr="00272930">
        <w:rPr>
          <w:szCs w:val="18"/>
        </w:rPr>
        <w:t> </w:t>
      </w:r>
      <w:r w:rsidR="00630A8D" w:rsidRPr="00272930">
        <w:rPr>
          <w:szCs w:val="18"/>
        </w:rPr>
        <w:t>2022</w:t>
      </w:r>
      <w:r w:rsidR="004D6CE0" w:rsidRPr="00272930">
        <w:rPr>
          <w:szCs w:val="18"/>
        </w:rPr>
        <w:t>. On 27</w:t>
      </w:r>
      <w:r w:rsidR="004C0F28" w:rsidRPr="00272930">
        <w:rPr>
          <w:szCs w:val="18"/>
        </w:rPr>
        <w:t> </w:t>
      </w:r>
      <w:r w:rsidR="004D6CE0" w:rsidRPr="00272930">
        <w:rPr>
          <w:szCs w:val="18"/>
        </w:rPr>
        <w:t xml:space="preserve">October </w:t>
      </w:r>
      <w:r w:rsidR="004D6CE0" w:rsidRPr="00272930">
        <w:rPr>
          <w:szCs w:val="18"/>
        </w:rPr>
        <w:lastRenderedPageBreak/>
        <w:t>2022, Brazil, Japan</w:t>
      </w:r>
      <w:r w:rsidR="00F9281A" w:rsidRPr="00272930">
        <w:rPr>
          <w:szCs w:val="18"/>
        </w:rPr>
        <w:t>,</w:t>
      </w:r>
      <w:r w:rsidR="004D6CE0" w:rsidRPr="00272930">
        <w:rPr>
          <w:szCs w:val="18"/>
        </w:rPr>
        <w:t xml:space="preserve"> and the United</w:t>
      </w:r>
      <w:r w:rsidR="000F0D20" w:rsidRPr="00272930">
        <w:rPr>
          <w:szCs w:val="18"/>
        </w:rPr>
        <w:t> States</w:t>
      </w:r>
      <w:r w:rsidR="004D6CE0" w:rsidRPr="00272930">
        <w:rPr>
          <w:szCs w:val="18"/>
        </w:rPr>
        <w:t xml:space="preserve"> each filed a third party</w:t>
      </w:r>
      <w:r w:rsidR="00972276" w:rsidRPr="00272930">
        <w:rPr>
          <w:szCs w:val="18"/>
        </w:rPr>
        <w:t>'</w:t>
      </w:r>
      <w:r w:rsidR="004D6CE0" w:rsidRPr="00272930">
        <w:rPr>
          <w:szCs w:val="18"/>
        </w:rPr>
        <w:t>s written submission.</w:t>
      </w:r>
      <w:r w:rsidR="00930BA8" w:rsidRPr="00272930">
        <w:rPr>
          <w:szCs w:val="18"/>
        </w:rPr>
        <w:t xml:space="preserve"> </w:t>
      </w:r>
      <w:r w:rsidR="003C425F" w:rsidRPr="00272930">
        <w:rPr>
          <w:szCs w:val="18"/>
        </w:rPr>
        <w:t xml:space="preserve">On the same day, </w:t>
      </w:r>
      <w:proofErr w:type="gramStart"/>
      <w:r w:rsidR="003C425F" w:rsidRPr="00272930">
        <w:rPr>
          <w:szCs w:val="18"/>
        </w:rPr>
        <w:t>China</w:t>
      </w:r>
      <w:proofErr w:type="gramEnd"/>
      <w:r w:rsidR="003C425F" w:rsidRPr="00272930">
        <w:rPr>
          <w:szCs w:val="18"/>
        </w:rPr>
        <w:t xml:space="preserve"> and </w:t>
      </w:r>
      <w:r w:rsidR="000F0D20" w:rsidRPr="00272930">
        <w:rPr>
          <w:szCs w:val="18"/>
        </w:rPr>
        <w:t xml:space="preserve">the </w:t>
      </w:r>
      <w:r w:rsidR="003C425F" w:rsidRPr="00272930">
        <w:rPr>
          <w:szCs w:val="18"/>
        </w:rPr>
        <w:t>Russia</w:t>
      </w:r>
      <w:r w:rsidR="000F0D20" w:rsidRPr="00272930">
        <w:rPr>
          <w:szCs w:val="18"/>
        </w:rPr>
        <w:t>n Federation</w:t>
      </w:r>
      <w:r w:rsidR="003C425F" w:rsidRPr="00272930">
        <w:rPr>
          <w:szCs w:val="18"/>
        </w:rPr>
        <w:t xml:space="preserve"> </w:t>
      </w:r>
      <w:r w:rsidR="002928E3" w:rsidRPr="00272930">
        <w:rPr>
          <w:szCs w:val="18"/>
        </w:rPr>
        <w:t xml:space="preserve">each </w:t>
      </w:r>
      <w:r w:rsidR="00EE75D2" w:rsidRPr="00272930">
        <w:rPr>
          <w:szCs w:val="18"/>
        </w:rPr>
        <w:t xml:space="preserve">notified </w:t>
      </w:r>
      <w:r w:rsidR="002928E3" w:rsidRPr="00272930">
        <w:rPr>
          <w:szCs w:val="18"/>
        </w:rPr>
        <w:t xml:space="preserve">its </w:t>
      </w:r>
      <w:r w:rsidR="00EE75D2" w:rsidRPr="00272930">
        <w:rPr>
          <w:szCs w:val="18"/>
        </w:rPr>
        <w:t>intention to appear at the hearing.</w:t>
      </w:r>
      <w:r w:rsidR="004D6CE0" w:rsidRPr="00272930">
        <w:rPr>
          <w:rStyle w:val="FootnoteReference"/>
          <w:szCs w:val="18"/>
        </w:rPr>
        <w:footnoteReference w:id="23"/>
      </w:r>
    </w:p>
    <w:p w14:paraId="1E70AD08" w14:textId="7A0D7675" w:rsidR="00564C46" w:rsidRPr="00272930" w:rsidRDefault="009D07FD" w:rsidP="00B709B7">
      <w:pPr>
        <w:pStyle w:val="BodyText"/>
        <w:numPr>
          <w:ilvl w:val="6"/>
          <w:numId w:val="18"/>
        </w:numPr>
        <w:rPr>
          <w:szCs w:val="18"/>
        </w:rPr>
      </w:pPr>
      <w:r w:rsidRPr="00272930">
        <w:rPr>
          <w:szCs w:val="18"/>
        </w:rPr>
        <w:t xml:space="preserve">By letter of </w:t>
      </w:r>
      <w:r w:rsidR="00965A33" w:rsidRPr="00272930">
        <w:rPr>
          <w:szCs w:val="18"/>
        </w:rPr>
        <w:t>2</w:t>
      </w:r>
      <w:r w:rsidR="000F0D20" w:rsidRPr="00272930">
        <w:rPr>
          <w:szCs w:val="18"/>
        </w:rPr>
        <w:t> </w:t>
      </w:r>
      <w:r w:rsidR="00965A33" w:rsidRPr="00272930">
        <w:rPr>
          <w:szCs w:val="18"/>
        </w:rPr>
        <w:t>November</w:t>
      </w:r>
      <w:r w:rsidR="000F0D20" w:rsidRPr="00272930">
        <w:rPr>
          <w:szCs w:val="18"/>
        </w:rPr>
        <w:t> </w:t>
      </w:r>
      <w:r w:rsidR="00965A33" w:rsidRPr="00272930">
        <w:rPr>
          <w:szCs w:val="18"/>
        </w:rPr>
        <w:t xml:space="preserve">2022, </w:t>
      </w:r>
      <w:r w:rsidRPr="00272930">
        <w:rPr>
          <w:szCs w:val="18"/>
        </w:rPr>
        <w:t xml:space="preserve">we invited </w:t>
      </w:r>
      <w:r w:rsidR="00965A33" w:rsidRPr="00272930">
        <w:rPr>
          <w:szCs w:val="18"/>
        </w:rPr>
        <w:t xml:space="preserve">the parties and third parties to a </w:t>
      </w:r>
      <w:r w:rsidR="005B4467" w:rsidRPr="00272930">
        <w:rPr>
          <w:szCs w:val="18"/>
        </w:rPr>
        <w:t xml:space="preserve">virtual </w:t>
      </w:r>
      <w:r w:rsidR="00965A33" w:rsidRPr="00272930">
        <w:rPr>
          <w:szCs w:val="18"/>
        </w:rPr>
        <w:t xml:space="preserve">pre-hearing conference to assist us in identifying the issues to be addressed at the hearing, and to avoid issues that </w:t>
      </w:r>
      <w:r w:rsidR="00AD310F" w:rsidRPr="00272930">
        <w:rPr>
          <w:szCs w:val="18"/>
        </w:rPr>
        <w:t xml:space="preserve">were </w:t>
      </w:r>
      <w:r w:rsidR="00965A33" w:rsidRPr="00272930">
        <w:rPr>
          <w:szCs w:val="18"/>
        </w:rPr>
        <w:t xml:space="preserve">not within our mandate, </w:t>
      </w:r>
      <w:r w:rsidR="00AD310F" w:rsidRPr="00272930">
        <w:rPr>
          <w:szCs w:val="18"/>
        </w:rPr>
        <w:t xml:space="preserve">were </w:t>
      </w:r>
      <w:r w:rsidR="00965A33" w:rsidRPr="00272930">
        <w:rPr>
          <w:szCs w:val="18"/>
        </w:rPr>
        <w:t xml:space="preserve">not necessary for the resolution of this dispute, or </w:t>
      </w:r>
      <w:r w:rsidR="00AD310F" w:rsidRPr="00272930">
        <w:rPr>
          <w:szCs w:val="18"/>
        </w:rPr>
        <w:t>were not</w:t>
      </w:r>
      <w:r w:rsidR="00965A33" w:rsidRPr="00272930">
        <w:rPr>
          <w:szCs w:val="18"/>
        </w:rPr>
        <w:t xml:space="preserve"> contested between the parties</w:t>
      </w:r>
      <w:r w:rsidR="006223BC" w:rsidRPr="00272930">
        <w:rPr>
          <w:szCs w:val="18"/>
        </w:rPr>
        <w:t>.</w:t>
      </w:r>
      <w:r w:rsidR="00997BA6" w:rsidRPr="00272930">
        <w:rPr>
          <w:szCs w:val="18"/>
        </w:rPr>
        <w:t xml:space="preserve"> </w:t>
      </w:r>
      <w:proofErr w:type="gramStart"/>
      <w:r w:rsidR="00AD310F" w:rsidRPr="00272930">
        <w:rPr>
          <w:szCs w:val="18"/>
        </w:rPr>
        <w:t>In particular, we</w:t>
      </w:r>
      <w:proofErr w:type="gramEnd"/>
      <w:r w:rsidR="00AD310F" w:rsidRPr="00272930">
        <w:rPr>
          <w:szCs w:val="18"/>
        </w:rPr>
        <w:t xml:space="preserve"> indicated our interest </w:t>
      </w:r>
      <w:r w:rsidR="002B380C" w:rsidRPr="00272930">
        <w:rPr>
          <w:szCs w:val="18"/>
        </w:rPr>
        <w:t>in discussing what</w:t>
      </w:r>
      <w:r w:rsidR="00AD310F" w:rsidRPr="00272930">
        <w:rPr>
          <w:szCs w:val="18"/>
        </w:rPr>
        <w:t xml:space="preserve"> specific</w:t>
      </w:r>
      <w:r w:rsidR="00E27C52" w:rsidRPr="00272930">
        <w:rPr>
          <w:szCs w:val="18"/>
        </w:rPr>
        <w:t xml:space="preserve"> issues of la</w:t>
      </w:r>
      <w:r w:rsidR="002B380C" w:rsidRPr="00272930">
        <w:rPr>
          <w:szCs w:val="18"/>
        </w:rPr>
        <w:t>w</w:t>
      </w:r>
      <w:r w:rsidR="00E27C52" w:rsidRPr="00272930">
        <w:rPr>
          <w:szCs w:val="18"/>
        </w:rPr>
        <w:t xml:space="preserve"> and legal interpretations</w:t>
      </w:r>
      <w:r w:rsidR="002B380C" w:rsidRPr="00272930">
        <w:rPr>
          <w:szCs w:val="18"/>
        </w:rPr>
        <w:t xml:space="preserve"> were to be addressed </w:t>
      </w:r>
      <w:r w:rsidR="00C37445" w:rsidRPr="00272930">
        <w:rPr>
          <w:szCs w:val="18"/>
        </w:rPr>
        <w:t>with</w:t>
      </w:r>
      <w:r w:rsidR="002B380C" w:rsidRPr="00272930">
        <w:rPr>
          <w:szCs w:val="18"/>
        </w:rPr>
        <w:t xml:space="preserve"> respect </w:t>
      </w:r>
      <w:r w:rsidR="00C37445" w:rsidRPr="00272930">
        <w:rPr>
          <w:szCs w:val="18"/>
        </w:rPr>
        <w:t>to</w:t>
      </w:r>
      <w:r w:rsidR="002B380C" w:rsidRPr="00272930">
        <w:rPr>
          <w:szCs w:val="18"/>
        </w:rPr>
        <w:t xml:space="preserve"> particular claims, and to explore which</w:t>
      </w:r>
      <w:r w:rsidR="00E27C52" w:rsidRPr="00272930">
        <w:rPr>
          <w:szCs w:val="18"/>
        </w:rPr>
        <w:t xml:space="preserve"> issues </w:t>
      </w:r>
      <w:r w:rsidR="002B380C" w:rsidRPr="00272930">
        <w:rPr>
          <w:szCs w:val="18"/>
        </w:rPr>
        <w:t>were</w:t>
      </w:r>
      <w:r w:rsidR="00E27C52" w:rsidRPr="00272930">
        <w:rPr>
          <w:szCs w:val="18"/>
        </w:rPr>
        <w:t xml:space="preserve"> necessary for the resolution of the dispute.</w:t>
      </w:r>
      <w:r w:rsidR="002B380C" w:rsidRPr="00272930">
        <w:rPr>
          <w:szCs w:val="18"/>
        </w:rPr>
        <w:t xml:space="preserve"> In comments provided </w:t>
      </w:r>
      <w:r w:rsidR="00744422" w:rsidRPr="00272930">
        <w:rPr>
          <w:szCs w:val="18"/>
        </w:rPr>
        <w:t>on 7</w:t>
      </w:r>
      <w:r w:rsidR="004C0F28" w:rsidRPr="00272930">
        <w:rPr>
          <w:szCs w:val="18"/>
        </w:rPr>
        <w:t> </w:t>
      </w:r>
      <w:r w:rsidR="00744422" w:rsidRPr="00272930">
        <w:rPr>
          <w:szCs w:val="18"/>
        </w:rPr>
        <w:t>November 2022,</w:t>
      </w:r>
      <w:r w:rsidR="004E6AAC" w:rsidRPr="00272930">
        <w:rPr>
          <w:szCs w:val="18"/>
        </w:rPr>
        <w:t xml:space="preserve"> </w:t>
      </w:r>
      <w:r w:rsidR="002B380C" w:rsidRPr="00272930">
        <w:rPr>
          <w:szCs w:val="18"/>
        </w:rPr>
        <w:t xml:space="preserve">Colombia expressed its concern </w:t>
      </w:r>
      <w:r w:rsidR="005B4467" w:rsidRPr="00272930">
        <w:rPr>
          <w:szCs w:val="18"/>
        </w:rPr>
        <w:t xml:space="preserve">that the </w:t>
      </w:r>
      <w:r w:rsidR="00471EC5" w:rsidRPr="00272930">
        <w:rPr>
          <w:szCs w:val="18"/>
        </w:rPr>
        <w:t xml:space="preserve">proposed </w:t>
      </w:r>
      <w:r w:rsidR="005B4467" w:rsidRPr="00272930">
        <w:rPr>
          <w:szCs w:val="18"/>
        </w:rPr>
        <w:t xml:space="preserve">topics for the pre-hearing conference </w:t>
      </w:r>
      <w:r w:rsidR="002B380C" w:rsidRPr="00272930">
        <w:rPr>
          <w:szCs w:val="18"/>
        </w:rPr>
        <w:t>went</w:t>
      </w:r>
      <w:r w:rsidR="005B4467" w:rsidRPr="00272930">
        <w:rPr>
          <w:szCs w:val="18"/>
        </w:rPr>
        <w:t xml:space="preserve"> beyond what was envisaged in </w:t>
      </w:r>
      <w:r w:rsidR="00471EC5" w:rsidRPr="00272930">
        <w:rPr>
          <w:szCs w:val="18"/>
        </w:rPr>
        <w:t>paragraphs</w:t>
      </w:r>
      <w:r w:rsidR="004C0F28" w:rsidRPr="00272930">
        <w:rPr>
          <w:szCs w:val="18"/>
        </w:rPr>
        <w:t> </w:t>
      </w:r>
      <w:r w:rsidR="00471EC5" w:rsidRPr="00272930">
        <w:rPr>
          <w:szCs w:val="18"/>
        </w:rPr>
        <w:t xml:space="preserve">12 and 13 of </w:t>
      </w:r>
      <w:r w:rsidR="005B4467" w:rsidRPr="00272930">
        <w:rPr>
          <w:szCs w:val="18"/>
        </w:rPr>
        <w:t xml:space="preserve">the Agreed Procedures, </w:t>
      </w:r>
      <w:r w:rsidR="002B380C" w:rsidRPr="00272930">
        <w:rPr>
          <w:szCs w:val="18"/>
        </w:rPr>
        <w:t>and</w:t>
      </w:r>
      <w:r w:rsidR="00AA099E" w:rsidRPr="00272930">
        <w:rPr>
          <w:szCs w:val="18"/>
        </w:rPr>
        <w:t xml:space="preserve"> requested that</w:t>
      </w:r>
      <w:r w:rsidR="002B380C" w:rsidRPr="00272930">
        <w:rPr>
          <w:szCs w:val="18"/>
        </w:rPr>
        <w:t xml:space="preserve">, </w:t>
      </w:r>
      <w:r w:rsidR="00471EC5" w:rsidRPr="00272930">
        <w:rPr>
          <w:szCs w:val="18"/>
        </w:rPr>
        <w:t xml:space="preserve">also </w:t>
      </w:r>
      <w:r w:rsidR="002B380C" w:rsidRPr="00272930">
        <w:rPr>
          <w:szCs w:val="18"/>
        </w:rPr>
        <w:t>for reasons of due process,</w:t>
      </w:r>
      <w:r w:rsidR="00AA099E" w:rsidRPr="00272930">
        <w:rPr>
          <w:szCs w:val="18"/>
        </w:rPr>
        <w:t xml:space="preserve"> </w:t>
      </w:r>
      <w:r w:rsidR="00832BAE" w:rsidRPr="00272930">
        <w:rPr>
          <w:szCs w:val="18"/>
        </w:rPr>
        <w:t xml:space="preserve">such </w:t>
      </w:r>
      <w:r w:rsidR="006E2127" w:rsidRPr="00272930">
        <w:rPr>
          <w:szCs w:val="18"/>
        </w:rPr>
        <w:t xml:space="preserve">issues be </w:t>
      </w:r>
      <w:r w:rsidR="002B380C" w:rsidRPr="00272930">
        <w:rPr>
          <w:szCs w:val="18"/>
        </w:rPr>
        <w:t>reserved for discussion</w:t>
      </w:r>
      <w:r w:rsidR="006E2127" w:rsidRPr="00272930">
        <w:rPr>
          <w:szCs w:val="18"/>
        </w:rPr>
        <w:t xml:space="preserve"> </w:t>
      </w:r>
      <w:r w:rsidR="002B380C" w:rsidRPr="00272930">
        <w:rPr>
          <w:szCs w:val="18"/>
        </w:rPr>
        <w:t xml:space="preserve">only </w:t>
      </w:r>
      <w:r w:rsidR="00832BAE" w:rsidRPr="00272930">
        <w:rPr>
          <w:szCs w:val="18"/>
        </w:rPr>
        <w:t>at the hearing</w:t>
      </w:r>
      <w:r w:rsidR="00C368A8" w:rsidRPr="00272930">
        <w:rPr>
          <w:szCs w:val="18"/>
        </w:rPr>
        <w:t>.</w:t>
      </w:r>
    </w:p>
    <w:p w14:paraId="64FCA60C" w14:textId="43FCD169" w:rsidR="00965A33" w:rsidRPr="00272930" w:rsidRDefault="006C48DF" w:rsidP="00B709B7">
      <w:pPr>
        <w:pStyle w:val="BodyText"/>
        <w:numPr>
          <w:ilvl w:val="6"/>
          <w:numId w:val="18"/>
        </w:numPr>
        <w:rPr>
          <w:szCs w:val="18"/>
        </w:rPr>
      </w:pPr>
      <w:r w:rsidRPr="00272930">
        <w:rPr>
          <w:szCs w:val="18"/>
        </w:rPr>
        <w:t xml:space="preserve">At </w:t>
      </w:r>
      <w:r w:rsidR="00471EC5" w:rsidRPr="00272930">
        <w:rPr>
          <w:szCs w:val="18"/>
        </w:rPr>
        <w:t>the</w:t>
      </w:r>
      <w:r w:rsidR="00965A33" w:rsidRPr="00272930">
        <w:rPr>
          <w:szCs w:val="18"/>
        </w:rPr>
        <w:t xml:space="preserve"> </w:t>
      </w:r>
      <w:r w:rsidR="004D0540" w:rsidRPr="00272930">
        <w:rPr>
          <w:szCs w:val="18"/>
        </w:rPr>
        <w:t xml:space="preserve">virtual </w:t>
      </w:r>
      <w:r w:rsidR="00965A33" w:rsidRPr="00272930">
        <w:rPr>
          <w:szCs w:val="18"/>
        </w:rPr>
        <w:t>pre-hearing conference held on 9</w:t>
      </w:r>
      <w:r w:rsidR="000F0D20" w:rsidRPr="00272930">
        <w:rPr>
          <w:szCs w:val="18"/>
        </w:rPr>
        <w:t> </w:t>
      </w:r>
      <w:r w:rsidR="00965A33" w:rsidRPr="00272930">
        <w:rPr>
          <w:szCs w:val="18"/>
        </w:rPr>
        <w:t>November</w:t>
      </w:r>
      <w:r w:rsidR="000F0D20" w:rsidRPr="00272930">
        <w:rPr>
          <w:szCs w:val="18"/>
        </w:rPr>
        <w:t> </w:t>
      </w:r>
      <w:r w:rsidR="00965A33" w:rsidRPr="00272930">
        <w:rPr>
          <w:szCs w:val="18"/>
        </w:rPr>
        <w:t>2022</w:t>
      </w:r>
      <w:r w:rsidRPr="00272930">
        <w:rPr>
          <w:szCs w:val="18"/>
        </w:rPr>
        <w:t>,</w:t>
      </w:r>
      <w:r w:rsidR="001A21F6" w:rsidRPr="00272930">
        <w:rPr>
          <w:szCs w:val="18"/>
        </w:rPr>
        <w:t xml:space="preserve"> w</w:t>
      </w:r>
      <w:r w:rsidR="008863D6" w:rsidRPr="00272930">
        <w:rPr>
          <w:szCs w:val="18"/>
        </w:rPr>
        <w:t>e</w:t>
      </w:r>
      <w:r w:rsidR="00E80424" w:rsidRPr="00272930">
        <w:rPr>
          <w:szCs w:val="18"/>
        </w:rPr>
        <w:t xml:space="preserve"> clarified that </w:t>
      </w:r>
      <w:r w:rsidR="008863D6" w:rsidRPr="00272930">
        <w:rPr>
          <w:szCs w:val="18"/>
        </w:rPr>
        <w:t>the purpose of th</w:t>
      </w:r>
      <w:r w:rsidR="00763903">
        <w:rPr>
          <w:szCs w:val="18"/>
        </w:rPr>
        <w:t>e</w:t>
      </w:r>
      <w:r w:rsidR="008863D6" w:rsidRPr="00272930">
        <w:rPr>
          <w:szCs w:val="18"/>
        </w:rPr>
        <w:t xml:space="preserve"> conference was not to replace the hearing, but to signal to the parties what we would like to explore or focus on at the hearing, and to allow the parties an opportunity to limit </w:t>
      </w:r>
      <w:r w:rsidR="001A21F6" w:rsidRPr="00272930">
        <w:rPr>
          <w:szCs w:val="18"/>
        </w:rPr>
        <w:t>their</w:t>
      </w:r>
      <w:r w:rsidR="008863D6" w:rsidRPr="00272930">
        <w:rPr>
          <w:szCs w:val="18"/>
        </w:rPr>
        <w:t xml:space="preserve"> submission</w:t>
      </w:r>
      <w:r w:rsidR="00763903">
        <w:rPr>
          <w:szCs w:val="18"/>
        </w:rPr>
        <w:t>s</w:t>
      </w:r>
      <w:r w:rsidR="008863D6" w:rsidRPr="00272930">
        <w:rPr>
          <w:szCs w:val="18"/>
        </w:rPr>
        <w:t xml:space="preserve"> should </w:t>
      </w:r>
      <w:r w:rsidR="001A21F6" w:rsidRPr="00272930">
        <w:rPr>
          <w:szCs w:val="18"/>
        </w:rPr>
        <w:t>they</w:t>
      </w:r>
      <w:r w:rsidR="008863D6" w:rsidRPr="00272930">
        <w:rPr>
          <w:szCs w:val="18"/>
        </w:rPr>
        <w:t xml:space="preserve"> so wish. </w:t>
      </w:r>
      <w:r w:rsidR="001A21F6" w:rsidRPr="00272930">
        <w:rPr>
          <w:szCs w:val="18"/>
        </w:rPr>
        <w:t>Accordingly</w:t>
      </w:r>
      <w:r w:rsidR="008863D6" w:rsidRPr="00272930">
        <w:rPr>
          <w:szCs w:val="18"/>
        </w:rPr>
        <w:t xml:space="preserve">, </w:t>
      </w:r>
      <w:r w:rsidR="002B380C" w:rsidRPr="00272930">
        <w:rPr>
          <w:szCs w:val="18"/>
        </w:rPr>
        <w:t>w</w:t>
      </w:r>
      <w:r w:rsidR="005315D0" w:rsidRPr="00272930">
        <w:rPr>
          <w:szCs w:val="18"/>
        </w:rPr>
        <w:t xml:space="preserve">e informed the parties </w:t>
      </w:r>
      <w:r w:rsidR="00471EC5" w:rsidRPr="00272930">
        <w:rPr>
          <w:szCs w:val="18"/>
        </w:rPr>
        <w:t xml:space="preserve">and third parties </w:t>
      </w:r>
      <w:r w:rsidR="005315D0" w:rsidRPr="00272930">
        <w:rPr>
          <w:szCs w:val="18"/>
        </w:rPr>
        <w:t xml:space="preserve">of the </w:t>
      </w:r>
      <w:r w:rsidR="00471EC5" w:rsidRPr="00272930">
        <w:rPr>
          <w:szCs w:val="18"/>
        </w:rPr>
        <w:t>sequence of questioning expected</w:t>
      </w:r>
      <w:r w:rsidR="005315D0" w:rsidRPr="00272930">
        <w:rPr>
          <w:szCs w:val="18"/>
        </w:rPr>
        <w:t xml:space="preserve"> at the hearing</w:t>
      </w:r>
      <w:r w:rsidR="00615455" w:rsidRPr="00272930">
        <w:rPr>
          <w:szCs w:val="18"/>
        </w:rPr>
        <w:t xml:space="preserve">, </w:t>
      </w:r>
      <w:r w:rsidR="006361A0" w:rsidRPr="00272930">
        <w:rPr>
          <w:szCs w:val="18"/>
        </w:rPr>
        <w:t xml:space="preserve">highlighted </w:t>
      </w:r>
      <w:r w:rsidR="002B380C" w:rsidRPr="00272930">
        <w:rPr>
          <w:szCs w:val="18"/>
        </w:rPr>
        <w:t xml:space="preserve">the topics referenced in </w:t>
      </w:r>
      <w:r w:rsidR="00471EC5" w:rsidRPr="00272930">
        <w:rPr>
          <w:szCs w:val="18"/>
        </w:rPr>
        <w:t>our</w:t>
      </w:r>
      <w:r w:rsidR="002B380C" w:rsidRPr="00272930">
        <w:rPr>
          <w:szCs w:val="18"/>
        </w:rPr>
        <w:t xml:space="preserve"> 2</w:t>
      </w:r>
      <w:r w:rsidR="000F0D20" w:rsidRPr="00272930">
        <w:rPr>
          <w:szCs w:val="18"/>
        </w:rPr>
        <w:t> </w:t>
      </w:r>
      <w:r w:rsidR="002B380C" w:rsidRPr="00272930">
        <w:rPr>
          <w:szCs w:val="18"/>
        </w:rPr>
        <w:t>November</w:t>
      </w:r>
      <w:r w:rsidR="000F0D20" w:rsidRPr="00272930">
        <w:rPr>
          <w:szCs w:val="18"/>
        </w:rPr>
        <w:t> </w:t>
      </w:r>
      <w:r w:rsidR="002B380C" w:rsidRPr="00272930">
        <w:rPr>
          <w:szCs w:val="18"/>
        </w:rPr>
        <w:t xml:space="preserve">2022 </w:t>
      </w:r>
      <w:r w:rsidR="00471EC5" w:rsidRPr="00272930">
        <w:rPr>
          <w:szCs w:val="18"/>
        </w:rPr>
        <w:t xml:space="preserve">letter on which we sought </w:t>
      </w:r>
      <w:r w:rsidR="006361A0" w:rsidRPr="00272930">
        <w:rPr>
          <w:szCs w:val="18"/>
        </w:rPr>
        <w:t xml:space="preserve">clarification from the parties </w:t>
      </w:r>
      <w:r w:rsidR="00471EC5" w:rsidRPr="00272930">
        <w:rPr>
          <w:szCs w:val="18"/>
        </w:rPr>
        <w:t>at the hearing</w:t>
      </w:r>
      <w:r w:rsidR="006361A0" w:rsidRPr="00272930">
        <w:rPr>
          <w:szCs w:val="18"/>
        </w:rPr>
        <w:t xml:space="preserve">, </w:t>
      </w:r>
      <w:r w:rsidR="00615455" w:rsidRPr="00272930">
        <w:rPr>
          <w:szCs w:val="18"/>
        </w:rPr>
        <w:t>and provided certain logistical and practical information</w:t>
      </w:r>
      <w:r w:rsidR="00027EFE" w:rsidRPr="00272930">
        <w:rPr>
          <w:szCs w:val="18"/>
        </w:rPr>
        <w:t xml:space="preserve"> in relation to the partial public viewing</w:t>
      </w:r>
      <w:r w:rsidR="00615455" w:rsidRPr="00272930">
        <w:rPr>
          <w:szCs w:val="18"/>
        </w:rPr>
        <w:t xml:space="preserve">. </w:t>
      </w:r>
      <w:r w:rsidR="002B380C" w:rsidRPr="00272930">
        <w:rPr>
          <w:szCs w:val="18"/>
        </w:rPr>
        <w:t>On 10</w:t>
      </w:r>
      <w:r w:rsidR="000F0D20" w:rsidRPr="00272930">
        <w:rPr>
          <w:szCs w:val="18"/>
        </w:rPr>
        <w:t> </w:t>
      </w:r>
      <w:r w:rsidR="002B380C" w:rsidRPr="00272930">
        <w:rPr>
          <w:szCs w:val="18"/>
        </w:rPr>
        <w:t>November</w:t>
      </w:r>
      <w:r w:rsidR="000F0D20" w:rsidRPr="00272930">
        <w:rPr>
          <w:szCs w:val="18"/>
        </w:rPr>
        <w:t> </w:t>
      </w:r>
      <w:r w:rsidR="002B380C" w:rsidRPr="00272930">
        <w:rPr>
          <w:szCs w:val="18"/>
        </w:rPr>
        <w:t>2022</w:t>
      </w:r>
      <w:r w:rsidR="00931789" w:rsidRPr="00272930">
        <w:rPr>
          <w:szCs w:val="18"/>
        </w:rPr>
        <w:t>,</w:t>
      </w:r>
      <w:r w:rsidR="00D55643" w:rsidRPr="00272930">
        <w:rPr>
          <w:szCs w:val="18"/>
        </w:rPr>
        <w:t xml:space="preserve"> a letter</w:t>
      </w:r>
      <w:r w:rsidR="00931789" w:rsidRPr="00272930">
        <w:rPr>
          <w:szCs w:val="18"/>
        </w:rPr>
        <w:t xml:space="preserve"> was sent</w:t>
      </w:r>
      <w:r w:rsidR="00D55643" w:rsidRPr="00272930">
        <w:rPr>
          <w:szCs w:val="18"/>
        </w:rPr>
        <w:t xml:space="preserve"> to the parties and third parties </w:t>
      </w:r>
      <w:r w:rsidR="002B380C" w:rsidRPr="00272930">
        <w:rPr>
          <w:szCs w:val="18"/>
        </w:rPr>
        <w:t>containing the</w:t>
      </w:r>
      <w:r w:rsidR="00931789" w:rsidRPr="00272930">
        <w:rPr>
          <w:szCs w:val="18"/>
        </w:rPr>
        <w:t xml:space="preserve"> </w:t>
      </w:r>
      <w:r w:rsidR="008A0FED" w:rsidRPr="00272930">
        <w:rPr>
          <w:szCs w:val="18"/>
        </w:rPr>
        <w:t xml:space="preserve">information conveyed at the </w:t>
      </w:r>
      <w:r w:rsidR="009A6D21" w:rsidRPr="00272930">
        <w:rPr>
          <w:szCs w:val="18"/>
        </w:rPr>
        <w:t xml:space="preserve">virtual </w:t>
      </w:r>
      <w:r w:rsidR="008A0FED" w:rsidRPr="00272930">
        <w:rPr>
          <w:szCs w:val="18"/>
        </w:rPr>
        <w:t>conference</w:t>
      </w:r>
      <w:r w:rsidR="002B380C" w:rsidRPr="00272930">
        <w:rPr>
          <w:szCs w:val="18"/>
        </w:rPr>
        <w:t xml:space="preserve"> and certain</w:t>
      </w:r>
      <w:r w:rsidR="00D55643" w:rsidRPr="00272930">
        <w:rPr>
          <w:szCs w:val="18"/>
        </w:rPr>
        <w:t xml:space="preserve"> </w:t>
      </w:r>
      <w:r w:rsidR="008A0FED" w:rsidRPr="00272930">
        <w:rPr>
          <w:szCs w:val="18"/>
        </w:rPr>
        <w:t>logistical</w:t>
      </w:r>
      <w:r w:rsidR="00D55643" w:rsidRPr="00272930">
        <w:rPr>
          <w:szCs w:val="18"/>
        </w:rPr>
        <w:t xml:space="preserve"> information regarding the hearing.</w:t>
      </w:r>
    </w:p>
    <w:p w14:paraId="46F83FDB" w14:textId="0EC3D273" w:rsidR="00D55643" w:rsidRPr="00272930" w:rsidRDefault="00D55643" w:rsidP="00B709B7">
      <w:pPr>
        <w:pStyle w:val="BodyText"/>
        <w:numPr>
          <w:ilvl w:val="6"/>
          <w:numId w:val="18"/>
        </w:numPr>
        <w:rPr>
          <w:szCs w:val="18"/>
        </w:rPr>
      </w:pPr>
      <w:r w:rsidRPr="00272930">
        <w:rPr>
          <w:szCs w:val="18"/>
        </w:rPr>
        <w:t xml:space="preserve">The hearing was held </w:t>
      </w:r>
      <w:r w:rsidR="004D0540" w:rsidRPr="00272930">
        <w:rPr>
          <w:szCs w:val="18"/>
        </w:rPr>
        <w:t>in</w:t>
      </w:r>
      <w:r w:rsidR="003F448A" w:rsidRPr="00272930">
        <w:rPr>
          <w:szCs w:val="18"/>
        </w:rPr>
        <w:t> </w:t>
      </w:r>
      <w:r w:rsidR="004D0540" w:rsidRPr="00272930">
        <w:rPr>
          <w:szCs w:val="18"/>
        </w:rPr>
        <w:t xml:space="preserve">person </w:t>
      </w:r>
      <w:r w:rsidRPr="00272930">
        <w:rPr>
          <w:szCs w:val="18"/>
        </w:rPr>
        <w:t>on 15</w:t>
      </w:r>
      <w:r w:rsidR="000F0D20" w:rsidRPr="00272930">
        <w:rPr>
          <w:szCs w:val="18"/>
        </w:rPr>
        <w:t> </w:t>
      </w:r>
      <w:r w:rsidRPr="00272930">
        <w:rPr>
          <w:szCs w:val="18"/>
        </w:rPr>
        <w:t>November</w:t>
      </w:r>
      <w:r w:rsidR="000F0D20" w:rsidRPr="00272930">
        <w:rPr>
          <w:szCs w:val="18"/>
        </w:rPr>
        <w:t> </w:t>
      </w:r>
      <w:r w:rsidRPr="00272930">
        <w:rPr>
          <w:szCs w:val="18"/>
        </w:rPr>
        <w:t>2022</w:t>
      </w:r>
      <w:r w:rsidR="004D0540" w:rsidRPr="00272930">
        <w:rPr>
          <w:szCs w:val="18"/>
        </w:rPr>
        <w:t xml:space="preserve"> at the premises of the WTO</w:t>
      </w:r>
      <w:r w:rsidRPr="00272930">
        <w:rPr>
          <w:szCs w:val="18"/>
        </w:rPr>
        <w:t xml:space="preserve">. The parties and </w:t>
      </w:r>
      <w:r w:rsidR="00E81054" w:rsidRPr="00272930">
        <w:rPr>
          <w:szCs w:val="18"/>
        </w:rPr>
        <w:t xml:space="preserve">six </w:t>
      </w:r>
      <w:r w:rsidRPr="00272930">
        <w:rPr>
          <w:szCs w:val="18"/>
        </w:rPr>
        <w:t>third parties (</w:t>
      </w:r>
      <w:r w:rsidR="00CC0AE3" w:rsidRPr="00272930">
        <w:rPr>
          <w:szCs w:val="18"/>
        </w:rPr>
        <w:t>Brazil, China, Japan, the Russian</w:t>
      </w:r>
      <w:r w:rsidR="007E1811" w:rsidRPr="00272930">
        <w:rPr>
          <w:szCs w:val="18"/>
        </w:rPr>
        <w:t> Federation</w:t>
      </w:r>
      <w:r w:rsidR="00CC0AE3" w:rsidRPr="00272930">
        <w:rPr>
          <w:szCs w:val="18"/>
        </w:rPr>
        <w:t xml:space="preserve">, </w:t>
      </w:r>
      <w:r w:rsidR="00E81054" w:rsidRPr="00272930">
        <w:rPr>
          <w:szCs w:val="18"/>
        </w:rPr>
        <w:t xml:space="preserve">Türkiye, and </w:t>
      </w:r>
      <w:r w:rsidR="00CC0AE3" w:rsidRPr="00272930">
        <w:rPr>
          <w:szCs w:val="18"/>
        </w:rPr>
        <w:t>the United</w:t>
      </w:r>
      <w:r w:rsidR="007E1811" w:rsidRPr="00272930">
        <w:rPr>
          <w:szCs w:val="18"/>
        </w:rPr>
        <w:t> States</w:t>
      </w:r>
      <w:r w:rsidRPr="00272930">
        <w:rPr>
          <w:szCs w:val="18"/>
        </w:rPr>
        <w:t xml:space="preserve">) </w:t>
      </w:r>
      <w:r w:rsidR="00E81054" w:rsidRPr="00272930">
        <w:rPr>
          <w:szCs w:val="18"/>
        </w:rPr>
        <w:t>attended the hearing. The parties and five third parties</w:t>
      </w:r>
      <w:r w:rsidR="00E81054" w:rsidRPr="00272930">
        <w:rPr>
          <w:rStyle w:val="FootnoteReference"/>
          <w:szCs w:val="18"/>
        </w:rPr>
        <w:footnoteReference w:id="24"/>
      </w:r>
      <w:r w:rsidR="00E81054" w:rsidRPr="00272930">
        <w:rPr>
          <w:szCs w:val="18"/>
        </w:rPr>
        <w:t xml:space="preserve"> </w:t>
      </w:r>
      <w:r w:rsidRPr="00272930">
        <w:rPr>
          <w:szCs w:val="18"/>
        </w:rPr>
        <w:t>made oral statements and</w:t>
      </w:r>
      <w:r w:rsidR="00E81054" w:rsidRPr="00272930">
        <w:rPr>
          <w:szCs w:val="18"/>
        </w:rPr>
        <w:t>/or</w:t>
      </w:r>
      <w:r w:rsidRPr="00272930">
        <w:rPr>
          <w:szCs w:val="18"/>
        </w:rPr>
        <w:t xml:space="preserve"> responded to questions.</w:t>
      </w:r>
      <w:r w:rsidR="00163693" w:rsidRPr="00272930">
        <w:rPr>
          <w:szCs w:val="18"/>
        </w:rPr>
        <w:t xml:space="preserve"> Pursuant to the </w:t>
      </w:r>
      <w:r w:rsidR="00971B69" w:rsidRPr="00272930">
        <w:rPr>
          <w:szCs w:val="18"/>
        </w:rPr>
        <w:t xml:space="preserve">Additional Procedures </w:t>
      </w:r>
      <w:r w:rsidR="001E19C5" w:rsidRPr="00272930">
        <w:rPr>
          <w:szCs w:val="18"/>
        </w:rPr>
        <w:t xml:space="preserve">for </w:t>
      </w:r>
      <w:r w:rsidR="00971B69" w:rsidRPr="00272930">
        <w:rPr>
          <w:szCs w:val="18"/>
        </w:rPr>
        <w:t xml:space="preserve">BCI Protection and Partial Public Viewing of the Hearing, </w:t>
      </w:r>
      <w:r w:rsidR="00163693" w:rsidRPr="00272930">
        <w:rPr>
          <w:szCs w:val="18"/>
        </w:rPr>
        <w:t>the opening statements</w:t>
      </w:r>
      <w:r w:rsidR="00971B69" w:rsidRPr="00272930">
        <w:rPr>
          <w:szCs w:val="18"/>
        </w:rPr>
        <w:t xml:space="preserve"> of the </w:t>
      </w:r>
      <w:r w:rsidR="00CC0AE3" w:rsidRPr="00272930">
        <w:rPr>
          <w:szCs w:val="18"/>
        </w:rPr>
        <w:t>European</w:t>
      </w:r>
      <w:r w:rsidR="007E1811" w:rsidRPr="00272930">
        <w:rPr>
          <w:szCs w:val="18"/>
        </w:rPr>
        <w:t> Union</w:t>
      </w:r>
      <w:r w:rsidR="00CC0AE3" w:rsidRPr="00272930">
        <w:rPr>
          <w:szCs w:val="18"/>
        </w:rPr>
        <w:t>, the Russian</w:t>
      </w:r>
      <w:r w:rsidR="007E1811" w:rsidRPr="00272930">
        <w:rPr>
          <w:szCs w:val="18"/>
        </w:rPr>
        <w:t> Federation</w:t>
      </w:r>
      <w:r w:rsidR="00CC0AE3" w:rsidRPr="00272930">
        <w:rPr>
          <w:szCs w:val="18"/>
        </w:rPr>
        <w:t>, and</w:t>
      </w:r>
      <w:r w:rsidR="00971B69" w:rsidRPr="00272930">
        <w:rPr>
          <w:szCs w:val="18"/>
        </w:rPr>
        <w:t xml:space="preserve"> </w:t>
      </w:r>
      <w:r w:rsidR="00D74134" w:rsidRPr="00272930">
        <w:rPr>
          <w:szCs w:val="18"/>
        </w:rPr>
        <w:t>the United</w:t>
      </w:r>
      <w:r w:rsidR="00C94E20" w:rsidRPr="00272930">
        <w:rPr>
          <w:szCs w:val="18"/>
        </w:rPr>
        <w:t> </w:t>
      </w:r>
      <w:r w:rsidR="00D74134" w:rsidRPr="00272930">
        <w:rPr>
          <w:szCs w:val="18"/>
        </w:rPr>
        <w:t>States were</w:t>
      </w:r>
      <w:r w:rsidR="00163693" w:rsidRPr="00272930">
        <w:rPr>
          <w:szCs w:val="18"/>
        </w:rPr>
        <w:t xml:space="preserve"> video recorded and subsequently posted for viewing </w:t>
      </w:r>
      <w:r w:rsidR="00540838" w:rsidRPr="00272930">
        <w:rPr>
          <w:szCs w:val="18"/>
        </w:rPr>
        <w:t xml:space="preserve">by registered viewers </w:t>
      </w:r>
      <w:r w:rsidR="00F9281A" w:rsidRPr="00272930">
        <w:rPr>
          <w:szCs w:val="18"/>
        </w:rPr>
        <w:t>on</w:t>
      </w:r>
      <w:r w:rsidR="00540838" w:rsidRPr="00272930">
        <w:rPr>
          <w:szCs w:val="18"/>
        </w:rPr>
        <w:t xml:space="preserve"> </w:t>
      </w:r>
      <w:r w:rsidR="00163693" w:rsidRPr="00272930">
        <w:rPr>
          <w:szCs w:val="18"/>
        </w:rPr>
        <w:t>the WTO website.</w:t>
      </w:r>
      <w:r w:rsidR="0032597A" w:rsidRPr="00272930">
        <w:rPr>
          <w:rStyle w:val="FootnoteReference"/>
          <w:szCs w:val="18"/>
        </w:rPr>
        <w:footnoteReference w:id="25"/>
      </w:r>
      <w:r w:rsidR="0032597A" w:rsidRPr="00272930">
        <w:rPr>
          <w:szCs w:val="18"/>
        </w:rPr>
        <w:t xml:space="preserve"> </w:t>
      </w:r>
      <w:r w:rsidR="002857E0" w:rsidRPr="00272930">
        <w:rPr>
          <w:szCs w:val="18"/>
        </w:rPr>
        <w:t>On 16</w:t>
      </w:r>
      <w:r w:rsidR="007E1811" w:rsidRPr="00272930">
        <w:rPr>
          <w:szCs w:val="18"/>
        </w:rPr>
        <w:t> </w:t>
      </w:r>
      <w:r w:rsidR="002857E0" w:rsidRPr="00272930">
        <w:rPr>
          <w:szCs w:val="18"/>
        </w:rPr>
        <w:t>November</w:t>
      </w:r>
      <w:r w:rsidR="007E1811" w:rsidRPr="00272930">
        <w:rPr>
          <w:szCs w:val="18"/>
        </w:rPr>
        <w:t> </w:t>
      </w:r>
      <w:r w:rsidR="002857E0" w:rsidRPr="00272930">
        <w:rPr>
          <w:szCs w:val="18"/>
        </w:rPr>
        <w:t>2022</w:t>
      </w:r>
      <w:r w:rsidR="0032597A" w:rsidRPr="00272930">
        <w:rPr>
          <w:szCs w:val="18"/>
        </w:rPr>
        <w:t xml:space="preserve">, we held a discussion with the other </w:t>
      </w:r>
      <w:r w:rsidR="00553865" w:rsidRPr="00272930">
        <w:rPr>
          <w:szCs w:val="18"/>
        </w:rPr>
        <w:t>m</w:t>
      </w:r>
      <w:r w:rsidR="0032597A" w:rsidRPr="00272930">
        <w:rPr>
          <w:szCs w:val="18"/>
        </w:rPr>
        <w:t xml:space="preserve">embers of the pool of MPIA arbitrators pursuant to </w:t>
      </w:r>
      <w:r w:rsidR="00270F7B" w:rsidRPr="00272930">
        <w:rPr>
          <w:szCs w:val="18"/>
        </w:rPr>
        <w:t>paragraph </w:t>
      </w:r>
      <w:r w:rsidR="0032597A" w:rsidRPr="00272930">
        <w:rPr>
          <w:szCs w:val="18"/>
        </w:rPr>
        <w:t xml:space="preserve">5 of the </w:t>
      </w:r>
      <w:r w:rsidR="00467CA3" w:rsidRPr="00272930">
        <w:rPr>
          <w:szCs w:val="18"/>
        </w:rPr>
        <w:t>MPIA</w:t>
      </w:r>
      <w:r w:rsidR="002F01FD" w:rsidRPr="00272930">
        <w:rPr>
          <w:szCs w:val="18"/>
        </w:rPr>
        <w:t xml:space="preserve"> </w:t>
      </w:r>
      <w:r w:rsidR="0032597A" w:rsidRPr="00272930">
        <w:rPr>
          <w:szCs w:val="18"/>
        </w:rPr>
        <w:t xml:space="preserve">and </w:t>
      </w:r>
      <w:r w:rsidR="00270F7B" w:rsidRPr="00272930">
        <w:rPr>
          <w:szCs w:val="18"/>
        </w:rPr>
        <w:t>paragraph </w:t>
      </w:r>
      <w:r w:rsidR="0032597A" w:rsidRPr="00272930">
        <w:rPr>
          <w:szCs w:val="18"/>
        </w:rPr>
        <w:t>8 of the Agreed Procedures.</w:t>
      </w:r>
      <w:r w:rsidR="0032597A" w:rsidRPr="00272930">
        <w:rPr>
          <w:rStyle w:val="FootnoteReference"/>
          <w:szCs w:val="18"/>
        </w:rPr>
        <w:footnoteReference w:id="26"/>
      </w:r>
    </w:p>
    <w:p w14:paraId="0B14FC9B" w14:textId="2A1A61EE" w:rsidR="00D55643" w:rsidRPr="00272930" w:rsidRDefault="00821053" w:rsidP="00B709B7">
      <w:pPr>
        <w:pStyle w:val="BodyText"/>
        <w:numPr>
          <w:ilvl w:val="6"/>
          <w:numId w:val="18"/>
        </w:numPr>
        <w:rPr>
          <w:szCs w:val="18"/>
        </w:rPr>
      </w:pPr>
      <w:r w:rsidRPr="00272930">
        <w:rPr>
          <w:szCs w:val="18"/>
        </w:rPr>
        <w:t>Pursuant to the Additional Procedures</w:t>
      </w:r>
      <w:r w:rsidR="001E19C5" w:rsidRPr="00272930">
        <w:rPr>
          <w:szCs w:val="18"/>
        </w:rPr>
        <w:t xml:space="preserve"> for</w:t>
      </w:r>
      <w:r w:rsidRPr="00272930">
        <w:rPr>
          <w:szCs w:val="18"/>
        </w:rPr>
        <w:t xml:space="preserve"> BCI Protection and Partial Public Viewing of the Hearing, </w:t>
      </w:r>
      <w:r w:rsidR="008C1ADE" w:rsidRPr="00272930">
        <w:rPr>
          <w:szCs w:val="18"/>
        </w:rPr>
        <w:t>a</w:t>
      </w:r>
      <w:r w:rsidR="003E7518" w:rsidRPr="00272930">
        <w:rPr>
          <w:szCs w:val="18"/>
        </w:rPr>
        <w:t xml:space="preserve"> copy of the Award intended for </w:t>
      </w:r>
      <w:r w:rsidR="00646214">
        <w:rPr>
          <w:szCs w:val="18"/>
        </w:rPr>
        <w:t xml:space="preserve">issuance </w:t>
      </w:r>
      <w:r w:rsidR="003E7518" w:rsidRPr="00272930">
        <w:rPr>
          <w:szCs w:val="18"/>
        </w:rPr>
        <w:t xml:space="preserve">was provided in advance to the parties on </w:t>
      </w:r>
      <w:r w:rsidR="009D6487" w:rsidRPr="00AB5F5B">
        <w:t>13 </w:t>
      </w:r>
      <w:r w:rsidR="003E7518" w:rsidRPr="00AB5F5B">
        <w:t>December</w:t>
      </w:r>
      <w:r w:rsidR="007E1811" w:rsidRPr="00AB5F5B">
        <w:t> </w:t>
      </w:r>
      <w:r w:rsidR="003E7518" w:rsidRPr="00AB5F5B">
        <w:t>2022</w:t>
      </w:r>
      <w:r w:rsidR="00F75BB7" w:rsidRPr="00272930">
        <w:rPr>
          <w:szCs w:val="18"/>
        </w:rPr>
        <w:t xml:space="preserve"> to ensure that no BCI was included inadvertently</w:t>
      </w:r>
      <w:r w:rsidR="003E7518" w:rsidRPr="00272930">
        <w:rPr>
          <w:szCs w:val="18"/>
        </w:rPr>
        <w:t xml:space="preserve">. </w:t>
      </w:r>
      <w:r w:rsidR="00D55643" w:rsidRPr="00272930">
        <w:rPr>
          <w:szCs w:val="18"/>
        </w:rPr>
        <w:t xml:space="preserve">The </w:t>
      </w:r>
      <w:r w:rsidR="00F75BB7" w:rsidRPr="00272930">
        <w:rPr>
          <w:szCs w:val="18"/>
        </w:rPr>
        <w:t xml:space="preserve">final </w:t>
      </w:r>
      <w:r w:rsidR="00D55643" w:rsidRPr="00272930">
        <w:rPr>
          <w:szCs w:val="18"/>
        </w:rPr>
        <w:t xml:space="preserve">Award </w:t>
      </w:r>
      <w:r w:rsidR="00F75BB7" w:rsidRPr="00272930">
        <w:rPr>
          <w:szCs w:val="18"/>
        </w:rPr>
        <w:t>was</w:t>
      </w:r>
      <w:r w:rsidR="00D55643" w:rsidRPr="00272930">
        <w:rPr>
          <w:szCs w:val="18"/>
        </w:rPr>
        <w:t xml:space="preserve"> issued to the parties in English on </w:t>
      </w:r>
      <w:r w:rsidR="00D55643" w:rsidRPr="00AB5F5B">
        <w:t>19</w:t>
      </w:r>
      <w:r w:rsidR="000F0D20" w:rsidRPr="00AB5F5B">
        <w:t> </w:t>
      </w:r>
      <w:r w:rsidR="00D55643" w:rsidRPr="00AB5F5B">
        <w:t>December</w:t>
      </w:r>
      <w:r w:rsidR="000F0D20" w:rsidRPr="00AB5F5B">
        <w:t> </w:t>
      </w:r>
      <w:r w:rsidR="00D55643" w:rsidRPr="00AB5F5B">
        <w:t>2022</w:t>
      </w:r>
      <w:r w:rsidR="00F6160C" w:rsidRPr="00272930">
        <w:rPr>
          <w:szCs w:val="18"/>
        </w:rPr>
        <w:t xml:space="preserve"> </w:t>
      </w:r>
      <w:r w:rsidR="0005669E" w:rsidRPr="00272930">
        <w:rPr>
          <w:szCs w:val="18"/>
        </w:rPr>
        <w:t xml:space="preserve">and </w:t>
      </w:r>
      <w:r w:rsidR="004F0609" w:rsidRPr="00272930">
        <w:rPr>
          <w:szCs w:val="18"/>
        </w:rPr>
        <w:t>notified</w:t>
      </w:r>
      <w:r w:rsidR="009F23CA" w:rsidRPr="00272930">
        <w:rPr>
          <w:szCs w:val="18"/>
        </w:rPr>
        <w:t xml:space="preserve"> to </w:t>
      </w:r>
      <w:r w:rsidR="003F5E0A" w:rsidRPr="00272930">
        <w:rPr>
          <w:szCs w:val="18"/>
        </w:rPr>
        <w:t>the DSB</w:t>
      </w:r>
      <w:r w:rsidR="009D6487" w:rsidRPr="00272930">
        <w:rPr>
          <w:szCs w:val="18"/>
        </w:rPr>
        <w:t xml:space="preserve">, the </w:t>
      </w:r>
      <w:r w:rsidR="009D6487" w:rsidRPr="00272930">
        <w:t>Council for Trade in Goods,</w:t>
      </w:r>
      <w:r w:rsidR="009D6487" w:rsidRPr="00272930">
        <w:rPr>
          <w:bCs/>
        </w:rPr>
        <w:t xml:space="preserve"> and the Committee on Anti-Dumping Practices</w:t>
      </w:r>
      <w:r w:rsidR="009F23CA" w:rsidRPr="00272930">
        <w:rPr>
          <w:szCs w:val="18"/>
        </w:rPr>
        <w:t xml:space="preserve"> in </w:t>
      </w:r>
      <w:r w:rsidR="00DE1DB4">
        <w:rPr>
          <w:szCs w:val="18"/>
        </w:rPr>
        <w:t xml:space="preserve">the </w:t>
      </w:r>
      <w:r w:rsidR="009F23CA" w:rsidRPr="00272930">
        <w:rPr>
          <w:szCs w:val="18"/>
        </w:rPr>
        <w:t xml:space="preserve">three </w:t>
      </w:r>
      <w:r w:rsidR="00646214">
        <w:rPr>
          <w:szCs w:val="18"/>
        </w:rPr>
        <w:t xml:space="preserve">working </w:t>
      </w:r>
      <w:r w:rsidR="009F23CA" w:rsidRPr="00272930">
        <w:rPr>
          <w:szCs w:val="18"/>
        </w:rPr>
        <w:t xml:space="preserve">languages </w:t>
      </w:r>
      <w:r w:rsidR="00646214">
        <w:rPr>
          <w:szCs w:val="18"/>
        </w:rPr>
        <w:t xml:space="preserve">of the WTO </w:t>
      </w:r>
      <w:r w:rsidR="009F23CA" w:rsidRPr="00272930">
        <w:rPr>
          <w:szCs w:val="18"/>
        </w:rPr>
        <w:t xml:space="preserve">on </w:t>
      </w:r>
      <w:r w:rsidR="009F23CA" w:rsidRPr="00AB5F5B">
        <w:t>21</w:t>
      </w:r>
      <w:r w:rsidR="000F0D20" w:rsidRPr="00AB5F5B">
        <w:t> </w:t>
      </w:r>
      <w:r w:rsidR="009F23CA" w:rsidRPr="00AB5F5B">
        <w:t>December</w:t>
      </w:r>
      <w:r w:rsidR="000F0D20" w:rsidRPr="00AB5F5B">
        <w:t> </w:t>
      </w:r>
      <w:r w:rsidR="009F23CA" w:rsidRPr="00AB5F5B">
        <w:t>2022</w:t>
      </w:r>
      <w:r w:rsidR="00F6160C" w:rsidRPr="00272930">
        <w:rPr>
          <w:szCs w:val="18"/>
        </w:rPr>
        <w:t>,</w:t>
      </w:r>
      <w:r w:rsidR="009F23CA" w:rsidRPr="00272930">
        <w:rPr>
          <w:szCs w:val="18"/>
        </w:rPr>
        <w:t xml:space="preserve"> </w:t>
      </w:r>
      <w:r w:rsidR="004F0609" w:rsidRPr="00272930">
        <w:rPr>
          <w:szCs w:val="18"/>
        </w:rPr>
        <w:t xml:space="preserve">both </w:t>
      </w:r>
      <w:r w:rsidR="00F6160C" w:rsidRPr="00272930">
        <w:rPr>
          <w:szCs w:val="18"/>
        </w:rPr>
        <w:t>within 90 days of the commencement of the Arbitration</w:t>
      </w:r>
      <w:r w:rsidR="00D6729B" w:rsidRPr="00272930">
        <w:rPr>
          <w:szCs w:val="18"/>
        </w:rPr>
        <w:t>.</w:t>
      </w:r>
    </w:p>
    <w:p w14:paraId="73BDAC54" w14:textId="77777777" w:rsidR="0019471F" w:rsidRPr="00272930" w:rsidRDefault="0019471F" w:rsidP="00B709B7">
      <w:pPr>
        <w:pStyle w:val="Heading1"/>
        <w:numPr>
          <w:ilvl w:val="0"/>
          <w:numId w:val="31"/>
        </w:numPr>
        <w:ind w:left="567" w:hanging="567"/>
        <w:rPr>
          <w:szCs w:val="18"/>
        </w:rPr>
      </w:pPr>
      <w:bookmarkStart w:id="9" w:name="_Toc33773620"/>
      <w:bookmarkStart w:id="10" w:name="_Toc34233143"/>
      <w:bookmarkStart w:id="11" w:name="_Toc106118133"/>
      <w:bookmarkStart w:id="12" w:name="_Toc109217725"/>
      <w:bookmarkStart w:id="13" w:name="_Toc122339703"/>
      <w:r w:rsidRPr="00272930">
        <w:rPr>
          <w:caps w:val="0"/>
          <w:szCs w:val="18"/>
        </w:rPr>
        <w:t>ARGUMENTS OF THE PARTIES</w:t>
      </w:r>
      <w:bookmarkEnd w:id="9"/>
      <w:bookmarkEnd w:id="10"/>
      <w:bookmarkEnd w:id="11"/>
      <w:bookmarkEnd w:id="12"/>
      <w:bookmarkEnd w:id="13"/>
    </w:p>
    <w:p w14:paraId="4E890395" w14:textId="297A22B2" w:rsidR="0019471F" w:rsidRPr="00272930" w:rsidRDefault="0019471F" w:rsidP="00B709B7">
      <w:pPr>
        <w:pStyle w:val="BodyText"/>
        <w:numPr>
          <w:ilvl w:val="6"/>
          <w:numId w:val="30"/>
        </w:numPr>
        <w:rPr>
          <w:szCs w:val="18"/>
        </w:rPr>
      </w:pPr>
      <w:r w:rsidRPr="00272930">
        <w:rPr>
          <w:szCs w:val="18"/>
        </w:rPr>
        <w:t xml:space="preserve">The claims and </w:t>
      </w:r>
      <w:r w:rsidRPr="00272930">
        <w:rPr>
          <w:szCs w:val="18"/>
          <w:lang w:eastAsia="zh-CN"/>
        </w:rPr>
        <w:t>arguments</w:t>
      </w:r>
      <w:r w:rsidRPr="00272930">
        <w:rPr>
          <w:szCs w:val="18"/>
        </w:rPr>
        <w:t xml:space="preserve"> of the parties are reflected in the executive summaries of their written submissions. </w:t>
      </w:r>
      <w:r w:rsidR="007B29C3" w:rsidRPr="00423405">
        <w:rPr>
          <w:szCs w:val="18"/>
        </w:rPr>
        <w:t>Colombia</w:t>
      </w:r>
      <w:r w:rsidR="00972276" w:rsidRPr="00423405">
        <w:rPr>
          <w:szCs w:val="18"/>
        </w:rPr>
        <w:t>'</w:t>
      </w:r>
      <w:r w:rsidR="007B29C3" w:rsidRPr="00423405">
        <w:rPr>
          <w:szCs w:val="18"/>
        </w:rPr>
        <w:t xml:space="preserve">s </w:t>
      </w:r>
      <w:r w:rsidR="00294E73" w:rsidRPr="00423405">
        <w:rPr>
          <w:szCs w:val="18"/>
        </w:rPr>
        <w:t>Notice of Appeal</w:t>
      </w:r>
      <w:r w:rsidR="007B29C3" w:rsidRPr="00423405">
        <w:rPr>
          <w:szCs w:val="18"/>
        </w:rPr>
        <w:t xml:space="preserve"> and</w:t>
      </w:r>
      <w:r w:rsidRPr="00423405">
        <w:rPr>
          <w:szCs w:val="18"/>
        </w:rPr>
        <w:t xml:space="preserve"> the executive summaries of the parties</w:t>
      </w:r>
      <w:r w:rsidR="00972276" w:rsidRPr="00423405">
        <w:rPr>
          <w:szCs w:val="18"/>
        </w:rPr>
        <w:t>'</w:t>
      </w:r>
      <w:r w:rsidRPr="00423405">
        <w:rPr>
          <w:szCs w:val="18"/>
        </w:rPr>
        <w:t xml:space="preserve"> </w:t>
      </w:r>
      <w:r w:rsidR="00294E73" w:rsidRPr="00423405">
        <w:rPr>
          <w:szCs w:val="18"/>
        </w:rPr>
        <w:t>written submissions</w:t>
      </w:r>
      <w:r w:rsidRPr="00423405">
        <w:rPr>
          <w:szCs w:val="18"/>
        </w:rPr>
        <w:t xml:space="preserve"> are contained in Annexes B and C of the Addendum to this Award, WT/DS5</w:t>
      </w:r>
      <w:r w:rsidR="007B29C3" w:rsidRPr="00423405">
        <w:rPr>
          <w:szCs w:val="18"/>
        </w:rPr>
        <w:t>91</w:t>
      </w:r>
      <w:r w:rsidRPr="00423405">
        <w:rPr>
          <w:szCs w:val="18"/>
        </w:rPr>
        <w:t>/ARB25/Add.1.</w:t>
      </w:r>
    </w:p>
    <w:p w14:paraId="795B48B6" w14:textId="77777777" w:rsidR="0019471F" w:rsidRPr="00272930" w:rsidRDefault="0019471F" w:rsidP="00B709B7">
      <w:pPr>
        <w:pStyle w:val="Heading1"/>
        <w:numPr>
          <w:ilvl w:val="0"/>
          <w:numId w:val="31"/>
        </w:numPr>
        <w:ind w:left="567" w:hanging="567"/>
        <w:rPr>
          <w:szCs w:val="18"/>
        </w:rPr>
      </w:pPr>
      <w:bookmarkStart w:id="14" w:name="_Toc4508005"/>
      <w:bookmarkStart w:id="15" w:name="_Toc5704481"/>
      <w:bookmarkStart w:id="16" w:name="_Toc106118134"/>
      <w:bookmarkStart w:id="17" w:name="_Toc109217726"/>
      <w:bookmarkStart w:id="18" w:name="_Toc122339704"/>
      <w:r w:rsidRPr="00272930">
        <w:rPr>
          <w:caps w:val="0"/>
          <w:szCs w:val="18"/>
        </w:rPr>
        <w:t xml:space="preserve">ARGUMENTS OF THE THIRD </w:t>
      </w:r>
      <w:bookmarkEnd w:id="14"/>
      <w:bookmarkEnd w:id="15"/>
      <w:r w:rsidRPr="00272930">
        <w:rPr>
          <w:caps w:val="0"/>
          <w:szCs w:val="18"/>
        </w:rPr>
        <w:t>PARTIES</w:t>
      </w:r>
      <w:bookmarkEnd w:id="16"/>
      <w:bookmarkEnd w:id="17"/>
      <w:bookmarkEnd w:id="18"/>
    </w:p>
    <w:p w14:paraId="3E01694D" w14:textId="37C7A873" w:rsidR="0019471F" w:rsidRPr="00272930" w:rsidRDefault="0019471F" w:rsidP="00B709B7">
      <w:pPr>
        <w:pStyle w:val="BodyText"/>
        <w:numPr>
          <w:ilvl w:val="6"/>
          <w:numId w:val="30"/>
        </w:numPr>
        <w:rPr>
          <w:szCs w:val="18"/>
        </w:rPr>
      </w:pPr>
      <w:bookmarkStart w:id="19" w:name="_Toc298321505"/>
      <w:bookmarkStart w:id="20" w:name="_Toc328640637"/>
      <w:bookmarkStart w:id="21" w:name="_Toc333317558"/>
      <w:bookmarkStart w:id="22" w:name="_Toc333331196"/>
      <w:bookmarkStart w:id="23" w:name="_Toc333395163"/>
      <w:bookmarkStart w:id="24" w:name="_Toc333510449"/>
      <w:bookmarkStart w:id="25" w:name="_Toc333510556"/>
      <w:r w:rsidRPr="00272930">
        <w:rPr>
          <w:szCs w:val="18"/>
          <w:lang w:eastAsia="zh-CN"/>
        </w:rPr>
        <w:t>The arguments of the third parties that filed a written submission (</w:t>
      </w:r>
      <w:r w:rsidR="007B29C3" w:rsidRPr="00272930">
        <w:rPr>
          <w:szCs w:val="18"/>
          <w:lang w:eastAsia="zh-CN"/>
        </w:rPr>
        <w:t>Brazil, Japan, and the United</w:t>
      </w:r>
      <w:r w:rsidR="004C0F28" w:rsidRPr="00272930">
        <w:rPr>
          <w:szCs w:val="18"/>
          <w:lang w:eastAsia="zh-CN"/>
        </w:rPr>
        <w:t> </w:t>
      </w:r>
      <w:r w:rsidR="007B29C3" w:rsidRPr="00272930">
        <w:rPr>
          <w:szCs w:val="18"/>
          <w:lang w:eastAsia="zh-CN"/>
        </w:rPr>
        <w:t>States</w:t>
      </w:r>
      <w:r w:rsidRPr="00272930">
        <w:rPr>
          <w:szCs w:val="18"/>
          <w:lang w:eastAsia="zh-CN"/>
        </w:rPr>
        <w:t xml:space="preserve">) are reflected in the executive summaries of their written </w:t>
      </w:r>
      <w:proofErr w:type="gramStart"/>
      <w:r w:rsidRPr="00272930">
        <w:rPr>
          <w:szCs w:val="18"/>
          <w:lang w:eastAsia="zh-CN"/>
        </w:rPr>
        <w:t>submissions, and</w:t>
      </w:r>
      <w:proofErr w:type="gramEnd"/>
      <w:r w:rsidRPr="00272930">
        <w:rPr>
          <w:szCs w:val="18"/>
          <w:lang w:eastAsia="zh-CN"/>
        </w:rPr>
        <w:t xml:space="preserve"> are contained in Annex D of the Addendum to this Award, </w:t>
      </w:r>
      <w:r w:rsidRPr="00272930">
        <w:rPr>
          <w:szCs w:val="18"/>
        </w:rPr>
        <w:t>WT/DS5</w:t>
      </w:r>
      <w:r w:rsidR="007B29C3" w:rsidRPr="00272930">
        <w:rPr>
          <w:szCs w:val="18"/>
        </w:rPr>
        <w:t>91</w:t>
      </w:r>
      <w:r w:rsidRPr="00272930">
        <w:rPr>
          <w:szCs w:val="18"/>
        </w:rPr>
        <w:t>/ARB25/Add.1.</w:t>
      </w:r>
      <w:bookmarkEnd w:id="19"/>
      <w:bookmarkEnd w:id="20"/>
      <w:bookmarkEnd w:id="21"/>
      <w:bookmarkEnd w:id="22"/>
      <w:bookmarkEnd w:id="23"/>
      <w:bookmarkEnd w:id="24"/>
      <w:bookmarkEnd w:id="25"/>
    </w:p>
    <w:p w14:paraId="20E3B31E" w14:textId="23E4F1C9" w:rsidR="00F572D3" w:rsidRPr="00AB5F5B" w:rsidRDefault="00000207" w:rsidP="00B709B7">
      <w:pPr>
        <w:pStyle w:val="Heading1"/>
        <w:numPr>
          <w:ilvl w:val="0"/>
          <w:numId w:val="7"/>
        </w:numPr>
        <w:rPr>
          <w:caps w:val="0"/>
          <w:szCs w:val="18"/>
        </w:rPr>
      </w:pPr>
      <w:bookmarkStart w:id="26" w:name="_Toc343522835"/>
      <w:bookmarkStart w:id="27" w:name="_Toc122339705"/>
      <w:r w:rsidRPr="00000207">
        <w:rPr>
          <w:caps w:val="0"/>
          <w:szCs w:val="18"/>
        </w:rPr>
        <w:lastRenderedPageBreak/>
        <w:t xml:space="preserve">ANALYSIS OF THE </w:t>
      </w:r>
      <w:bookmarkEnd w:id="26"/>
      <w:r w:rsidRPr="00000207">
        <w:rPr>
          <w:caps w:val="0"/>
          <w:szCs w:val="18"/>
        </w:rPr>
        <w:t>ARBITRATORS</w:t>
      </w:r>
      <w:bookmarkEnd w:id="27"/>
    </w:p>
    <w:p w14:paraId="5A5B3B19" w14:textId="77777777" w:rsidR="00F572D3" w:rsidRPr="00272930" w:rsidRDefault="00F572D3" w:rsidP="00B709B7">
      <w:pPr>
        <w:pStyle w:val="Heading2"/>
        <w:numPr>
          <w:ilvl w:val="1"/>
          <w:numId w:val="7"/>
        </w:numPr>
        <w:rPr>
          <w:szCs w:val="18"/>
        </w:rPr>
      </w:pPr>
      <w:bookmarkStart w:id="28" w:name="_Toc122339706"/>
      <w:r w:rsidRPr="00272930">
        <w:rPr>
          <w:szCs w:val="18"/>
        </w:rPr>
        <w:t>Issues on appeal</w:t>
      </w:r>
      <w:bookmarkEnd w:id="28"/>
    </w:p>
    <w:p w14:paraId="78F70692" w14:textId="0B0020A9" w:rsidR="00F572D3" w:rsidRPr="00272930" w:rsidRDefault="00F572D3" w:rsidP="00B709B7">
      <w:pPr>
        <w:pStyle w:val="BodyText"/>
        <w:numPr>
          <w:ilvl w:val="6"/>
          <w:numId w:val="7"/>
        </w:numPr>
      </w:pPr>
      <w:r w:rsidRPr="00272930">
        <w:t xml:space="preserve">We address the following issues </w:t>
      </w:r>
      <w:proofErr w:type="gramStart"/>
      <w:r w:rsidRPr="00272930">
        <w:t>on the basis of</w:t>
      </w:r>
      <w:proofErr w:type="gramEnd"/>
      <w:r w:rsidRPr="00272930">
        <w:t xml:space="preserve"> claims raised on appeal by Colombia</w:t>
      </w:r>
      <w:r w:rsidRPr="00272930">
        <w:rPr>
          <w:rStyle w:val="FootnoteReference"/>
        </w:rPr>
        <w:footnoteReference w:id="27"/>
      </w:r>
      <w:r w:rsidRPr="00272930">
        <w:t>:</w:t>
      </w:r>
    </w:p>
    <w:p w14:paraId="37C3FCBC" w14:textId="53A36854" w:rsidR="00F572D3" w:rsidRPr="00272930" w:rsidRDefault="00F572D3" w:rsidP="00B709B7">
      <w:pPr>
        <w:pStyle w:val="BodyText2"/>
        <w:numPr>
          <w:ilvl w:val="7"/>
          <w:numId w:val="7"/>
        </w:numPr>
        <w:tabs>
          <w:tab w:val="clear" w:pos="1134"/>
          <w:tab w:val="num" w:pos="907"/>
        </w:tabs>
        <w:ind w:left="907" w:hanging="340"/>
      </w:pPr>
      <w:r w:rsidRPr="00272930">
        <w:t xml:space="preserve">Whether it is permissible to interpret the phrase </w:t>
      </w:r>
      <w:r w:rsidR="00972276" w:rsidRPr="00272930">
        <w:t>"</w:t>
      </w:r>
      <w:r w:rsidRPr="00272930">
        <w:t>where appropriate</w:t>
      </w:r>
      <w:r w:rsidR="00972276" w:rsidRPr="00272930">
        <w:t>"</w:t>
      </w:r>
      <w:r w:rsidRPr="00272930">
        <w:t xml:space="preserve"> in Article</w:t>
      </w:r>
      <w:r w:rsidR="00F2224B" w:rsidRPr="00272930">
        <w:t> </w:t>
      </w:r>
      <w:r w:rsidRPr="00272930">
        <w:t>5.2(iii)</w:t>
      </w:r>
      <w:r w:rsidRPr="00272930">
        <w:rPr>
          <w:szCs w:val="18"/>
        </w:rPr>
        <w:t xml:space="preserve"> of the </w:t>
      </w:r>
      <w:r w:rsidR="000528F6" w:rsidRPr="00272930">
        <w:rPr>
          <w:szCs w:val="18"/>
        </w:rPr>
        <w:t xml:space="preserve">Anti-Dumping </w:t>
      </w:r>
      <w:r w:rsidRPr="00272930">
        <w:rPr>
          <w:szCs w:val="18"/>
        </w:rPr>
        <w:t xml:space="preserve">Agreement as granting </w:t>
      </w:r>
      <w:r w:rsidR="00972276" w:rsidRPr="00272930">
        <w:rPr>
          <w:szCs w:val="18"/>
        </w:rPr>
        <w:t>"</w:t>
      </w:r>
      <w:r w:rsidRPr="00272930">
        <w:rPr>
          <w:szCs w:val="18"/>
        </w:rPr>
        <w:t>free choice</w:t>
      </w:r>
      <w:r w:rsidR="00972276" w:rsidRPr="00272930">
        <w:rPr>
          <w:szCs w:val="18"/>
        </w:rPr>
        <w:t>"</w:t>
      </w:r>
      <w:r w:rsidRPr="00272930">
        <w:rPr>
          <w:szCs w:val="18"/>
        </w:rPr>
        <w:t xml:space="preserve"> in the use of third-country sales prices as a basis for normal value; and w</w:t>
      </w:r>
      <w:r w:rsidRPr="00272930">
        <w:t xml:space="preserve">hether the Panel erred under </w:t>
      </w:r>
      <w:r w:rsidR="000528F6" w:rsidRPr="00272930">
        <w:t>Articles </w:t>
      </w:r>
      <w:r w:rsidRPr="00272930">
        <w:t xml:space="preserve">5.2(iii) and 5.3 of the </w:t>
      </w:r>
      <w:r w:rsidR="000528F6" w:rsidRPr="00272930">
        <w:t>Anti-Dumping</w:t>
      </w:r>
      <w:r w:rsidRPr="00272930">
        <w:t xml:space="preserve"> Agreement by requiring an explanation as to why domestic sales prices were not </w:t>
      </w:r>
      <w:proofErr w:type="gramStart"/>
      <w:r w:rsidRPr="00272930">
        <w:t>used;</w:t>
      </w:r>
      <w:proofErr w:type="gramEnd"/>
    </w:p>
    <w:p w14:paraId="74C38F23" w14:textId="377B6C87" w:rsidR="00F572D3" w:rsidRPr="00272930" w:rsidRDefault="00F572D3" w:rsidP="00B709B7">
      <w:pPr>
        <w:pStyle w:val="BodyText2"/>
        <w:numPr>
          <w:ilvl w:val="7"/>
          <w:numId w:val="7"/>
        </w:numPr>
        <w:tabs>
          <w:tab w:val="clear" w:pos="1134"/>
          <w:tab w:val="num" w:pos="907"/>
        </w:tabs>
        <w:ind w:left="907" w:hanging="340"/>
      </w:pPr>
      <w:r w:rsidRPr="00272930">
        <w:t>Whether</w:t>
      </w:r>
      <w:r w:rsidRPr="00272930">
        <w:rPr>
          <w:szCs w:val="18"/>
        </w:rPr>
        <w:t xml:space="preserve"> the Panel erred in finding that MINCIT acted inconsistently with Article</w:t>
      </w:r>
      <w:r w:rsidR="00F2224B" w:rsidRPr="00272930">
        <w:rPr>
          <w:szCs w:val="18"/>
        </w:rPr>
        <w:t> </w:t>
      </w:r>
      <w:r w:rsidRPr="00272930">
        <w:rPr>
          <w:szCs w:val="18"/>
        </w:rPr>
        <w:t>6.5 of the Anti</w:t>
      </w:r>
      <w:r w:rsidR="000528F6" w:rsidRPr="00272930">
        <w:rPr>
          <w:szCs w:val="18"/>
        </w:rPr>
        <w:noBreakHyphen/>
      </w:r>
      <w:r w:rsidRPr="00272930">
        <w:rPr>
          <w:szCs w:val="18"/>
        </w:rPr>
        <w:t xml:space="preserve">Dumping Agreement by granting confidential treatment to redacted information without a showing of </w:t>
      </w:r>
      <w:r w:rsidR="00972276" w:rsidRPr="00272930">
        <w:rPr>
          <w:szCs w:val="18"/>
        </w:rPr>
        <w:t>"</w:t>
      </w:r>
      <w:r w:rsidRPr="00272930">
        <w:rPr>
          <w:szCs w:val="18"/>
        </w:rPr>
        <w:t>good cause</w:t>
      </w:r>
      <w:proofErr w:type="gramStart"/>
      <w:r w:rsidR="00972276" w:rsidRPr="00272930">
        <w:rPr>
          <w:szCs w:val="18"/>
        </w:rPr>
        <w:t>"</w:t>
      </w:r>
      <w:r w:rsidRPr="00272930">
        <w:rPr>
          <w:szCs w:val="18"/>
        </w:rPr>
        <w:t>;</w:t>
      </w:r>
      <w:proofErr w:type="gramEnd"/>
    </w:p>
    <w:p w14:paraId="0D571F90" w14:textId="20DD1C6C" w:rsidR="00F572D3" w:rsidRPr="00272930" w:rsidRDefault="00F572D3" w:rsidP="00B709B7">
      <w:pPr>
        <w:pStyle w:val="BodyText2"/>
        <w:numPr>
          <w:ilvl w:val="7"/>
          <w:numId w:val="7"/>
        </w:numPr>
        <w:tabs>
          <w:tab w:val="clear" w:pos="1134"/>
          <w:tab w:val="num" w:pos="907"/>
        </w:tabs>
        <w:ind w:left="907" w:hanging="340"/>
      </w:pPr>
      <w:r w:rsidRPr="00272930">
        <w:t xml:space="preserve">Whether the Panel erred in finding that </w:t>
      </w:r>
      <w:r w:rsidR="00AE423B" w:rsidRPr="00272930">
        <w:t>the European Union</w:t>
      </w:r>
      <w:r w:rsidR="00972276" w:rsidRPr="00272930">
        <w:t>'</w:t>
      </w:r>
      <w:r w:rsidR="00AE423B" w:rsidRPr="00272930">
        <w:t>s claim under Article 2.4 of the Anti</w:t>
      </w:r>
      <w:r w:rsidR="000528F6" w:rsidRPr="00272930">
        <w:noBreakHyphen/>
      </w:r>
      <w:r w:rsidR="00AE423B" w:rsidRPr="00272930">
        <w:t xml:space="preserve">Dumping Agreement concerning </w:t>
      </w:r>
      <w:r w:rsidR="008863D6" w:rsidRPr="00272930">
        <w:t>an exporter</w:t>
      </w:r>
      <w:r w:rsidR="00972276" w:rsidRPr="00272930">
        <w:t>'</w:t>
      </w:r>
      <w:r w:rsidR="008863D6" w:rsidRPr="00272930">
        <w:t>s</w:t>
      </w:r>
      <w:r w:rsidR="00AE423B" w:rsidRPr="00272930">
        <w:t> packaging cost</w:t>
      </w:r>
      <w:r w:rsidR="008863D6" w:rsidRPr="00272930">
        <w:t>s</w:t>
      </w:r>
      <w:r w:rsidR="00AE423B" w:rsidRPr="00272930">
        <w:t xml:space="preserve"> fell within the Panel</w:t>
      </w:r>
      <w:r w:rsidR="00972276" w:rsidRPr="00272930">
        <w:t>'</w:t>
      </w:r>
      <w:r w:rsidR="00AE423B" w:rsidRPr="00272930">
        <w:t>s terms of reference</w:t>
      </w:r>
      <w:r w:rsidRPr="00272930">
        <w:t>; and</w:t>
      </w:r>
    </w:p>
    <w:p w14:paraId="626295E0" w14:textId="45D2419B" w:rsidR="00F572D3" w:rsidRPr="00272930" w:rsidRDefault="00F572D3" w:rsidP="00B709B7">
      <w:pPr>
        <w:pStyle w:val="BodyText2"/>
        <w:numPr>
          <w:ilvl w:val="7"/>
          <w:numId w:val="7"/>
        </w:numPr>
        <w:tabs>
          <w:tab w:val="clear" w:pos="1134"/>
          <w:tab w:val="num" w:pos="907"/>
        </w:tabs>
        <w:ind w:left="907" w:hanging="340"/>
      </w:pPr>
      <w:r w:rsidRPr="00272930">
        <w:t>Whether</w:t>
      </w:r>
      <w:r w:rsidRPr="00272930">
        <w:rPr>
          <w:szCs w:val="18"/>
        </w:rPr>
        <w:t xml:space="preserve"> it is permissible to interpret the term </w:t>
      </w:r>
      <w:r w:rsidR="00972276" w:rsidRPr="00272930">
        <w:rPr>
          <w:szCs w:val="18"/>
        </w:rPr>
        <w:t>"</w:t>
      </w:r>
      <w:r w:rsidRPr="00272930">
        <w:rPr>
          <w:szCs w:val="18"/>
        </w:rPr>
        <w:t>dumped imports</w:t>
      </w:r>
      <w:r w:rsidR="00972276" w:rsidRPr="00272930">
        <w:rPr>
          <w:szCs w:val="18"/>
        </w:rPr>
        <w:t>"</w:t>
      </w:r>
      <w:r w:rsidRPr="00272930">
        <w:rPr>
          <w:szCs w:val="18"/>
        </w:rPr>
        <w:t xml:space="preserve"> in </w:t>
      </w:r>
      <w:r w:rsidR="000528F6" w:rsidRPr="00272930">
        <w:rPr>
          <w:szCs w:val="18"/>
        </w:rPr>
        <w:t>Articles </w:t>
      </w:r>
      <w:r w:rsidRPr="00272930">
        <w:rPr>
          <w:szCs w:val="18"/>
        </w:rPr>
        <w:t xml:space="preserve">3.1, 3.2, 3.4, and 3.5 of the Anti-Dumping Agreement to include imports of exporters determined to have </w:t>
      </w:r>
      <w:r w:rsidRPr="00272930">
        <w:rPr>
          <w:i/>
          <w:iCs/>
          <w:szCs w:val="18"/>
        </w:rPr>
        <w:t>de minimis</w:t>
      </w:r>
      <w:r w:rsidRPr="00272930">
        <w:rPr>
          <w:szCs w:val="18"/>
        </w:rPr>
        <w:t xml:space="preserve"> margins of dumping.</w:t>
      </w:r>
    </w:p>
    <w:p w14:paraId="7B1CA5E9" w14:textId="2CBCACFB" w:rsidR="00F572D3" w:rsidRPr="00272930" w:rsidRDefault="00F572D3" w:rsidP="00AE423B">
      <w:pPr>
        <w:pStyle w:val="BodyText"/>
        <w:numPr>
          <w:ilvl w:val="6"/>
          <w:numId w:val="7"/>
        </w:numPr>
        <w:rPr>
          <w:szCs w:val="18"/>
        </w:rPr>
      </w:pPr>
      <w:r w:rsidRPr="00272930">
        <w:t xml:space="preserve">The Arbitrators take due note of </w:t>
      </w:r>
      <w:r w:rsidR="00270F7B" w:rsidRPr="00272930">
        <w:t>paragraph </w:t>
      </w:r>
      <w:r w:rsidRPr="00272930">
        <w:t xml:space="preserve">12 of the Agreed Procedures, which mandates that the Award in this Arbitration be issued within 90 days of the filing of the Notice of Appeal, and which </w:t>
      </w:r>
      <w:r w:rsidRPr="00272930">
        <w:rPr>
          <w:szCs w:val="18"/>
        </w:rPr>
        <w:t xml:space="preserve">permits the Arbitrators to </w:t>
      </w:r>
      <w:r w:rsidR="00972276" w:rsidRPr="00272930">
        <w:rPr>
          <w:szCs w:val="18"/>
        </w:rPr>
        <w:t>"</w:t>
      </w:r>
      <w:r w:rsidRPr="00272930">
        <w:rPr>
          <w:szCs w:val="18"/>
        </w:rPr>
        <w:t>take appropriate organizational measures to streamline the proceedings</w:t>
      </w:r>
      <w:r w:rsidR="00972276" w:rsidRPr="00272930">
        <w:rPr>
          <w:szCs w:val="18"/>
        </w:rPr>
        <w:t>"</w:t>
      </w:r>
      <w:r w:rsidRPr="00272930">
        <w:rPr>
          <w:szCs w:val="18"/>
        </w:rPr>
        <w:t>.</w:t>
      </w:r>
      <w:r w:rsidR="00AE423B" w:rsidRPr="00272930">
        <w:rPr>
          <w:szCs w:val="18"/>
        </w:rPr>
        <w:t xml:space="preserve"> </w:t>
      </w:r>
      <w:r w:rsidR="00270F7B" w:rsidRPr="00272930">
        <w:rPr>
          <w:szCs w:val="18"/>
        </w:rPr>
        <w:t>Paragraph </w:t>
      </w:r>
      <w:r w:rsidR="00AE423B" w:rsidRPr="00272930">
        <w:rPr>
          <w:szCs w:val="18"/>
        </w:rPr>
        <w:t xml:space="preserve">13 of the Agreed Procedures further provides that </w:t>
      </w:r>
      <w:r w:rsidR="00807117">
        <w:rPr>
          <w:szCs w:val="18"/>
        </w:rPr>
        <w:t>"</w:t>
      </w:r>
      <w:r w:rsidR="00AE423B" w:rsidRPr="00272930">
        <w:rPr>
          <w:rFonts w:eastAsia="Times New Roman"/>
          <w:szCs w:val="18"/>
        </w:rPr>
        <w:t>the arbitrators may also propose substantive measures to the parties, such as an exclusion of claims based on the alleged lack of an objective assessment of the facts pursuant to Article</w:t>
      </w:r>
      <w:r w:rsidR="00F2224B" w:rsidRPr="00272930">
        <w:rPr>
          <w:rFonts w:eastAsia="Times New Roman"/>
          <w:szCs w:val="18"/>
        </w:rPr>
        <w:t> </w:t>
      </w:r>
      <w:r w:rsidR="00AE423B" w:rsidRPr="00272930">
        <w:rPr>
          <w:rFonts w:eastAsia="Times New Roman"/>
          <w:szCs w:val="18"/>
        </w:rPr>
        <w:t>11 of the DSU</w:t>
      </w:r>
      <w:r w:rsidR="00972276" w:rsidRPr="00272930">
        <w:rPr>
          <w:rFonts w:eastAsia="Times New Roman"/>
          <w:szCs w:val="18"/>
        </w:rPr>
        <w:t>"</w:t>
      </w:r>
      <w:r w:rsidR="00AE423B" w:rsidRPr="00272930">
        <w:rPr>
          <w:rFonts w:eastAsia="Times New Roman"/>
          <w:szCs w:val="18"/>
        </w:rPr>
        <w:t xml:space="preserve">. </w:t>
      </w:r>
      <w:r w:rsidRPr="00272930">
        <w:rPr>
          <w:szCs w:val="18"/>
        </w:rPr>
        <w:t>In a pre-</w:t>
      </w:r>
      <w:r w:rsidR="00B10BFA" w:rsidRPr="00272930">
        <w:rPr>
          <w:szCs w:val="18"/>
        </w:rPr>
        <w:t>appeal</w:t>
      </w:r>
      <w:r w:rsidRPr="00272930">
        <w:rPr>
          <w:szCs w:val="18"/>
        </w:rPr>
        <w:t xml:space="preserve"> letter sent to the parties on 19</w:t>
      </w:r>
      <w:r w:rsidR="00EC1BC6" w:rsidRPr="00272930">
        <w:rPr>
          <w:szCs w:val="18"/>
        </w:rPr>
        <w:t> </w:t>
      </w:r>
      <w:r w:rsidRPr="00272930">
        <w:rPr>
          <w:szCs w:val="18"/>
        </w:rPr>
        <w:t>September</w:t>
      </w:r>
      <w:r w:rsidR="00EC1BC6" w:rsidRPr="00272930">
        <w:rPr>
          <w:szCs w:val="18"/>
        </w:rPr>
        <w:t> </w:t>
      </w:r>
      <w:r w:rsidRPr="00272930">
        <w:rPr>
          <w:szCs w:val="18"/>
        </w:rPr>
        <w:t xml:space="preserve">2022, </w:t>
      </w:r>
      <w:r w:rsidR="00B10BFA" w:rsidRPr="00272930">
        <w:rPr>
          <w:szCs w:val="18"/>
        </w:rPr>
        <w:t>we provided</w:t>
      </w:r>
      <w:r w:rsidR="00397C4D" w:rsidRPr="00272930">
        <w:rPr>
          <w:szCs w:val="18"/>
        </w:rPr>
        <w:t xml:space="preserve"> </w:t>
      </w:r>
      <w:r w:rsidR="00B10BFA" w:rsidRPr="00272930">
        <w:rPr>
          <w:szCs w:val="18"/>
        </w:rPr>
        <w:t>guidelines on</w:t>
      </w:r>
      <w:r w:rsidR="00397C4D" w:rsidRPr="00272930">
        <w:rPr>
          <w:szCs w:val="18"/>
        </w:rPr>
        <w:t xml:space="preserve">, </w:t>
      </w:r>
      <w:r w:rsidR="00397C4D" w:rsidRPr="00272930">
        <w:rPr>
          <w:i/>
          <w:iCs/>
          <w:szCs w:val="18"/>
        </w:rPr>
        <w:t>inter</w:t>
      </w:r>
      <w:r w:rsidR="00F2224B" w:rsidRPr="00272930">
        <w:rPr>
          <w:i/>
          <w:iCs/>
          <w:szCs w:val="18"/>
        </w:rPr>
        <w:t> alia</w:t>
      </w:r>
      <w:r w:rsidR="00397C4D" w:rsidRPr="00272930">
        <w:rPr>
          <w:szCs w:val="18"/>
        </w:rPr>
        <w:t>,</w:t>
      </w:r>
      <w:r w:rsidR="00B10BFA" w:rsidRPr="00272930">
        <w:rPr>
          <w:szCs w:val="18"/>
        </w:rPr>
        <w:t xml:space="preserve"> the length of written submissions</w:t>
      </w:r>
      <w:r w:rsidR="00397C4D" w:rsidRPr="00272930">
        <w:rPr>
          <w:szCs w:val="18"/>
        </w:rPr>
        <w:t xml:space="preserve"> and hearings and the language of proceedings, and</w:t>
      </w:r>
      <w:r w:rsidR="00B10BFA" w:rsidRPr="00272930">
        <w:rPr>
          <w:szCs w:val="18"/>
        </w:rPr>
        <w:t xml:space="preserve"> </w:t>
      </w:r>
      <w:r w:rsidRPr="00272930">
        <w:rPr>
          <w:szCs w:val="18"/>
        </w:rPr>
        <w:t xml:space="preserve">the parties were encouraged </w:t>
      </w:r>
      <w:r w:rsidRPr="00272930">
        <w:t>to be selective in the number of claims they submitted on appeal and to refrain from making claims under Article</w:t>
      </w:r>
      <w:r w:rsidR="00F2224B" w:rsidRPr="00272930">
        <w:t> </w:t>
      </w:r>
      <w:r w:rsidRPr="00272930">
        <w:t>11 of the DSU.</w:t>
      </w:r>
      <w:r w:rsidR="001A21F6" w:rsidRPr="00272930">
        <w:rPr>
          <w:rStyle w:val="FootnoteReference"/>
        </w:rPr>
        <w:footnoteReference w:id="28"/>
      </w:r>
      <w:r w:rsidRPr="00272930">
        <w:t xml:space="preserve"> During these proceedings, Colombia </w:t>
      </w:r>
      <w:r w:rsidR="00397C4D" w:rsidRPr="00272930">
        <w:t xml:space="preserve">agreed to conduct proceedings in English and </w:t>
      </w:r>
      <w:r w:rsidRPr="00272930">
        <w:t>explained to us that it had deliberately limited the claims on appeal and brought no claims under Article</w:t>
      </w:r>
      <w:r w:rsidR="00F2224B" w:rsidRPr="00272930">
        <w:t> </w:t>
      </w:r>
      <w:r w:rsidRPr="00272930">
        <w:t>11 of the DSU. The Arbitrators wish to acknowledge Colombia</w:t>
      </w:r>
      <w:r w:rsidR="00972276" w:rsidRPr="00272930">
        <w:t>'</w:t>
      </w:r>
      <w:r w:rsidRPr="00272930">
        <w:t>s efforts in this Arbitration in a manner facilitating the issuance of the Award in a timely manner.</w:t>
      </w:r>
    </w:p>
    <w:p w14:paraId="1515DF4C" w14:textId="5A779029" w:rsidR="00F572D3" w:rsidRPr="00272930" w:rsidRDefault="00F572D3" w:rsidP="00B709B7">
      <w:pPr>
        <w:pStyle w:val="Heading2"/>
        <w:numPr>
          <w:ilvl w:val="1"/>
          <w:numId w:val="7"/>
        </w:numPr>
        <w:rPr>
          <w:szCs w:val="18"/>
        </w:rPr>
      </w:pPr>
      <w:bookmarkStart w:id="29" w:name="_Toc122339707"/>
      <w:r w:rsidRPr="00272930">
        <w:rPr>
          <w:szCs w:val="18"/>
        </w:rPr>
        <w:t xml:space="preserve">Claim under </w:t>
      </w:r>
      <w:r w:rsidR="000528F6" w:rsidRPr="00272930">
        <w:rPr>
          <w:szCs w:val="18"/>
        </w:rPr>
        <w:t>Articles </w:t>
      </w:r>
      <w:r w:rsidRPr="00272930">
        <w:rPr>
          <w:szCs w:val="18"/>
        </w:rPr>
        <w:t>5.2(iii) and 5.3 of the Anti-Dumping Agreement</w:t>
      </w:r>
      <w:bookmarkEnd w:id="29"/>
    </w:p>
    <w:p w14:paraId="03241FA2" w14:textId="77777777" w:rsidR="00F572D3" w:rsidRPr="00272930" w:rsidRDefault="00F572D3" w:rsidP="00B709B7">
      <w:pPr>
        <w:pStyle w:val="Heading3"/>
        <w:numPr>
          <w:ilvl w:val="2"/>
          <w:numId w:val="7"/>
        </w:numPr>
      </w:pPr>
      <w:bookmarkStart w:id="30" w:name="_Toc122339708"/>
      <w:r w:rsidRPr="00272930">
        <w:t>Introduction and Panel findings</w:t>
      </w:r>
      <w:bookmarkEnd w:id="30"/>
    </w:p>
    <w:p w14:paraId="1BDE4619" w14:textId="06356906" w:rsidR="00F572D3" w:rsidRPr="00272930" w:rsidRDefault="00F572D3" w:rsidP="00B709B7">
      <w:pPr>
        <w:pStyle w:val="BodyText"/>
        <w:numPr>
          <w:ilvl w:val="6"/>
          <w:numId w:val="7"/>
        </w:numPr>
        <w:rPr>
          <w:szCs w:val="18"/>
        </w:rPr>
      </w:pPr>
      <w:r w:rsidRPr="00272930">
        <w:rPr>
          <w:szCs w:val="18"/>
        </w:rPr>
        <w:t>Colombia challenges the Panel</w:t>
      </w:r>
      <w:r w:rsidR="00972276" w:rsidRPr="00272930">
        <w:rPr>
          <w:szCs w:val="18"/>
        </w:rPr>
        <w:t>'</w:t>
      </w:r>
      <w:r w:rsidRPr="00272930">
        <w:rPr>
          <w:szCs w:val="18"/>
        </w:rPr>
        <w:t>s finding that Colombia acted inconsistently with Article</w:t>
      </w:r>
      <w:r w:rsidR="00F2224B" w:rsidRPr="00272930">
        <w:rPr>
          <w:szCs w:val="18"/>
        </w:rPr>
        <w:t> </w:t>
      </w:r>
      <w:r w:rsidRPr="00272930">
        <w:rPr>
          <w:szCs w:val="18"/>
        </w:rPr>
        <w:t>5.3 of the Anti</w:t>
      </w:r>
      <w:r w:rsidR="000528F6" w:rsidRPr="00272930">
        <w:rPr>
          <w:szCs w:val="18"/>
        </w:rPr>
        <w:noBreakHyphen/>
      </w:r>
      <w:r w:rsidRPr="00272930">
        <w:rPr>
          <w:szCs w:val="18"/>
        </w:rPr>
        <w:t>Dumping Agreement because MINCIT initiated the investigation at issue without examining whether the applicant</w:t>
      </w:r>
      <w:r w:rsidR="00972276" w:rsidRPr="00272930">
        <w:rPr>
          <w:szCs w:val="18"/>
        </w:rPr>
        <w:t>'</w:t>
      </w:r>
      <w:r w:rsidRPr="00272930">
        <w:rPr>
          <w:szCs w:val="18"/>
        </w:rPr>
        <w:t xml:space="preserve">s use of third-country sales prices, instead of domestic sales prices, as a basis for normal value, was </w:t>
      </w:r>
      <w:r w:rsidR="00972276" w:rsidRPr="00272930">
        <w:rPr>
          <w:szCs w:val="18"/>
        </w:rPr>
        <w:t>"</w:t>
      </w:r>
      <w:r w:rsidRPr="00272930">
        <w:rPr>
          <w:szCs w:val="18"/>
        </w:rPr>
        <w:t>appropriate</w:t>
      </w:r>
      <w:r w:rsidR="00972276" w:rsidRPr="00272930">
        <w:rPr>
          <w:szCs w:val="18"/>
        </w:rPr>
        <w:t>"</w:t>
      </w:r>
      <w:r w:rsidRPr="00272930">
        <w:rPr>
          <w:szCs w:val="18"/>
        </w:rPr>
        <w:t>.</w:t>
      </w:r>
      <w:r w:rsidRPr="00272930">
        <w:rPr>
          <w:rStyle w:val="FootnoteReference"/>
          <w:szCs w:val="18"/>
        </w:rPr>
        <w:footnoteReference w:id="29"/>
      </w:r>
      <w:r w:rsidRPr="00272930">
        <w:rPr>
          <w:szCs w:val="18"/>
        </w:rPr>
        <w:t xml:space="preserve"> Colombia focuses its appeal on the Panel</w:t>
      </w:r>
      <w:r w:rsidR="00972276" w:rsidRPr="00272930">
        <w:rPr>
          <w:szCs w:val="18"/>
        </w:rPr>
        <w:t>'</w:t>
      </w:r>
      <w:r w:rsidRPr="00272930">
        <w:rPr>
          <w:szCs w:val="18"/>
        </w:rPr>
        <w:t xml:space="preserve">s understanding of the phrase </w:t>
      </w:r>
      <w:r w:rsidR="00972276" w:rsidRPr="00272930">
        <w:rPr>
          <w:szCs w:val="18"/>
        </w:rPr>
        <w:t>"</w:t>
      </w:r>
      <w:r w:rsidRPr="00272930">
        <w:rPr>
          <w:szCs w:val="18"/>
        </w:rPr>
        <w:t>where appropriate</w:t>
      </w:r>
      <w:r w:rsidR="00972276" w:rsidRPr="00272930">
        <w:rPr>
          <w:szCs w:val="18"/>
        </w:rPr>
        <w:t>"</w:t>
      </w:r>
      <w:r w:rsidRPr="00272930">
        <w:rPr>
          <w:szCs w:val="18"/>
        </w:rPr>
        <w:t xml:space="preserve"> in Article</w:t>
      </w:r>
      <w:r w:rsidR="00F2224B" w:rsidRPr="00272930">
        <w:rPr>
          <w:szCs w:val="18"/>
        </w:rPr>
        <w:t> </w:t>
      </w:r>
      <w:r w:rsidRPr="00272930">
        <w:rPr>
          <w:szCs w:val="18"/>
        </w:rPr>
        <w:t>5.2(iii)</w:t>
      </w:r>
      <w:r w:rsidRPr="00272930">
        <w:rPr>
          <w:rStyle w:val="FootnoteReference"/>
          <w:szCs w:val="18"/>
        </w:rPr>
        <w:footnoteReference w:id="30"/>
      </w:r>
      <w:r w:rsidRPr="00272930">
        <w:rPr>
          <w:szCs w:val="18"/>
        </w:rPr>
        <w:t xml:space="preserve"> and the Panel</w:t>
      </w:r>
      <w:r w:rsidR="00972276" w:rsidRPr="00272930">
        <w:rPr>
          <w:szCs w:val="18"/>
        </w:rPr>
        <w:t>'</w:t>
      </w:r>
      <w:r w:rsidRPr="00272930">
        <w:rPr>
          <w:szCs w:val="18"/>
        </w:rPr>
        <w:t xml:space="preserve">s disregard for the alleged </w:t>
      </w:r>
      <w:r w:rsidR="00972276" w:rsidRPr="00272930">
        <w:rPr>
          <w:szCs w:val="18"/>
        </w:rPr>
        <w:t>"</w:t>
      </w:r>
      <w:r w:rsidRPr="00272930">
        <w:rPr>
          <w:szCs w:val="18"/>
        </w:rPr>
        <w:t>free choice</w:t>
      </w:r>
      <w:r w:rsidR="00972276" w:rsidRPr="00272930">
        <w:rPr>
          <w:szCs w:val="18"/>
        </w:rPr>
        <w:t>"</w:t>
      </w:r>
      <w:r w:rsidRPr="00272930">
        <w:rPr>
          <w:szCs w:val="18"/>
        </w:rPr>
        <w:t xml:space="preserve"> an applicant </w:t>
      </w:r>
      <w:r w:rsidR="00BE432C" w:rsidRPr="00272930">
        <w:rPr>
          <w:szCs w:val="18"/>
        </w:rPr>
        <w:t>has</w:t>
      </w:r>
      <w:r w:rsidRPr="00272930">
        <w:rPr>
          <w:szCs w:val="18"/>
        </w:rPr>
        <w:t xml:space="preserve"> in the selection of pricing information used as a basis for normal value at the initiation stage of an anti</w:t>
      </w:r>
      <w:r w:rsidR="000528F6" w:rsidRPr="00272930">
        <w:rPr>
          <w:szCs w:val="18"/>
        </w:rPr>
        <w:noBreakHyphen/>
      </w:r>
      <w:r w:rsidRPr="00272930">
        <w:rPr>
          <w:szCs w:val="18"/>
        </w:rPr>
        <w:t>dumping proceeding.</w:t>
      </w:r>
    </w:p>
    <w:p w14:paraId="3933E20F" w14:textId="01B69FAB" w:rsidR="00F572D3" w:rsidRPr="00272930" w:rsidRDefault="000528F6" w:rsidP="000528F6">
      <w:pPr>
        <w:pStyle w:val="BodyText"/>
        <w:keepNext/>
        <w:numPr>
          <w:ilvl w:val="6"/>
          <w:numId w:val="7"/>
        </w:numPr>
        <w:rPr>
          <w:szCs w:val="18"/>
        </w:rPr>
      </w:pPr>
      <w:r w:rsidRPr="00272930">
        <w:rPr>
          <w:szCs w:val="18"/>
        </w:rPr>
        <w:lastRenderedPageBreak/>
        <w:t>Articles </w:t>
      </w:r>
      <w:r w:rsidR="00F572D3" w:rsidRPr="00272930">
        <w:rPr>
          <w:szCs w:val="18"/>
        </w:rPr>
        <w:t>5.2(iii) and 5.3 of the Anti</w:t>
      </w:r>
      <w:r w:rsidRPr="00272930">
        <w:rPr>
          <w:szCs w:val="18"/>
        </w:rPr>
        <w:noBreakHyphen/>
      </w:r>
      <w:r w:rsidR="00F572D3" w:rsidRPr="00272930">
        <w:rPr>
          <w:szCs w:val="18"/>
        </w:rPr>
        <w:t>Dumping Agreement provide:</w:t>
      </w:r>
    </w:p>
    <w:tbl>
      <w:tblPr>
        <w:tblW w:w="9072" w:type="dxa"/>
        <w:tblBorders>
          <w:insideH w:val="single" w:sz="6" w:space="0" w:color="FFFFFF"/>
        </w:tblBorders>
        <w:tblLayout w:type="fixed"/>
        <w:tblCellMar>
          <w:top w:w="57" w:type="dxa"/>
          <w:left w:w="170" w:type="dxa"/>
          <w:bottom w:w="57" w:type="dxa"/>
          <w:right w:w="170" w:type="dxa"/>
        </w:tblCellMar>
        <w:tblLook w:val="04A0" w:firstRow="1" w:lastRow="0" w:firstColumn="1" w:lastColumn="0" w:noHBand="0" w:noVBand="1"/>
      </w:tblPr>
      <w:tblGrid>
        <w:gridCol w:w="9072"/>
      </w:tblGrid>
      <w:tr w:rsidR="00F572D3" w:rsidRPr="00272930" w14:paraId="73CB22E0" w14:textId="77777777" w:rsidTr="001874F9">
        <w:tc>
          <w:tcPr>
            <w:tcW w:w="9072" w:type="dxa"/>
            <w:shd w:val="clear" w:color="auto" w:fill="C9DED4"/>
          </w:tcPr>
          <w:p w14:paraId="1674340A" w14:textId="0D66728C" w:rsidR="00F572D3" w:rsidRPr="00272930" w:rsidRDefault="00F572D3" w:rsidP="000528F6">
            <w:pPr>
              <w:keepNext/>
              <w:spacing w:before="120" w:after="120"/>
              <w:jc w:val="center"/>
            </w:pPr>
            <w:bookmarkStart w:id="31" w:name="_Hlk120536829"/>
            <w:r w:rsidRPr="00272930">
              <w:t>Article</w:t>
            </w:r>
            <w:r w:rsidR="00F2224B" w:rsidRPr="00272930">
              <w:t> </w:t>
            </w:r>
            <w:r w:rsidRPr="00272930">
              <w:t>5</w:t>
            </w:r>
          </w:p>
          <w:p w14:paraId="02FD2E44" w14:textId="77777777" w:rsidR="00F572D3" w:rsidRPr="00272930" w:rsidRDefault="00F572D3" w:rsidP="000528F6">
            <w:pPr>
              <w:keepNext/>
              <w:spacing w:before="120" w:after="120"/>
              <w:jc w:val="center"/>
              <w:rPr>
                <w:i/>
                <w:iCs/>
              </w:rPr>
            </w:pPr>
            <w:r w:rsidRPr="00272930">
              <w:rPr>
                <w:i/>
                <w:iCs/>
              </w:rPr>
              <w:t>Initiation and Subsequent Investigation</w:t>
            </w:r>
          </w:p>
          <w:p w14:paraId="6D7D2E13" w14:textId="2F67978C" w:rsidR="00F572D3" w:rsidRPr="00272930" w:rsidRDefault="00F572D3" w:rsidP="000528F6">
            <w:pPr>
              <w:keepNext/>
              <w:spacing w:before="120" w:after="120"/>
            </w:pPr>
            <w:r w:rsidRPr="00272930">
              <w:t>5.2</w:t>
            </w:r>
            <w:r w:rsidRPr="00272930">
              <w:tab/>
              <w:t xml:space="preserve">An application under paragraph 1 shall include evidence of </w:t>
            </w:r>
            <w:r w:rsidRPr="00272930">
              <w:rPr>
                <w:iCs/>
              </w:rPr>
              <w:t>(a)</w:t>
            </w:r>
            <w:r w:rsidRPr="00272930">
              <w:rPr>
                <w:i/>
              </w:rPr>
              <w:t> </w:t>
            </w:r>
            <w:r w:rsidRPr="00272930">
              <w:t xml:space="preserve">dumping, </w:t>
            </w:r>
            <w:r w:rsidRPr="00272930">
              <w:rPr>
                <w:iCs/>
              </w:rPr>
              <w:t>(b)</w:t>
            </w:r>
            <w:r w:rsidRPr="00272930">
              <w:rPr>
                <w:i/>
              </w:rPr>
              <w:t> </w:t>
            </w:r>
            <w:r w:rsidRPr="00272930">
              <w:t xml:space="preserve">injury within the meaning of Article VI of GATT 1994 as interpreted by this Agreement and </w:t>
            </w:r>
            <w:r w:rsidRPr="00272930">
              <w:rPr>
                <w:iCs/>
              </w:rPr>
              <w:t>(c)</w:t>
            </w:r>
            <w:r w:rsidRPr="00272930">
              <w:rPr>
                <w:i/>
              </w:rPr>
              <w:t> </w:t>
            </w:r>
            <w:r w:rsidRPr="00272930">
              <w:t>a causal link between the dumped imports and the alleged injury.</w:t>
            </w:r>
            <w:r w:rsidR="00591744" w:rsidRPr="00272930">
              <w:t xml:space="preserve"> </w:t>
            </w:r>
            <w:r w:rsidRPr="00272930">
              <w:t>Simple assertion, unsubstantiated by relevant evidence, cannot be considered sufficient to meet the requirements of this paragraph. The application shall contain such information as is reasonably available to the applicant on the following:</w:t>
            </w:r>
          </w:p>
          <w:p w14:paraId="765D74CD" w14:textId="77777777" w:rsidR="00F572D3" w:rsidRPr="00272930" w:rsidRDefault="00F572D3" w:rsidP="000528F6">
            <w:pPr>
              <w:keepNext/>
              <w:spacing w:before="120" w:after="120"/>
            </w:pPr>
            <w:r w:rsidRPr="00272930">
              <w:t>…</w:t>
            </w:r>
          </w:p>
          <w:p w14:paraId="7A56DDDF" w14:textId="342D9CF8" w:rsidR="00F572D3" w:rsidRPr="00272930" w:rsidRDefault="00F572D3" w:rsidP="000528F6">
            <w:pPr>
              <w:keepNext/>
              <w:spacing w:after="120"/>
              <w:ind w:left="567"/>
            </w:pPr>
            <w:r w:rsidRPr="00272930">
              <w:t xml:space="preserve">(iii) information on prices at which the product in question is sold when destined for consumption in the domestic markets of the country or countries of origin or export (or, </w:t>
            </w:r>
            <w:r w:rsidRPr="00272930">
              <w:rPr>
                <w:u w:val="single"/>
              </w:rPr>
              <w:t>where appropriate</w:t>
            </w:r>
            <w:r w:rsidRPr="00272930">
              <w:t>, information on the prices at which the product is sold from the country or countries of origin or export to a third country or countries, or on the constructed value of the product) and information on export prices or, where appropriate, on the prices at which the product is first resold to an independent buyer in the territory of the importing Member;</w:t>
            </w:r>
          </w:p>
          <w:p w14:paraId="718AA886" w14:textId="77777777" w:rsidR="00F572D3" w:rsidRPr="00272930" w:rsidRDefault="00F572D3" w:rsidP="000528F6">
            <w:pPr>
              <w:keepNext/>
              <w:spacing w:after="120"/>
            </w:pPr>
            <w:r w:rsidRPr="00272930">
              <w:t>…</w:t>
            </w:r>
          </w:p>
          <w:p w14:paraId="4E96B96D" w14:textId="54EB9808" w:rsidR="008678A7" w:rsidRPr="00272930" w:rsidRDefault="00F572D3" w:rsidP="000528F6">
            <w:pPr>
              <w:keepNext/>
            </w:pPr>
            <w:r w:rsidRPr="00272930">
              <w:t>5.3</w:t>
            </w:r>
            <w:r w:rsidRPr="00272930">
              <w:tab/>
              <w:t>The authorities shall examine the accuracy and adequacy of the evidence provided in the application to determine whether there is sufficient evidence to justify the initiation of an investigation.</w:t>
            </w:r>
          </w:p>
          <w:p w14:paraId="6F7007E6" w14:textId="6D343EC0" w:rsidR="00F572D3" w:rsidRPr="00272930" w:rsidRDefault="00F572D3" w:rsidP="000528F6">
            <w:pPr>
              <w:keepNext/>
            </w:pPr>
          </w:p>
          <w:p w14:paraId="37EC000F" w14:textId="11D803D0" w:rsidR="00F572D3" w:rsidRPr="00272930" w:rsidRDefault="008678A7" w:rsidP="000528F6">
            <w:pPr>
              <w:keepNext/>
              <w:rPr>
                <w:szCs w:val="18"/>
              </w:rPr>
            </w:pPr>
            <w:r w:rsidRPr="00272930">
              <w:t>(</w:t>
            </w:r>
            <w:proofErr w:type="gramStart"/>
            <w:r w:rsidRPr="00272930">
              <w:t>underlining</w:t>
            </w:r>
            <w:proofErr w:type="gramEnd"/>
            <w:r w:rsidRPr="00272930">
              <w:t xml:space="preserve"> added)</w:t>
            </w:r>
          </w:p>
        </w:tc>
        <w:bookmarkEnd w:id="31"/>
      </w:tr>
    </w:tbl>
    <w:p w14:paraId="5305ED00" w14:textId="77777777" w:rsidR="00F572D3" w:rsidRPr="00272930" w:rsidRDefault="00F572D3" w:rsidP="00B709B7">
      <w:pPr>
        <w:pStyle w:val="BodyText"/>
        <w:numPr>
          <w:ilvl w:val="0"/>
          <w:numId w:val="0"/>
        </w:numPr>
        <w:spacing w:after="120"/>
        <w:rPr>
          <w:szCs w:val="18"/>
        </w:rPr>
      </w:pPr>
    </w:p>
    <w:p w14:paraId="2561FC22" w14:textId="6C270723" w:rsidR="00F572D3" w:rsidRPr="00272930" w:rsidRDefault="00F572D3" w:rsidP="00B709B7">
      <w:pPr>
        <w:pStyle w:val="BodyText"/>
        <w:numPr>
          <w:ilvl w:val="6"/>
          <w:numId w:val="18"/>
        </w:numPr>
        <w:rPr>
          <w:szCs w:val="18"/>
        </w:rPr>
      </w:pPr>
      <w:r w:rsidRPr="00272930">
        <w:rPr>
          <w:szCs w:val="18"/>
        </w:rPr>
        <w:t xml:space="preserve">The Panel found </w:t>
      </w:r>
      <w:r w:rsidR="00972276" w:rsidRPr="00272930">
        <w:rPr>
          <w:szCs w:val="18"/>
        </w:rPr>
        <w:t>"</w:t>
      </w:r>
      <w:r w:rsidRPr="00272930">
        <w:rPr>
          <w:szCs w:val="18"/>
        </w:rPr>
        <w:t>an explicit connection or link</w:t>
      </w:r>
      <w:r w:rsidR="00972276" w:rsidRPr="00272930">
        <w:rPr>
          <w:szCs w:val="18"/>
        </w:rPr>
        <w:t>"</w:t>
      </w:r>
      <w:r w:rsidRPr="00272930">
        <w:rPr>
          <w:szCs w:val="18"/>
        </w:rPr>
        <w:t xml:space="preserve"> between </w:t>
      </w:r>
      <w:r w:rsidR="000528F6" w:rsidRPr="00272930">
        <w:rPr>
          <w:szCs w:val="18"/>
        </w:rPr>
        <w:t>Articles </w:t>
      </w:r>
      <w:r w:rsidRPr="00272930">
        <w:rPr>
          <w:szCs w:val="18"/>
        </w:rPr>
        <w:t>5.2(iii) and 5.3.</w:t>
      </w:r>
      <w:r w:rsidRPr="00272930">
        <w:rPr>
          <w:rStyle w:val="FootnoteReference"/>
          <w:szCs w:val="18"/>
        </w:rPr>
        <w:footnoteReference w:id="31"/>
      </w:r>
      <w:r w:rsidRPr="00272930">
        <w:rPr>
          <w:szCs w:val="18"/>
        </w:rPr>
        <w:t xml:space="preserve"> The Panel noted that, under Article</w:t>
      </w:r>
      <w:r w:rsidR="00F2224B" w:rsidRPr="00272930">
        <w:rPr>
          <w:szCs w:val="18"/>
        </w:rPr>
        <w:t> </w:t>
      </w:r>
      <w:r w:rsidRPr="00272930">
        <w:rPr>
          <w:szCs w:val="18"/>
        </w:rPr>
        <w:t xml:space="preserve">5.2(iii), the possibility of providing third-country sales prices and constructed value was, </w:t>
      </w:r>
      <w:r w:rsidR="00972276" w:rsidRPr="00272930">
        <w:rPr>
          <w:szCs w:val="18"/>
        </w:rPr>
        <w:t>"</w:t>
      </w:r>
      <w:r w:rsidRPr="00272930">
        <w:rPr>
          <w:i/>
          <w:iCs/>
          <w:szCs w:val="18"/>
        </w:rPr>
        <w:t>unlike the case of domestic sales prices</w:t>
      </w:r>
      <w:r w:rsidRPr="00272930">
        <w:rPr>
          <w:szCs w:val="18"/>
        </w:rPr>
        <w:t xml:space="preserve">, textually limited to </w:t>
      </w:r>
      <w:r w:rsidR="00972276" w:rsidRPr="00272930">
        <w:rPr>
          <w:szCs w:val="18"/>
        </w:rPr>
        <w:t>'</w:t>
      </w:r>
      <w:r w:rsidRPr="00272930">
        <w:rPr>
          <w:szCs w:val="18"/>
        </w:rPr>
        <w:t>where</w:t>
      </w:r>
      <w:r w:rsidR="00972276" w:rsidRPr="00272930">
        <w:rPr>
          <w:szCs w:val="18"/>
        </w:rPr>
        <w:t>'</w:t>
      </w:r>
      <w:r w:rsidRPr="00272930">
        <w:rPr>
          <w:szCs w:val="18"/>
        </w:rPr>
        <w:t xml:space="preserve"> this is </w:t>
      </w:r>
      <w:r w:rsidR="00972276" w:rsidRPr="00272930">
        <w:rPr>
          <w:szCs w:val="18"/>
        </w:rPr>
        <w:t>'</w:t>
      </w:r>
      <w:r w:rsidRPr="00272930">
        <w:rPr>
          <w:szCs w:val="18"/>
        </w:rPr>
        <w:t>appropriate</w:t>
      </w:r>
      <w:r w:rsidR="00972276" w:rsidRPr="00272930">
        <w:rPr>
          <w:szCs w:val="18"/>
        </w:rPr>
        <w:t>'</w:t>
      </w:r>
      <w:r w:rsidRPr="00272930">
        <w:rPr>
          <w:szCs w:val="18"/>
        </w:rPr>
        <w:t xml:space="preserve"> and forms part of a parenthetical text</w:t>
      </w:r>
      <w:r w:rsidR="00972276" w:rsidRPr="00272930">
        <w:rPr>
          <w:szCs w:val="18"/>
        </w:rPr>
        <w:t>"</w:t>
      </w:r>
      <w:r w:rsidRPr="00272930">
        <w:rPr>
          <w:szCs w:val="18"/>
        </w:rPr>
        <w:t>.</w:t>
      </w:r>
      <w:r w:rsidRPr="00272930">
        <w:rPr>
          <w:rStyle w:val="FootnoteReference"/>
          <w:szCs w:val="18"/>
        </w:rPr>
        <w:footnoteReference w:id="32"/>
      </w:r>
      <w:r w:rsidRPr="00272930">
        <w:rPr>
          <w:szCs w:val="18"/>
        </w:rPr>
        <w:t xml:space="preserve"> For </w:t>
      </w:r>
      <w:r w:rsidR="009B0B56" w:rsidRPr="00272930">
        <w:rPr>
          <w:szCs w:val="18"/>
        </w:rPr>
        <w:t xml:space="preserve">the </w:t>
      </w:r>
      <w:r w:rsidRPr="00272930">
        <w:rPr>
          <w:szCs w:val="18"/>
        </w:rPr>
        <w:t>purposes of an authority</w:t>
      </w:r>
      <w:r w:rsidR="00972276" w:rsidRPr="00272930">
        <w:rPr>
          <w:szCs w:val="18"/>
        </w:rPr>
        <w:t>'</w:t>
      </w:r>
      <w:r w:rsidRPr="00272930">
        <w:rPr>
          <w:szCs w:val="18"/>
        </w:rPr>
        <w:t xml:space="preserve">s examination under Article 5.3, the Panel found </w:t>
      </w:r>
      <w:r w:rsidR="00397C4D" w:rsidRPr="00272930">
        <w:rPr>
          <w:szCs w:val="18"/>
        </w:rPr>
        <w:t xml:space="preserve">that </w:t>
      </w:r>
      <w:r w:rsidRPr="00272930">
        <w:rPr>
          <w:szCs w:val="18"/>
        </w:rPr>
        <w:t xml:space="preserve">the use of the phrase </w:t>
      </w:r>
      <w:r w:rsidR="00972276" w:rsidRPr="00272930">
        <w:rPr>
          <w:szCs w:val="18"/>
        </w:rPr>
        <w:t>"</w:t>
      </w:r>
      <w:r w:rsidRPr="00272930">
        <w:rPr>
          <w:szCs w:val="18"/>
        </w:rPr>
        <w:t>where appropriate</w:t>
      </w:r>
      <w:r w:rsidR="00972276" w:rsidRPr="00272930">
        <w:rPr>
          <w:szCs w:val="18"/>
        </w:rPr>
        <w:t>"</w:t>
      </w:r>
      <w:r w:rsidRPr="00272930">
        <w:rPr>
          <w:szCs w:val="18"/>
        </w:rPr>
        <w:t xml:space="preserve"> implies, </w:t>
      </w:r>
      <w:r w:rsidR="00972276" w:rsidRPr="00272930">
        <w:rPr>
          <w:szCs w:val="18"/>
        </w:rPr>
        <w:t>"</w:t>
      </w:r>
      <w:r w:rsidRPr="00272930">
        <w:rPr>
          <w:szCs w:val="18"/>
        </w:rPr>
        <w:t xml:space="preserve">at a minimum, the exercise of judgment as to the fitness, suitability, or </w:t>
      </w:r>
      <w:r w:rsidR="00972276" w:rsidRPr="00272930">
        <w:rPr>
          <w:szCs w:val="18"/>
        </w:rPr>
        <w:t>'</w:t>
      </w:r>
      <w:r w:rsidRPr="00272930">
        <w:rPr>
          <w:szCs w:val="18"/>
        </w:rPr>
        <w:t>appropriateness</w:t>
      </w:r>
      <w:r w:rsidR="009B0B56" w:rsidRPr="00272930">
        <w:rPr>
          <w:szCs w:val="18"/>
        </w:rPr>
        <w:t>'</w:t>
      </w:r>
      <w:r w:rsidRPr="00272930">
        <w:rPr>
          <w:szCs w:val="18"/>
        </w:rPr>
        <w:t>, of using third</w:t>
      </w:r>
      <w:r w:rsidRPr="00272930">
        <w:rPr>
          <w:szCs w:val="18"/>
        </w:rPr>
        <w:noBreakHyphen/>
        <w:t xml:space="preserve">country sales prices, </w:t>
      </w:r>
      <w:r w:rsidRPr="00272930">
        <w:rPr>
          <w:i/>
          <w:iCs/>
          <w:szCs w:val="18"/>
        </w:rPr>
        <w:t>instead of domestic sales prices</w:t>
      </w:r>
      <w:r w:rsidRPr="00272930">
        <w:rPr>
          <w:szCs w:val="18"/>
        </w:rPr>
        <w:t>, in light of the specific situation at hand</w:t>
      </w:r>
      <w:r w:rsidR="00972276" w:rsidRPr="00272930">
        <w:rPr>
          <w:szCs w:val="18"/>
        </w:rPr>
        <w:t>"</w:t>
      </w:r>
      <w:r w:rsidRPr="00272930">
        <w:rPr>
          <w:szCs w:val="18"/>
        </w:rPr>
        <w:t>.</w:t>
      </w:r>
      <w:r w:rsidRPr="00272930">
        <w:rPr>
          <w:rStyle w:val="FootnoteReference"/>
          <w:szCs w:val="18"/>
        </w:rPr>
        <w:footnoteReference w:id="33"/>
      </w:r>
      <w:r w:rsidRPr="00272930">
        <w:rPr>
          <w:szCs w:val="18"/>
        </w:rPr>
        <w:t xml:space="preserve"> The Panel therefore disagreed with Colombia</w:t>
      </w:r>
      <w:r w:rsidR="00972276" w:rsidRPr="00272930">
        <w:rPr>
          <w:szCs w:val="18"/>
        </w:rPr>
        <w:t>'</w:t>
      </w:r>
      <w:r w:rsidRPr="00272930">
        <w:rPr>
          <w:szCs w:val="18"/>
        </w:rPr>
        <w:t xml:space="preserve">s interpretation that the phrase </w:t>
      </w:r>
      <w:r w:rsidR="00972276" w:rsidRPr="00272930">
        <w:rPr>
          <w:szCs w:val="18"/>
        </w:rPr>
        <w:t>"</w:t>
      </w:r>
      <w:r w:rsidRPr="00272930">
        <w:rPr>
          <w:szCs w:val="18"/>
        </w:rPr>
        <w:t>where appropriate</w:t>
      </w:r>
      <w:r w:rsidR="00972276" w:rsidRPr="00272930">
        <w:rPr>
          <w:szCs w:val="18"/>
        </w:rPr>
        <w:t>"</w:t>
      </w:r>
      <w:r w:rsidRPr="00272930">
        <w:rPr>
          <w:szCs w:val="18"/>
        </w:rPr>
        <w:t xml:space="preserve"> indicates </w:t>
      </w:r>
      <w:r w:rsidR="00972276" w:rsidRPr="00272930">
        <w:rPr>
          <w:szCs w:val="18"/>
        </w:rPr>
        <w:t>"</w:t>
      </w:r>
      <w:r w:rsidRPr="00272930">
        <w:rPr>
          <w:szCs w:val="18"/>
        </w:rPr>
        <w:t xml:space="preserve">that an applicant enjoys complete </w:t>
      </w:r>
      <w:r w:rsidR="00972276" w:rsidRPr="00272930">
        <w:rPr>
          <w:szCs w:val="18"/>
        </w:rPr>
        <w:t>'</w:t>
      </w:r>
      <w:r w:rsidRPr="00272930">
        <w:rPr>
          <w:szCs w:val="18"/>
        </w:rPr>
        <w:t>free choice</w:t>
      </w:r>
      <w:r w:rsidR="00972276" w:rsidRPr="00272930">
        <w:rPr>
          <w:szCs w:val="18"/>
        </w:rPr>
        <w:t>'</w:t>
      </w:r>
      <w:r w:rsidRPr="00272930">
        <w:rPr>
          <w:szCs w:val="18"/>
        </w:rPr>
        <w:t xml:space="preserve"> to submit any information that it desires for calculating normal value</w:t>
      </w:r>
      <w:r w:rsidR="00972276" w:rsidRPr="00272930">
        <w:rPr>
          <w:szCs w:val="18"/>
        </w:rPr>
        <w:t>"</w:t>
      </w:r>
      <w:r w:rsidRPr="00272930">
        <w:rPr>
          <w:szCs w:val="18"/>
        </w:rPr>
        <w:t xml:space="preserve">, noting that it would deny any effect to the meaning or placement of </w:t>
      </w:r>
      <w:r w:rsidR="00972276" w:rsidRPr="00272930">
        <w:rPr>
          <w:szCs w:val="18"/>
        </w:rPr>
        <w:t>"</w:t>
      </w:r>
      <w:r w:rsidRPr="00272930">
        <w:rPr>
          <w:szCs w:val="18"/>
        </w:rPr>
        <w:t>where appropriate</w:t>
      </w:r>
      <w:r w:rsidR="00972276" w:rsidRPr="00272930">
        <w:rPr>
          <w:szCs w:val="18"/>
        </w:rPr>
        <w:t>"</w:t>
      </w:r>
      <w:r w:rsidRPr="00272930">
        <w:rPr>
          <w:szCs w:val="18"/>
        </w:rPr>
        <w:t>, contrary to the principle of effective treaty interpretation.</w:t>
      </w:r>
      <w:r w:rsidRPr="00272930">
        <w:rPr>
          <w:rStyle w:val="FootnoteReference"/>
          <w:szCs w:val="18"/>
        </w:rPr>
        <w:footnoteReference w:id="34"/>
      </w:r>
    </w:p>
    <w:p w14:paraId="3B1263BE" w14:textId="3049C499" w:rsidR="00F572D3" w:rsidRPr="00272930" w:rsidRDefault="00F572D3" w:rsidP="00B709B7">
      <w:pPr>
        <w:pStyle w:val="BodyText"/>
        <w:numPr>
          <w:ilvl w:val="6"/>
          <w:numId w:val="7"/>
        </w:numPr>
        <w:rPr>
          <w:szCs w:val="18"/>
        </w:rPr>
      </w:pPr>
      <w:r w:rsidRPr="00272930">
        <w:rPr>
          <w:szCs w:val="18"/>
        </w:rPr>
        <w:t xml:space="preserve">The Panel then examined the facts of the underlying investigation. The Panel noted that the Colombian Federation of Potato Producers (FEDEPAPA) </w:t>
      </w:r>
      <w:r w:rsidR="00A4264B">
        <w:rPr>
          <w:szCs w:val="18"/>
        </w:rPr>
        <w:t>"</w:t>
      </w:r>
      <w:r w:rsidRPr="00272930">
        <w:rPr>
          <w:szCs w:val="18"/>
        </w:rPr>
        <w:t>did not address why it elected to provide third-country sales prices rather than domestic sales prices as the basis for the normal value calculation</w:t>
      </w:r>
      <w:r w:rsidR="00A4264B">
        <w:rPr>
          <w:szCs w:val="18"/>
        </w:rPr>
        <w:t>"</w:t>
      </w:r>
      <w:r w:rsidRPr="00272930">
        <w:rPr>
          <w:szCs w:val="18"/>
        </w:rPr>
        <w:t>, but simply stated that export prices to the United</w:t>
      </w:r>
      <w:r w:rsidR="00F2224B" w:rsidRPr="00272930">
        <w:rPr>
          <w:szCs w:val="18"/>
        </w:rPr>
        <w:t> Kingdom</w:t>
      </w:r>
      <w:r w:rsidRPr="00272930">
        <w:rPr>
          <w:szCs w:val="18"/>
        </w:rPr>
        <w:t xml:space="preserve"> from Belgium, France, Germany, and the Netherlands were used.</w:t>
      </w:r>
      <w:r w:rsidRPr="00272930">
        <w:rPr>
          <w:szCs w:val="18"/>
          <w:vertAlign w:val="superscript"/>
        </w:rPr>
        <w:footnoteReference w:id="35"/>
      </w:r>
      <w:r w:rsidRPr="00272930">
        <w:rPr>
          <w:szCs w:val="18"/>
        </w:rPr>
        <w:t xml:space="preserve"> The Panel noted that FEDEPAPA further explained its specific choice of the United Kingdom for the third</w:t>
      </w:r>
      <w:r w:rsidRPr="00272930">
        <w:rPr>
          <w:szCs w:val="18"/>
        </w:rPr>
        <w:noBreakHyphen/>
        <w:t>country sales prices on the basis that it was a major producer, importer, and consumer of frozen precooked potatoes (perhaps the largest market in Europe), and that it formed part of the European</w:t>
      </w:r>
      <w:r w:rsidR="00DA0ACF" w:rsidRPr="00272930">
        <w:rPr>
          <w:szCs w:val="18"/>
        </w:rPr>
        <w:t> Union</w:t>
      </w:r>
      <w:r w:rsidR="009B0B56" w:rsidRPr="00272930">
        <w:rPr>
          <w:szCs w:val="18"/>
        </w:rPr>
        <w:t>,</w:t>
      </w:r>
      <w:r w:rsidRPr="00272930">
        <w:rPr>
          <w:szCs w:val="18"/>
        </w:rPr>
        <w:t xml:space="preserve"> which would make export prices very close to those in the domestic markets of the countries covered by the application.</w:t>
      </w:r>
      <w:r w:rsidRPr="00272930">
        <w:rPr>
          <w:rStyle w:val="FootnoteReference"/>
          <w:szCs w:val="18"/>
        </w:rPr>
        <w:footnoteReference w:id="36"/>
      </w:r>
      <w:r w:rsidRPr="00272930">
        <w:rPr>
          <w:szCs w:val="18"/>
        </w:rPr>
        <w:t xml:space="preserve"> The Panel further noted that MINCIT simply recited the reasons provided by FEDEPAPA for choosing third</w:t>
      </w:r>
      <w:r w:rsidRPr="00272930">
        <w:rPr>
          <w:szCs w:val="18"/>
        </w:rPr>
        <w:noBreakHyphen/>
        <w:t xml:space="preserve">country sales prices to the United Kingdom. For the Panel, the record thus indicated </w:t>
      </w:r>
      <w:r w:rsidR="00972276" w:rsidRPr="00272930">
        <w:rPr>
          <w:szCs w:val="18"/>
        </w:rPr>
        <w:t>"</w:t>
      </w:r>
      <w:r w:rsidRPr="00272930">
        <w:rPr>
          <w:szCs w:val="18"/>
        </w:rPr>
        <w:t xml:space="preserve">a complete absence of any explanation by FEDEPAPA or examination thereof by MINCIT as to </w:t>
      </w:r>
      <w:r w:rsidRPr="00272930">
        <w:rPr>
          <w:i/>
          <w:iCs/>
          <w:szCs w:val="18"/>
        </w:rPr>
        <w:t>why</w:t>
      </w:r>
      <w:r w:rsidRPr="00272930">
        <w:rPr>
          <w:szCs w:val="18"/>
        </w:rPr>
        <w:t xml:space="preserve"> </w:t>
      </w:r>
      <w:r w:rsidRPr="00272930">
        <w:rPr>
          <w:szCs w:val="18"/>
        </w:rPr>
        <w:lastRenderedPageBreak/>
        <w:t>domestic sales prices were not contained in the application and could not be used for purposes of initiation in the specific situation at hand</w:t>
      </w:r>
      <w:r w:rsidR="00972276" w:rsidRPr="00272930">
        <w:rPr>
          <w:szCs w:val="18"/>
        </w:rPr>
        <w:t>"</w:t>
      </w:r>
      <w:r w:rsidRPr="00272930">
        <w:rPr>
          <w:szCs w:val="18"/>
        </w:rPr>
        <w:t>.</w:t>
      </w:r>
      <w:r w:rsidRPr="00272930">
        <w:rPr>
          <w:rStyle w:val="FootnoteReference"/>
          <w:szCs w:val="18"/>
        </w:rPr>
        <w:footnoteReference w:id="37"/>
      </w:r>
    </w:p>
    <w:p w14:paraId="4B893D20" w14:textId="7B3EA132" w:rsidR="00F572D3" w:rsidRPr="00272930" w:rsidRDefault="00F572D3" w:rsidP="00B709B7">
      <w:pPr>
        <w:pStyle w:val="BodyText"/>
        <w:numPr>
          <w:ilvl w:val="6"/>
          <w:numId w:val="7"/>
        </w:numPr>
        <w:rPr>
          <w:szCs w:val="18"/>
        </w:rPr>
      </w:pPr>
      <w:r w:rsidRPr="00272930">
        <w:rPr>
          <w:szCs w:val="18"/>
        </w:rPr>
        <w:t>The Panel concluded that MINCIT had acted inconsistently with Article 5.3 because it did not examine whether the use of third</w:t>
      </w:r>
      <w:r w:rsidRPr="00272930">
        <w:rPr>
          <w:szCs w:val="18"/>
        </w:rPr>
        <w:noBreakHyphen/>
        <w:t xml:space="preserve">country sales prices, instead of domestic sales prices, was </w:t>
      </w:r>
      <w:r w:rsidR="00972276" w:rsidRPr="00272930">
        <w:rPr>
          <w:szCs w:val="18"/>
        </w:rPr>
        <w:t>"</w:t>
      </w:r>
      <w:r w:rsidRPr="00272930">
        <w:rPr>
          <w:szCs w:val="18"/>
        </w:rPr>
        <w:t>appropriate</w:t>
      </w:r>
      <w:r w:rsidR="00972276" w:rsidRPr="00272930">
        <w:rPr>
          <w:szCs w:val="18"/>
        </w:rPr>
        <w:t>"</w:t>
      </w:r>
      <w:r w:rsidRPr="00272930">
        <w:rPr>
          <w:szCs w:val="18"/>
        </w:rPr>
        <w:t xml:space="preserve">, and therefore did not examine the </w:t>
      </w:r>
      <w:r w:rsidR="00972276" w:rsidRPr="00272930">
        <w:rPr>
          <w:szCs w:val="18"/>
        </w:rPr>
        <w:t>"</w:t>
      </w:r>
      <w:r w:rsidRPr="00272930">
        <w:rPr>
          <w:szCs w:val="18"/>
        </w:rPr>
        <w:t>adequacy</w:t>
      </w:r>
      <w:r w:rsidR="00972276" w:rsidRPr="00272930">
        <w:rPr>
          <w:szCs w:val="18"/>
        </w:rPr>
        <w:t>"</w:t>
      </w:r>
      <w:r w:rsidRPr="00272930">
        <w:rPr>
          <w:szCs w:val="18"/>
        </w:rPr>
        <w:t xml:space="preserve"> of the evidence contained in the application to determine whether there was </w:t>
      </w:r>
      <w:r w:rsidR="00972276" w:rsidRPr="00272930">
        <w:rPr>
          <w:szCs w:val="18"/>
        </w:rPr>
        <w:t>"</w:t>
      </w:r>
      <w:r w:rsidRPr="00272930">
        <w:rPr>
          <w:szCs w:val="18"/>
        </w:rPr>
        <w:t>sufficient evidence</w:t>
      </w:r>
      <w:r w:rsidR="00972276" w:rsidRPr="00272930">
        <w:rPr>
          <w:szCs w:val="18"/>
        </w:rPr>
        <w:t>"</w:t>
      </w:r>
      <w:r w:rsidRPr="00272930">
        <w:rPr>
          <w:szCs w:val="18"/>
        </w:rPr>
        <w:t xml:space="preserve"> to justify initiation.</w:t>
      </w:r>
      <w:r w:rsidRPr="00272930">
        <w:rPr>
          <w:rStyle w:val="FootnoteReference"/>
          <w:szCs w:val="18"/>
        </w:rPr>
        <w:footnoteReference w:id="38"/>
      </w:r>
    </w:p>
    <w:p w14:paraId="6AFACAF1" w14:textId="550BFECF" w:rsidR="00F572D3" w:rsidRPr="00272930" w:rsidRDefault="00F572D3" w:rsidP="00B709B7">
      <w:pPr>
        <w:pStyle w:val="Heading3"/>
        <w:numPr>
          <w:ilvl w:val="2"/>
          <w:numId w:val="7"/>
        </w:numPr>
      </w:pPr>
      <w:bookmarkStart w:id="32" w:name="_Toc122339709"/>
      <w:r w:rsidRPr="00272930">
        <w:t>Reviewing Colombia</w:t>
      </w:r>
      <w:r w:rsidR="00972276" w:rsidRPr="00272930">
        <w:t>'</w:t>
      </w:r>
      <w:r w:rsidRPr="00272930">
        <w:t xml:space="preserve">s claim </w:t>
      </w:r>
      <w:proofErr w:type="gramStart"/>
      <w:r w:rsidRPr="00272930">
        <w:t>in light of</w:t>
      </w:r>
      <w:proofErr w:type="gramEnd"/>
      <w:r w:rsidRPr="00272930">
        <w:t xml:space="preserve"> Article</w:t>
      </w:r>
      <w:r w:rsidR="00F2224B" w:rsidRPr="00272930">
        <w:t> </w:t>
      </w:r>
      <w:r w:rsidRPr="00272930">
        <w:t>17.6 of the Anti-Dumping Agreement</w:t>
      </w:r>
      <w:bookmarkEnd w:id="32"/>
    </w:p>
    <w:p w14:paraId="324862FB" w14:textId="398BFD42" w:rsidR="00F572D3" w:rsidRPr="00272930" w:rsidRDefault="00F572D3" w:rsidP="00B709B7">
      <w:pPr>
        <w:pStyle w:val="BodyText"/>
        <w:numPr>
          <w:ilvl w:val="6"/>
          <w:numId w:val="7"/>
        </w:numPr>
        <w:rPr>
          <w:szCs w:val="18"/>
        </w:rPr>
      </w:pPr>
      <w:bookmarkStart w:id="33" w:name="_Ref121122984"/>
      <w:r w:rsidRPr="00272930">
        <w:rPr>
          <w:rFonts w:cstheme="minorHAnsi"/>
        </w:rPr>
        <w:t>The parties agree that our assessment of whether the Panel</w:t>
      </w:r>
      <w:r w:rsidR="00972276" w:rsidRPr="00272930">
        <w:rPr>
          <w:rFonts w:cstheme="minorHAnsi"/>
        </w:rPr>
        <w:t>'</w:t>
      </w:r>
      <w:r w:rsidRPr="00272930">
        <w:rPr>
          <w:rFonts w:cstheme="minorHAnsi"/>
        </w:rPr>
        <w:t xml:space="preserve">s specific findings under </w:t>
      </w:r>
      <w:r w:rsidR="000528F6" w:rsidRPr="00272930">
        <w:rPr>
          <w:rFonts w:cstheme="minorHAnsi"/>
        </w:rPr>
        <w:t>Articles </w:t>
      </w:r>
      <w:r w:rsidRPr="00272930">
        <w:rPr>
          <w:rFonts w:cstheme="minorHAnsi"/>
        </w:rPr>
        <w:t>5.2(iii) and 5.3 constitute a legal error must be guided by Article</w:t>
      </w:r>
      <w:r w:rsidR="00F2224B" w:rsidRPr="00272930">
        <w:rPr>
          <w:rFonts w:cstheme="minorHAnsi"/>
        </w:rPr>
        <w:t> </w:t>
      </w:r>
      <w:r w:rsidRPr="00272930">
        <w:rPr>
          <w:rFonts w:cstheme="minorHAnsi"/>
        </w:rPr>
        <w:t>17.6.</w:t>
      </w:r>
      <w:r w:rsidR="00DE1DB4">
        <w:rPr>
          <w:rStyle w:val="FootnoteReference"/>
          <w:rFonts w:cstheme="minorHAnsi"/>
        </w:rPr>
        <w:footnoteReference w:id="39"/>
      </w:r>
      <w:r w:rsidRPr="00272930">
        <w:rPr>
          <w:rFonts w:cstheme="minorHAnsi"/>
        </w:rPr>
        <w:t xml:space="preserve"> This is the case even though Colombia did not file a separate </w:t>
      </w:r>
      <w:r w:rsidR="00AD4B27">
        <w:rPr>
          <w:rFonts w:cstheme="minorHAnsi"/>
        </w:rPr>
        <w:t xml:space="preserve">claim on </w:t>
      </w:r>
      <w:r w:rsidRPr="00272930">
        <w:rPr>
          <w:rFonts w:cstheme="minorHAnsi"/>
        </w:rPr>
        <w:t>appeal under Article</w:t>
      </w:r>
      <w:r w:rsidR="00F2224B" w:rsidRPr="00272930">
        <w:rPr>
          <w:rFonts w:cstheme="minorHAnsi"/>
        </w:rPr>
        <w:t> </w:t>
      </w:r>
      <w:r w:rsidRPr="00272930">
        <w:rPr>
          <w:rFonts w:cstheme="minorHAnsi"/>
        </w:rPr>
        <w:t>17.6. Article</w:t>
      </w:r>
      <w:r w:rsidR="00F2224B" w:rsidRPr="00272930">
        <w:rPr>
          <w:rFonts w:cstheme="minorHAnsi"/>
        </w:rPr>
        <w:t> </w:t>
      </w:r>
      <w:r w:rsidRPr="00272930">
        <w:rPr>
          <w:rFonts w:cstheme="minorHAnsi"/>
        </w:rPr>
        <w:t xml:space="preserve">17.6 is relevant and applies to any interpretation of the Anti-Dumping Agreement, including ours under </w:t>
      </w:r>
      <w:r w:rsidR="000528F6" w:rsidRPr="00272930">
        <w:rPr>
          <w:rFonts w:cstheme="minorHAnsi"/>
        </w:rPr>
        <w:t>Articles </w:t>
      </w:r>
      <w:r w:rsidRPr="00272930">
        <w:rPr>
          <w:rFonts w:cstheme="minorHAnsi"/>
        </w:rPr>
        <w:t>5.2(iii) and 5.3.</w:t>
      </w:r>
      <w:bookmarkEnd w:id="33"/>
    </w:p>
    <w:tbl>
      <w:tblPr>
        <w:tblW w:w="9072" w:type="dxa"/>
        <w:tblBorders>
          <w:insideH w:val="single" w:sz="6" w:space="0" w:color="FFFFFF"/>
        </w:tblBorders>
        <w:tblLayout w:type="fixed"/>
        <w:tblCellMar>
          <w:top w:w="57" w:type="dxa"/>
          <w:left w:w="170" w:type="dxa"/>
          <w:bottom w:w="57" w:type="dxa"/>
          <w:right w:w="170" w:type="dxa"/>
        </w:tblCellMar>
        <w:tblLook w:val="04A0" w:firstRow="1" w:lastRow="0" w:firstColumn="1" w:lastColumn="0" w:noHBand="0" w:noVBand="1"/>
      </w:tblPr>
      <w:tblGrid>
        <w:gridCol w:w="9072"/>
      </w:tblGrid>
      <w:tr w:rsidR="009D6487" w:rsidRPr="00272930" w14:paraId="28AA44FA" w14:textId="77777777" w:rsidTr="00AB1872">
        <w:tc>
          <w:tcPr>
            <w:tcW w:w="9072" w:type="dxa"/>
            <w:shd w:val="clear" w:color="auto" w:fill="C9DED4"/>
          </w:tcPr>
          <w:p w14:paraId="027610A4" w14:textId="6B3315B6" w:rsidR="009D6487" w:rsidRPr="00272930" w:rsidRDefault="009D6487" w:rsidP="00AB1872">
            <w:pPr>
              <w:spacing w:before="120" w:after="120"/>
              <w:jc w:val="center"/>
            </w:pPr>
            <w:r w:rsidRPr="00272930">
              <w:t>Article</w:t>
            </w:r>
            <w:r w:rsidR="00F2224B" w:rsidRPr="00272930">
              <w:t> </w:t>
            </w:r>
            <w:r w:rsidRPr="00272930">
              <w:t>17</w:t>
            </w:r>
          </w:p>
          <w:p w14:paraId="066911AA" w14:textId="139F087E" w:rsidR="009D6487" w:rsidRPr="00272930" w:rsidRDefault="009D6487" w:rsidP="00AB1872">
            <w:pPr>
              <w:spacing w:before="120" w:after="120"/>
              <w:jc w:val="center"/>
              <w:rPr>
                <w:i/>
                <w:iCs/>
              </w:rPr>
            </w:pPr>
            <w:r w:rsidRPr="00272930">
              <w:rPr>
                <w:i/>
                <w:iCs/>
              </w:rPr>
              <w:t>Consultation and Dispute Settlement</w:t>
            </w:r>
          </w:p>
          <w:p w14:paraId="4EC32C96" w14:textId="1FDEDAC2" w:rsidR="009D6487" w:rsidRPr="00272930" w:rsidRDefault="009D6487" w:rsidP="00AB1872">
            <w:pPr>
              <w:spacing w:before="120" w:after="120"/>
            </w:pPr>
            <w:r w:rsidRPr="00272930">
              <w:t>17.6</w:t>
            </w:r>
            <w:r w:rsidRPr="00272930">
              <w:tab/>
            </w:r>
            <w:r w:rsidR="00C030B2" w:rsidRPr="00272930">
              <w:t xml:space="preserve">In examining the matter referred to in </w:t>
            </w:r>
            <w:r w:rsidR="00270F7B" w:rsidRPr="00272930">
              <w:t>paragraph </w:t>
            </w:r>
            <w:r w:rsidR="00C030B2" w:rsidRPr="00272930">
              <w:t>5:</w:t>
            </w:r>
          </w:p>
          <w:p w14:paraId="30925FC5" w14:textId="4D8327DF" w:rsidR="009D6487" w:rsidRPr="00272930" w:rsidRDefault="009D6487" w:rsidP="00AB1872">
            <w:pPr>
              <w:spacing w:after="120"/>
              <w:ind w:left="567"/>
            </w:pPr>
            <w:r w:rsidRPr="00272930">
              <w:t>(i)</w:t>
            </w:r>
            <w:r w:rsidR="00BA4836" w:rsidRPr="00272930">
              <w:t xml:space="preserve"> </w:t>
            </w:r>
            <w:r w:rsidR="00C030B2" w:rsidRPr="00272930">
              <w:t>in its assessment of the facts of the matter, the panel shall determine whether the authorities</w:t>
            </w:r>
            <w:r w:rsidR="00972276" w:rsidRPr="00272930">
              <w:t>'</w:t>
            </w:r>
            <w:r w:rsidR="00C030B2" w:rsidRPr="00272930">
              <w:t xml:space="preserve"> establishment of the facts was proper and whether their evaluation of those facts was unbiased and objective. If the establishment of the facts was proper and the evaluation was unbiased and objective, even though the panel might have reached a different conclusion, the evaluation shall not be </w:t>
            </w:r>
            <w:proofErr w:type="gramStart"/>
            <w:r w:rsidR="00C030B2" w:rsidRPr="00272930">
              <w:t>overturned;</w:t>
            </w:r>
            <w:proofErr w:type="gramEnd"/>
          </w:p>
          <w:p w14:paraId="7142BF1A" w14:textId="50EA0C63" w:rsidR="009D6487" w:rsidRPr="00272930" w:rsidRDefault="00C030B2" w:rsidP="00A92A75">
            <w:pPr>
              <w:spacing w:after="240"/>
              <w:ind w:left="567"/>
            </w:pPr>
            <w:r w:rsidRPr="00272930">
              <w:t>(ii) the panel shall interpret the relevant provisions of the Agreement in accordance with customary rules of interpretation of public international law. Where the panel finds that a relevant provision of the Agreement admits of more than one permissible interpretation, the panel shall find the authorities</w:t>
            </w:r>
            <w:r w:rsidR="00972276" w:rsidRPr="00272930">
              <w:t>'</w:t>
            </w:r>
            <w:r w:rsidRPr="00272930">
              <w:t xml:space="preserve"> measure to be in conformity with the Agreement if it rests upon one of those permissible interpretations.</w:t>
            </w:r>
            <w:r w:rsidR="00C46792" w:rsidRPr="00272930">
              <w:t xml:space="preserve"> </w:t>
            </w:r>
          </w:p>
        </w:tc>
      </w:tr>
    </w:tbl>
    <w:p w14:paraId="5CE3E880" w14:textId="77777777" w:rsidR="009D6487" w:rsidRPr="00272930" w:rsidRDefault="009D6487" w:rsidP="00CF1C4F">
      <w:pPr>
        <w:pStyle w:val="BodyText"/>
        <w:numPr>
          <w:ilvl w:val="0"/>
          <w:numId w:val="0"/>
        </w:numPr>
        <w:spacing w:after="120"/>
        <w:rPr>
          <w:szCs w:val="18"/>
        </w:rPr>
      </w:pPr>
    </w:p>
    <w:p w14:paraId="1E0A1286" w14:textId="4E51EFAE" w:rsidR="00F572D3" w:rsidRPr="00272930" w:rsidRDefault="00F572D3" w:rsidP="00B709B7">
      <w:pPr>
        <w:pStyle w:val="BodyText"/>
        <w:numPr>
          <w:ilvl w:val="6"/>
          <w:numId w:val="7"/>
        </w:numPr>
        <w:rPr>
          <w:szCs w:val="18"/>
        </w:rPr>
      </w:pPr>
      <w:r w:rsidRPr="00272930">
        <w:rPr>
          <w:szCs w:val="18"/>
        </w:rPr>
        <w:t>Article</w:t>
      </w:r>
      <w:r w:rsidR="00F2224B" w:rsidRPr="00272930">
        <w:rPr>
          <w:szCs w:val="18"/>
        </w:rPr>
        <w:t> </w:t>
      </w:r>
      <w:r w:rsidRPr="00272930">
        <w:rPr>
          <w:szCs w:val="18"/>
        </w:rPr>
        <w:t xml:space="preserve">17.6(i) concerns the assessment of the facts of the matter. It charges panels with determining whether </w:t>
      </w:r>
      <w:r w:rsidRPr="00272930">
        <w:t>an investigating authority</w:t>
      </w:r>
      <w:r w:rsidR="00972276" w:rsidRPr="00272930">
        <w:t>'</w:t>
      </w:r>
      <w:r w:rsidRPr="00272930">
        <w:t xml:space="preserve">s establishment of the facts was </w:t>
      </w:r>
      <w:r w:rsidR="00972276" w:rsidRPr="00272930">
        <w:t>"</w:t>
      </w:r>
      <w:r w:rsidRPr="00272930">
        <w:t>proper</w:t>
      </w:r>
      <w:r w:rsidR="00972276" w:rsidRPr="00272930">
        <w:t>"</w:t>
      </w:r>
      <w:r w:rsidRPr="00272930">
        <w:t xml:space="preserve">, and the evaluation of those facts was </w:t>
      </w:r>
      <w:r w:rsidR="00972276" w:rsidRPr="00272930">
        <w:t>"</w:t>
      </w:r>
      <w:r w:rsidRPr="00272930">
        <w:t>unbiased and objective</w:t>
      </w:r>
      <w:r w:rsidR="00972276" w:rsidRPr="00272930">
        <w:t>"</w:t>
      </w:r>
      <w:r w:rsidRPr="00272930">
        <w:t xml:space="preserve">. So long as those elements are met, the evaluation shall not be overturned, </w:t>
      </w:r>
      <w:r w:rsidR="00972276" w:rsidRPr="00272930">
        <w:t>"</w:t>
      </w:r>
      <w:r w:rsidRPr="00272930">
        <w:t>even though the panel might have reached a different conclusion</w:t>
      </w:r>
      <w:r w:rsidR="00972276" w:rsidRPr="00272930">
        <w:t>"</w:t>
      </w:r>
      <w:r w:rsidRPr="00272930">
        <w:t xml:space="preserve">. As the Panel in this case put it, this means that </w:t>
      </w:r>
      <w:r w:rsidR="00972276" w:rsidRPr="00272930">
        <w:t>"</w:t>
      </w:r>
      <w:r w:rsidRPr="00272930">
        <w:t>a panel examining an investigating authority</w:t>
      </w:r>
      <w:r w:rsidR="00972276" w:rsidRPr="00272930">
        <w:t>'</w:t>
      </w:r>
      <w:r w:rsidRPr="00272930">
        <w:t xml:space="preserve">s determination should not conduct a </w:t>
      </w:r>
      <w:r w:rsidRPr="00272930">
        <w:rPr>
          <w:i/>
          <w:iCs/>
        </w:rPr>
        <w:t>de novo</w:t>
      </w:r>
      <w:r w:rsidRPr="00272930">
        <w:t xml:space="preserve"> review of the evidence, nor substitute its own judgment for that of the investigating authority</w:t>
      </w:r>
      <w:r w:rsidR="009B18DA">
        <w:t>.</w:t>
      </w:r>
      <w:r w:rsidR="00972276" w:rsidRPr="00272930">
        <w:t>"</w:t>
      </w:r>
      <w:r w:rsidRPr="00272930">
        <w:rPr>
          <w:rStyle w:val="FootnoteReference"/>
        </w:rPr>
        <w:footnoteReference w:id="40"/>
      </w:r>
      <w:r w:rsidRPr="00272930">
        <w:t xml:space="preserve"> In this light, the Panel stated that the </w:t>
      </w:r>
      <w:r w:rsidR="00972276" w:rsidRPr="00272930">
        <w:t>"</w:t>
      </w:r>
      <w:r w:rsidRPr="00272930">
        <w:rPr>
          <w:rFonts w:eastAsiaTheme="minorHAnsi" w:cstheme="minorBidi"/>
          <w:szCs w:val="18"/>
        </w:rPr>
        <w:t>applicable standard of review</w:t>
      </w:r>
      <w:r w:rsidR="00972276" w:rsidRPr="00272930">
        <w:rPr>
          <w:rFonts w:eastAsiaTheme="minorHAnsi" w:cstheme="minorBidi"/>
          <w:szCs w:val="18"/>
        </w:rPr>
        <w:t>"</w:t>
      </w:r>
      <w:r w:rsidRPr="00272930">
        <w:rPr>
          <w:rFonts w:eastAsiaTheme="minorHAnsi" w:cstheme="minorBidi"/>
          <w:szCs w:val="18"/>
        </w:rPr>
        <w:t xml:space="preserve"> for examining th</w:t>
      </w:r>
      <w:r w:rsidR="00484EF9" w:rsidRPr="00272930">
        <w:rPr>
          <w:rFonts w:eastAsiaTheme="minorHAnsi" w:cstheme="minorBidi"/>
          <w:szCs w:val="18"/>
        </w:rPr>
        <w:t>e European</w:t>
      </w:r>
      <w:r w:rsidR="00DA0ACF" w:rsidRPr="00272930">
        <w:rPr>
          <w:rFonts w:eastAsiaTheme="minorHAnsi" w:cstheme="minorBidi"/>
          <w:szCs w:val="18"/>
        </w:rPr>
        <w:t> Union</w:t>
      </w:r>
      <w:r w:rsidR="00972276" w:rsidRPr="00272930">
        <w:rPr>
          <w:rFonts w:eastAsiaTheme="minorHAnsi" w:cstheme="minorBidi"/>
          <w:szCs w:val="18"/>
        </w:rPr>
        <w:t>'</w:t>
      </w:r>
      <w:r w:rsidR="00484EF9" w:rsidRPr="00272930">
        <w:rPr>
          <w:rFonts w:eastAsiaTheme="minorHAnsi" w:cstheme="minorBidi"/>
          <w:szCs w:val="18"/>
        </w:rPr>
        <w:t>s</w:t>
      </w:r>
      <w:r w:rsidRPr="00272930">
        <w:rPr>
          <w:rFonts w:eastAsiaTheme="minorHAnsi" w:cstheme="minorBidi"/>
          <w:szCs w:val="18"/>
        </w:rPr>
        <w:t xml:space="preserve"> claim </w:t>
      </w:r>
      <w:r w:rsidR="00484EF9" w:rsidRPr="00272930">
        <w:rPr>
          <w:rFonts w:eastAsiaTheme="minorHAnsi" w:cstheme="minorBidi"/>
          <w:szCs w:val="18"/>
        </w:rPr>
        <w:t xml:space="preserve">under </w:t>
      </w:r>
      <w:r w:rsidR="000528F6" w:rsidRPr="00272930">
        <w:rPr>
          <w:rFonts w:eastAsiaTheme="minorHAnsi" w:cstheme="minorBidi"/>
          <w:szCs w:val="18"/>
        </w:rPr>
        <w:t>Articles </w:t>
      </w:r>
      <w:r w:rsidR="00484EF9" w:rsidRPr="00272930">
        <w:rPr>
          <w:rFonts w:eastAsiaTheme="minorHAnsi" w:cstheme="minorBidi"/>
          <w:szCs w:val="18"/>
        </w:rPr>
        <w:t xml:space="preserve">5.2(iii) and 5.3 </w:t>
      </w:r>
      <w:r w:rsidRPr="00272930">
        <w:rPr>
          <w:rFonts w:eastAsiaTheme="minorHAnsi" w:cstheme="minorBidi"/>
          <w:szCs w:val="18"/>
        </w:rPr>
        <w:t xml:space="preserve">is </w:t>
      </w:r>
      <w:r w:rsidR="00972276" w:rsidRPr="00272930">
        <w:rPr>
          <w:rFonts w:eastAsiaTheme="minorHAnsi" w:cstheme="minorBidi"/>
          <w:szCs w:val="18"/>
        </w:rPr>
        <w:t>"</w:t>
      </w:r>
      <w:r w:rsidRPr="00272930">
        <w:rPr>
          <w:rFonts w:eastAsiaTheme="minorHAnsi" w:cstheme="minorBidi"/>
          <w:szCs w:val="18"/>
        </w:rPr>
        <w:t xml:space="preserve">to consider whether an unbiased and objective investigating authority could have determined that the application and the revised application that FEDEPAPA submitted to MINCIT contained </w:t>
      </w:r>
      <w:r w:rsidR="009B0B56" w:rsidRPr="00272930">
        <w:rPr>
          <w:rFonts w:eastAsiaTheme="minorHAnsi" w:cstheme="minorBidi"/>
          <w:szCs w:val="18"/>
        </w:rPr>
        <w:t>'</w:t>
      </w:r>
      <w:r w:rsidRPr="00272930">
        <w:rPr>
          <w:rFonts w:eastAsiaTheme="minorHAnsi" w:cstheme="minorBidi"/>
          <w:szCs w:val="18"/>
        </w:rPr>
        <w:t>sufficient</w:t>
      </w:r>
      <w:r w:rsidR="009B0B56" w:rsidRPr="00272930">
        <w:rPr>
          <w:rFonts w:eastAsiaTheme="minorHAnsi" w:cstheme="minorBidi"/>
          <w:szCs w:val="18"/>
        </w:rPr>
        <w:t>'</w:t>
      </w:r>
      <w:r w:rsidRPr="00272930">
        <w:rPr>
          <w:rFonts w:eastAsiaTheme="minorHAnsi" w:cstheme="minorBidi"/>
          <w:szCs w:val="18"/>
        </w:rPr>
        <w:t xml:space="preserve"> evidence – based upon an examination of the </w:t>
      </w:r>
      <w:r w:rsidR="00972276" w:rsidRPr="00272930">
        <w:rPr>
          <w:rFonts w:eastAsiaTheme="minorHAnsi" w:cstheme="minorBidi"/>
          <w:szCs w:val="18"/>
        </w:rPr>
        <w:t>'</w:t>
      </w:r>
      <w:r w:rsidRPr="00272930">
        <w:rPr>
          <w:rFonts w:eastAsiaTheme="minorHAnsi" w:cstheme="minorBidi"/>
          <w:szCs w:val="18"/>
        </w:rPr>
        <w:t>accuracy</w:t>
      </w:r>
      <w:r w:rsidR="00972276" w:rsidRPr="00272930">
        <w:rPr>
          <w:rFonts w:eastAsiaTheme="minorHAnsi" w:cstheme="minorBidi"/>
          <w:szCs w:val="18"/>
        </w:rPr>
        <w:t>'</w:t>
      </w:r>
      <w:r w:rsidRPr="00272930">
        <w:rPr>
          <w:rFonts w:eastAsiaTheme="minorHAnsi" w:cstheme="minorBidi"/>
          <w:szCs w:val="18"/>
        </w:rPr>
        <w:t xml:space="preserve"> and </w:t>
      </w:r>
      <w:r w:rsidR="00972276" w:rsidRPr="00272930">
        <w:rPr>
          <w:rFonts w:eastAsiaTheme="minorHAnsi" w:cstheme="minorBidi"/>
          <w:szCs w:val="18"/>
        </w:rPr>
        <w:t>'</w:t>
      </w:r>
      <w:r w:rsidRPr="00272930">
        <w:rPr>
          <w:rFonts w:eastAsiaTheme="minorHAnsi" w:cstheme="minorBidi"/>
          <w:szCs w:val="18"/>
        </w:rPr>
        <w:t>adequacy</w:t>
      </w:r>
      <w:r w:rsidR="00972276" w:rsidRPr="00272930">
        <w:rPr>
          <w:rFonts w:eastAsiaTheme="minorHAnsi" w:cstheme="minorBidi"/>
          <w:szCs w:val="18"/>
        </w:rPr>
        <w:t>'</w:t>
      </w:r>
      <w:r w:rsidRPr="00272930">
        <w:rPr>
          <w:rFonts w:eastAsiaTheme="minorHAnsi" w:cstheme="minorBidi"/>
          <w:szCs w:val="18"/>
        </w:rPr>
        <w:t xml:space="preserve"> of the evidence</w:t>
      </w:r>
      <w:r w:rsidR="00C45700" w:rsidRPr="00272930">
        <w:rPr>
          <w:rFonts w:eastAsiaTheme="minorHAnsi" w:cstheme="minorBidi"/>
          <w:szCs w:val="18"/>
        </w:rPr>
        <w:t> </w:t>
      </w:r>
      <w:r w:rsidRPr="00272930">
        <w:rPr>
          <w:rFonts w:eastAsiaTheme="minorHAnsi" w:cstheme="minorBidi"/>
          <w:szCs w:val="18"/>
        </w:rPr>
        <w:t>–</w:t>
      </w:r>
      <w:r w:rsidR="005514B4" w:rsidRPr="00272930">
        <w:rPr>
          <w:rFonts w:eastAsiaTheme="minorHAnsi" w:cstheme="minorBidi"/>
          <w:szCs w:val="18"/>
        </w:rPr>
        <w:t xml:space="preserve"> </w:t>
      </w:r>
      <w:r w:rsidRPr="00272930">
        <w:rPr>
          <w:rFonts w:eastAsiaTheme="minorHAnsi" w:cstheme="minorBidi"/>
          <w:szCs w:val="18"/>
        </w:rPr>
        <w:t>to justify the initiation of an anti-dumping investigation into imports of frozen fries from Belgium, Germany, and the Netherlands</w:t>
      </w:r>
      <w:r w:rsidR="00972276" w:rsidRPr="00272930">
        <w:rPr>
          <w:rFonts w:eastAsiaTheme="minorHAnsi" w:cstheme="minorBidi"/>
          <w:szCs w:val="18"/>
        </w:rPr>
        <w:t>"</w:t>
      </w:r>
      <w:r w:rsidRPr="00272930">
        <w:rPr>
          <w:rFonts w:eastAsiaTheme="minorHAnsi" w:cstheme="minorBidi"/>
          <w:szCs w:val="18"/>
        </w:rPr>
        <w:t>.</w:t>
      </w:r>
      <w:r w:rsidRPr="00272930">
        <w:rPr>
          <w:rStyle w:val="FootnoteReference"/>
          <w:rFonts w:eastAsiaTheme="minorHAnsi" w:cstheme="minorBidi"/>
          <w:szCs w:val="18"/>
        </w:rPr>
        <w:footnoteReference w:id="41"/>
      </w:r>
      <w:r w:rsidR="00484EF9" w:rsidRPr="00272930">
        <w:rPr>
          <w:rFonts w:eastAsiaTheme="minorHAnsi" w:cstheme="minorBidi"/>
          <w:szCs w:val="18"/>
        </w:rPr>
        <w:t xml:space="preserve"> We agree with the Panel in this respect. </w:t>
      </w:r>
    </w:p>
    <w:p w14:paraId="03756245" w14:textId="5EE99C66" w:rsidR="00F572D3" w:rsidRPr="00272930" w:rsidRDefault="00F572D3" w:rsidP="00B709B7">
      <w:pPr>
        <w:pStyle w:val="BodyText"/>
        <w:numPr>
          <w:ilvl w:val="6"/>
          <w:numId w:val="7"/>
        </w:numPr>
        <w:rPr>
          <w:szCs w:val="18"/>
        </w:rPr>
      </w:pPr>
      <w:r w:rsidRPr="00272930">
        <w:lastRenderedPageBreak/>
        <w:t>Article</w:t>
      </w:r>
      <w:r w:rsidR="00F2224B" w:rsidRPr="00272930">
        <w:t> </w:t>
      </w:r>
      <w:r w:rsidRPr="00272930">
        <w:t xml:space="preserve">17.6(ii), in turn, concerns </w:t>
      </w:r>
      <w:proofErr w:type="gramStart"/>
      <w:r w:rsidRPr="00272930">
        <w:t>matters</w:t>
      </w:r>
      <w:proofErr w:type="gramEnd"/>
      <w:r w:rsidRPr="00272930">
        <w:t xml:space="preserve"> of legal interpretation. The first sentence requires that panels </w:t>
      </w:r>
      <w:r w:rsidR="00972276" w:rsidRPr="00272930">
        <w:t>"</w:t>
      </w:r>
      <w:r w:rsidRPr="00272930">
        <w:t>shall interpret the relevant provisions of the Agreement in accordance with customary rules of interpretation of public international law</w:t>
      </w:r>
      <w:r w:rsidR="00972276" w:rsidRPr="00272930">
        <w:t>"</w:t>
      </w:r>
      <w:r w:rsidRPr="00272930">
        <w:t>. The sec</w:t>
      </w:r>
      <w:r w:rsidRPr="00272930">
        <w:rPr>
          <w:szCs w:val="18"/>
        </w:rPr>
        <w:t>ond sentence provides that, where a panel finds that a relevant provision admits of more than one permissible interpretation</w:t>
      </w:r>
      <w:r w:rsidRPr="00272930">
        <w:rPr>
          <w:color w:val="000000"/>
          <w:szCs w:val="18"/>
          <w:shd w:val="clear" w:color="auto" w:fill="FFFFFF"/>
        </w:rPr>
        <w:t>, it must find the authority</w:t>
      </w:r>
      <w:r w:rsidR="00972276" w:rsidRPr="00272930">
        <w:rPr>
          <w:color w:val="000000"/>
          <w:szCs w:val="18"/>
          <w:shd w:val="clear" w:color="auto" w:fill="FFFFFF"/>
        </w:rPr>
        <w:t>'</w:t>
      </w:r>
      <w:r w:rsidRPr="00272930">
        <w:rPr>
          <w:color w:val="000000"/>
          <w:szCs w:val="18"/>
          <w:shd w:val="clear" w:color="auto" w:fill="FFFFFF"/>
        </w:rPr>
        <w:t xml:space="preserve">s measure to be in conformity with the Agreement </w:t>
      </w:r>
      <w:r w:rsidR="00972276" w:rsidRPr="00272930">
        <w:rPr>
          <w:color w:val="000000"/>
          <w:szCs w:val="18"/>
          <w:shd w:val="clear" w:color="auto" w:fill="FFFFFF"/>
        </w:rPr>
        <w:t>"</w:t>
      </w:r>
      <w:r w:rsidRPr="00272930">
        <w:rPr>
          <w:color w:val="000000"/>
          <w:szCs w:val="18"/>
          <w:shd w:val="clear" w:color="auto" w:fill="FFFFFF"/>
        </w:rPr>
        <w:t>if it rests upon one of those permissible interpretations</w:t>
      </w:r>
      <w:r w:rsidR="00972276" w:rsidRPr="00272930">
        <w:rPr>
          <w:color w:val="000000"/>
          <w:szCs w:val="18"/>
          <w:shd w:val="clear" w:color="auto" w:fill="FFFFFF"/>
        </w:rPr>
        <w:t>"</w:t>
      </w:r>
      <w:r w:rsidRPr="00272930">
        <w:rPr>
          <w:color w:val="000000"/>
          <w:szCs w:val="18"/>
          <w:shd w:val="clear" w:color="auto" w:fill="FFFFFF"/>
        </w:rPr>
        <w:t>.</w:t>
      </w:r>
    </w:p>
    <w:p w14:paraId="49479E66" w14:textId="7B6104FD" w:rsidR="00F572D3" w:rsidRPr="00272930" w:rsidRDefault="00F572D3" w:rsidP="00B709B7">
      <w:pPr>
        <w:pStyle w:val="BodyText"/>
        <w:numPr>
          <w:ilvl w:val="6"/>
          <w:numId w:val="7"/>
        </w:numPr>
        <w:rPr>
          <w:szCs w:val="18"/>
        </w:rPr>
      </w:pPr>
      <w:r w:rsidRPr="00272930">
        <w:t xml:space="preserve">The Panel stated that whether </w:t>
      </w:r>
      <w:r w:rsidR="00AD4B27">
        <w:t>a provision admits of more than one "permissible"</w:t>
      </w:r>
      <w:r w:rsidR="00AD4B27" w:rsidRPr="00272930">
        <w:t xml:space="preserve"> </w:t>
      </w:r>
      <w:r w:rsidRPr="00272930">
        <w:t>interpretation (under the second sentence) depends on whether more than one such interpretation emerges after the Panel has examined the relevant provision under customary rules of interpretation of public international law (under the first</w:t>
      </w:r>
      <w:r w:rsidR="000528F6" w:rsidRPr="00272930">
        <w:t> </w:t>
      </w:r>
      <w:r w:rsidRPr="00272930">
        <w:t xml:space="preserve">sentence). Accordingly, the Panel stated that the </w:t>
      </w:r>
      <w:r w:rsidR="00972276" w:rsidRPr="00272930">
        <w:t>"</w:t>
      </w:r>
      <w:r w:rsidRPr="00272930">
        <w:t>starting point</w:t>
      </w:r>
      <w:r w:rsidR="00972276" w:rsidRPr="00272930">
        <w:t>"</w:t>
      </w:r>
      <w:r w:rsidRPr="00272930">
        <w:t xml:space="preserve"> of its interpretative analysis required an interpretation of the relevant provision under treaty interpretation rules, including </w:t>
      </w:r>
      <w:r w:rsidR="000528F6" w:rsidRPr="00272930">
        <w:t>Articles </w:t>
      </w:r>
      <w:r w:rsidRPr="00272930">
        <w:t>31 and 32 of the Vienna</w:t>
      </w:r>
      <w:r w:rsidR="00BA4836" w:rsidRPr="00272930">
        <w:t> Convention</w:t>
      </w:r>
      <w:r w:rsidRPr="00272930">
        <w:t xml:space="preserve"> on the Law of Treaties (Vienna</w:t>
      </w:r>
      <w:r w:rsidR="00BA4836" w:rsidRPr="00272930">
        <w:t> Convention</w:t>
      </w:r>
      <w:r w:rsidRPr="00272930">
        <w:t>).</w:t>
      </w:r>
      <w:r w:rsidR="00BE75D2" w:rsidRPr="00272930">
        <w:rPr>
          <w:rStyle w:val="FootnoteReference"/>
        </w:rPr>
        <w:footnoteReference w:id="42"/>
      </w:r>
    </w:p>
    <w:p w14:paraId="5B9484C5" w14:textId="6FDAB623" w:rsidR="00F572D3" w:rsidRPr="00272930" w:rsidRDefault="00F572D3" w:rsidP="00B709B7">
      <w:pPr>
        <w:pStyle w:val="BodyText"/>
        <w:numPr>
          <w:ilvl w:val="6"/>
          <w:numId w:val="7"/>
        </w:numPr>
        <w:rPr>
          <w:szCs w:val="18"/>
        </w:rPr>
      </w:pPr>
      <w:r w:rsidRPr="00272930">
        <w:rPr>
          <w:szCs w:val="18"/>
        </w:rPr>
        <w:t>Our approach to the interpretation claims in this appeal differs. We do not begin the interpretative exercise by focusing solely on the first sentence of Article</w:t>
      </w:r>
      <w:r w:rsidR="00F2224B" w:rsidRPr="00272930">
        <w:rPr>
          <w:szCs w:val="18"/>
        </w:rPr>
        <w:t> </w:t>
      </w:r>
      <w:r w:rsidRPr="00272930">
        <w:rPr>
          <w:szCs w:val="18"/>
        </w:rPr>
        <w:t>17.6(ii), as this in our view pays insufficient regard to the immediate context of this sentence, namely Article</w:t>
      </w:r>
      <w:r w:rsidR="00F2224B" w:rsidRPr="00272930">
        <w:rPr>
          <w:szCs w:val="18"/>
        </w:rPr>
        <w:t> </w:t>
      </w:r>
      <w:r w:rsidRPr="00272930">
        <w:rPr>
          <w:szCs w:val="18"/>
        </w:rPr>
        <w:t>17.6(i) and the second sentence of Article</w:t>
      </w:r>
      <w:r w:rsidR="00F2224B" w:rsidRPr="00272930">
        <w:rPr>
          <w:szCs w:val="18"/>
        </w:rPr>
        <w:t> </w:t>
      </w:r>
      <w:r w:rsidRPr="00272930">
        <w:rPr>
          <w:szCs w:val="18"/>
        </w:rPr>
        <w:t>17.6(ii). Each of these provisions must be understood in a manner granting special deference to investigating authorities under the Anti-Dumping Agreement.</w:t>
      </w:r>
      <w:r w:rsidRPr="00272930">
        <w:rPr>
          <w:rStyle w:val="FootnoteReference"/>
          <w:szCs w:val="18"/>
        </w:rPr>
        <w:footnoteReference w:id="43"/>
      </w:r>
      <w:r w:rsidRPr="00272930">
        <w:rPr>
          <w:szCs w:val="18"/>
        </w:rPr>
        <w:t xml:space="preserve"> </w:t>
      </w:r>
      <w:r w:rsidRPr="00272930">
        <w:rPr>
          <w:rFonts w:cstheme="minorHAnsi"/>
        </w:rPr>
        <w:t>The second sentence of Article</w:t>
      </w:r>
      <w:r w:rsidR="00F2224B" w:rsidRPr="00272930">
        <w:rPr>
          <w:rFonts w:cstheme="minorHAnsi"/>
        </w:rPr>
        <w:t> </w:t>
      </w:r>
      <w:r w:rsidRPr="00272930">
        <w:rPr>
          <w:rFonts w:cstheme="minorHAnsi"/>
        </w:rPr>
        <w:t>17.6(ii) mandates panels to defer to and accept an authority</w:t>
      </w:r>
      <w:r w:rsidR="00972276" w:rsidRPr="00272930">
        <w:rPr>
          <w:rFonts w:cstheme="minorHAnsi"/>
        </w:rPr>
        <w:t>'</w:t>
      </w:r>
      <w:r w:rsidRPr="00272930">
        <w:rPr>
          <w:rFonts w:cstheme="minorHAnsi"/>
        </w:rPr>
        <w:t xml:space="preserve">s measure as soon as it </w:t>
      </w:r>
      <w:r w:rsidR="00972276" w:rsidRPr="00272930">
        <w:rPr>
          <w:rFonts w:cstheme="minorHAnsi"/>
        </w:rPr>
        <w:t>"</w:t>
      </w:r>
      <w:r w:rsidRPr="00272930">
        <w:rPr>
          <w:rFonts w:cstheme="minorHAnsi"/>
        </w:rPr>
        <w:t>rests upon</w:t>
      </w:r>
      <w:r w:rsidR="00972276" w:rsidRPr="00272930">
        <w:rPr>
          <w:rFonts w:cstheme="minorHAnsi"/>
        </w:rPr>
        <w:t>"</w:t>
      </w:r>
      <w:r w:rsidRPr="00272930">
        <w:rPr>
          <w:rFonts w:cstheme="minorHAnsi"/>
        </w:rPr>
        <w:t xml:space="preserve"> a </w:t>
      </w:r>
      <w:r w:rsidR="00972276" w:rsidRPr="00272930">
        <w:rPr>
          <w:rFonts w:cstheme="minorHAnsi"/>
        </w:rPr>
        <w:t>"</w:t>
      </w:r>
      <w:r w:rsidRPr="00272930">
        <w:rPr>
          <w:rFonts w:cstheme="minorHAnsi"/>
        </w:rPr>
        <w:t>permissible</w:t>
      </w:r>
      <w:r w:rsidR="00972276" w:rsidRPr="00272930">
        <w:rPr>
          <w:rFonts w:cstheme="minorHAnsi"/>
        </w:rPr>
        <w:t>"</w:t>
      </w:r>
      <w:r w:rsidRPr="00272930">
        <w:rPr>
          <w:rFonts w:cstheme="minorHAnsi"/>
        </w:rPr>
        <w:t xml:space="preserve"> interpretation. As we have noted, Article</w:t>
      </w:r>
      <w:r w:rsidR="00F2224B" w:rsidRPr="00272930">
        <w:rPr>
          <w:rFonts w:cstheme="minorHAnsi"/>
        </w:rPr>
        <w:t> </w:t>
      </w:r>
      <w:r w:rsidRPr="00272930">
        <w:rPr>
          <w:rFonts w:cstheme="minorHAnsi"/>
        </w:rPr>
        <w:t xml:space="preserve">17.6(i) prevents a panel from conducting a </w:t>
      </w:r>
      <w:r w:rsidRPr="00272930">
        <w:rPr>
          <w:rFonts w:cstheme="minorHAnsi"/>
          <w:i/>
          <w:iCs/>
        </w:rPr>
        <w:t>de novo</w:t>
      </w:r>
      <w:r w:rsidRPr="00272930">
        <w:rPr>
          <w:rFonts w:cstheme="minorHAnsi"/>
        </w:rPr>
        <w:t xml:space="preserve"> assessment of the facts on record; an authority</w:t>
      </w:r>
      <w:r w:rsidR="00972276" w:rsidRPr="00272930">
        <w:rPr>
          <w:rFonts w:cstheme="minorHAnsi"/>
        </w:rPr>
        <w:t>'</w:t>
      </w:r>
      <w:r w:rsidRPr="00272930">
        <w:rPr>
          <w:rFonts w:cstheme="minorHAnsi"/>
        </w:rPr>
        <w:t xml:space="preserve">s establishment and evaluation of facts must be allowed to stand so long as it is </w:t>
      </w:r>
      <w:r w:rsidR="00972276" w:rsidRPr="00272930">
        <w:rPr>
          <w:rFonts w:cstheme="minorHAnsi"/>
        </w:rPr>
        <w:t>"</w:t>
      </w:r>
      <w:r w:rsidRPr="00272930">
        <w:rPr>
          <w:rFonts w:cstheme="minorHAnsi"/>
        </w:rPr>
        <w:t>proper</w:t>
      </w:r>
      <w:r w:rsidR="00972276" w:rsidRPr="00272930">
        <w:rPr>
          <w:rFonts w:cstheme="minorHAnsi"/>
        </w:rPr>
        <w:t>"</w:t>
      </w:r>
      <w:r w:rsidRPr="00272930">
        <w:rPr>
          <w:rFonts w:cstheme="minorHAnsi"/>
        </w:rPr>
        <w:t xml:space="preserve"> and </w:t>
      </w:r>
      <w:r w:rsidR="00972276" w:rsidRPr="00272930">
        <w:rPr>
          <w:rFonts w:cstheme="minorHAnsi"/>
        </w:rPr>
        <w:t>"</w:t>
      </w:r>
      <w:r w:rsidRPr="00272930">
        <w:rPr>
          <w:rFonts w:cstheme="minorHAnsi"/>
        </w:rPr>
        <w:t>unbiased and objective</w:t>
      </w:r>
      <w:r w:rsidR="00972276" w:rsidRPr="00272930">
        <w:rPr>
          <w:rFonts w:cstheme="minorHAnsi"/>
        </w:rPr>
        <w:t>"</w:t>
      </w:r>
      <w:r w:rsidRPr="00272930">
        <w:rPr>
          <w:rFonts w:cstheme="minorHAnsi"/>
        </w:rPr>
        <w:t xml:space="preserve">, and this is the case </w:t>
      </w:r>
      <w:r w:rsidR="00972276" w:rsidRPr="00272930">
        <w:rPr>
          <w:rFonts w:cstheme="minorHAnsi"/>
        </w:rPr>
        <w:t>"</w:t>
      </w:r>
      <w:r w:rsidRPr="00272930">
        <w:rPr>
          <w:rFonts w:cstheme="minorHAnsi"/>
        </w:rPr>
        <w:t>even though the panel might have reached a different conclusion</w:t>
      </w:r>
      <w:r w:rsidR="00972276" w:rsidRPr="00272930">
        <w:rPr>
          <w:rFonts w:cstheme="minorHAnsi"/>
        </w:rPr>
        <w:t>"</w:t>
      </w:r>
      <w:r w:rsidRPr="00272930">
        <w:rPr>
          <w:rFonts w:cstheme="minorHAnsi"/>
        </w:rPr>
        <w:t>.</w:t>
      </w:r>
    </w:p>
    <w:p w14:paraId="6BB671F9" w14:textId="17A5846B" w:rsidR="00F572D3" w:rsidRPr="00272930" w:rsidRDefault="00F572D3" w:rsidP="00B709B7">
      <w:pPr>
        <w:pStyle w:val="BodyText"/>
        <w:numPr>
          <w:ilvl w:val="6"/>
          <w:numId w:val="7"/>
        </w:numPr>
        <w:rPr>
          <w:szCs w:val="18"/>
        </w:rPr>
      </w:pPr>
      <w:r w:rsidRPr="00272930">
        <w:rPr>
          <w:szCs w:val="18"/>
        </w:rPr>
        <w:t>Reading these provisions together, we aim to integrate the elements of interpretation under Article</w:t>
      </w:r>
      <w:r w:rsidR="00F2224B" w:rsidRPr="00272930">
        <w:rPr>
          <w:szCs w:val="18"/>
        </w:rPr>
        <w:t> </w:t>
      </w:r>
      <w:r w:rsidRPr="00272930">
        <w:rPr>
          <w:szCs w:val="18"/>
        </w:rPr>
        <w:t>17.6(ii). As a result, we will begin by asking ourselves whether Colombia</w:t>
      </w:r>
      <w:r w:rsidR="00972276" w:rsidRPr="00272930">
        <w:rPr>
          <w:szCs w:val="18"/>
        </w:rPr>
        <w:t>'</w:t>
      </w:r>
      <w:r w:rsidRPr="00272930">
        <w:rPr>
          <w:szCs w:val="18"/>
        </w:rPr>
        <w:t xml:space="preserve">s proposed interpretation of </w:t>
      </w:r>
      <w:r w:rsidR="00963775" w:rsidRPr="00272930">
        <w:rPr>
          <w:szCs w:val="18"/>
        </w:rPr>
        <w:t xml:space="preserve">the phrase </w:t>
      </w:r>
      <w:r w:rsidR="00972276" w:rsidRPr="00272930">
        <w:rPr>
          <w:szCs w:val="18"/>
        </w:rPr>
        <w:t>"</w:t>
      </w:r>
      <w:r w:rsidRPr="00272930">
        <w:rPr>
          <w:szCs w:val="18"/>
        </w:rPr>
        <w:t>where appropriate</w:t>
      </w:r>
      <w:r w:rsidR="00972276" w:rsidRPr="00272930">
        <w:rPr>
          <w:szCs w:val="18"/>
        </w:rPr>
        <w:t>"</w:t>
      </w:r>
      <w:r w:rsidR="00963775" w:rsidRPr="00272930">
        <w:rPr>
          <w:szCs w:val="18"/>
        </w:rPr>
        <w:t xml:space="preserve"> in Article</w:t>
      </w:r>
      <w:r w:rsidR="00BA4836" w:rsidRPr="00272930">
        <w:rPr>
          <w:szCs w:val="18"/>
        </w:rPr>
        <w:t> </w:t>
      </w:r>
      <w:r w:rsidR="00963775" w:rsidRPr="00272930">
        <w:rPr>
          <w:szCs w:val="18"/>
        </w:rPr>
        <w:t>5.2(iii)</w:t>
      </w:r>
      <w:r w:rsidRPr="00272930">
        <w:rPr>
          <w:szCs w:val="18"/>
        </w:rPr>
        <w:t xml:space="preserve"> – reflected in MINCIT</w:t>
      </w:r>
      <w:r w:rsidR="00972276" w:rsidRPr="00272930">
        <w:rPr>
          <w:szCs w:val="18"/>
        </w:rPr>
        <w:t>'</w:t>
      </w:r>
      <w:r w:rsidRPr="00272930">
        <w:rPr>
          <w:szCs w:val="18"/>
        </w:rPr>
        <w:t xml:space="preserve">s decision to initiate its investigation, in part, </w:t>
      </w:r>
      <w:proofErr w:type="gramStart"/>
      <w:r w:rsidRPr="00272930">
        <w:rPr>
          <w:szCs w:val="18"/>
        </w:rPr>
        <w:t>on the basis of</w:t>
      </w:r>
      <w:proofErr w:type="gramEnd"/>
      <w:r w:rsidRPr="00272930">
        <w:rPr>
          <w:szCs w:val="18"/>
        </w:rPr>
        <w:t xml:space="preserve"> third-country sales prices – is a </w:t>
      </w:r>
      <w:r w:rsidR="00972276" w:rsidRPr="00272930">
        <w:rPr>
          <w:szCs w:val="18"/>
        </w:rPr>
        <w:t>"</w:t>
      </w:r>
      <w:r w:rsidRPr="00272930">
        <w:rPr>
          <w:szCs w:val="18"/>
        </w:rPr>
        <w:t>permissible</w:t>
      </w:r>
      <w:r w:rsidR="00972276" w:rsidRPr="00272930">
        <w:rPr>
          <w:szCs w:val="18"/>
        </w:rPr>
        <w:t>"</w:t>
      </w:r>
      <w:r w:rsidRPr="00272930">
        <w:rPr>
          <w:szCs w:val="18"/>
        </w:rPr>
        <w:t xml:space="preserve"> one. </w:t>
      </w:r>
      <w:r w:rsidRPr="00272930">
        <w:rPr>
          <w:rFonts w:cstheme="minorHAnsi"/>
        </w:rPr>
        <w:t xml:space="preserve">As a yardstick for </w:t>
      </w:r>
      <w:r w:rsidR="00972276" w:rsidRPr="00272930">
        <w:rPr>
          <w:rFonts w:cstheme="minorHAnsi"/>
        </w:rPr>
        <w:t>"</w:t>
      </w:r>
      <w:r w:rsidRPr="00272930">
        <w:rPr>
          <w:rFonts w:cstheme="minorHAnsi"/>
        </w:rPr>
        <w:t>permissibility</w:t>
      </w:r>
      <w:r w:rsidR="00972276" w:rsidRPr="00272930">
        <w:rPr>
          <w:rFonts w:cstheme="minorHAnsi"/>
        </w:rPr>
        <w:t>"</w:t>
      </w:r>
      <w:r w:rsidRPr="00272930">
        <w:rPr>
          <w:rFonts w:cstheme="minorHAnsi"/>
        </w:rPr>
        <w:t>, the first sentence of Article</w:t>
      </w:r>
      <w:r w:rsidR="00F2224B" w:rsidRPr="00272930">
        <w:rPr>
          <w:rFonts w:cstheme="minorHAnsi"/>
        </w:rPr>
        <w:t> </w:t>
      </w:r>
      <w:r w:rsidRPr="00272930">
        <w:rPr>
          <w:rFonts w:cstheme="minorHAnsi"/>
        </w:rPr>
        <w:t xml:space="preserve">17.6(ii) refers us to the customary rules of treaty interpretation. However, we will not engage in our own, </w:t>
      </w:r>
      <w:r w:rsidRPr="00272930">
        <w:rPr>
          <w:rFonts w:cstheme="minorHAnsi"/>
          <w:i/>
          <w:iCs/>
        </w:rPr>
        <w:t>de novo</w:t>
      </w:r>
      <w:r w:rsidRPr="00272930">
        <w:rPr>
          <w:rFonts w:cstheme="minorHAnsi"/>
        </w:rPr>
        <w:t xml:space="preserve"> interpretation of the terms </w:t>
      </w:r>
      <w:r w:rsidR="00972276" w:rsidRPr="00272930">
        <w:rPr>
          <w:rFonts w:cstheme="minorHAnsi"/>
        </w:rPr>
        <w:t>"</w:t>
      </w:r>
      <w:r w:rsidRPr="00272930">
        <w:rPr>
          <w:rFonts w:cstheme="minorHAnsi"/>
        </w:rPr>
        <w:t>where appropriate</w:t>
      </w:r>
      <w:r w:rsidR="00972276" w:rsidRPr="00272930">
        <w:rPr>
          <w:rFonts w:cstheme="minorHAnsi"/>
        </w:rPr>
        <w:t>"</w:t>
      </w:r>
      <w:r w:rsidRPr="00272930">
        <w:rPr>
          <w:rFonts w:cstheme="minorHAnsi"/>
        </w:rPr>
        <w:t xml:space="preserve"> </w:t>
      </w:r>
      <w:proofErr w:type="gramStart"/>
      <w:r w:rsidRPr="00272930">
        <w:rPr>
          <w:rFonts w:cstheme="minorHAnsi"/>
        </w:rPr>
        <w:t>so as to</w:t>
      </w:r>
      <w:proofErr w:type="gramEnd"/>
      <w:r w:rsidRPr="00272930">
        <w:rPr>
          <w:rFonts w:cstheme="minorHAnsi"/>
        </w:rPr>
        <w:t xml:space="preserve"> arrive at what we consider to be the </w:t>
      </w:r>
      <w:r w:rsidR="00972276" w:rsidRPr="00272930">
        <w:rPr>
          <w:rFonts w:cstheme="minorHAnsi"/>
        </w:rPr>
        <w:t>"</w:t>
      </w:r>
      <w:r w:rsidRPr="00272930">
        <w:rPr>
          <w:rFonts w:cstheme="minorHAnsi"/>
        </w:rPr>
        <w:t>final</w:t>
      </w:r>
      <w:r w:rsidR="00972276" w:rsidRPr="00272930">
        <w:rPr>
          <w:rFonts w:cstheme="minorHAnsi"/>
        </w:rPr>
        <w:t>"</w:t>
      </w:r>
      <w:r w:rsidRPr="00272930">
        <w:rPr>
          <w:rFonts w:cstheme="minorHAnsi"/>
        </w:rPr>
        <w:t xml:space="preserve"> or </w:t>
      </w:r>
      <w:r w:rsidR="00972276" w:rsidRPr="00272930">
        <w:rPr>
          <w:rFonts w:cstheme="minorHAnsi"/>
        </w:rPr>
        <w:t>"</w:t>
      </w:r>
      <w:r w:rsidRPr="00272930">
        <w:rPr>
          <w:rFonts w:cstheme="minorHAnsi"/>
        </w:rPr>
        <w:t>correct</w:t>
      </w:r>
      <w:r w:rsidR="00972276" w:rsidRPr="00272930">
        <w:rPr>
          <w:rFonts w:cstheme="minorHAnsi"/>
        </w:rPr>
        <w:t>"</w:t>
      </w:r>
      <w:r w:rsidRPr="00272930">
        <w:rPr>
          <w:rFonts w:cstheme="minorHAnsi"/>
        </w:rPr>
        <w:t xml:space="preserve"> application of </w:t>
      </w:r>
      <w:r w:rsidR="000528F6" w:rsidRPr="00272930">
        <w:rPr>
          <w:rFonts w:cstheme="minorHAnsi"/>
        </w:rPr>
        <w:t>Articles </w:t>
      </w:r>
      <w:r w:rsidRPr="00272930">
        <w:rPr>
          <w:rFonts w:cstheme="minorHAnsi"/>
        </w:rPr>
        <w:t>31 and 32 of the Vienna</w:t>
      </w:r>
      <w:r w:rsidR="00BA4836" w:rsidRPr="00272930">
        <w:rPr>
          <w:rFonts w:cstheme="minorHAnsi"/>
        </w:rPr>
        <w:t> Convention</w:t>
      </w:r>
      <w:r w:rsidRPr="00272930">
        <w:rPr>
          <w:rFonts w:cstheme="minorHAnsi"/>
        </w:rPr>
        <w:t>. Instead, we will ask whether a treaty interpreter, using the method for treaty interpretation set out in the Vienna</w:t>
      </w:r>
      <w:r w:rsidR="00BA4836" w:rsidRPr="00272930">
        <w:rPr>
          <w:rFonts w:cstheme="minorHAnsi"/>
        </w:rPr>
        <w:t> Convention</w:t>
      </w:r>
      <w:r w:rsidRPr="00272930">
        <w:rPr>
          <w:rFonts w:cstheme="minorHAnsi"/>
        </w:rPr>
        <w:t xml:space="preserve"> – that is, an interpretation </w:t>
      </w:r>
      <w:r w:rsidR="00972276" w:rsidRPr="00272930">
        <w:t>"</w:t>
      </w:r>
      <w:r w:rsidRPr="00272930">
        <w:t xml:space="preserve">in good faith in accordance with the ordinary meaning to be given to the terms of the treaty in their context and in </w:t>
      </w:r>
      <w:r w:rsidR="00963775" w:rsidRPr="00272930">
        <w:t xml:space="preserve">the </w:t>
      </w:r>
      <w:r w:rsidRPr="00272930">
        <w:t>light of its object and purpose</w:t>
      </w:r>
      <w:r w:rsidR="00972276" w:rsidRPr="00272930">
        <w:t>"</w:t>
      </w:r>
      <w:r w:rsidRPr="00272930">
        <w:t xml:space="preserve"> and, where appropriate, </w:t>
      </w:r>
      <w:r w:rsidR="00972276" w:rsidRPr="00272930">
        <w:t>"</w:t>
      </w:r>
      <w:r w:rsidRPr="00272930">
        <w:t>supplementary means of interpretation</w:t>
      </w:r>
      <w:r w:rsidR="00972276" w:rsidRPr="00272930">
        <w:t>"</w:t>
      </w:r>
      <w:r w:rsidRPr="00272930">
        <w:t xml:space="preserve"> – could have reached Colombia</w:t>
      </w:r>
      <w:r w:rsidR="00972276" w:rsidRPr="00272930">
        <w:t>'</w:t>
      </w:r>
      <w:r w:rsidRPr="00272930">
        <w:t>s interpretation</w:t>
      </w:r>
      <w:r w:rsidRPr="00272930">
        <w:rPr>
          <w:rFonts w:cstheme="minorHAnsi"/>
        </w:rPr>
        <w:t xml:space="preserve">. And this even though we, as </w:t>
      </w:r>
      <w:r w:rsidRPr="00272930">
        <w:rPr>
          <w:rFonts w:cstheme="minorHAnsi"/>
          <w:i/>
          <w:iCs/>
        </w:rPr>
        <w:t>de novo</w:t>
      </w:r>
      <w:r w:rsidRPr="00272930">
        <w:rPr>
          <w:rFonts w:cstheme="minorHAnsi"/>
        </w:rPr>
        <w:t xml:space="preserve"> treaty interpreters, might have reached a different conclusion.</w:t>
      </w:r>
    </w:p>
    <w:p w14:paraId="513F59B0" w14:textId="6EF2A56A" w:rsidR="00F572D3" w:rsidRPr="00272930" w:rsidRDefault="00F572D3" w:rsidP="00B709B7">
      <w:pPr>
        <w:pStyle w:val="BodyText"/>
        <w:numPr>
          <w:ilvl w:val="6"/>
          <w:numId w:val="7"/>
        </w:numPr>
        <w:rPr>
          <w:szCs w:val="18"/>
        </w:rPr>
      </w:pPr>
      <w:r w:rsidRPr="00272930">
        <w:rPr>
          <w:rFonts w:cstheme="minorHAnsi"/>
        </w:rPr>
        <w:t>Our approach assumes, as the second sentence does, that different treaty interpreters applying the same tools of the Vienna</w:t>
      </w:r>
      <w:r w:rsidR="00BA4836" w:rsidRPr="00272930">
        <w:rPr>
          <w:rFonts w:cstheme="minorHAnsi"/>
        </w:rPr>
        <w:t> Convention</w:t>
      </w:r>
      <w:r w:rsidRPr="00272930">
        <w:rPr>
          <w:rFonts w:cstheme="minorHAnsi"/>
        </w:rPr>
        <w:t xml:space="preserve"> may, in good faith and with solid arguments in support, reach different conclusions on the </w:t>
      </w:r>
      <w:r w:rsidR="00972276" w:rsidRPr="00272930">
        <w:rPr>
          <w:rFonts w:cstheme="minorHAnsi"/>
        </w:rPr>
        <w:t>"</w:t>
      </w:r>
      <w:r w:rsidRPr="00272930">
        <w:rPr>
          <w:rFonts w:cstheme="minorHAnsi"/>
        </w:rPr>
        <w:t>correct</w:t>
      </w:r>
      <w:r w:rsidR="00972276" w:rsidRPr="00272930">
        <w:rPr>
          <w:rFonts w:cstheme="minorHAnsi"/>
        </w:rPr>
        <w:t>"</w:t>
      </w:r>
      <w:r w:rsidRPr="00272930">
        <w:rPr>
          <w:rFonts w:cstheme="minorHAnsi"/>
        </w:rPr>
        <w:t xml:space="preserve"> interpretation of a treaty provision.</w:t>
      </w:r>
      <w:r w:rsidRPr="00272930">
        <w:rPr>
          <w:rStyle w:val="FootnoteReference"/>
          <w:rFonts w:cstheme="minorHAnsi"/>
          <w:szCs w:val="18"/>
        </w:rPr>
        <w:footnoteReference w:id="44"/>
      </w:r>
      <w:r w:rsidRPr="00272930">
        <w:rPr>
          <w:rFonts w:cstheme="minorHAnsi"/>
        </w:rPr>
        <w:t xml:space="preserve"> This may </w:t>
      </w:r>
      <w:r w:rsidRPr="00272930">
        <w:rPr>
          <w:rFonts w:cstheme="minorHAnsi"/>
        </w:rPr>
        <w:lastRenderedPageBreak/>
        <w:t xml:space="preserve">be particularly true for the Anti-Dumping Agreement, which was drafted with the understanding that investigating authorities employ different methodologies and approaches. </w:t>
      </w:r>
      <w:r w:rsidRPr="00272930">
        <w:rPr>
          <w:rFonts w:cstheme="minorHAnsi"/>
          <w:szCs w:val="18"/>
        </w:rPr>
        <w:t>Treaty interpretation is not an exact science and applying the Vienna</w:t>
      </w:r>
      <w:r w:rsidR="00BA4836" w:rsidRPr="00272930">
        <w:rPr>
          <w:rFonts w:cstheme="minorHAnsi"/>
          <w:szCs w:val="18"/>
        </w:rPr>
        <w:t> </w:t>
      </w:r>
      <w:r w:rsidR="00BA4836" w:rsidRPr="004315B3">
        <w:rPr>
          <w:rFonts w:cstheme="minorHAnsi"/>
          <w:szCs w:val="18"/>
        </w:rPr>
        <w:t>Convention</w:t>
      </w:r>
      <w:r w:rsidR="00972276" w:rsidRPr="004315B3">
        <w:rPr>
          <w:rFonts w:cstheme="minorHAnsi"/>
          <w:szCs w:val="18"/>
        </w:rPr>
        <w:t>'</w:t>
      </w:r>
      <w:r w:rsidRPr="004315B3">
        <w:rPr>
          <w:rFonts w:cstheme="minorHAnsi"/>
          <w:szCs w:val="18"/>
        </w:rPr>
        <w:t>s</w:t>
      </w:r>
      <w:r w:rsidRPr="00272930">
        <w:rPr>
          <w:rFonts w:cstheme="minorHAnsi"/>
          <w:szCs w:val="18"/>
        </w:rPr>
        <w:t xml:space="preserve"> method does not magically and inevitably lead to a single result. In most cases, treaty interpretation involves weighing, balancing, and choice.</w:t>
      </w:r>
    </w:p>
    <w:p w14:paraId="06609513" w14:textId="4468F3A9" w:rsidR="00F572D3" w:rsidRPr="00272930" w:rsidRDefault="00F572D3" w:rsidP="00B709B7">
      <w:pPr>
        <w:pStyle w:val="BodyText"/>
        <w:numPr>
          <w:ilvl w:val="6"/>
          <w:numId w:val="7"/>
        </w:numPr>
        <w:rPr>
          <w:szCs w:val="18"/>
        </w:rPr>
      </w:pPr>
      <w:bookmarkStart w:id="34" w:name="_Ref121123001"/>
      <w:r w:rsidRPr="00272930">
        <w:rPr>
          <w:rFonts w:cstheme="minorHAnsi"/>
          <w:szCs w:val="18"/>
        </w:rPr>
        <w:t xml:space="preserve">Thus, the ultimate question for us when testing a proposed interpretation is to draw a line beyond which an interpretation is no longer </w:t>
      </w:r>
      <w:r w:rsidR="00972276" w:rsidRPr="00272930">
        <w:rPr>
          <w:rFonts w:cstheme="minorHAnsi"/>
          <w:szCs w:val="18"/>
        </w:rPr>
        <w:t>"</w:t>
      </w:r>
      <w:r w:rsidRPr="00272930">
        <w:rPr>
          <w:rFonts w:cstheme="minorHAnsi"/>
          <w:szCs w:val="18"/>
        </w:rPr>
        <w:t>permissible</w:t>
      </w:r>
      <w:r w:rsidR="00972276" w:rsidRPr="00272930">
        <w:rPr>
          <w:rFonts w:cstheme="minorHAnsi"/>
          <w:szCs w:val="18"/>
        </w:rPr>
        <w:t>"</w:t>
      </w:r>
      <w:r w:rsidRPr="00272930">
        <w:rPr>
          <w:rFonts w:cstheme="minorHAnsi"/>
          <w:szCs w:val="18"/>
        </w:rPr>
        <w:t xml:space="preserve"> under the Vienna</w:t>
      </w:r>
      <w:r w:rsidR="00BA4836" w:rsidRPr="00272930">
        <w:rPr>
          <w:rFonts w:cstheme="minorHAnsi"/>
          <w:szCs w:val="18"/>
        </w:rPr>
        <w:t> Convention</w:t>
      </w:r>
      <w:r w:rsidRPr="00272930">
        <w:rPr>
          <w:rFonts w:cstheme="minorHAnsi"/>
          <w:szCs w:val="18"/>
        </w:rPr>
        <w:t xml:space="preserve"> method for treaty interpretation. D</w:t>
      </w:r>
      <w:r w:rsidRPr="00272930">
        <w:rPr>
          <w:rFonts w:eastAsia="Times New Roman" w:cs="Calibri"/>
          <w:color w:val="212121"/>
          <w:szCs w:val="18"/>
        </w:rPr>
        <w:t xml:space="preserve">ictionary meanings support the idea that the search for </w:t>
      </w:r>
      <w:r w:rsidR="00972276" w:rsidRPr="00272930">
        <w:rPr>
          <w:rFonts w:eastAsia="Times New Roman" w:cs="Calibri"/>
          <w:color w:val="212121"/>
          <w:szCs w:val="18"/>
        </w:rPr>
        <w:t>"</w:t>
      </w:r>
      <w:r w:rsidRPr="00272930">
        <w:rPr>
          <w:rFonts w:eastAsia="Times New Roman" w:cs="Calibri"/>
          <w:color w:val="212121"/>
          <w:szCs w:val="18"/>
        </w:rPr>
        <w:t>permissible</w:t>
      </w:r>
      <w:r w:rsidR="00972276" w:rsidRPr="00272930">
        <w:rPr>
          <w:rFonts w:eastAsia="Times New Roman" w:cs="Calibri"/>
          <w:color w:val="212121"/>
          <w:szCs w:val="18"/>
        </w:rPr>
        <w:t>"</w:t>
      </w:r>
      <w:r w:rsidRPr="00272930">
        <w:rPr>
          <w:rFonts w:eastAsia="Times New Roman" w:cs="Calibri"/>
          <w:color w:val="212121"/>
          <w:szCs w:val="18"/>
        </w:rPr>
        <w:t xml:space="preserve"> interpretations differs from an attempt to find one</w:t>
      </w:r>
      <w:r w:rsidR="00972276" w:rsidRPr="00272930">
        <w:rPr>
          <w:rFonts w:eastAsia="Times New Roman" w:cs="Calibri"/>
          <w:color w:val="212121"/>
          <w:szCs w:val="18"/>
        </w:rPr>
        <w:t>'</w:t>
      </w:r>
      <w:r w:rsidRPr="00272930">
        <w:rPr>
          <w:rFonts w:eastAsia="Times New Roman" w:cs="Calibri"/>
          <w:color w:val="212121"/>
          <w:szCs w:val="18"/>
        </w:rPr>
        <w:t xml:space="preserve">s own – </w:t>
      </w:r>
      <w:r w:rsidR="00972276" w:rsidRPr="00272930">
        <w:rPr>
          <w:rFonts w:eastAsia="Times New Roman" w:cs="Calibri"/>
          <w:color w:val="212121"/>
          <w:szCs w:val="18"/>
        </w:rPr>
        <w:t>"</w:t>
      </w:r>
      <w:r w:rsidRPr="00272930">
        <w:rPr>
          <w:rFonts w:eastAsia="Times New Roman" w:cs="Calibri"/>
          <w:color w:val="212121"/>
          <w:szCs w:val="18"/>
        </w:rPr>
        <w:t>final</w:t>
      </w:r>
      <w:r w:rsidR="00972276" w:rsidRPr="00272930">
        <w:rPr>
          <w:rFonts w:eastAsia="Times New Roman" w:cs="Calibri"/>
          <w:color w:val="212121"/>
          <w:szCs w:val="18"/>
        </w:rPr>
        <w:t>"</w:t>
      </w:r>
      <w:r w:rsidRPr="00272930">
        <w:rPr>
          <w:rFonts w:eastAsia="Times New Roman" w:cs="Calibri"/>
          <w:color w:val="212121"/>
          <w:szCs w:val="18"/>
        </w:rPr>
        <w:t xml:space="preserve"> and </w:t>
      </w:r>
      <w:r w:rsidR="00972276" w:rsidRPr="00272930">
        <w:rPr>
          <w:rFonts w:eastAsia="Times New Roman" w:cs="Calibri"/>
          <w:color w:val="212121"/>
          <w:szCs w:val="18"/>
        </w:rPr>
        <w:t>"</w:t>
      </w:r>
      <w:r w:rsidRPr="00272930">
        <w:rPr>
          <w:rFonts w:eastAsia="Times New Roman" w:cs="Calibri"/>
          <w:color w:val="212121"/>
          <w:szCs w:val="18"/>
        </w:rPr>
        <w:t>correct</w:t>
      </w:r>
      <w:r w:rsidR="00972276" w:rsidRPr="00272930">
        <w:rPr>
          <w:rFonts w:eastAsia="Times New Roman" w:cs="Calibri"/>
          <w:color w:val="212121"/>
          <w:szCs w:val="18"/>
        </w:rPr>
        <w:t>"</w:t>
      </w:r>
      <w:r w:rsidRPr="00272930">
        <w:rPr>
          <w:rFonts w:eastAsia="Times New Roman" w:cs="Calibri"/>
          <w:color w:val="212121"/>
          <w:szCs w:val="18"/>
        </w:rPr>
        <w:t xml:space="preserve"> – interpretation.</w:t>
      </w:r>
      <w:r w:rsidRPr="00272930">
        <w:rPr>
          <w:rStyle w:val="FootnoteReference"/>
          <w:rFonts w:eastAsia="Times New Roman" w:cs="Calibri"/>
          <w:color w:val="212121"/>
          <w:szCs w:val="18"/>
        </w:rPr>
        <w:footnoteReference w:id="45"/>
      </w:r>
      <w:r w:rsidRPr="00272930">
        <w:rPr>
          <w:rFonts w:eastAsia="Times New Roman" w:cs="Calibri"/>
          <w:color w:val="212121"/>
          <w:szCs w:val="18"/>
        </w:rPr>
        <w:t xml:space="preserve"> </w:t>
      </w:r>
      <w:r w:rsidR="00963775" w:rsidRPr="00272930">
        <w:rPr>
          <w:rFonts w:eastAsia="Times New Roman" w:cs="Calibri"/>
          <w:color w:val="212121"/>
          <w:szCs w:val="18"/>
        </w:rPr>
        <w:t>Rather, t</w:t>
      </w:r>
      <w:r w:rsidRPr="00272930">
        <w:rPr>
          <w:rFonts w:eastAsia="Times New Roman" w:cs="Calibri"/>
          <w:color w:val="212121"/>
          <w:szCs w:val="18"/>
        </w:rPr>
        <w:t xml:space="preserve">he question is </w:t>
      </w:r>
      <w:r w:rsidR="00963775" w:rsidRPr="00272930">
        <w:rPr>
          <w:rFonts w:eastAsia="Times New Roman" w:cs="Calibri"/>
          <w:color w:val="212121"/>
          <w:szCs w:val="18"/>
        </w:rPr>
        <w:t>whether</w:t>
      </w:r>
      <w:r w:rsidRPr="00272930">
        <w:rPr>
          <w:rFonts w:eastAsia="Times New Roman" w:cs="Calibri"/>
          <w:color w:val="212121"/>
          <w:szCs w:val="18"/>
        </w:rPr>
        <w:t xml:space="preserve"> someone else</w:t>
      </w:r>
      <w:r w:rsidR="00972276" w:rsidRPr="00272930">
        <w:rPr>
          <w:rFonts w:eastAsia="Times New Roman" w:cs="Calibri"/>
          <w:color w:val="212121"/>
          <w:szCs w:val="18"/>
        </w:rPr>
        <w:t>'</w:t>
      </w:r>
      <w:r w:rsidRPr="00272930">
        <w:rPr>
          <w:rFonts w:eastAsia="Times New Roman" w:cs="Calibri"/>
          <w:color w:val="212121"/>
          <w:szCs w:val="18"/>
        </w:rPr>
        <w:t xml:space="preserve">s interpretation </w:t>
      </w:r>
      <w:r w:rsidR="00CB14C8" w:rsidRPr="00272930">
        <w:rPr>
          <w:rFonts w:eastAsia="Times New Roman" w:cs="Calibri"/>
          <w:color w:val="212121"/>
          <w:szCs w:val="18"/>
        </w:rPr>
        <w:t xml:space="preserve">is </w:t>
      </w:r>
      <w:r w:rsidR="00972276" w:rsidRPr="00272930">
        <w:rPr>
          <w:rFonts w:eastAsia="Times New Roman" w:cs="Calibri"/>
          <w:color w:val="212121"/>
          <w:szCs w:val="18"/>
        </w:rPr>
        <w:t>"</w:t>
      </w:r>
      <w:r w:rsidRPr="00272930">
        <w:rPr>
          <w:rFonts w:eastAsia="Times New Roman" w:cs="Calibri"/>
          <w:color w:val="212121"/>
          <w:szCs w:val="18"/>
        </w:rPr>
        <w:t>permitted</w:t>
      </w:r>
      <w:r w:rsidR="00972276" w:rsidRPr="00272930">
        <w:rPr>
          <w:rFonts w:eastAsia="Times New Roman" w:cs="Calibri"/>
          <w:color w:val="212121"/>
          <w:szCs w:val="18"/>
        </w:rPr>
        <w:t>"</w:t>
      </w:r>
      <w:r w:rsidRPr="00272930">
        <w:rPr>
          <w:rFonts w:eastAsia="Times New Roman" w:cs="Calibri"/>
          <w:color w:val="212121"/>
          <w:szCs w:val="18"/>
        </w:rPr>
        <w:t xml:space="preserve">, </w:t>
      </w:r>
      <w:r w:rsidR="00972276" w:rsidRPr="00272930">
        <w:rPr>
          <w:rFonts w:eastAsia="Times New Roman" w:cs="Calibri"/>
          <w:color w:val="212121"/>
          <w:szCs w:val="18"/>
        </w:rPr>
        <w:t>"</w:t>
      </w:r>
      <w:r w:rsidRPr="00272930">
        <w:rPr>
          <w:rFonts w:eastAsia="Times New Roman" w:cs="Calibri"/>
          <w:color w:val="212121"/>
          <w:szCs w:val="18"/>
        </w:rPr>
        <w:t>allowable</w:t>
      </w:r>
      <w:r w:rsidR="00972276" w:rsidRPr="00272930">
        <w:rPr>
          <w:rFonts w:eastAsia="Times New Roman" w:cs="Calibri"/>
          <w:color w:val="212121"/>
          <w:szCs w:val="18"/>
        </w:rPr>
        <w:t>"</w:t>
      </w:r>
      <w:r w:rsidRPr="00272930">
        <w:rPr>
          <w:rFonts w:eastAsia="Times New Roman" w:cs="Calibri"/>
          <w:color w:val="212121"/>
          <w:szCs w:val="18"/>
        </w:rPr>
        <w:t xml:space="preserve">, </w:t>
      </w:r>
      <w:r w:rsidR="00972276" w:rsidRPr="00272930">
        <w:rPr>
          <w:rFonts w:eastAsia="Times New Roman" w:cs="Calibri"/>
          <w:color w:val="212121"/>
          <w:szCs w:val="18"/>
        </w:rPr>
        <w:t>"</w:t>
      </w:r>
      <w:r w:rsidRPr="00272930">
        <w:rPr>
          <w:rFonts w:eastAsia="Times New Roman" w:cs="Calibri"/>
          <w:color w:val="212121"/>
          <w:szCs w:val="18"/>
        </w:rPr>
        <w:t>acceptable</w:t>
      </w:r>
      <w:r w:rsidR="00972276" w:rsidRPr="00272930">
        <w:rPr>
          <w:rFonts w:eastAsia="Times New Roman" w:cs="Calibri"/>
          <w:color w:val="212121"/>
          <w:szCs w:val="18"/>
        </w:rPr>
        <w:t>"</w:t>
      </w:r>
      <w:r w:rsidRPr="00272930">
        <w:rPr>
          <w:rFonts w:eastAsia="Times New Roman" w:cs="Calibri"/>
          <w:color w:val="212121"/>
          <w:szCs w:val="18"/>
        </w:rPr>
        <w:t xml:space="preserve">, or </w:t>
      </w:r>
      <w:r w:rsidR="00972276" w:rsidRPr="00272930">
        <w:rPr>
          <w:rFonts w:eastAsia="Times New Roman" w:cs="Calibri"/>
          <w:color w:val="212121"/>
          <w:szCs w:val="18"/>
        </w:rPr>
        <w:t>"</w:t>
      </w:r>
      <w:r w:rsidRPr="00272930">
        <w:rPr>
          <w:rFonts w:eastAsia="Times New Roman" w:cs="Calibri"/>
          <w:color w:val="212121"/>
          <w:szCs w:val="18"/>
        </w:rPr>
        <w:t>admissible</w:t>
      </w:r>
      <w:r w:rsidR="00972276" w:rsidRPr="00272930">
        <w:rPr>
          <w:rFonts w:eastAsia="Times New Roman" w:cs="Calibri"/>
          <w:color w:val="212121"/>
          <w:szCs w:val="18"/>
        </w:rPr>
        <w:t>"</w:t>
      </w:r>
      <w:r w:rsidRPr="00272930">
        <w:rPr>
          <w:rFonts w:eastAsia="Times New Roman" w:cs="Calibri"/>
          <w:color w:val="212121"/>
          <w:szCs w:val="18"/>
        </w:rPr>
        <w:t xml:space="preserve"> as an outcome resulting from a proper application of the interpretative process called for under the Vienna</w:t>
      </w:r>
      <w:r w:rsidR="00BA4836" w:rsidRPr="00272930">
        <w:rPr>
          <w:rFonts w:eastAsia="Times New Roman" w:cs="Calibri"/>
          <w:color w:val="212121"/>
          <w:szCs w:val="18"/>
        </w:rPr>
        <w:t> Convention</w:t>
      </w:r>
      <w:r w:rsidRPr="00272930">
        <w:rPr>
          <w:rFonts w:eastAsia="Times New Roman" w:cs="Calibri"/>
          <w:color w:val="212121"/>
          <w:szCs w:val="18"/>
        </w:rPr>
        <w:t>.</w:t>
      </w:r>
      <w:r w:rsidRPr="00272930">
        <w:rPr>
          <w:szCs w:val="18"/>
        </w:rPr>
        <w:t xml:space="preserve"> </w:t>
      </w:r>
      <w:r w:rsidRPr="00272930">
        <w:rPr>
          <w:rFonts w:cstheme="minorHAnsi"/>
          <w:szCs w:val="18"/>
        </w:rPr>
        <w:t xml:space="preserve">Obviously, not just any interpretation put forward by an authority can be accepted as </w:t>
      </w:r>
      <w:r w:rsidR="00972276" w:rsidRPr="00272930">
        <w:rPr>
          <w:rFonts w:cstheme="minorHAnsi"/>
          <w:szCs w:val="18"/>
        </w:rPr>
        <w:t>"</w:t>
      </w:r>
      <w:r w:rsidRPr="00272930">
        <w:rPr>
          <w:rFonts w:cstheme="minorHAnsi"/>
          <w:szCs w:val="18"/>
        </w:rPr>
        <w:t>permissible</w:t>
      </w:r>
      <w:r w:rsidR="00972276" w:rsidRPr="00272930">
        <w:rPr>
          <w:rFonts w:cstheme="minorHAnsi"/>
          <w:szCs w:val="18"/>
        </w:rPr>
        <w:t>"</w:t>
      </w:r>
      <w:r w:rsidRPr="00272930">
        <w:rPr>
          <w:rFonts w:cstheme="minorHAnsi"/>
          <w:szCs w:val="18"/>
        </w:rPr>
        <w:t>. The interpretative process under the Vienna</w:t>
      </w:r>
      <w:r w:rsidR="00BA4836" w:rsidRPr="00272930">
        <w:rPr>
          <w:rFonts w:cstheme="minorHAnsi"/>
          <w:szCs w:val="18"/>
        </w:rPr>
        <w:t> Convention</w:t>
      </w:r>
      <w:r w:rsidRPr="00272930">
        <w:rPr>
          <w:rFonts w:cstheme="minorHAnsi"/>
          <w:szCs w:val="18"/>
        </w:rPr>
        <w:t xml:space="preserve"> sets out an outer range beyond which meanings cannot be accepted. Just as permissible interpretations cannot be limited to a single </w:t>
      </w:r>
      <w:r w:rsidR="00972276" w:rsidRPr="00272930">
        <w:rPr>
          <w:rFonts w:cstheme="minorHAnsi"/>
          <w:szCs w:val="18"/>
        </w:rPr>
        <w:t>"</w:t>
      </w:r>
      <w:r w:rsidRPr="00272930">
        <w:rPr>
          <w:rFonts w:cstheme="minorHAnsi"/>
          <w:szCs w:val="18"/>
        </w:rPr>
        <w:t>final</w:t>
      </w:r>
      <w:r w:rsidR="00972276" w:rsidRPr="00272930">
        <w:rPr>
          <w:rFonts w:cstheme="minorHAnsi"/>
          <w:szCs w:val="18"/>
        </w:rPr>
        <w:t>"</w:t>
      </w:r>
      <w:r w:rsidRPr="00272930">
        <w:rPr>
          <w:rFonts w:cstheme="minorHAnsi"/>
          <w:szCs w:val="18"/>
        </w:rPr>
        <w:t xml:space="preserve"> and </w:t>
      </w:r>
      <w:r w:rsidR="00972276" w:rsidRPr="00272930">
        <w:rPr>
          <w:rFonts w:cstheme="minorHAnsi"/>
          <w:szCs w:val="18"/>
        </w:rPr>
        <w:t>"</w:t>
      </w:r>
      <w:r w:rsidRPr="00272930">
        <w:rPr>
          <w:rFonts w:cstheme="minorHAnsi"/>
          <w:szCs w:val="18"/>
        </w:rPr>
        <w:t>correct</w:t>
      </w:r>
      <w:r w:rsidR="00972276" w:rsidRPr="00272930">
        <w:rPr>
          <w:rFonts w:cstheme="minorHAnsi"/>
          <w:szCs w:val="18"/>
        </w:rPr>
        <w:t>"</w:t>
      </w:r>
      <w:r w:rsidRPr="00272930">
        <w:rPr>
          <w:rFonts w:cstheme="minorHAnsi"/>
          <w:szCs w:val="18"/>
        </w:rPr>
        <w:t xml:space="preserve"> answer as determined by a given tribunal, not all interpretations have the required degree of solidness or analytical support for them to be given deference as </w:t>
      </w:r>
      <w:r w:rsidR="00972276" w:rsidRPr="00272930">
        <w:rPr>
          <w:rFonts w:cstheme="minorHAnsi"/>
          <w:szCs w:val="18"/>
        </w:rPr>
        <w:t>"</w:t>
      </w:r>
      <w:r w:rsidRPr="00272930">
        <w:rPr>
          <w:rFonts w:cstheme="minorHAnsi"/>
          <w:szCs w:val="18"/>
        </w:rPr>
        <w:t>permissible</w:t>
      </w:r>
      <w:r w:rsidR="00972276" w:rsidRPr="00272930">
        <w:rPr>
          <w:rFonts w:cstheme="minorHAnsi"/>
          <w:szCs w:val="18"/>
        </w:rPr>
        <w:t>"</w:t>
      </w:r>
      <w:r w:rsidRPr="00272930">
        <w:rPr>
          <w:rFonts w:cstheme="minorHAnsi"/>
          <w:szCs w:val="18"/>
        </w:rPr>
        <w:t xml:space="preserve"> within the bounds of the Vienna</w:t>
      </w:r>
      <w:r w:rsidR="00BA4836" w:rsidRPr="00272930">
        <w:rPr>
          <w:rFonts w:cstheme="minorHAnsi"/>
          <w:szCs w:val="18"/>
        </w:rPr>
        <w:t> Convention</w:t>
      </w:r>
      <w:r w:rsidRPr="00272930">
        <w:rPr>
          <w:rFonts w:cstheme="minorHAnsi"/>
          <w:szCs w:val="18"/>
        </w:rPr>
        <w:t xml:space="preserve"> method for treaty interpretation.</w:t>
      </w:r>
      <w:bookmarkEnd w:id="34"/>
    </w:p>
    <w:p w14:paraId="4243AF1A" w14:textId="55F4651C" w:rsidR="00F572D3" w:rsidRPr="00272930" w:rsidRDefault="00F572D3" w:rsidP="00B709B7">
      <w:pPr>
        <w:pStyle w:val="Heading3"/>
        <w:numPr>
          <w:ilvl w:val="2"/>
          <w:numId w:val="7"/>
        </w:numPr>
      </w:pPr>
      <w:bookmarkStart w:id="35" w:name="_Toc122339710"/>
      <w:r w:rsidRPr="00272930">
        <w:t xml:space="preserve">Whether it is permissible to interpret the phrase </w:t>
      </w:r>
      <w:r w:rsidR="00972276" w:rsidRPr="00272930">
        <w:t>"</w:t>
      </w:r>
      <w:r w:rsidRPr="00272930">
        <w:t>where appropriate</w:t>
      </w:r>
      <w:r w:rsidR="00972276" w:rsidRPr="00272930">
        <w:t>"</w:t>
      </w:r>
      <w:r w:rsidRPr="00272930">
        <w:t xml:space="preserve"> in Article 5.2(iii)</w:t>
      </w:r>
      <w:r w:rsidRPr="00272930">
        <w:rPr>
          <w:szCs w:val="18"/>
        </w:rPr>
        <w:t xml:space="preserve"> of the Anti-Dumping Agreement as granting </w:t>
      </w:r>
      <w:r w:rsidR="00972276" w:rsidRPr="00272930">
        <w:rPr>
          <w:szCs w:val="18"/>
        </w:rPr>
        <w:t>"</w:t>
      </w:r>
      <w:r w:rsidRPr="00272930">
        <w:rPr>
          <w:szCs w:val="18"/>
        </w:rPr>
        <w:t>free choice</w:t>
      </w:r>
      <w:r w:rsidR="00972276" w:rsidRPr="00272930">
        <w:rPr>
          <w:szCs w:val="18"/>
        </w:rPr>
        <w:t>"</w:t>
      </w:r>
      <w:r w:rsidRPr="00272930">
        <w:rPr>
          <w:szCs w:val="18"/>
        </w:rPr>
        <w:t xml:space="preserve"> in the use of third-country sales prices as a basis for normal value</w:t>
      </w:r>
      <w:bookmarkEnd w:id="35"/>
    </w:p>
    <w:p w14:paraId="39A150F0" w14:textId="54095FD6" w:rsidR="00F572D3" w:rsidRPr="00272930" w:rsidRDefault="00F572D3" w:rsidP="00B709B7">
      <w:pPr>
        <w:pStyle w:val="BodyText"/>
        <w:numPr>
          <w:ilvl w:val="6"/>
          <w:numId w:val="7"/>
        </w:numPr>
        <w:rPr>
          <w:szCs w:val="18"/>
        </w:rPr>
      </w:pPr>
      <w:r w:rsidRPr="00272930">
        <w:rPr>
          <w:szCs w:val="18"/>
        </w:rPr>
        <w:t xml:space="preserve">Colombia maintains that the </w:t>
      </w:r>
      <w:r w:rsidR="00972276" w:rsidRPr="00272930">
        <w:rPr>
          <w:szCs w:val="18"/>
        </w:rPr>
        <w:t>"</w:t>
      </w:r>
      <w:r w:rsidRPr="00272930">
        <w:rPr>
          <w:szCs w:val="18"/>
        </w:rPr>
        <w:t xml:space="preserve">core legal issue in this appeal is the meaning of the phrase </w:t>
      </w:r>
      <w:r w:rsidR="00972276" w:rsidRPr="00272930">
        <w:rPr>
          <w:szCs w:val="18"/>
        </w:rPr>
        <w:t>'</w:t>
      </w:r>
      <w:r w:rsidRPr="00272930">
        <w:rPr>
          <w:szCs w:val="18"/>
        </w:rPr>
        <w:t>where appropriate</w:t>
      </w:r>
      <w:r w:rsidR="00972276" w:rsidRPr="00272930">
        <w:rPr>
          <w:szCs w:val="18"/>
        </w:rPr>
        <w:t>'"</w:t>
      </w:r>
      <w:r w:rsidRPr="00272930">
        <w:rPr>
          <w:szCs w:val="18"/>
        </w:rPr>
        <w:t xml:space="preserve"> in Article</w:t>
      </w:r>
      <w:r w:rsidR="00F2224B" w:rsidRPr="00272930">
        <w:rPr>
          <w:szCs w:val="18"/>
        </w:rPr>
        <w:t> </w:t>
      </w:r>
      <w:r w:rsidRPr="00272930">
        <w:rPr>
          <w:szCs w:val="18"/>
        </w:rPr>
        <w:t>5.2(iii) of the Anti-Dumping Agreement.</w:t>
      </w:r>
      <w:r w:rsidRPr="00272930">
        <w:rPr>
          <w:rStyle w:val="FootnoteReference"/>
          <w:szCs w:val="18"/>
        </w:rPr>
        <w:footnoteReference w:id="46"/>
      </w:r>
      <w:r w:rsidRPr="00272930">
        <w:rPr>
          <w:szCs w:val="18"/>
        </w:rPr>
        <w:t xml:space="preserve"> Colombia considers that the Panel erred in its interpretation of this phrase by denying discretion to the applicant in the </w:t>
      </w:r>
      <w:r w:rsidR="00972276" w:rsidRPr="00272930">
        <w:rPr>
          <w:szCs w:val="18"/>
        </w:rPr>
        <w:t>"</w:t>
      </w:r>
      <w:r w:rsidRPr="00272930">
        <w:rPr>
          <w:szCs w:val="18"/>
        </w:rPr>
        <w:t>free choice</w:t>
      </w:r>
      <w:r w:rsidR="00972276" w:rsidRPr="00272930">
        <w:rPr>
          <w:szCs w:val="18"/>
        </w:rPr>
        <w:t>"</w:t>
      </w:r>
      <w:r w:rsidRPr="00272930">
        <w:rPr>
          <w:rStyle w:val="FootnoteReference"/>
          <w:szCs w:val="18"/>
        </w:rPr>
        <w:footnoteReference w:id="47"/>
      </w:r>
      <w:r w:rsidRPr="00272930">
        <w:rPr>
          <w:szCs w:val="18"/>
        </w:rPr>
        <w:t xml:space="preserve"> of what pricing information to include in its application, and by requiring an explanation by the applicant and justification by the investigating authority of the reasons for not using domestic sales prices as a source for normal value.</w:t>
      </w:r>
      <w:r w:rsidRPr="00272930">
        <w:rPr>
          <w:rStyle w:val="FootnoteReference"/>
          <w:szCs w:val="18"/>
        </w:rPr>
        <w:footnoteReference w:id="48"/>
      </w:r>
      <w:r w:rsidRPr="00272930">
        <w:rPr>
          <w:szCs w:val="18"/>
        </w:rPr>
        <w:t xml:space="preserve"> Colombia further alleges that the Panel erred in its contextual consideration of Article</w:t>
      </w:r>
      <w:r w:rsidR="00F2224B" w:rsidRPr="00272930">
        <w:rPr>
          <w:szCs w:val="18"/>
        </w:rPr>
        <w:t> </w:t>
      </w:r>
      <w:r w:rsidRPr="00272930">
        <w:rPr>
          <w:szCs w:val="18"/>
        </w:rPr>
        <w:t>2.2 – which refers to third-country sales prices and constructed normal value as conditional alternatives to domestic sales prices in a dumping determination</w:t>
      </w:r>
      <w:r w:rsidR="00AF68B7">
        <w:rPr>
          <w:szCs w:val="18"/>
        </w:rPr>
        <w:t> </w:t>
      </w:r>
      <w:r w:rsidRPr="00272930">
        <w:rPr>
          <w:szCs w:val="18"/>
        </w:rPr>
        <w:t>–</w:t>
      </w:r>
      <w:r w:rsidR="00AF68B7">
        <w:rPr>
          <w:szCs w:val="18"/>
        </w:rPr>
        <w:t> </w:t>
      </w:r>
      <w:r w:rsidR="00963775" w:rsidRPr="00272930">
        <w:rPr>
          <w:szCs w:val="18"/>
        </w:rPr>
        <w:t>leading the Panel</w:t>
      </w:r>
      <w:r w:rsidRPr="00272930">
        <w:rPr>
          <w:szCs w:val="18"/>
        </w:rPr>
        <w:t xml:space="preserve"> to import a strict hierarchy from that provision into the selection of pricing information at the initiation stage under Article</w:t>
      </w:r>
      <w:r w:rsidR="00F2224B" w:rsidRPr="00272930">
        <w:rPr>
          <w:szCs w:val="18"/>
        </w:rPr>
        <w:t> </w:t>
      </w:r>
      <w:r w:rsidRPr="00272930">
        <w:rPr>
          <w:szCs w:val="18"/>
        </w:rPr>
        <w:t>5.2(iii).</w:t>
      </w:r>
      <w:r w:rsidRPr="00272930">
        <w:rPr>
          <w:rStyle w:val="FootnoteReference"/>
          <w:szCs w:val="18"/>
        </w:rPr>
        <w:footnoteReference w:id="49"/>
      </w:r>
    </w:p>
    <w:p w14:paraId="7CAACE84" w14:textId="7ACC361E" w:rsidR="00F572D3" w:rsidRPr="00272930" w:rsidRDefault="00F572D3" w:rsidP="00B709B7">
      <w:pPr>
        <w:pStyle w:val="BodyText"/>
        <w:numPr>
          <w:ilvl w:val="6"/>
          <w:numId w:val="7"/>
        </w:numPr>
        <w:rPr>
          <w:szCs w:val="18"/>
        </w:rPr>
      </w:pPr>
      <w:r w:rsidRPr="00272930">
        <w:rPr>
          <w:szCs w:val="18"/>
        </w:rPr>
        <w:t>The European</w:t>
      </w:r>
      <w:r w:rsidR="00DA0ACF" w:rsidRPr="00272930">
        <w:rPr>
          <w:szCs w:val="18"/>
        </w:rPr>
        <w:t> Union</w:t>
      </w:r>
      <w:r w:rsidRPr="00272930">
        <w:rPr>
          <w:szCs w:val="18"/>
        </w:rPr>
        <w:t xml:space="preserve"> maintains that the core legal issue is not the interpretation of the phrase </w:t>
      </w:r>
      <w:r w:rsidR="00972276" w:rsidRPr="00272930">
        <w:rPr>
          <w:szCs w:val="18"/>
        </w:rPr>
        <w:t>"</w:t>
      </w:r>
      <w:r w:rsidRPr="00272930">
        <w:rPr>
          <w:szCs w:val="18"/>
        </w:rPr>
        <w:t>where appropriate</w:t>
      </w:r>
      <w:r w:rsidR="00972276" w:rsidRPr="00272930">
        <w:rPr>
          <w:szCs w:val="18"/>
        </w:rPr>
        <w:t>"</w:t>
      </w:r>
      <w:r w:rsidRPr="00272930">
        <w:rPr>
          <w:szCs w:val="18"/>
        </w:rPr>
        <w:t xml:space="preserve"> in Article</w:t>
      </w:r>
      <w:r w:rsidR="00F2224B" w:rsidRPr="00272930">
        <w:rPr>
          <w:szCs w:val="18"/>
        </w:rPr>
        <w:t> </w:t>
      </w:r>
      <w:r w:rsidRPr="00272930">
        <w:rPr>
          <w:szCs w:val="18"/>
        </w:rPr>
        <w:t>5.2(iii), but rather whether the investigating authority, in accordance with Article</w:t>
      </w:r>
      <w:r w:rsidR="00F2224B" w:rsidRPr="00272930">
        <w:rPr>
          <w:szCs w:val="18"/>
        </w:rPr>
        <w:t> </w:t>
      </w:r>
      <w:r w:rsidRPr="00272930">
        <w:rPr>
          <w:szCs w:val="18"/>
        </w:rPr>
        <w:t>5.3, examined the evidence provided in the application to determine if it was adequate and sufficient to justify the initiation of the investigation.</w:t>
      </w:r>
      <w:r w:rsidRPr="00272930">
        <w:rPr>
          <w:rStyle w:val="FootnoteReference"/>
          <w:szCs w:val="18"/>
        </w:rPr>
        <w:footnoteReference w:id="50"/>
      </w:r>
      <w:r w:rsidRPr="00272930">
        <w:rPr>
          <w:szCs w:val="18"/>
        </w:rPr>
        <w:t xml:space="preserve"> For the European</w:t>
      </w:r>
      <w:r w:rsidR="00DA0ACF" w:rsidRPr="00272930">
        <w:rPr>
          <w:szCs w:val="18"/>
        </w:rPr>
        <w:t> Union</w:t>
      </w:r>
      <w:r w:rsidRPr="00272930">
        <w:rPr>
          <w:szCs w:val="18"/>
        </w:rPr>
        <w:t>, the Panel correctly applied interpretative rules</w:t>
      </w:r>
      <w:r w:rsidRPr="00272930">
        <w:rPr>
          <w:rStyle w:val="FootnoteReference"/>
          <w:szCs w:val="18"/>
        </w:rPr>
        <w:footnoteReference w:id="51"/>
      </w:r>
      <w:r w:rsidRPr="00272930">
        <w:rPr>
          <w:szCs w:val="18"/>
        </w:rPr>
        <w:t xml:space="preserve">, and did not disregard or misinterpret the requirements under </w:t>
      </w:r>
      <w:r w:rsidR="000528F6" w:rsidRPr="00272930">
        <w:rPr>
          <w:szCs w:val="18"/>
        </w:rPr>
        <w:lastRenderedPageBreak/>
        <w:t>Articles </w:t>
      </w:r>
      <w:r w:rsidRPr="00272930">
        <w:rPr>
          <w:szCs w:val="18"/>
        </w:rPr>
        <w:t>5.2(iii) and 5.3.</w:t>
      </w:r>
      <w:r w:rsidRPr="00272930">
        <w:rPr>
          <w:rStyle w:val="FootnoteReference"/>
          <w:szCs w:val="18"/>
        </w:rPr>
        <w:footnoteReference w:id="52"/>
      </w:r>
      <w:r w:rsidRPr="00272930">
        <w:rPr>
          <w:szCs w:val="18"/>
        </w:rPr>
        <w:t xml:space="preserve"> The European</w:t>
      </w:r>
      <w:r w:rsidR="00DA0ACF" w:rsidRPr="00272930">
        <w:rPr>
          <w:szCs w:val="18"/>
        </w:rPr>
        <w:t> Union</w:t>
      </w:r>
      <w:r w:rsidRPr="00272930">
        <w:rPr>
          <w:szCs w:val="18"/>
        </w:rPr>
        <w:t xml:space="preserve"> also disagreed with Colombia that the Panel</w:t>
      </w:r>
      <w:r w:rsidR="00972276" w:rsidRPr="00272930">
        <w:rPr>
          <w:szCs w:val="18"/>
        </w:rPr>
        <w:t>'</w:t>
      </w:r>
      <w:r w:rsidRPr="00272930">
        <w:rPr>
          <w:szCs w:val="18"/>
        </w:rPr>
        <w:t>s interpretation leads to empty formalism or an unworkable substantive test.</w:t>
      </w:r>
      <w:r w:rsidRPr="00272930">
        <w:rPr>
          <w:rStyle w:val="FootnoteReference"/>
          <w:szCs w:val="18"/>
        </w:rPr>
        <w:footnoteReference w:id="53"/>
      </w:r>
    </w:p>
    <w:p w14:paraId="3FC19B29" w14:textId="19222351" w:rsidR="00F572D3" w:rsidRPr="00272930" w:rsidRDefault="00F572D3" w:rsidP="00B709B7">
      <w:pPr>
        <w:pStyle w:val="BodyText"/>
        <w:numPr>
          <w:ilvl w:val="6"/>
          <w:numId w:val="7"/>
        </w:numPr>
        <w:rPr>
          <w:szCs w:val="18"/>
        </w:rPr>
      </w:pPr>
      <w:r w:rsidRPr="00272930">
        <w:rPr>
          <w:szCs w:val="18"/>
        </w:rPr>
        <w:t>The reading of Article</w:t>
      </w:r>
      <w:r w:rsidR="00F2224B" w:rsidRPr="00272930">
        <w:rPr>
          <w:szCs w:val="18"/>
        </w:rPr>
        <w:t> </w:t>
      </w:r>
      <w:r w:rsidRPr="00272930">
        <w:rPr>
          <w:szCs w:val="18"/>
        </w:rPr>
        <w:t xml:space="preserve">5.2(iii) advanced by Colombia poses an immediate interpretative difficulty as it seeks to minimize the significance of the meaning and placement of the phrase </w:t>
      </w:r>
      <w:r w:rsidR="00972276" w:rsidRPr="00272930">
        <w:rPr>
          <w:szCs w:val="18"/>
        </w:rPr>
        <w:t>"</w:t>
      </w:r>
      <w:r w:rsidRPr="00272930">
        <w:rPr>
          <w:szCs w:val="18"/>
        </w:rPr>
        <w:t>where appropriate</w:t>
      </w:r>
      <w:r w:rsidR="00972276" w:rsidRPr="00272930">
        <w:rPr>
          <w:szCs w:val="18"/>
        </w:rPr>
        <w:t>"</w:t>
      </w:r>
      <w:r w:rsidRPr="00272930">
        <w:rPr>
          <w:szCs w:val="18"/>
        </w:rPr>
        <w:t>. Article</w:t>
      </w:r>
      <w:r w:rsidR="00F2224B" w:rsidRPr="00272930">
        <w:rPr>
          <w:szCs w:val="18"/>
        </w:rPr>
        <w:t> </w:t>
      </w:r>
      <w:r w:rsidRPr="00272930">
        <w:rPr>
          <w:szCs w:val="18"/>
        </w:rPr>
        <w:t>5.2(iii)</w:t>
      </w:r>
      <w:r w:rsidR="00F2224B" w:rsidRPr="00272930">
        <w:rPr>
          <w:szCs w:val="18"/>
        </w:rPr>
        <w:t> </w:t>
      </w:r>
      <w:r w:rsidRPr="00272930">
        <w:rPr>
          <w:szCs w:val="18"/>
        </w:rPr>
        <w:t>specifies three types of product prices for normal value: (i)</w:t>
      </w:r>
      <w:r w:rsidR="00F2224B" w:rsidRPr="00272930">
        <w:rPr>
          <w:szCs w:val="18"/>
        </w:rPr>
        <w:t> </w:t>
      </w:r>
      <w:r w:rsidRPr="00272930">
        <w:rPr>
          <w:szCs w:val="18"/>
        </w:rPr>
        <w:t>domestic sales; (ii)</w:t>
      </w:r>
      <w:r w:rsidR="00F2224B" w:rsidRPr="00272930">
        <w:rPr>
          <w:szCs w:val="18"/>
        </w:rPr>
        <w:t> </w:t>
      </w:r>
      <w:r w:rsidRPr="00272930">
        <w:rPr>
          <w:szCs w:val="18"/>
        </w:rPr>
        <w:t xml:space="preserve">third-country sales; </w:t>
      </w:r>
      <w:r w:rsidR="009827EC" w:rsidRPr="00272930">
        <w:rPr>
          <w:szCs w:val="18"/>
        </w:rPr>
        <w:t>and</w:t>
      </w:r>
      <w:r w:rsidRPr="00272930">
        <w:rPr>
          <w:szCs w:val="18"/>
        </w:rPr>
        <w:t xml:space="preserve"> (iii)</w:t>
      </w:r>
      <w:r w:rsidR="00F2224B" w:rsidRPr="00272930">
        <w:rPr>
          <w:szCs w:val="18"/>
        </w:rPr>
        <w:t> </w:t>
      </w:r>
      <w:r w:rsidRPr="00272930">
        <w:rPr>
          <w:szCs w:val="18"/>
        </w:rPr>
        <w:t xml:space="preserve">constructed normal value. The structure of the sentence, however, does not place these three sources of prices on equal footing. Rather than simply listing the three in sequence, third-country sales prices and constructed normal value, but not domestic sales prices, are qualified by the phrase </w:t>
      </w:r>
      <w:r w:rsidR="00972276" w:rsidRPr="00272930">
        <w:rPr>
          <w:szCs w:val="18"/>
        </w:rPr>
        <w:t>"</w:t>
      </w:r>
      <w:r w:rsidRPr="00272930">
        <w:rPr>
          <w:szCs w:val="18"/>
        </w:rPr>
        <w:t>where appropriate</w:t>
      </w:r>
      <w:r w:rsidR="00972276" w:rsidRPr="00272930">
        <w:rPr>
          <w:szCs w:val="18"/>
        </w:rPr>
        <w:t>"</w:t>
      </w:r>
      <w:r w:rsidRPr="00272930">
        <w:rPr>
          <w:szCs w:val="18"/>
        </w:rPr>
        <w:t>.</w:t>
      </w:r>
    </w:p>
    <w:p w14:paraId="016A3B75" w14:textId="68C15E7D" w:rsidR="00F572D3" w:rsidRPr="00272930" w:rsidRDefault="00F572D3" w:rsidP="00B709B7">
      <w:pPr>
        <w:pStyle w:val="BodyText"/>
        <w:numPr>
          <w:ilvl w:val="6"/>
          <w:numId w:val="7"/>
        </w:numPr>
        <w:rPr>
          <w:szCs w:val="18"/>
        </w:rPr>
      </w:pPr>
      <w:bookmarkStart w:id="36" w:name="_Ref120989927"/>
      <w:r w:rsidRPr="00272930">
        <w:rPr>
          <w:szCs w:val="18"/>
        </w:rPr>
        <w:t>Article</w:t>
      </w:r>
      <w:r w:rsidR="00F2224B" w:rsidRPr="00272930">
        <w:rPr>
          <w:szCs w:val="18"/>
        </w:rPr>
        <w:t> </w:t>
      </w:r>
      <w:r w:rsidRPr="00272930">
        <w:rPr>
          <w:szCs w:val="18"/>
        </w:rPr>
        <w:t>5.3, in turn, provides the lens through which this pricing information is to be examined at the initiation stage of an anti</w:t>
      </w:r>
      <w:r w:rsidR="00DA0ACF" w:rsidRPr="00272930">
        <w:rPr>
          <w:szCs w:val="18"/>
        </w:rPr>
        <w:noBreakHyphen/>
      </w:r>
      <w:r w:rsidRPr="00272930">
        <w:rPr>
          <w:szCs w:val="18"/>
        </w:rPr>
        <w:t>dumping investigation. Specifically, Article</w:t>
      </w:r>
      <w:r w:rsidR="00F2224B" w:rsidRPr="00272930">
        <w:rPr>
          <w:szCs w:val="18"/>
        </w:rPr>
        <w:t> </w:t>
      </w:r>
      <w:r w:rsidRPr="00272930">
        <w:rPr>
          <w:szCs w:val="18"/>
        </w:rPr>
        <w:t xml:space="preserve">5.3 provides that investigating authorities </w:t>
      </w:r>
      <w:r w:rsidR="00972276" w:rsidRPr="00272930">
        <w:rPr>
          <w:szCs w:val="18"/>
        </w:rPr>
        <w:t>"</w:t>
      </w:r>
      <w:r w:rsidRPr="00272930">
        <w:rPr>
          <w:szCs w:val="18"/>
        </w:rPr>
        <w:t>shall examine the accuracy and adequacy of the evidence provided in the application to determine whether there is sufficient evidence to justify the initiation of an investigation</w:t>
      </w:r>
      <w:r w:rsidR="00972276" w:rsidRPr="00272930">
        <w:rPr>
          <w:szCs w:val="18"/>
        </w:rPr>
        <w:t>"</w:t>
      </w:r>
      <w:r w:rsidR="00EC1BC6" w:rsidRPr="00272930">
        <w:rPr>
          <w:szCs w:val="18"/>
        </w:rPr>
        <w:t>.</w:t>
      </w:r>
      <w:r w:rsidRPr="00272930">
        <w:rPr>
          <w:szCs w:val="18"/>
        </w:rPr>
        <w:t xml:space="preserve"> As Colombia and certain third parties submit in this case, examining the sufficiency of evidence for initiation does not require the same quantity and quality of evidence as that required under Article</w:t>
      </w:r>
      <w:r w:rsidR="00F2224B" w:rsidRPr="00272930">
        <w:rPr>
          <w:szCs w:val="18"/>
        </w:rPr>
        <w:t> </w:t>
      </w:r>
      <w:r w:rsidRPr="00272930">
        <w:rPr>
          <w:szCs w:val="18"/>
        </w:rPr>
        <w:t>2.2, which sets out more explicit and detailed requirements when determining normal value during the investigation phase.</w:t>
      </w:r>
      <w:r w:rsidRPr="00272930">
        <w:rPr>
          <w:rStyle w:val="FootnoteReference"/>
          <w:szCs w:val="18"/>
        </w:rPr>
        <w:footnoteReference w:id="54"/>
      </w:r>
      <w:r w:rsidRPr="00272930">
        <w:rPr>
          <w:szCs w:val="18"/>
        </w:rPr>
        <w:t xml:space="preserve"> Moreover, Article 5.3 does not require an explanation as to how an authority</w:t>
      </w:r>
      <w:r w:rsidR="00972276" w:rsidRPr="00272930">
        <w:rPr>
          <w:szCs w:val="18"/>
        </w:rPr>
        <w:t>'</w:t>
      </w:r>
      <w:r w:rsidRPr="00272930">
        <w:rPr>
          <w:szCs w:val="18"/>
        </w:rPr>
        <w:t>s examination is carried out.</w:t>
      </w:r>
      <w:r w:rsidRPr="00272930">
        <w:rPr>
          <w:rStyle w:val="FootnoteReference"/>
          <w:szCs w:val="18"/>
        </w:rPr>
        <w:footnoteReference w:id="55"/>
      </w:r>
      <w:r w:rsidRPr="00272930">
        <w:rPr>
          <w:szCs w:val="18"/>
        </w:rPr>
        <w:t xml:space="preserve"> Article</w:t>
      </w:r>
      <w:r w:rsidR="00F2224B" w:rsidRPr="00272930">
        <w:rPr>
          <w:szCs w:val="18"/>
        </w:rPr>
        <w:t> </w:t>
      </w:r>
      <w:r w:rsidRPr="00272930">
        <w:rPr>
          <w:szCs w:val="18"/>
        </w:rPr>
        <w:t xml:space="preserve">5.2, which provides that </w:t>
      </w:r>
      <w:r w:rsidR="00972276" w:rsidRPr="00272930">
        <w:rPr>
          <w:szCs w:val="18"/>
        </w:rPr>
        <w:t>"</w:t>
      </w:r>
      <w:r w:rsidRPr="00272930">
        <w:rPr>
          <w:color w:val="000000"/>
        </w:rPr>
        <w:t>[s]</w:t>
      </w:r>
      <w:proofErr w:type="spellStart"/>
      <w:r w:rsidRPr="00272930">
        <w:rPr>
          <w:color w:val="000000"/>
        </w:rPr>
        <w:t>imple</w:t>
      </w:r>
      <w:proofErr w:type="spellEnd"/>
      <w:r w:rsidRPr="00272930">
        <w:rPr>
          <w:color w:val="000000"/>
        </w:rPr>
        <w:t xml:space="preserve"> assertion, unsubstantiated by relevant evidence, cannot be considered sufficient</w:t>
      </w:r>
      <w:r w:rsidR="00972276" w:rsidRPr="00272930">
        <w:rPr>
          <w:color w:val="000000"/>
        </w:rPr>
        <w:t>"</w:t>
      </w:r>
      <w:r w:rsidRPr="00272930">
        <w:rPr>
          <w:color w:val="000000"/>
        </w:rPr>
        <w:t xml:space="preserve"> and limits what must be contained in an application to </w:t>
      </w:r>
      <w:r w:rsidR="00972276" w:rsidRPr="00272930">
        <w:rPr>
          <w:color w:val="000000"/>
        </w:rPr>
        <w:t>"</w:t>
      </w:r>
      <w:r w:rsidRPr="00272930">
        <w:rPr>
          <w:color w:val="000000"/>
        </w:rPr>
        <w:t>information as is reasonably available to the applicant</w:t>
      </w:r>
      <w:r w:rsidR="00972276" w:rsidRPr="00272930">
        <w:rPr>
          <w:color w:val="000000"/>
        </w:rPr>
        <w:t>"</w:t>
      </w:r>
      <w:r w:rsidRPr="00272930">
        <w:rPr>
          <w:color w:val="000000"/>
        </w:rPr>
        <w:t>,</w:t>
      </w:r>
      <w:r w:rsidRPr="00272930">
        <w:rPr>
          <w:szCs w:val="18"/>
        </w:rPr>
        <w:t xml:space="preserve"> confirms this relatively low </w:t>
      </w:r>
      <w:r w:rsidR="00AD4B27">
        <w:rPr>
          <w:szCs w:val="18"/>
        </w:rPr>
        <w:t xml:space="preserve">evidentiary </w:t>
      </w:r>
      <w:r w:rsidRPr="00272930">
        <w:rPr>
          <w:szCs w:val="18"/>
        </w:rPr>
        <w:t>threshold at the initiation stage.</w:t>
      </w:r>
      <w:bookmarkEnd w:id="36"/>
    </w:p>
    <w:p w14:paraId="63779686" w14:textId="00944A8B" w:rsidR="00F572D3" w:rsidRPr="00272930" w:rsidRDefault="00F572D3" w:rsidP="00B709B7">
      <w:pPr>
        <w:pStyle w:val="BodyText"/>
        <w:numPr>
          <w:ilvl w:val="6"/>
          <w:numId w:val="7"/>
        </w:numPr>
        <w:rPr>
          <w:szCs w:val="18"/>
        </w:rPr>
      </w:pPr>
      <w:r w:rsidRPr="00272930">
        <w:rPr>
          <w:szCs w:val="18"/>
        </w:rPr>
        <w:t xml:space="preserve">When we read </w:t>
      </w:r>
      <w:r w:rsidR="000528F6" w:rsidRPr="00272930">
        <w:rPr>
          <w:szCs w:val="18"/>
        </w:rPr>
        <w:t>Articles </w:t>
      </w:r>
      <w:r w:rsidRPr="00272930">
        <w:rPr>
          <w:szCs w:val="18"/>
        </w:rPr>
        <w:t>5.2(iii) and 5.3 together, in accordance with the Vienna</w:t>
      </w:r>
      <w:r w:rsidR="00BA4836" w:rsidRPr="00272930">
        <w:rPr>
          <w:szCs w:val="18"/>
        </w:rPr>
        <w:t> Convention</w:t>
      </w:r>
      <w:r w:rsidRPr="00272930">
        <w:rPr>
          <w:szCs w:val="18"/>
        </w:rPr>
        <w:t xml:space="preserve"> method for treaty interpretation, we cannot accept Colombia</w:t>
      </w:r>
      <w:r w:rsidR="00972276" w:rsidRPr="00272930">
        <w:rPr>
          <w:szCs w:val="18"/>
        </w:rPr>
        <w:t>'</w:t>
      </w:r>
      <w:r w:rsidRPr="00272930">
        <w:rPr>
          <w:szCs w:val="18"/>
        </w:rPr>
        <w:t xml:space="preserve">s interpretation as a </w:t>
      </w:r>
      <w:r w:rsidR="00972276" w:rsidRPr="00272930">
        <w:rPr>
          <w:szCs w:val="18"/>
        </w:rPr>
        <w:t>"</w:t>
      </w:r>
      <w:r w:rsidRPr="00272930">
        <w:rPr>
          <w:szCs w:val="18"/>
        </w:rPr>
        <w:t>permissible</w:t>
      </w:r>
      <w:r w:rsidR="00972276" w:rsidRPr="00272930">
        <w:rPr>
          <w:szCs w:val="18"/>
        </w:rPr>
        <w:t>"</w:t>
      </w:r>
      <w:r w:rsidRPr="00272930">
        <w:rPr>
          <w:szCs w:val="18"/>
        </w:rPr>
        <w:t xml:space="preserve"> one. First, the fact that the phrase </w:t>
      </w:r>
      <w:r w:rsidR="00972276" w:rsidRPr="00272930">
        <w:rPr>
          <w:szCs w:val="18"/>
        </w:rPr>
        <w:t>"</w:t>
      </w:r>
      <w:r w:rsidRPr="00272930">
        <w:rPr>
          <w:szCs w:val="18"/>
        </w:rPr>
        <w:t>where appropriate</w:t>
      </w:r>
      <w:r w:rsidR="00972276" w:rsidRPr="00272930">
        <w:rPr>
          <w:szCs w:val="18"/>
        </w:rPr>
        <w:t>"</w:t>
      </w:r>
      <w:r w:rsidRPr="00272930">
        <w:rPr>
          <w:szCs w:val="18"/>
        </w:rPr>
        <w:t xml:space="preserve"> only applies to third-country sales prices and constructed normal value signifies that only these prices require an authority to </w:t>
      </w:r>
      <w:r w:rsidR="00972276" w:rsidRPr="00272930">
        <w:rPr>
          <w:szCs w:val="18"/>
        </w:rPr>
        <w:t>"</w:t>
      </w:r>
      <w:r w:rsidRPr="00272930">
        <w:rPr>
          <w:szCs w:val="18"/>
        </w:rPr>
        <w:t>examine</w:t>
      </w:r>
      <w:r w:rsidR="00972276" w:rsidRPr="00272930">
        <w:rPr>
          <w:szCs w:val="18"/>
        </w:rPr>
        <w:t>"</w:t>
      </w:r>
      <w:r w:rsidRPr="00272930">
        <w:rPr>
          <w:szCs w:val="18"/>
        </w:rPr>
        <w:t xml:space="preserve"> their </w:t>
      </w:r>
      <w:r w:rsidR="00972276" w:rsidRPr="00272930">
        <w:rPr>
          <w:szCs w:val="18"/>
        </w:rPr>
        <w:t>"</w:t>
      </w:r>
      <w:r w:rsidRPr="00272930">
        <w:rPr>
          <w:szCs w:val="18"/>
        </w:rPr>
        <w:t>appropriateness</w:t>
      </w:r>
      <w:r w:rsidR="00972276" w:rsidRPr="00272930">
        <w:rPr>
          <w:szCs w:val="18"/>
        </w:rPr>
        <w:t>"</w:t>
      </w:r>
      <w:r w:rsidRPr="00272930">
        <w:rPr>
          <w:szCs w:val="18"/>
        </w:rPr>
        <w:t xml:space="preserve"> to initiate an investigation. We note that, with regard to such an assessment, </w:t>
      </w:r>
      <w:r w:rsidRPr="00272930">
        <w:t>Colombia does not take issue with the Panel</w:t>
      </w:r>
      <w:r w:rsidR="00972276" w:rsidRPr="00272930">
        <w:t>'</w:t>
      </w:r>
      <w:r w:rsidRPr="00272930">
        <w:t xml:space="preserve">s proposed definitions of </w:t>
      </w:r>
      <w:r w:rsidR="00972276" w:rsidRPr="00272930">
        <w:t>"</w:t>
      </w:r>
      <w:r w:rsidRPr="00272930">
        <w:t>where appropriate</w:t>
      </w:r>
      <w:r w:rsidR="00972276" w:rsidRPr="00272930">
        <w:t>"</w:t>
      </w:r>
      <w:r w:rsidRPr="00272930">
        <w:t xml:space="preserve"> as </w:t>
      </w:r>
      <w:r w:rsidR="00972276" w:rsidRPr="00272930">
        <w:t>"</w:t>
      </w:r>
      <w:r w:rsidRPr="00272930">
        <w:t>[i]n a or the case in which, in the circumstances in which</w:t>
      </w:r>
      <w:r w:rsidR="00972276" w:rsidRPr="00272930">
        <w:t>"</w:t>
      </w:r>
      <w:r w:rsidRPr="00272930">
        <w:t xml:space="preserve">, or </w:t>
      </w:r>
      <w:r w:rsidR="00972276" w:rsidRPr="00272930">
        <w:t>"</w:t>
      </w:r>
      <w:r w:rsidRPr="00272930">
        <w:t>[s]</w:t>
      </w:r>
      <w:proofErr w:type="spellStart"/>
      <w:r w:rsidRPr="00272930">
        <w:t>pecially</w:t>
      </w:r>
      <w:proofErr w:type="spellEnd"/>
      <w:r w:rsidRPr="00272930">
        <w:t xml:space="preserve"> fitted or suitable</w:t>
      </w:r>
      <w:r w:rsidR="00972276" w:rsidRPr="00272930">
        <w:t>"</w:t>
      </w:r>
      <w:r w:rsidRPr="00272930">
        <w:t>.</w:t>
      </w:r>
      <w:r w:rsidRPr="00272930">
        <w:rPr>
          <w:rStyle w:val="FootnoteReference"/>
        </w:rPr>
        <w:footnoteReference w:id="56"/>
      </w:r>
      <w:r w:rsidRPr="00272930">
        <w:t xml:space="preserve"> Colombia also agrees that Article</w:t>
      </w:r>
      <w:r w:rsidR="00F2224B" w:rsidRPr="00272930">
        <w:t> </w:t>
      </w:r>
      <w:r w:rsidRPr="00272930">
        <w:t xml:space="preserve">5.3 requires an investigating authority to examine an application to determine that there is sufficient evidence to initiate an investigation, albeit limited to assessing whether the evidence is </w:t>
      </w:r>
      <w:r w:rsidR="00972276" w:rsidRPr="00272930">
        <w:t>"</w:t>
      </w:r>
      <w:r w:rsidRPr="00272930">
        <w:t>accurate</w:t>
      </w:r>
      <w:r w:rsidR="00972276" w:rsidRPr="00272930">
        <w:t>"</w:t>
      </w:r>
      <w:r w:rsidRPr="00272930">
        <w:t xml:space="preserve"> and </w:t>
      </w:r>
      <w:r w:rsidR="00972276" w:rsidRPr="00272930">
        <w:t>"</w:t>
      </w:r>
      <w:r w:rsidRPr="00272930">
        <w:t>adequate</w:t>
      </w:r>
      <w:r w:rsidR="00972276" w:rsidRPr="00272930">
        <w:t>"</w:t>
      </w:r>
      <w:r w:rsidRPr="00272930">
        <w:t xml:space="preserve"> as a matter of substance.</w:t>
      </w:r>
      <w:r w:rsidRPr="00272930">
        <w:rPr>
          <w:rStyle w:val="FootnoteReference"/>
        </w:rPr>
        <w:footnoteReference w:id="57"/>
      </w:r>
    </w:p>
    <w:p w14:paraId="7DD67429" w14:textId="4B640BC2" w:rsidR="00F572D3" w:rsidRPr="00272930" w:rsidRDefault="00F572D3" w:rsidP="00B709B7">
      <w:pPr>
        <w:pStyle w:val="BodyText"/>
        <w:numPr>
          <w:ilvl w:val="6"/>
          <w:numId w:val="7"/>
        </w:numPr>
        <w:rPr>
          <w:szCs w:val="18"/>
        </w:rPr>
      </w:pPr>
      <w:bookmarkStart w:id="37" w:name="_Ref120989942"/>
      <w:r w:rsidRPr="00272930">
        <w:rPr>
          <w:szCs w:val="18"/>
        </w:rPr>
        <w:t xml:space="preserve">Second, the fact that the phrase </w:t>
      </w:r>
      <w:r w:rsidR="00972276" w:rsidRPr="00272930">
        <w:rPr>
          <w:szCs w:val="18"/>
        </w:rPr>
        <w:t>"</w:t>
      </w:r>
      <w:r w:rsidRPr="00272930">
        <w:rPr>
          <w:szCs w:val="18"/>
        </w:rPr>
        <w:t>where appropriate</w:t>
      </w:r>
      <w:r w:rsidR="00972276" w:rsidRPr="00272930">
        <w:rPr>
          <w:szCs w:val="18"/>
        </w:rPr>
        <w:t>"</w:t>
      </w:r>
      <w:r w:rsidRPr="00272930">
        <w:rPr>
          <w:szCs w:val="18"/>
        </w:rPr>
        <w:t xml:space="preserve"> attaches to third-country sales prices and constructed normal value indicates to us that, as a general matter, domestic sales prices are to be accorded greater evidentiary value since an assessment as to </w:t>
      </w:r>
      <w:r w:rsidR="00972276" w:rsidRPr="00272930">
        <w:rPr>
          <w:szCs w:val="18"/>
        </w:rPr>
        <w:t>"</w:t>
      </w:r>
      <w:r w:rsidRPr="00272930">
        <w:rPr>
          <w:szCs w:val="18"/>
        </w:rPr>
        <w:t>appropriateness</w:t>
      </w:r>
      <w:r w:rsidR="00972276" w:rsidRPr="00272930">
        <w:rPr>
          <w:szCs w:val="18"/>
        </w:rPr>
        <w:t>"</w:t>
      </w:r>
      <w:r w:rsidRPr="00272930">
        <w:rPr>
          <w:szCs w:val="18"/>
        </w:rPr>
        <w:t xml:space="preserve"> with regard to such prices is not required.</w:t>
      </w:r>
      <w:r w:rsidRPr="00272930">
        <w:rPr>
          <w:rStyle w:val="FootnoteReference"/>
          <w:szCs w:val="18"/>
        </w:rPr>
        <w:footnoteReference w:id="58"/>
      </w:r>
      <w:r w:rsidRPr="00272930">
        <w:rPr>
          <w:szCs w:val="18"/>
        </w:rPr>
        <w:t xml:space="preserve"> Colombia argues that the fact that the language in Article</w:t>
      </w:r>
      <w:r w:rsidR="00F2224B" w:rsidRPr="00272930">
        <w:rPr>
          <w:szCs w:val="18"/>
        </w:rPr>
        <w:t> </w:t>
      </w:r>
      <w:r w:rsidRPr="00272930">
        <w:rPr>
          <w:szCs w:val="18"/>
        </w:rPr>
        <w:t xml:space="preserve">5.2(iii) </w:t>
      </w:r>
      <w:r w:rsidR="00972276" w:rsidRPr="00272930">
        <w:rPr>
          <w:szCs w:val="18"/>
        </w:rPr>
        <w:t>"</w:t>
      </w:r>
      <w:r w:rsidRPr="00272930">
        <w:rPr>
          <w:szCs w:val="18"/>
        </w:rPr>
        <w:t>stands in stark contrast</w:t>
      </w:r>
      <w:r w:rsidR="00972276" w:rsidRPr="00272930">
        <w:rPr>
          <w:szCs w:val="18"/>
        </w:rPr>
        <w:t>"</w:t>
      </w:r>
      <w:r w:rsidRPr="00272930">
        <w:rPr>
          <w:szCs w:val="18"/>
        </w:rPr>
        <w:t xml:space="preserve"> to the detailed language in Article</w:t>
      </w:r>
      <w:r w:rsidR="00F2224B" w:rsidRPr="00272930">
        <w:rPr>
          <w:szCs w:val="18"/>
        </w:rPr>
        <w:t> </w:t>
      </w:r>
      <w:r w:rsidRPr="00272930">
        <w:rPr>
          <w:szCs w:val="18"/>
        </w:rPr>
        <w:t xml:space="preserve">2.2 </w:t>
      </w:r>
      <w:r w:rsidR="00972276" w:rsidRPr="00272930">
        <w:rPr>
          <w:szCs w:val="18"/>
        </w:rPr>
        <w:t>"</w:t>
      </w:r>
      <w:r w:rsidRPr="00272930">
        <w:rPr>
          <w:szCs w:val="18"/>
        </w:rPr>
        <w:t>strongly suggests</w:t>
      </w:r>
      <w:r w:rsidR="00972276" w:rsidRPr="00272930">
        <w:rPr>
          <w:szCs w:val="18"/>
        </w:rPr>
        <w:t>"</w:t>
      </w:r>
      <w:r w:rsidRPr="00272930">
        <w:rPr>
          <w:szCs w:val="18"/>
        </w:rPr>
        <w:t xml:space="preserve"> that the drafters did not intend the </w:t>
      </w:r>
      <w:r w:rsidR="00972276" w:rsidRPr="00272930">
        <w:rPr>
          <w:szCs w:val="18"/>
        </w:rPr>
        <w:t>"</w:t>
      </w:r>
      <w:r w:rsidRPr="00272930">
        <w:rPr>
          <w:szCs w:val="18"/>
        </w:rPr>
        <w:t>strict hierarchy</w:t>
      </w:r>
      <w:r w:rsidR="00972276" w:rsidRPr="00272930">
        <w:rPr>
          <w:szCs w:val="18"/>
        </w:rPr>
        <w:t>"</w:t>
      </w:r>
      <w:r w:rsidRPr="00272930">
        <w:rPr>
          <w:szCs w:val="18"/>
        </w:rPr>
        <w:t xml:space="preserve"> in Article</w:t>
      </w:r>
      <w:r w:rsidR="00F2224B" w:rsidRPr="00272930">
        <w:rPr>
          <w:szCs w:val="18"/>
        </w:rPr>
        <w:t> </w:t>
      </w:r>
      <w:r w:rsidRPr="00272930">
        <w:rPr>
          <w:szCs w:val="18"/>
        </w:rPr>
        <w:t>2.2 to apply in the context of Article</w:t>
      </w:r>
      <w:r w:rsidR="00F2224B" w:rsidRPr="00272930">
        <w:rPr>
          <w:szCs w:val="18"/>
        </w:rPr>
        <w:t> </w:t>
      </w:r>
      <w:r w:rsidRPr="00272930">
        <w:rPr>
          <w:szCs w:val="18"/>
        </w:rPr>
        <w:t>5.2.</w:t>
      </w:r>
      <w:r w:rsidRPr="00272930">
        <w:rPr>
          <w:rStyle w:val="FootnoteReference"/>
          <w:szCs w:val="18"/>
        </w:rPr>
        <w:footnoteReference w:id="59"/>
      </w:r>
      <w:r w:rsidRPr="00272930">
        <w:rPr>
          <w:szCs w:val="18"/>
        </w:rPr>
        <w:t xml:space="preserve"> We agree. However, recognizing the evidentiary value of domestic sales prices does not amount to importing the requirements </w:t>
      </w:r>
      <w:r w:rsidR="00963775" w:rsidRPr="00272930">
        <w:rPr>
          <w:szCs w:val="18"/>
        </w:rPr>
        <w:t xml:space="preserve">or a "strict hierarchy" </w:t>
      </w:r>
      <w:r w:rsidRPr="00272930">
        <w:rPr>
          <w:szCs w:val="18"/>
        </w:rPr>
        <w:t>from Article</w:t>
      </w:r>
      <w:r w:rsidR="00F2224B" w:rsidRPr="00272930">
        <w:rPr>
          <w:szCs w:val="18"/>
        </w:rPr>
        <w:t> </w:t>
      </w:r>
      <w:r w:rsidRPr="00272930">
        <w:rPr>
          <w:szCs w:val="18"/>
        </w:rPr>
        <w:t>2.2 into Article</w:t>
      </w:r>
      <w:r w:rsidR="00F2224B" w:rsidRPr="00272930">
        <w:rPr>
          <w:szCs w:val="18"/>
        </w:rPr>
        <w:t> </w:t>
      </w:r>
      <w:r w:rsidRPr="00272930">
        <w:rPr>
          <w:szCs w:val="18"/>
        </w:rPr>
        <w:t>5.2(iii). As noted, in the context of initiation of an investigation under Article</w:t>
      </w:r>
      <w:r w:rsidR="00F2224B" w:rsidRPr="00272930">
        <w:rPr>
          <w:szCs w:val="18"/>
        </w:rPr>
        <w:t> </w:t>
      </w:r>
      <w:r w:rsidRPr="00272930">
        <w:rPr>
          <w:szCs w:val="18"/>
        </w:rPr>
        <w:t xml:space="preserve">5.3, all that is required is that the evidence in the </w:t>
      </w:r>
      <w:r w:rsidRPr="00272930">
        <w:rPr>
          <w:szCs w:val="18"/>
        </w:rPr>
        <w:lastRenderedPageBreak/>
        <w:t xml:space="preserve">application must be </w:t>
      </w:r>
      <w:r w:rsidRPr="00272930">
        <w:rPr>
          <w:i/>
          <w:iCs/>
          <w:szCs w:val="18"/>
        </w:rPr>
        <w:t>sufficient</w:t>
      </w:r>
      <w:r w:rsidRPr="00272930">
        <w:rPr>
          <w:szCs w:val="18"/>
        </w:rPr>
        <w:t>. Indeed, as Brazil argued before us, Article</w:t>
      </w:r>
      <w:r w:rsidR="00F2224B" w:rsidRPr="00272930">
        <w:rPr>
          <w:szCs w:val="18"/>
        </w:rPr>
        <w:t> </w:t>
      </w:r>
      <w:r w:rsidRPr="00272930">
        <w:rPr>
          <w:szCs w:val="18"/>
        </w:rPr>
        <w:t xml:space="preserve">5.2 does not demand the submission of the </w:t>
      </w:r>
      <w:r w:rsidRPr="00272930">
        <w:rPr>
          <w:i/>
          <w:iCs/>
          <w:szCs w:val="18"/>
        </w:rPr>
        <w:t>best</w:t>
      </w:r>
      <w:r w:rsidRPr="00272930">
        <w:rPr>
          <w:szCs w:val="18"/>
        </w:rPr>
        <w:t xml:space="preserve"> information available, but only that information which is </w:t>
      </w:r>
      <w:r w:rsidRPr="00272930">
        <w:rPr>
          <w:i/>
          <w:iCs/>
          <w:szCs w:val="18"/>
        </w:rPr>
        <w:t>reasonably available</w:t>
      </w:r>
      <w:r w:rsidRPr="00272930">
        <w:rPr>
          <w:szCs w:val="18"/>
        </w:rPr>
        <w:t xml:space="preserve"> to the applicant.</w:t>
      </w:r>
      <w:r w:rsidRPr="00272930">
        <w:rPr>
          <w:rStyle w:val="FootnoteReference"/>
          <w:szCs w:val="18"/>
        </w:rPr>
        <w:footnoteReference w:id="60"/>
      </w:r>
      <w:r w:rsidRPr="00272930">
        <w:rPr>
          <w:szCs w:val="18"/>
        </w:rPr>
        <w:t xml:space="preserve"> Thus, when MINCIT was faced with an application that advanced third-country sales prices, </w:t>
      </w:r>
      <w:r w:rsidR="000528F6" w:rsidRPr="00272930">
        <w:rPr>
          <w:szCs w:val="18"/>
        </w:rPr>
        <w:t>Articles </w:t>
      </w:r>
      <w:r w:rsidRPr="00272930">
        <w:rPr>
          <w:szCs w:val="18"/>
        </w:rPr>
        <w:t xml:space="preserve">5.2(iii) and 5.3, when read together, required an examination of the </w:t>
      </w:r>
      <w:r w:rsidR="00972276" w:rsidRPr="00272930">
        <w:rPr>
          <w:szCs w:val="18"/>
        </w:rPr>
        <w:t>"</w:t>
      </w:r>
      <w:r w:rsidRPr="00272930">
        <w:rPr>
          <w:szCs w:val="18"/>
        </w:rPr>
        <w:t>appropriateness</w:t>
      </w:r>
      <w:r w:rsidR="00972276" w:rsidRPr="00272930">
        <w:rPr>
          <w:szCs w:val="18"/>
        </w:rPr>
        <w:t>"</w:t>
      </w:r>
      <w:r w:rsidRPr="00272930">
        <w:rPr>
          <w:szCs w:val="18"/>
        </w:rPr>
        <w:t xml:space="preserve"> of that evidence, bearing in mind that the use of domestic sales prices would not have attracted such an assessment.</w:t>
      </w:r>
      <w:bookmarkEnd w:id="37"/>
    </w:p>
    <w:p w14:paraId="27333A43" w14:textId="3622A69A" w:rsidR="00F572D3" w:rsidRPr="00272930" w:rsidRDefault="00F572D3" w:rsidP="00B709B7">
      <w:pPr>
        <w:pStyle w:val="BodyText"/>
        <w:numPr>
          <w:ilvl w:val="6"/>
          <w:numId w:val="7"/>
        </w:numPr>
        <w:rPr>
          <w:szCs w:val="18"/>
        </w:rPr>
      </w:pPr>
      <w:r w:rsidRPr="00272930">
        <w:rPr>
          <w:szCs w:val="18"/>
        </w:rPr>
        <w:t>Accordingly, we do not see how a treaty interpreter, using the method for treaty interpretation set out in the Vienna</w:t>
      </w:r>
      <w:r w:rsidR="00BA4836" w:rsidRPr="00272930">
        <w:rPr>
          <w:szCs w:val="18"/>
        </w:rPr>
        <w:t> Convention</w:t>
      </w:r>
      <w:r w:rsidRPr="00272930">
        <w:rPr>
          <w:szCs w:val="18"/>
        </w:rPr>
        <w:t>, could have reached Colombia</w:t>
      </w:r>
      <w:r w:rsidR="00972276" w:rsidRPr="00272930">
        <w:rPr>
          <w:szCs w:val="18"/>
        </w:rPr>
        <w:t>'</w:t>
      </w:r>
      <w:r w:rsidRPr="00272930">
        <w:rPr>
          <w:szCs w:val="18"/>
        </w:rPr>
        <w:t xml:space="preserve">s understanding of the phrase </w:t>
      </w:r>
      <w:r w:rsidR="00972276" w:rsidRPr="00272930">
        <w:rPr>
          <w:szCs w:val="18"/>
        </w:rPr>
        <w:t>"</w:t>
      </w:r>
      <w:r w:rsidRPr="00272930">
        <w:rPr>
          <w:szCs w:val="18"/>
        </w:rPr>
        <w:t>where appropriate</w:t>
      </w:r>
      <w:r w:rsidR="00972276" w:rsidRPr="00272930">
        <w:rPr>
          <w:szCs w:val="18"/>
        </w:rPr>
        <w:t>"</w:t>
      </w:r>
      <w:r w:rsidRPr="00272930">
        <w:rPr>
          <w:szCs w:val="18"/>
        </w:rPr>
        <w:t>. We agree with the Panel that Colombia</w:t>
      </w:r>
      <w:r w:rsidR="00972276" w:rsidRPr="00272930">
        <w:rPr>
          <w:szCs w:val="18"/>
        </w:rPr>
        <w:t>'</w:t>
      </w:r>
      <w:r w:rsidRPr="00272930">
        <w:rPr>
          <w:szCs w:val="18"/>
        </w:rPr>
        <w:t xml:space="preserve">s interpretation of </w:t>
      </w:r>
      <w:r w:rsidR="00972276" w:rsidRPr="00272930">
        <w:rPr>
          <w:szCs w:val="18"/>
        </w:rPr>
        <w:t>"</w:t>
      </w:r>
      <w:r w:rsidRPr="00272930">
        <w:rPr>
          <w:szCs w:val="18"/>
        </w:rPr>
        <w:t>where appropriate</w:t>
      </w:r>
      <w:r w:rsidR="00972276" w:rsidRPr="00272930">
        <w:rPr>
          <w:szCs w:val="18"/>
        </w:rPr>
        <w:t>"</w:t>
      </w:r>
      <w:r w:rsidRPr="00272930">
        <w:rPr>
          <w:szCs w:val="18"/>
        </w:rPr>
        <w:t xml:space="preserve"> as granting an applicant </w:t>
      </w:r>
      <w:r w:rsidR="00972276" w:rsidRPr="00272930">
        <w:rPr>
          <w:szCs w:val="18"/>
        </w:rPr>
        <w:t>"</w:t>
      </w:r>
      <w:r w:rsidRPr="00272930">
        <w:rPr>
          <w:szCs w:val="18"/>
        </w:rPr>
        <w:t>free choice</w:t>
      </w:r>
      <w:r w:rsidR="00972276" w:rsidRPr="00272930">
        <w:rPr>
          <w:szCs w:val="18"/>
        </w:rPr>
        <w:t>"</w:t>
      </w:r>
      <w:r w:rsidRPr="00272930">
        <w:rPr>
          <w:szCs w:val="18"/>
        </w:rPr>
        <w:t xml:space="preserve"> in the selection of normal value prices </w:t>
      </w:r>
      <w:r w:rsidR="00972276" w:rsidRPr="00272930">
        <w:rPr>
          <w:szCs w:val="18"/>
        </w:rPr>
        <w:t>"</w:t>
      </w:r>
      <w:r w:rsidRPr="00272930">
        <w:rPr>
          <w:szCs w:val="18"/>
        </w:rPr>
        <w:t xml:space="preserve">would deny any effect to the meaning or placement of the term </w:t>
      </w:r>
      <w:r w:rsidR="00972276" w:rsidRPr="00272930">
        <w:rPr>
          <w:szCs w:val="18"/>
        </w:rPr>
        <w:t>'</w:t>
      </w:r>
      <w:r w:rsidRPr="00272930">
        <w:rPr>
          <w:szCs w:val="18"/>
        </w:rPr>
        <w:t>where appropriate</w:t>
      </w:r>
      <w:r w:rsidR="00972276" w:rsidRPr="00272930">
        <w:rPr>
          <w:szCs w:val="18"/>
        </w:rPr>
        <w:t>'</w:t>
      </w:r>
      <w:r w:rsidRPr="00272930">
        <w:rPr>
          <w:szCs w:val="18"/>
        </w:rPr>
        <w:t>, contrary to the principle of effectiveness in treaty interpretation</w:t>
      </w:r>
      <w:r w:rsidR="00972276" w:rsidRPr="00272930">
        <w:rPr>
          <w:szCs w:val="18"/>
        </w:rPr>
        <w:t>"</w:t>
      </w:r>
      <w:r w:rsidRPr="00272930">
        <w:rPr>
          <w:szCs w:val="18"/>
        </w:rPr>
        <w:t>.</w:t>
      </w:r>
      <w:r w:rsidRPr="00272930">
        <w:rPr>
          <w:rStyle w:val="FootnoteReference"/>
          <w:szCs w:val="18"/>
        </w:rPr>
        <w:footnoteReference w:id="61"/>
      </w:r>
      <w:r w:rsidRPr="00272930">
        <w:rPr>
          <w:szCs w:val="18"/>
        </w:rPr>
        <w:t xml:space="preserve"> At the hearing, Colombia indicated that the phrase is not redundant because it is meant precisely to signal that the strict hierarchy set out in Article</w:t>
      </w:r>
      <w:r w:rsidR="00F2224B" w:rsidRPr="00272930">
        <w:rPr>
          <w:szCs w:val="18"/>
        </w:rPr>
        <w:t> </w:t>
      </w:r>
      <w:r w:rsidRPr="00272930">
        <w:rPr>
          <w:szCs w:val="18"/>
        </w:rPr>
        <w:t>2.2 is not to be imported into the selection of pricing information under Article</w:t>
      </w:r>
      <w:r w:rsidR="00F2224B" w:rsidRPr="00272930">
        <w:rPr>
          <w:szCs w:val="18"/>
        </w:rPr>
        <w:t> </w:t>
      </w:r>
      <w:r w:rsidRPr="00272930">
        <w:rPr>
          <w:szCs w:val="18"/>
        </w:rPr>
        <w:t xml:space="preserve">5.2(iii). However, this would seemingly have been accomplished had the phrase </w:t>
      </w:r>
      <w:r w:rsidR="00972276" w:rsidRPr="00272930">
        <w:rPr>
          <w:szCs w:val="18"/>
        </w:rPr>
        <w:t>"</w:t>
      </w:r>
      <w:r w:rsidRPr="00272930">
        <w:rPr>
          <w:szCs w:val="18"/>
        </w:rPr>
        <w:t>where appropriate</w:t>
      </w:r>
      <w:r w:rsidR="00972276" w:rsidRPr="00272930">
        <w:rPr>
          <w:szCs w:val="18"/>
        </w:rPr>
        <w:t>"</w:t>
      </w:r>
      <w:r w:rsidRPr="00272930">
        <w:rPr>
          <w:szCs w:val="18"/>
        </w:rPr>
        <w:t xml:space="preserve"> simply not featured in the provision. While we agree with Colombia and third parties when they argue that the strict hierarchy in Article</w:t>
      </w:r>
      <w:r w:rsidR="00F2224B" w:rsidRPr="00272930">
        <w:rPr>
          <w:szCs w:val="18"/>
        </w:rPr>
        <w:t> </w:t>
      </w:r>
      <w:r w:rsidRPr="00272930">
        <w:rPr>
          <w:szCs w:val="18"/>
        </w:rPr>
        <w:t xml:space="preserve">2.2 cannot be imported into </w:t>
      </w:r>
      <w:r w:rsidR="000528F6" w:rsidRPr="00272930">
        <w:rPr>
          <w:szCs w:val="18"/>
        </w:rPr>
        <w:t>Articles </w:t>
      </w:r>
      <w:r w:rsidRPr="00272930">
        <w:rPr>
          <w:szCs w:val="18"/>
        </w:rPr>
        <w:t xml:space="preserve">5.2(iii) and 5.3 given that Article 2.2 </w:t>
      </w:r>
      <w:r w:rsidR="00AD4B27">
        <w:rPr>
          <w:szCs w:val="18"/>
        </w:rPr>
        <w:t>requires a</w:t>
      </w:r>
      <w:r w:rsidRPr="00272930">
        <w:rPr>
          <w:szCs w:val="18"/>
        </w:rPr>
        <w:t xml:space="preserve"> more stringent </w:t>
      </w:r>
      <w:r w:rsidR="00AD4B27">
        <w:rPr>
          <w:szCs w:val="18"/>
        </w:rPr>
        <w:t xml:space="preserve">evidentiary standard for the </w:t>
      </w:r>
      <w:r w:rsidRPr="00272930">
        <w:rPr>
          <w:szCs w:val="18"/>
        </w:rPr>
        <w:t xml:space="preserve">investigation phase of an anti-dumping proceeding, the meaning and placement of the phrase </w:t>
      </w:r>
      <w:r w:rsidR="00972276" w:rsidRPr="00272930">
        <w:rPr>
          <w:szCs w:val="18"/>
        </w:rPr>
        <w:t>"</w:t>
      </w:r>
      <w:r w:rsidRPr="00272930">
        <w:rPr>
          <w:szCs w:val="18"/>
        </w:rPr>
        <w:t>where appropriate</w:t>
      </w:r>
      <w:r w:rsidR="00972276" w:rsidRPr="00272930">
        <w:rPr>
          <w:szCs w:val="18"/>
        </w:rPr>
        <w:t>"</w:t>
      </w:r>
      <w:r w:rsidRPr="00272930">
        <w:rPr>
          <w:szCs w:val="18"/>
        </w:rPr>
        <w:t xml:space="preserve"> can only be given effect if it indicates, as we have suggested, some duty on MINCIT to examine the sufficiency of third-country sales prices in light of an evidentiary preference for domestic sales prices.</w:t>
      </w:r>
    </w:p>
    <w:p w14:paraId="734EEF6F" w14:textId="5823EF83" w:rsidR="00F572D3" w:rsidRPr="00272930" w:rsidRDefault="00F572D3" w:rsidP="00B709B7">
      <w:pPr>
        <w:pStyle w:val="BodyText"/>
        <w:numPr>
          <w:ilvl w:val="6"/>
          <w:numId w:val="7"/>
        </w:numPr>
        <w:rPr>
          <w:szCs w:val="18"/>
        </w:rPr>
      </w:pPr>
      <w:r w:rsidRPr="00272930">
        <w:rPr>
          <w:szCs w:val="18"/>
        </w:rPr>
        <w:t>We also find unavailing Colombia</w:t>
      </w:r>
      <w:r w:rsidR="00972276" w:rsidRPr="00272930">
        <w:rPr>
          <w:szCs w:val="18"/>
        </w:rPr>
        <w:t>'</w:t>
      </w:r>
      <w:r w:rsidRPr="00272930">
        <w:rPr>
          <w:szCs w:val="18"/>
        </w:rPr>
        <w:t>s other arguments regarding the level of discretion it reads into Article</w:t>
      </w:r>
      <w:r w:rsidR="00F2224B" w:rsidRPr="00272930">
        <w:rPr>
          <w:szCs w:val="18"/>
        </w:rPr>
        <w:t> </w:t>
      </w:r>
      <w:r w:rsidRPr="00272930">
        <w:rPr>
          <w:szCs w:val="18"/>
        </w:rPr>
        <w:t>5.2(iii).</w:t>
      </w:r>
      <w:r w:rsidRPr="00272930">
        <w:t xml:space="preserve"> For instance, Colombia points to provisions in several WTO agreements where the phrase </w:t>
      </w:r>
      <w:r w:rsidR="00972276" w:rsidRPr="00272930">
        <w:t>"</w:t>
      </w:r>
      <w:r w:rsidRPr="00272930">
        <w:t>where appropriate</w:t>
      </w:r>
      <w:r w:rsidR="00972276" w:rsidRPr="00272930">
        <w:t>"</w:t>
      </w:r>
      <w:r w:rsidRPr="00272930">
        <w:t xml:space="preserve"> appears in order to support its view that the phrase denotes a discretionary choice.</w:t>
      </w:r>
      <w:r w:rsidRPr="00272930">
        <w:rPr>
          <w:rStyle w:val="FootnoteReference"/>
          <w:szCs w:val="16"/>
        </w:rPr>
        <w:footnoteReference w:id="62"/>
      </w:r>
      <w:r w:rsidRPr="00272930">
        <w:t xml:space="preserve"> Given the very different agreements and circumstances in which the phrase appears, in relation to </w:t>
      </w:r>
      <w:r w:rsidRPr="00272930">
        <w:rPr>
          <w:szCs w:val="16"/>
        </w:rPr>
        <w:t xml:space="preserve">different decision makers in different settings, we are unable to discern that they support a generalized understanding of the phrase to grant </w:t>
      </w:r>
      <w:r w:rsidR="00972276" w:rsidRPr="00272930">
        <w:rPr>
          <w:szCs w:val="16"/>
        </w:rPr>
        <w:t>"</w:t>
      </w:r>
      <w:r w:rsidRPr="00272930">
        <w:rPr>
          <w:szCs w:val="16"/>
        </w:rPr>
        <w:t>free choice</w:t>
      </w:r>
      <w:r w:rsidR="00972276" w:rsidRPr="00272930">
        <w:rPr>
          <w:szCs w:val="16"/>
        </w:rPr>
        <w:t>"</w:t>
      </w:r>
      <w:r w:rsidRPr="00272930">
        <w:rPr>
          <w:szCs w:val="16"/>
        </w:rPr>
        <w:t xml:space="preserve"> </w:t>
      </w:r>
      <w:r w:rsidR="005D3F2A" w:rsidRPr="00272930">
        <w:rPr>
          <w:szCs w:val="16"/>
        </w:rPr>
        <w:t>in the selection</w:t>
      </w:r>
      <w:r w:rsidRPr="00272930">
        <w:rPr>
          <w:szCs w:val="16"/>
        </w:rPr>
        <w:t xml:space="preserve"> of pricing information under </w:t>
      </w:r>
      <w:r w:rsidR="000528F6" w:rsidRPr="00272930">
        <w:rPr>
          <w:szCs w:val="16"/>
        </w:rPr>
        <w:t>Articles </w:t>
      </w:r>
      <w:r w:rsidRPr="00272930">
        <w:rPr>
          <w:szCs w:val="16"/>
        </w:rPr>
        <w:t>5.2(iii) and 5.3, as argued by Colombia.</w:t>
      </w:r>
    </w:p>
    <w:p w14:paraId="36446006" w14:textId="75A84CDA" w:rsidR="00F572D3" w:rsidRPr="00272930" w:rsidRDefault="00F572D3" w:rsidP="00B709B7">
      <w:pPr>
        <w:pStyle w:val="BodyText"/>
        <w:numPr>
          <w:ilvl w:val="6"/>
          <w:numId w:val="7"/>
        </w:numPr>
      </w:pPr>
      <w:r w:rsidRPr="00272930">
        <w:t>Accordingly, we see no reason to disturb the Panel</w:t>
      </w:r>
      <w:r w:rsidR="00972276" w:rsidRPr="00272930">
        <w:t>'</w:t>
      </w:r>
      <w:r w:rsidRPr="00272930">
        <w:t>s view that an authority</w:t>
      </w:r>
      <w:r w:rsidR="00972276" w:rsidRPr="00272930">
        <w:t>'</w:t>
      </w:r>
      <w:r w:rsidRPr="00272930">
        <w:t xml:space="preserve">s examination of the sufficiency of evidence under Article 5.3 </w:t>
      </w:r>
      <w:r w:rsidR="00972276" w:rsidRPr="00272930">
        <w:t>"</w:t>
      </w:r>
      <w:r w:rsidRPr="00272930">
        <w:t>requires, at the very least, an exercise of judgment as to the suitability or appropriateness of using third</w:t>
      </w:r>
      <w:r w:rsidRPr="00272930">
        <w:noBreakHyphen/>
        <w:t>country sales prices, instead of domestic sales prices, in the specific situation before it</w:t>
      </w:r>
      <w:r w:rsidR="00972276" w:rsidRPr="00272930">
        <w:t>"</w:t>
      </w:r>
      <w:r w:rsidRPr="00272930">
        <w:t>.</w:t>
      </w:r>
      <w:r w:rsidRPr="00272930">
        <w:rPr>
          <w:rStyle w:val="FootnoteReference"/>
        </w:rPr>
        <w:footnoteReference w:id="63"/>
      </w:r>
    </w:p>
    <w:p w14:paraId="782492D4" w14:textId="4A8DF6E5" w:rsidR="00F572D3" w:rsidRPr="00272930" w:rsidRDefault="00F572D3" w:rsidP="00B709B7">
      <w:pPr>
        <w:pStyle w:val="Heading3"/>
        <w:numPr>
          <w:ilvl w:val="2"/>
          <w:numId w:val="7"/>
        </w:numPr>
      </w:pPr>
      <w:bookmarkStart w:id="38" w:name="_Toc122339711"/>
      <w:r w:rsidRPr="00272930">
        <w:t xml:space="preserve">Whether the Panel erred under </w:t>
      </w:r>
      <w:r w:rsidR="000528F6" w:rsidRPr="00272930">
        <w:t>Articles </w:t>
      </w:r>
      <w:r w:rsidRPr="00272930">
        <w:t>5.2(iii) and 5.3 of the Anti-Dumping Agreement by requiring an explanation as to why domestic sales prices were not used as a basis for normal value</w:t>
      </w:r>
      <w:bookmarkEnd w:id="38"/>
    </w:p>
    <w:p w14:paraId="2E21C840" w14:textId="73D90002" w:rsidR="00F572D3" w:rsidRPr="00272930" w:rsidRDefault="00F572D3" w:rsidP="00B709B7">
      <w:pPr>
        <w:pStyle w:val="BodyText"/>
        <w:numPr>
          <w:ilvl w:val="6"/>
          <w:numId w:val="7"/>
        </w:numPr>
        <w:rPr>
          <w:szCs w:val="18"/>
        </w:rPr>
      </w:pPr>
      <w:r w:rsidRPr="00272930">
        <w:rPr>
          <w:szCs w:val="18"/>
        </w:rPr>
        <w:t xml:space="preserve">Colombia further contends that the Panel erred under </w:t>
      </w:r>
      <w:r w:rsidR="000528F6" w:rsidRPr="00272930">
        <w:rPr>
          <w:szCs w:val="18"/>
        </w:rPr>
        <w:t>Articles </w:t>
      </w:r>
      <w:r w:rsidRPr="00272930">
        <w:rPr>
          <w:szCs w:val="18"/>
        </w:rPr>
        <w:t>5.2(iii) and 5.3 of the Anti</w:t>
      </w:r>
      <w:r w:rsidR="00DF17F5" w:rsidRPr="00272930">
        <w:rPr>
          <w:szCs w:val="18"/>
        </w:rPr>
        <w:noBreakHyphen/>
      </w:r>
      <w:r w:rsidRPr="00272930">
        <w:rPr>
          <w:szCs w:val="18"/>
        </w:rPr>
        <w:t xml:space="preserve">Dumping Agreement by requiring FEDEPAPA to explain </w:t>
      </w:r>
      <w:r w:rsidRPr="00272930">
        <w:rPr>
          <w:i/>
          <w:iCs/>
          <w:szCs w:val="18"/>
        </w:rPr>
        <w:t>why</w:t>
      </w:r>
      <w:r w:rsidRPr="00272930">
        <w:rPr>
          <w:szCs w:val="18"/>
        </w:rPr>
        <w:t xml:space="preserve"> it did </w:t>
      </w:r>
      <w:r w:rsidRPr="00272930">
        <w:rPr>
          <w:i/>
          <w:iCs/>
          <w:szCs w:val="18"/>
        </w:rPr>
        <w:t>not</w:t>
      </w:r>
      <w:r w:rsidRPr="00272930">
        <w:rPr>
          <w:szCs w:val="18"/>
        </w:rPr>
        <w:t xml:space="preserve"> use domestic sales prices.</w:t>
      </w:r>
      <w:r w:rsidRPr="00272930">
        <w:rPr>
          <w:rStyle w:val="FootnoteReference"/>
          <w:szCs w:val="18"/>
        </w:rPr>
        <w:footnoteReference w:id="64"/>
      </w:r>
      <w:r w:rsidRPr="00272930">
        <w:rPr>
          <w:szCs w:val="18"/>
        </w:rPr>
        <w:t xml:space="preserve"> For Colombia, this constitutes legal error because the relevant provisions do not mandate such an </w:t>
      </w:r>
      <w:proofErr w:type="gramStart"/>
      <w:r w:rsidRPr="00272930">
        <w:rPr>
          <w:szCs w:val="18"/>
        </w:rPr>
        <w:t>explanation, and</w:t>
      </w:r>
      <w:proofErr w:type="gramEnd"/>
      <w:r w:rsidRPr="00272930">
        <w:rPr>
          <w:szCs w:val="18"/>
        </w:rPr>
        <w:t xml:space="preserve"> lead</w:t>
      </w:r>
      <w:r w:rsidR="0003361C">
        <w:rPr>
          <w:szCs w:val="18"/>
        </w:rPr>
        <w:t>s</w:t>
      </w:r>
      <w:r w:rsidRPr="00272930">
        <w:rPr>
          <w:szCs w:val="18"/>
        </w:rPr>
        <w:t xml:space="preserve"> to empty formalism or an unworkable substantive test.</w:t>
      </w:r>
      <w:r w:rsidRPr="00272930">
        <w:rPr>
          <w:rStyle w:val="FootnoteReference"/>
          <w:szCs w:val="18"/>
        </w:rPr>
        <w:footnoteReference w:id="65"/>
      </w:r>
    </w:p>
    <w:p w14:paraId="610C1531" w14:textId="0C771A9A" w:rsidR="00F572D3" w:rsidRPr="00272930" w:rsidRDefault="00F572D3" w:rsidP="00B709B7">
      <w:pPr>
        <w:pStyle w:val="BodyText"/>
        <w:numPr>
          <w:ilvl w:val="6"/>
          <w:numId w:val="7"/>
        </w:numPr>
        <w:rPr>
          <w:szCs w:val="18"/>
        </w:rPr>
      </w:pPr>
      <w:r w:rsidRPr="00272930">
        <w:rPr>
          <w:szCs w:val="18"/>
        </w:rPr>
        <w:t>The European</w:t>
      </w:r>
      <w:r w:rsidR="00DA0ACF" w:rsidRPr="00272930">
        <w:rPr>
          <w:szCs w:val="18"/>
        </w:rPr>
        <w:t> Union</w:t>
      </w:r>
      <w:r w:rsidRPr="00272930">
        <w:rPr>
          <w:szCs w:val="18"/>
        </w:rPr>
        <w:t xml:space="preserve"> maintains that the Panel was correct not to require an explanation by the applicant as a matter of interpretation under Article</w:t>
      </w:r>
      <w:r w:rsidR="00F2224B" w:rsidRPr="00272930">
        <w:rPr>
          <w:szCs w:val="18"/>
        </w:rPr>
        <w:t> </w:t>
      </w:r>
      <w:r w:rsidRPr="00272930">
        <w:rPr>
          <w:szCs w:val="18"/>
        </w:rPr>
        <w:t>5.3, but rather noted that there was no explanation from FEDEPAPA on the record as to why domestic sales prices were not provided.</w:t>
      </w:r>
      <w:r w:rsidRPr="00272930">
        <w:rPr>
          <w:rStyle w:val="FootnoteReference"/>
          <w:szCs w:val="18"/>
        </w:rPr>
        <w:footnoteReference w:id="66"/>
      </w:r>
    </w:p>
    <w:p w14:paraId="2795DFC1" w14:textId="2726FF5D" w:rsidR="00F572D3" w:rsidRPr="00272930" w:rsidRDefault="00F572D3" w:rsidP="00B709B7">
      <w:pPr>
        <w:pStyle w:val="BodyText"/>
        <w:numPr>
          <w:ilvl w:val="6"/>
          <w:numId w:val="7"/>
        </w:numPr>
        <w:rPr>
          <w:szCs w:val="18"/>
        </w:rPr>
      </w:pPr>
      <w:r w:rsidRPr="00272930">
        <w:rPr>
          <w:szCs w:val="18"/>
        </w:rPr>
        <w:t>We observe from the Panel</w:t>
      </w:r>
      <w:r w:rsidR="00972276" w:rsidRPr="00272930">
        <w:rPr>
          <w:szCs w:val="18"/>
        </w:rPr>
        <w:t>'</w:t>
      </w:r>
      <w:r w:rsidRPr="00272930">
        <w:rPr>
          <w:szCs w:val="18"/>
        </w:rPr>
        <w:t xml:space="preserve">s consideration of this issue that MINCIT requested FEDEPAPA to submit information on </w:t>
      </w:r>
      <w:r w:rsidR="00972276" w:rsidRPr="00272930">
        <w:rPr>
          <w:szCs w:val="18"/>
        </w:rPr>
        <w:t>"</w:t>
      </w:r>
      <w:r w:rsidRPr="00272930">
        <w:rPr>
          <w:szCs w:val="18"/>
        </w:rPr>
        <w:t>[a] definition of the normal value selected for the purpose of determining the dumping margin … that is to say, the price of the product under consideration set by Belgium</w:t>
      </w:r>
      <w:r w:rsidR="00972276" w:rsidRPr="00272930">
        <w:rPr>
          <w:szCs w:val="18"/>
        </w:rPr>
        <w:t>"</w:t>
      </w:r>
      <w:r w:rsidRPr="00272930">
        <w:rPr>
          <w:szCs w:val="18"/>
        </w:rPr>
        <w:t>.</w:t>
      </w:r>
      <w:r w:rsidRPr="00272930">
        <w:rPr>
          <w:rStyle w:val="FootnoteReference"/>
          <w:szCs w:val="18"/>
        </w:rPr>
        <w:footnoteReference w:id="67"/>
      </w:r>
      <w:r w:rsidRPr="00272930">
        <w:rPr>
          <w:szCs w:val="18"/>
        </w:rPr>
        <w:t xml:space="preserve"> </w:t>
      </w:r>
      <w:r w:rsidRPr="00272930">
        <w:rPr>
          <w:szCs w:val="18"/>
        </w:rPr>
        <w:lastRenderedPageBreak/>
        <w:t>In its revised application, FEDEPAPA indicated that it was using export prices to the United</w:t>
      </w:r>
      <w:r w:rsidR="00F2224B" w:rsidRPr="00272930">
        <w:rPr>
          <w:szCs w:val="18"/>
        </w:rPr>
        <w:t> Kingdom</w:t>
      </w:r>
      <w:r w:rsidRPr="00272930">
        <w:rPr>
          <w:szCs w:val="18"/>
        </w:rPr>
        <w:t xml:space="preserve"> as a basis for normal value, adding that the United</w:t>
      </w:r>
      <w:r w:rsidR="00F2224B" w:rsidRPr="00272930">
        <w:rPr>
          <w:szCs w:val="18"/>
        </w:rPr>
        <w:t> Kingdom</w:t>
      </w:r>
      <w:r w:rsidRPr="00272930">
        <w:rPr>
          <w:szCs w:val="18"/>
        </w:rPr>
        <w:t xml:space="preserve"> (like the </w:t>
      </w:r>
      <w:r w:rsidRPr="00272930">
        <w:t xml:space="preserve">countries covered by the application) </w:t>
      </w:r>
      <w:r w:rsidR="007A487F" w:rsidRPr="00272930">
        <w:t xml:space="preserve">was a </w:t>
      </w:r>
      <w:r w:rsidRPr="00272930">
        <w:t xml:space="preserve">member of the European Union and subscribed to the free movement of goods within a common market. This, FEDEPAPA explained, </w:t>
      </w:r>
      <w:r w:rsidR="00972276" w:rsidRPr="00272930">
        <w:t>"</w:t>
      </w:r>
      <w:r w:rsidRPr="00272930">
        <w:t>would make the prices of exports from these countries to the British market very close to those in the domestic market of the country that is the subject of this application</w:t>
      </w:r>
      <w:r w:rsidR="00972276" w:rsidRPr="00272930">
        <w:t>"</w:t>
      </w:r>
      <w:r w:rsidRPr="00272930">
        <w:t>.</w:t>
      </w:r>
      <w:r w:rsidRPr="00272930">
        <w:rPr>
          <w:rStyle w:val="FootnoteReference"/>
        </w:rPr>
        <w:footnoteReference w:id="68"/>
      </w:r>
      <w:r w:rsidRPr="00272930">
        <w:t xml:space="preserve"> Finally, we know that MINCIT repeated in its notice of initiation FEDEPAPA</w:t>
      </w:r>
      <w:r w:rsidR="00972276" w:rsidRPr="00272930">
        <w:t>'</w:t>
      </w:r>
      <w:r w:rsidRPr="00272930">
        <w:t>s rationale for the use of export prices to the United</w:t>
      </w:r>
      <w:r w:rsidR="00F2224B" w:rsidRPr="00272930">
        <w:t> Kingdom</w:t>
      </w:r>
      <w:r w:rsidRPr="00272930">
        <w:t>.</w:t>
      </w:r>
      <w:r w:rsidRPr="00272930">
        <w:rPr>
          <w:rStyle w:val="FootnoteReference"/>
        </w:rPr>
        <w:footnoteReference w:id="69"/>
      </w:r>
      <w:r w:rsidRPr="00272930">
        <w:rPr>
          <w:szCs w:val="18"/>
        </w:rPr>
        <w:t xml:space="preserve"> </w:t>
      </w:r>
      <w:r w:rsidRPr="00272930">
        <w:t xml:space="preserve">The Panel concluded from this that the record indicates </w:t>
      </w:r>
      <w:r w:rsidR="00972276" w:rsidRPr="00272930">
        <w:t>"</w:t>
      </w:r>
      <w:r w:rsidRPr="00272930">
        <w:t xml:space="preserve">a complete absence of any explanation by FEDEPAPA or examination thereof by MINCIT as to </w:t>
      </w:r>
      <w:r w:rsidRPr="00272930">
        <w:rPr>
          <w:i/>
          <w:iCs/>
        </w:rPr>
        <w:t>why</w:t>
      </w:r>
      <w:r w:rsidRPr="00272930">
        <w:t xml:space="preserve"> domestic sales prices were not contained in the application and could not be used for purposes of initiation in the specific situation at hand</w:t>
      </w:r>
      <w:r w:rsidR="00972276" w:rsidRPr="00272930">
        <w:t>"</w:t>
      </w:r>
      <w:r w:rsidRPr="00272930">
        <w:t>.</w:t>
      </w:r>
      <w:r w:rsidRPr="00272930">
        <w:rPr>
          <w:rStyle w:val="FootnoteReference"/>
        </w:rPr>
        <w:footnoteReference w:id="70"/>
      </w:r>
    </w:p>
    <w:p w14:paraId="3BB5B89E" w14:textId="390383E7" w:rsidR="00F572D3" w:rsidRPr="00272930" w:rsidRDefault="00F572D3" w:rsidP="00B709B7">
      <w:pPr>
        <w:pStyle w:val="BodyText"/>
        <w:numPr>
          <w:ilvl w:val="6"/>
          <w:numId w:val="7"/>
        </w:numPr>
        <w:rPr>
          <w:szCs w:val="18"/>
        </w:rPr>
      </w:pPr>
      <w:r w:rsidRPr="00272930">
        <w:t>The Panel</w:t>
      </w:r>
      <w:r w:rsidR="00972276" w:rsidRPr="00272930">
        <w:t>'</w:t>
      </w:r>
      <w:r w:rsidRPr="00272930">
        <w:t xml:space="preserve">s analysis represents, in our view, an overly stringent application of the legal standard. As the Panel itself acknowledged, </w:t>
      </w:r>
      <w:r w:rsidRPr="00272930">
        <w:rPr>
          <w:rFonts w:eastAsiaTheme="minorHAnsi" w:cstheme="minorBidi"/>
          <w:szCs w:val="18"/>
        </w:rPr>
        <w:t xml:space="preserve">the task is to consider whether an unbiased and objective investigating authority, based on an examination of </w:t>
      </w:r>
      <w:r w:rsidRPr="00423405">
        <w:rPr>
          <w:rFonts w:eastAsiaTheme="minorHAnsi" w:cstheme="minorBidi"/>
          <w:szCs w:val="18"/>
        </w:rPr>
        <w:t xml:space="preserve">the </w:t>
      </w:r>
      <w:r w:rsidR="00972276" w:rsidRPr="00423405">
        <w:rPr>
          <w:rFonts w:eastAsiaTheme="minorHAnsi" w:cstheme="minorBidi"/>
          <w:szCs w:val="18"/>
        </w:rPr>
        <w:t>"</w:t>
      </w:r>
      <w:r w:rsidRPr="00423405">
        <w:rPr>
          <w:rFonts w:eastAsiaTheme="minorHAnsi" w:cstheme="minorBidi"/>
          <w:szCs w:val="18"/>
        </w:rPr>
        <w:t>accuracy</w:t>
      </w:r>
      <w:r w:rsidR="00972276" w:rsidRPr="00423405">
        <w:rPr>
          <w:rFonts w:eastAsiaTheme="minorHAnsi" w:cstheme="minorBidi"/>
          <w:szCs w:val="18"/>
        </w:rPr>
        <w:t>"</w:t>
      </w:r>
      <w:r w:rsidRPr="00423405">
        <w:rPr>
          <w:rFonts w:eastAsiaTheme="minorHAnsi" w:cstheme="minorBidi"/>
          <w:szCs w:val="18"/>
        </w:rPr>
        <w:t xml:space="preserve"> and </w:t>
      </w:r>
      <w:r w:rsidR="00972276" w:rsidRPr="00423405">
        <w:rPr>
          <w:rFonts w:eastAsiaTheme="minorHAnsi" w:cstheme="minorBidi"/>
          <w:szCs w:val="18"/>
        </w:rPr>
        <w:t>"</w:t>
      </w:r>
      <w:r w:rsidRPr="00423405">
        <w:rPr>
          <w:rFonts w:eastAsiaTheme="minorHAnsi" w:cstheme="minorBidi"/>
          <w:szCs w:val="18"/>
        </w:rPr>
        <w:t>adequacy</w:t>
      </w:r>
      <w:r w:rsidR="00972276" w:rsidRPr="00423405">
        <w:rPr>
          <w:rFonts w:eastAsiaTheme="minorHAnsi" w:cstheme="minorBidi"/>
          <w:szCs w:val="18"/>
        </w:rPr>
        <w:t>"</w:t>
      </w:r>
      <w:r w:rsidRPr="00423405">
        <w:rPr>
          <w:rFonts w:eastAsiaTheme="minorHAnsi" w:cstheme="minorBidi"/>
          <w:szCs w:val="18"/>
        </w:rPr>
        <w:t xml:space="preserve"> of the evidence, could have determined that the application contained </w:t>
      </w:r>
      <w:r w:rsidR="00972276" w:rsidRPr="00423405">
        <w:rPr>
          <w:rFonts w:eastAsiaTheme="minorHAnsi" w:cstheme="minorBidi"/>
          <w:szCs w:val="18"/>
        </w:rPr>
        <w:t>"</w:t>
      </w:r>
      <w:r w:rsidRPr="00423405">
        <w:rPr>
          <w:rFonts w:eastAsiaTheme="minorHAnsi" w:cstheme="minorBidi"/>
          <w:szCs w:val="18"/>
        </w:rPr>
        <w:t>sufficient evidence</w:t>
      </w:r>
      <w:r w:rsidR="00972276" w:rsidRPr="00423405">
        <w:rPr>
          <w:rFonts w:eastAsiaTheme="minorHAnsi" w:cstheme="minorBidi"/>
          <w:szCs w:val="18"/>
        </w:rPr>
        <w:t>"</w:t>
      </w:r>
      <w:r w:rsidRPr="00423405">
        <w:rPr>
          <w:rFonts w:eastAsiaTheme="minorHAnsi" w:cstheme="minorBidi"/>
          <w:szCs w:val="18"/>
        </w:rPr>
        <w:t xml:space="preserve"> to initiate the investigation.</w:t>
      </w:r>
      <w:r w:rsidRPr="00423405">
        <w:rPr>
          <w:rStyle w:val="FootnoteReference"/>
          <w:rFonts w:eastAsiaTheme="minorHAnsi" w:cstheme="minorBidi"/>
          <w:szCs w:val="18"/>
        </w:rPr>
        <w:footnoteReference w:id="71"/>
      </w:r>
      <w:r w:rsidRPr="00423405">
        <w:rPr>
          <w:rFonts w:eastAsiaTheme="minorHAnsi" w:cstheme="minorBidi"/>
          <w:szCs w:val="18"/>
        </w:rPr>
        <w:t xml:space="preserve"> </w:t>
      </w:r>
      <w:r w:rsidRPr="00423405">
        <w:t xml:space="preserve">To satisfy </w:t>
      </w:r>
      <w:r w:rsidR="000528F6" w:rsidRPr="00423405">
        <w:t>Articles </w:t>
      </w:r>
      <w:r w:rsidRPr="00423405">
        <w:t>5.2(iii) and 5.3 in the present case, MINCIT</w:t>
      </w:r>
      <w:r w:rsidRPr="00272930">
        <w:t xml:space="preserve"> was required to examine the </w:t>
      </w:r>
      <w:r w:rsidR="00972276" w:rsidRPr="00272930">
        <w:t>"</w:t>
      </w:r>
      <w:r w:rsidRPr="00272930">
        <w:t>appropriateness</w:t>
      </w:r>
      <w:r w:rsidR="00972276" w:rsidRPr="00272930">
        <w:t>"</w:t>
      </w:r>
      <w:r w:rsidRPr="00272930">
        <w:t xml:space="preserve"> and </w:t>
      </w:r>
      <w:r w:rsidR="00972276" w:rsidRPr="00272930">
        <w:t>"</w:t>
      </w:r>
      <w:r w:rsidRPr="00272930">
        <w:t>sufficiency</w:t>
      </w:r>
      <w:r w:rsidR="00972276" w:rsidRPr="00272930">
        <w:t>"</w:t>
      </w:r>
      <w:r w:rsidRPr="00272930">
        <w:t xml:space="preserve"> of the United</w:t>
      </w:r>
      <w:r w:rsidR="00F2224B" w:rsidRPr="00272930">
        <w:t> Kingdom</w:t>
      </w:r>
      <w:r w:rsidRPr="00272930">
        <w:t xml:space="preserve"> export prices in light of the evidentiary value of domestic sales prices. Given that the authority had asked the applicant to define the normal value selected with reference to domestic sales prices for Belgium, and that the applicant then explained that it was relying on export prices to the United</w:t>
      </w:r>
      <w:r w:rsidR="00F2224B" w:rsidRPr="00272930">
        <w:t> Kingdom</w:t>
      </w:r>
      <w:r w:rsidRPr="00272930">
        <w:t xml:space="preserve">, which formed part of a common market with the relevant countries (like Belgium) and therefore represented prices that were </w:t>
      </w:r>
      <w:r w:rsidR="00972276" w:rsidRPr="00272930">
        <w:t>"</w:t>
      </w:r>
      <w:r w:rsidRPr="00272930">
        <w:t>very close</w:t>
      </w:r>
      <w:r w:rsidR="00972276" w:rsidRPr="00272930">
        <w:t>"</w:t>
      </w:r>
      <w:r w:rsidRPr="00272930">
        <w:t xml:space="preserve"> to domestic sales prices, we consider that factual findings by the Panel demonstrate that there was a proper basis in the application for MINCIT to have examined the </w:t>
      </w:r>
      <w:r w:rsidR="00972276" w:rsidRPr="00272930">
        <w:t>"</w:t>
      </w:r>
      <w:r w:rsidRPr="00272930">
        <w:t>appropriateness</w:t>
      </w:r>
      <w:r w:rsidR="00972276" w:rsidRPr="00272930">
        <w:t>"</w:t>
      </w:r>
      <w:r w:rsidRPr="00272930">
        <w:t xml:space="preserve"> and </w:t>
      </w:r>
      <w:r w:rsidR="00972276" w:rsidRPr="00272930">
        <w:t>"</w:t>
      </w:r>
      <w:r w:rsidRPr="00272930">
        <w:t>sufficiency</w:t>
      </w:r>
      <w:r w:rsidR="00972276" w:rsidRPr="00272930">
        <w:t>"</w:t>
      </w:r>
      <w:r w:rsidRPr="00272930">
        <w:t xml:space="preserve"> of those export prices because the information was framed in terms of their evidentiary value vis-à-vis domestic sales prices.</w:t>
      </w:r>
      <w:r w:rsidRPr="00272930">
        <w:rPr>
          <w:rStyle w:val="FootnoteReference"/>
        </w:rPr>
        <w:footnoteReference w:id="72"/>
      </w:r>
      <w:r w:rsidRPr="00272930">
        <w:t xml:space="preserve"> We recall that, for </w:t>
      </w:r>
      <w:r w:rsidR="003D314A">
        <w:t xml:space="preserve">the </w:t>
      </w:r>
      <w:r w:rsidRPr="00272930">
        <w:t>purpose of initiating an investigation under Article</w:t>
      </w:r>
      <w:r w:rsidR="00F2224B" w:rsidRPr="00272930">
        <w:t> </w:t>
      </w:r>
      <w:r w:rsidRPr="00272930">
        <w:t xml:space="preserve">5.3, the quantity and quality of evidence needed is necessarily lower than </w:t>
      </w:r>
      <w:r w:rsidR="00F5286E" w:rsidRPr="00272930">
        <w:t>what is</w:t>
      </w:r>
      <w:r w:rsidRPr="00272930">
        <w:t xml:space="preserve"> required to impose anti</w:t>
      </w:r>
      <w:r w:rsidRPr="00272930">
        <w:noBreakHyphen/>
        <w:t>dumping measures.</w:t>
      </w:r>
      <w:r w:rsidR="00107FEE" w:rsidRPr="00272930">
        <w:rPr>
          <w:rStyle w:val="FootnoteReference"/>
        </w:rPr>
        <w:footnoteReference w:id="73"/>
      </w:r>
      <w:r w:rsidRPr="00272930">
        <w:t xml:space="preserve"> The information need not be the </w:t>
      </w:r>
      <w:r w:rsidRPr="00272930">
        <w:rPr>
          <w:i/>
          <w:iCs/>
        </w:rPr>
        <w:t>best</w:t>
      </w:r>
      <w:r w:rsidRPr="00272930">
        <w:t xml:space="preserve"> evidence, only that which is </w:t>
      </w:r>
      <w:r w:rsidRPr="00272930">
        <w:rPr>
          <w:i/>
          <w:iCs/>
        </w:rPr>
        <w:t>sufficient</w:t>
      </w:r>
      <w:r w:rsidRPr="00272930">
        <w:t xml:space="preserve"> to initiate an investigation. Moreover, as Colombia noted, MINCIT ultimately relied on domestic sales prices as the basis for normal value in its final determination.</w:t>
      </w:r>
      <w:r w:rsidRPr="00272930">
        <w:rPr>
          <w:rStyle w:val="FootnoteReference"/>
        </w:rPr>
        <w:footnoteReference w:id="74"/>
      </w:r>
    </w:p>
    <w:p w14:paraId="45786681" w14:textId="7BDEAACF" w:rsidR="00F572D3" w:rsidRPr="00272930" w:rsidRDefault="00F572D3" w:rsidP="00B709B7">
      <w:pPr>
        <w:pStyle w:val="BodyText"/>
        <w:numPr>
          <w:ilvl w:val="6"/>
          <w:numId w:val="7"/>
        </w:numPr>
        <w:rPr>
          <w:szCs w:val="18"/>
        </w:rPr>
      </w:pPr>
      <w:r w:rsidRPr="00272930">
        <w:t>We also take note of the Panel</w:t>
      </w:r>
      <w:r w:rsidR="00972276" w:rsidRPr="00272930">
        <w:t>'</w:t>
      </w:r>
      <w:r w:rsidRPr="00272930">
        <w:t>s recognition that FEDEPAPA had included as an annex in its application a Brazilian investigating authority</w:t>
      </w:r>
      <w:r w:rsidR="00972276" w:rsidRPr="00272930">
        <w:t>'</w:t>
      </w:r>
      <w:r w:rsidRPr="00272930">
        <w:t>s initiation decision in its anti</w:t>
      </w:r>
      <w:r w:rsidRPr="00272930">
        <w:noBreakHyphen/>
        <w:t xml:space="preserve">dumping investigation on frozen potatoes, in which it was explained that the Brazilian applicant was unable to obtain the internal price within the relevant European Union member States, and that, </w:t>
      </w:r>
      <w:r w:rsidR="00614A37" w:rsidRPr="00272930">
        <w:t>because the United</w:t>
      </w:r>
      <w:r w:rsidR="00591744" w:rsidRPr="00272930">
        <w:t> </w:t>
      </w:r>
      <w:r w:rsidR="00614A37" w:rsidRPr="00272930">
        <w:t>Kingdom was part of the European</w:t>
      </w:r>
      <w:r w:rsidR="00BA4836" w:rsidRPr="00272930">
        <w:t> Union</w:t>
      </w:r>
      <w:r w:rsidR="00614A37" w:rsidRPr="00272930">
        <w:t xml:space="preserve">'s single market, its prices </w:t>
      </w:r>
      <w:r w:rsidRPr="00272930">
        <w:t>were an appropriate basis for normal value.</w:t>
      </w:r>
      <w:r w:rsidRPr="00272930">
        <w:rPr>
          <w:rStyle w:val="FootnoteReference"/>
        </w:rPr>
        <w:footnoteReference w:id="75"/>
      </w:r>
      <w:r w:rsidRPr="00272930">
        <w:t xml:space="preserve"> This provides an additional indicator of what was contained in the application before MINCIT that could have informed its examination of the </w:t>
      </w:r>
      <w:r w:rsidR="00972276" w:rsidRPr="00272930">
        <w:t>"</w:t>
      </w:r>
      <w:r w:rsidRPr="00272930">
        <w:t>appropriateness</w:t>
      </w:r>
      <w:r w:rsidR="00972276" w:rsidRPr="00272930">
        <w:t>"</w:t>
      </w:r>
      <w:r w:rsidRPr="00272930">
        <w:t xml:space="preserve"> and </w:t>
      </w:r>
      <w:r w:rsidR="00972276" w:rsidRPr="00272930">
        <w:t>"</w:t>
      </w:r>
      <w:r w:rsidRPr="00272930">
        <w:t>sufficiency</w:t>
      </w:r>
      <w:r w:rsidR="00972276" w:rsidRPr="00272930">
        <w:t>"</w:t>
      </w:r>
      <w:r w:rsidRPr="00272930">
        <w:t xml:space="preserve"> of using export prices to the United</w:t>
      </w:r>
      <w:r w:rsidR="00F2224B" w:rsidRPr="00272930">
        <w:t> Kingdom</w:t>
      </w:r>
      <w:r w:rsidRPr="00272930">
        <w:t xml:space="preserve"> in relation to domestic sales prices.</w:t>
      </w:r>
    </w:p>
    <w:p w14:paraId="37014C4A" w14:textId="77777777" w:rsidR="00F572D3" w:rsidRPr="00272930" w:rsidRDefault="00F572D3" w:rsidP="00B709B7">
      <w:pPr>
        <w:pStyle w:val="Heading3"/>
        <w:numPr>
          <w:ilvl w:val="2"/>
          <w:numId w:val="7"/>
        </w:numPr>
      </w:pPr>
      <w:bookmarkStart w:id="39" w:name="_Toc122339712"/>
      <w:r w:rsidRPr="00272930">
        <w:t>Conclusion</w:t>
      </w:r>
      <w:bookmarkEnd w:id="39"/>
    </w:p>
    <w:p w14:paraId="47D87C2A" w14:textId="284BC0E2" w:rsidR="00F572D3" w:rsidRPr="00272930" w:rsidRDefault="00F572D3" w:rsidP="00B709B7">
      <w:pPr>
        <w:pStyle w:val="BodyText"/>
        <w:numPr>
          <w:ilvl w:val="6"/>
          <w:numId w:val="7"/>
        </w:numPr>
        <w:rPr>
          <w:szCs w:val="18"/>
        </w:rPr>
      </w:pPr>
      <w:r w:rsidRPr="00272930">
        <w:rPr>
          <w:szCs w:val="18"/>
        </w:rPr>
        <w:t>Taking due account of the special standards set out in Article</w:t>
      </w:r>
      <w:r w:rsidR="00F2224B" w:rsidRPr="00272930">
        <w:rPr>
          <w:szCs w:val="18"/>
        </w:rPr>
        <w:t> </w:t>
      </w:r>
      <w:r w:rsidRPr="00272930">
        <w:rPr>
          <w:szCs w:val="18"/>
        </w:rPr>
        <w:t xml:space="preserve">17.6 of the Anti-Dumping Agreement, we </w:t>
      </w:r>
      <w:r w:rsidRPr="00272930">
        <w:t>conclude that Colombia</w:t>
      </w:r>
      <w:r w:rsidR="00972276" w:rsidRPr="00272930">
        <w:t>'</w:t>
      </w:r>
      <w:r w:rsidRPr="00272930">
        <w:t xml:space="preserve">s interpretation of the phrase </w:t>
      </w:r>
      <w:r w:rsidR="00972276" w:rsidRPr="00272930">
        <w:t>"</w:t>
      </w:r>
      <w:r w:rsidRPr="00272930">
        <w:t>where appropriate</w:t>
      </w:r>
      <w:r w:rsidR="00972276" w:rsidRPr="00272930">
        <w:t>"</w:t>
      </w:r>
      <w:r w:rsidRPr="00272930">
        <w:t xml:space="preserve"> in Article 5.2(iii) is not a permissible one; that is, one that a</w:t>
      </w:r>
      <w:r w:rsidRPr="00272930">
        <w:rPr>
          <w:rFonts w:cstheme="minorHAnsi"/>
        </w:rPr>
        <w:t xml:space="preserve"> treaty interpreter, using the Vienna</w:t>
      </w:r>
      <w:r w:rsidR="00BA4836" w:rsidRPr="00272930">
        <w:rPr>
          <w:rFonts w:cstheme="minorHAnsi"/>
        </w:rPr>
        <w:t> Convention</w:t>
      </w:r>
      <w:r w:rsidRPr="00272930">
        <w:rPr>
          <w:rFonts w:cstheme="minorHAnsi"/>
        </w:rPr>
        <w:t xml:space="preserve"> method for treaty interpretation, could have reached. Accordingly, </w:t>
      </w:r>
      <w:r w:rsidRPr="00272930">
        <w:rPr>
          <w:szCs w:val="18"/>
        </w:rPr>
        <w:t>we see no basis to disturb the Panel</w:t>
      </w:r>
      <w:r w:rsidR="00972276" w:rsidRPr="00272930">
        <w:rPr>
          <w:szCs w:val="18"/>
        </w:rPr>
        <w:t>'</w:t>
      </w:r>
      <w:r w:rsidRPr="00272930">
        <w:rPr>
          <w:szCs w:val="18"/>
        </w:rPr>
        <w:t xml:space="preserve">s articulation of the legal standard that </w:t>
      </w:r>
      <w:r w:rsidRPr="00272930">
        <w:t>an authority</w:t>
      </w:r>
      <w:r w:rsidR="00972276" w:rsidRPr="00272930">
        <w:t>'</w:t>
      </w:r>
      <w:r w:rsidRPr="00272930">
        <w:t xml:space="preserve">s examination of the </w:t>
      </w:r>
      <w:r w:rsidRPr="00272930">
        <w:lastRenderedPageBreak/>
        <w:t xml:space="preserve">sufficiency of evidence under Article 5.3 </w:t>
      </w:r>
      <w:r w:rsidR="00972276" w:rsidRPr="00272930">
        <w:t>"</w:t>
      </w:r>
      <w:r w:rsidRPr="00272930">
        <w:t>requires, at the very least, an exercise of judgment as to the suitability or appropriateness of using third</w:t>
      </w:r>
      <w:r w:rsidRPr="00272930">
        <w:noBreakHyphen/>
        <w:t>country sales prices, instead of domestic sales prices, in the specific situation before it</w:t>
      </w:r>
      <w:r w:rsidR="00972276" w:rsidRPr="00272930">
        <w:t>"</w:t>
      </w:r>
      <w:r w:rsidRPr="00272930">
        <w:t>.</w:t>
      </w:r>
      <w:r w:rsidRPr="00272930">
        <w:rPr>
          <w:rStyle w:val="FootnoteReference"/>
        </w:rPr>
        <w:footnoteReference w:id="76"/>
      </w:r>
    </w:p>
    <w:p w14:paraId="57202375" w14:textId="56E8114E" w:rsidR="00F572D3" w:rsidRPr="00272930" w:rsidRDefault="00F572D3" w:rsidP="00B709B7">
      <w:pPr>
        <w:pStyle w:val="BodyText"/>
        <w:numPr>
          <w:ilvl w:val="6"/>
          <w:numId w:val="7"/>
        </w:numPr>
        <w:rPr>
          <w:szCs w:val="18"/>
        </w:rPr>
      </w:pPr>
      <w:r w:rsidRPr="00272930">
        <w:t>At the same time, we find that the Panel applied this standard in an overly stringent manner to MINCIT</w:t>
      </w:r>
      <w:r w:rsidR="00972276" w:rsidRPr="00272930">
        <w:t>'</w:t>
      </w:r>
      <w:r w:rsidRPr="00272930">
        <w:t>s examination of the evidence in the circumstances before it. Given that Article</w:t>
      </w:r>
      <w:r w:rsidR="00F2224B" w:rsidRPr="00272930">
        <w:t> </w:t>
      </w:r>
      <w:r w:rsidRPr="00272930">
        <w:t xml:space="preserve">5.3 requires that an investigating authority must find </w:t>
      </w:r>
      <w:r w:rsidR="00972276" w:rsidRPr="00272930">
        <w:t>"</w:t>
      </w:r>
      <w:r w:rsidRPr="00272930">
        <w:t>sufficient evidence</w:t>
      </w:r>
      <w:r w:rsidR="00972276" w:rsidRPr="00272930">
        <w:t>"</w:t>
      </w:r>
      <w:r w:rsidRPr="00272930">
        <w:t xml:space="preserve"> in the application to initiate an investigation, we consider that relevant factual findings by the Panel show that the application, which MINCIT examined, reflected information on the use of third-country sales prices that was framed in terms of their evidentiary value vis-à-vis domestic sales prices, and we therefore do not see that an assessment of </w:t>
      </w:r>
      <w:r w:rsidR="00972276" w:rsidRPr="00272930">
        <w:t>"</w:t>
      </w:r>
      <w:r w:rsidRPr="00272930">
        <w:t>appropriateness</w:t>
      </w:r>
      <w:r w:rsidR="00972276" w:rsidRPr="00272930">
        <w:t>"</w:t>
      </w:r>
      <w:r w:rsidRPr="00272930">
        <w:t xml:space="preserve"> required that an additional </w:t>
      </w:r>
      <w:r w:rsidR="00AD4B27">
        <w:t>explanation</w:t>
      </w:r>
      <w:r w:rsidR="00AD4B27" w:rsidRPr="00272930">
        <w:t xml:space="preserve"> </w:t>
      </w:r>
      <w:r w:rsidRPr="00272930">
        <w:t xml:space="preserve">be provided or examined as to </w:t>
      </w:r>
      <w:r w:rsidRPr="00272930">
        <w:rPr>
          <w:i/>
          <w:iCs/>
        </w:rPr>
        <w:t>why</w:t>
      </w:r>
      <w:r w:rsidRPr="00272930">
        <w:t xml:space="preserve"> domestic sales prices were </w:t>
      </w:r>
      <w:r w:rsidRPr="00272930">
        <w:rPr>
          <w:i/>
          <w:iCs/>
        </w:rPr>
        <w:t>not</w:t>
      </w:r>
      <w:r w:rsidRPr="00272930">
        <w:t xml:space="preserve"> used. </w:t>
      </w:r>
      <w:r w:rsidRPr="00272930">
        <w:rPr>
          <w:rFonts w:cstheme="minorHAnsi"/>
        </w:rPr>
        <w:t>We therefore disagree with the Panel that an unbiased and objective authority could not have found that the evidence in FEDEPAPA</w:t>
      </w:r>
      <w:r w:rsidR="00972276" w:rsidRPr="00272930">
        <w:rPr>
          <w:rFonts w:cstheme="minorHAnsi"/>
        </w:rPr>
        <w:t>'</w:t>
      </w:r>
      <w:r w:rsidRPr="00272930">
        <w:rPr>
          <w:rFonts w:cstheme="minorHAnsi"/>
        </w:rPr>
        <w:t xml:space="preserve">s application was </w:t>
      </w:r>
      <w:r w:rsidR="00972276" w:rsidRPr="00272930">
        <w:rPr>
          <w:rFonts w:cstheme="minorHAnsi"/>
        </w:rPr>
        <w:t>"</w:t>
      </w:r>
      <w:r w:rsidRPr="00272930">
        <w:rPr>
          <w:rFonts w:cstheme="minorHAnsi"/>
        </w:rPr>
        <w:t>sufficient</w:t>
      </w:r>
      <w:r w:rsidR="00972276" w:rsidRPr="00272930">
        <w:rPr>
          <w:rFonts w:cstheme="minorHAnsi"/>
        </w:rPr>
        <w:t>"</w:t>
      </w:r>
      <w:r w:rsidRPr="00272930">
        <w:rPr>
          <w:rFonts w:cstheme="minorHAnsi"/>
        </w:rPr>
        <w:t xml:space="preserve"> to initiate the investigation.</w:t>
      </w:r>
    </w:p>
    <w:p w14:paraId="06FD354C" w14:textId="5DA88104" w:rsidR="00F572D3" w:rsidRPr="00272930" w:rsidRDefault="00F572D3" w:rsidP="00B709B7">
      <w:pPr>
        <w:pStyle w:val="BodyText"/>
        <w:numPr>
          <w:ilvl w:val="6"/>
          <w:numId w:val="7"/>
        </w:numPr>
        <w:rPr>
          <w:szCs w:val="18"/>
        </w:rPr>
      </w:pPr>
      <w:r w:rsidRPr="00272930">
        <w:t xml:space="preserve">On the basis of the above, we </w:t>
      </w:r>
      <w:r w:rsidRPr="00272930">
        <w:rPr>
          <w:u w:val="single"/>
        </w:rPr>
        <w:t>reverse</w:t>
      </w:r>
      <w:r w:rsidRPr="00272930">
        <w:t xml:space="preserve"> the Panel</w:t>
      </w:r>
      <w:r w:rsidR="00972276" w:rsidRPr="00272930">
        <w:t>'</w:t>
      </w:r>
      <w:r w:rsidRPr="00272930">
        <w:t xml:space="preserve">s findings in </w:t>
      </w:r>
      <w:r w:rsidR="00270F7B" w:rsidRPr="00272930">
        <w:t>paragraphs </w:t>
      </w:r>
      <w:r w:rsidRPr="00272930">
        <w:t xml:space="preserve">7.75, 7.78, 7.79, and 8.1.a.iii of its Report, and </w:t>
      </w:r>
      <w:r w:rsidRPr="00272930">
        <w:rPr>
          <w:u w:val="single"/>
        </w:rPr>
        <w:t>find</w:t>
      </w:r>
      <w:r w:rsidRPr="00272930">
        <w:t xml:space="preserve"> that relevant factual findings by the Panel demonstrate that MINCIT satisfied its duty under </w:t>
      </w:r>
      <w:r w:rsidR="000528F6" w:rsidRPr="00272930">
        <w:t>Articles </w:t>
      </w:r>
      <w:r w:rsidRPr="00272930">
        <w:t xml:space="preserve">5.2(iii) and 5.3 of the Anti-Dumping Agreement, for the purpose of initiating an investigation, by examining the </w:t>
      </w:r>
      <w:r w:rsidR="00972276" w:rsidRPr="00272930">
        <w:t>"</w:t>
      </w:r>
      <w:r w:rsidRPr="00272930">
        <w:t>appropriateness</w:t>
      </w:r>
      <w:r w:rsidR="00972276" w:rsidRPr="00272930">
        <w:t>"</w:t>
      </w:r>
      <w:r w:rsidRPr="00272930">
        <w:t xml:space="preserve"> of third-country sales prices consisting of export prices to the United</w:t>
      </w:r>
      <w:r w:rsidR="00F2224B" w:rsidRPr="00272930">
        <w:t> Kingdom</w:t>
      </w:r>
      <w:r w:rsidRPr="00272930">
        <w:t xml:space="preserve">, including, in particular, their sufficiency vis-à-vis domestic sales prices. Accordingly, we </w:t>
      </w:r>
      <w:r w:rsidRPr="00272930">
        <w:rPr>
          <w:u w:val="single"/>
        </w:rPr>
        <w:t>find</w:t>
      </w:r>
      <w:r w:rsidRPr="00272930">
        <w:t xml:space="preserve"> that the European</w:t>
      </w:r>
      <w:r w:rsidR="00DA0ACF" w:rsidRPr="00272930">
        <w:t> Union</w:t>
      </w:r>
      <w:r w:rsidRPr="00272930">
        <w:t xml:space="preserve"> has not established that Colombia acted inconsistently with Article</w:t>
      </w:r>
      <w:r w:rsidR="00F2224B" w:rsidRPr="00272930">
        <w:t> </w:t>
      </w:r>
      <w:r w:rsidRPr="00272930">
        <w:t>5.3 of the Anti-Dumping Agreement.</w:t>
      </w:r>
    </w:p>
    <w:p w14:paraId="3AF24667" w14:textId="0E4E7CD5" w:rsidR="00F572D3" w:rsidRPr="00272930" w:rsidRDefault="00F572D3" w:rsidP="00B709B7">
      <w:pPr>
        <w:pStyle w:val="Heading2"/>
        <w:numPr>
          <w:ilvl w:val="1"/>
          <w:numId w:val="7"/>
        </w:numPr>
        <w:rPr>
          <w:szCs w:val="18"/>
        </w:rPr>
      </w:pPr>
      <w:bookmarkStart w:id="40" w:name="_Toc122339713"/>
      <w:r w:rsidRPr="00272930">
        <w:rPr>
          <w:szCs w:val="18"/>
        </w:rPr>
        <w:t>Claim under Article</w:t>
      </w:r>
      <w:r w:rsidR="00F2224B" w:rsidRPr="00272930">
        <w:rPr>
          <w:szCs w:val="18"/>
        </w:rPr>
        <w:t> </w:t>
      </w:r>
      <w:r w:rsidRPr="00272930">
        <w:rPr>
          <w:szCs w:val="18"/>
        </w:rPr>
        <w:t>6.5 of the Anti-Dumping Agreement</w:t>
      </w:r>
      <w:bookmarkEnd w:id="40"/>
    </w:p>
    <w:p w14:paraId="7B83B42E" w14:textId="77777777" w:rsidR="00F572D3" w:rsidRPr="00272930" w:rsidRDefault="00F572D3" w:rsidP="00B709B7">
      <w:pPr>
        <w:pStyle w:val="Heading3"/>
        <w:numPr>
          <w:ilvl w:val="2"/>
          <w:numId w:val="7"/>
        </w:numPr>
      </w:pPr>
      <w:bookmarkStart w:id="41" w:name="_Toc122339714"/>
      <w:r w:rsidRPr="00272930">
        <w:t>Introduction and Panel findings</w:t>
      </w:r>
      <w:bookmarkEnd w:id="41"/>
    </w:p>
    <w:p w14:paraId="06A455F4" w14:textId="74179D11" w:rsidR="00F572D3" w:rsidRPr="00272930" w:rsidRDefault="00F572D3" w:rsidP="00B709B7">
      <w:pPr>
        <w:pStyle w:val="BodyText"/>
        <w:numPr>
          <w:ilvl w:val="6"/>
          <w:numId w:val="18"/>
        </w:numPr>
        <w:rPr>
          <w:szCs w:val="18"/>
        </w:rPr>
      </w:pPr>
      <w:r w:rsidRPr="00272930">
        <w:rPr>
          <w:szCs w:val="18"/>
        </w:rPr>
        <w:t>Colombia challenges the Panel</w:t>
      </w:r>
      <w:r w:rsidR="00972276" w:rsidRPr="00272930">
        <w:rPr>
          <w:szCs w:val="18"/>
        </w:rPr>
        <w:t>'</w:t>
      </w:r>
      <w:r w:rsidRPr="00272930">
        <w:rPr>
          <w:szCs w:val="18"/>
        </w:rPr>
        <w:t xml:space="preserve">s finding </w:t>
      </w:r>
      <w:r w:rsidRPr="00272930">
        <w:t>that Colombia acted inconsistently with its obligations under Article 6.5 of the Anti-Dumping Agreement with respect to certain redacted information in section d(i) of FEDEPAPA</w:t>
      </w:r>
      <w:r w:rsidR="00972276" w:rsidRPr="00272930">
        <w:t>'</w:t>
      </w:r>
      <w:r w:rsidRPr="00272930">
        <w:t xml:space="preserve">s revised application because MINCIT granted confidential treatment to this information without a showing of </w:t>
      </w:r>
      <w:r w:rsidR="00972276" w:rsidRPr="00272930">
        <w:t>"</w:t>
      </w:r>
      <w:r w:rsidRPr="00272930">
        <w:t>good cause</w:t>
      </w:r>
      <w:r w:rsidR="00972276" w:rsidRPr="00272930">
        <w:t>"</w:t>
      </w:r>
      <w:r w:rsidRPr="00272930">
        <w:t>.</w:t>
      </w:r>
      <w:r w:rsidRPr="00272930">
        <w:rPr>
          <w:rStyle w:val="FootnoteReference"/>
        </w:rPr>
        <w:footnoteReference w:id="77"/>
      </w:r>
      <w:r w:rsidRPr="00272930">
        <w:t xml:space="preserve"> </w:t>
      </w:r>
      <w:r w:rsidRPr="00272930">
        <w:rPr>
          <w:szCs w:val="18"/>
        </w:rPr>
        <w:t>In Colombia</w:t>
      </w:r>
      <w:r w:rsidR="00972276" w:rsidRPr="00272930">
        <w:rPr>
          <w:szCs w:val="18"/>
        </w:rPr>
        <w:t>'</w:t>
      </w:r>
      <w:r w:rsidRPr="00272930">
        <w:rPr>
          <w:szCs w:val="18"/>
        </w:rPr>
        <w:t>s view, because FEDEPAPA never submitted a request for confidential treatment of the information at issue, and MINCIT never granted confidentiality to that information, the requirement under Article</w:t>
      </w:r>
      <w:r w:rsidR="00F2224B" w:rsidRPr="00272930">
        <w:rPr>
          <w:szCs w:val="18"/>
        </w:rPr>
        <w:t> </w:t>
      </w:r>
      <w:r w:rsidRPr="00272930">
        <w:rPr>
          <w:szCs w:val="18"/>
        </w:rPr>
        <w:t>6.5 to treat the information as confidential upon a showing of good cause was not triggered. Colombia further argues that the information at issue was in any event disclosed in other documents on the public record.</w:t>
      </w:r>
    </w:p>
    <w:p w14:paraId="69823440" w14:textId="48F17D07" w:rsidR="00F572D3" w:rsidRPr="00272930" w:rsidRDefault="00F572D3" w:rsidP="005E389A">
      <w:pPr>
        <w:pStyle w:val="BodyText"/>
        <w:keepNext/>
        <w:numPr>
          <w:ilvl w:val="6"/>
          <w:numId w:val="7"/>
        </w:numPr>
      </w:pPr>
      <w:r w:rsidRPr="00272930">
        <w:t>Article</w:t>
      </w:r>
      <w:r w:rsidR="00F2224B" w:rsidRPr="00272930">
        <w:t> </w:t>
      </w:r>
      <w:r w:rsidRPr="00272930">
        <w:t>6.5 of the Anti-Dumping Agreement provides:</w:t>
      </w:r>
    </w:p>
    <w:tbl>
      <w:tblPr>
        <w:tblW w:w="9214" w:type="dxa"/>
        <w:tblBorders>
          <w:insideH w:val="single" w:sz="6" w:space="0" w:color="FFFFFF"/>
        </w:tblBorders>
        <w:tblLayout w:type="fixed"/>
        <w:tblCellMar>
          <w:top w:w="57" w:type="dxa"/>
          <w:left w:w="170" w:type="dxa"/>
          <w:bottom w:w="57" w:type="dxa"/>
          <w:right w:w="170" w:type="dxa"/>
        </w:tblCellMar>
        <w:tblLook w:val="04A0" w:firstRow="1" w:lastRow="0" w:firstColumn="1" w:lastColumn="0" w:noHBand="0" w:noVBand="1"/>
      </w:tblPr>
      <w:tblGrid>
        <w:gridCol w:w="9214"/>
      </w:tblGrid>
      <w:tr w:rsidR="00F572D3" w:rsidRPr="00272930" w14:paraId="172F24E2" w14:textId="77777777" w:rsidTr="001874F9">
        <w:tc>
          <w:tcPr>
            <w:tcW w:w="9214" w:type="dxa"/>
            <w:shd w:val="clear" w:color="auto" w:fill="C9DED4"/>
          </w:tcPr>
          <w:p w14:paraId="431B6772" w14:textId="1D17E765" w:rsidR="00F572D3" w:rsidRPr="00272930" w:rsidRDefault="00F572D3" w:rsidP="005E389A">
            <w:pPr>
              <w:keepNext/>
              <w:spacing w:before="120" w:after="120"/>
              <w:jc w:val="center"/>
            </w:pPr>
            <w:r w:rsidRPr="00272930">
              <w:t>Article</w:t>
            </w:r>
            <w:r w:rsidR="00F2224B" w:rsidRPr="00272930">
              <w:t> </w:t>
            </w:r>
            <w:r w:rsidRPr="00272930">
              <w:t>6</w:t>
            </w:r>
          </w:p>
          <w:p w14:paraId="2CA8AE25" w14:textId="3A762B42" w:rsidR="00F572D3" w:rsidRPr="00272930" w:rsidRDefault="00F572D3" w:rsidP="00A92A75">
            <w:pPr>
              <w:keepNext/>
              <w:spacing w:before="120" w:after="120"/>
              <w:jc w:val="center"/>
            </w:pPr>
            <w:r w:rsidRPr="00272930">
              <w:rPr>
                <w:i/>
                <w:iCs/>
              </w:rPr>
              <w:t>Evidence</w:t>
            </w:r>
          </w:p>
          <w:p w14:paraId="5E2D9EBA" w14:textId="1FECB5C1" w:rsidR="00552614" w:rsidRPr="00272930" w:rsidRDefault="00F572D3" w:rsidP="005E389A">
            <w:pPr>
              <w:keepNext/>
              <w:spacing w:before="120" w:after="120"/>
              <w:rPr>
                <w:vertAlign w:val="superscript"/>
              </w:rPr>
            </w:pPr>
            <w:r w:rsidRPr="00272930">
              <w:t>6.5</w:t>
            </w:r>
            <w:r w:rsidR="0046762C" w:rsidRPr="00272930">
              <w:t xml:space="preserve"> </w:t>
            </w:r>
            <w:r w:rsidRPr="00272930">
              <w:t xml:space="preserve">Any information which is by nature confidential (for example, because its disclosure would be of significant competitive advantage to a competitor or because its disclosure would have a significantly adverse effect upon a person supplying the information or upon a person from whom that person acquired the information), or which is provided on a confidential basis by parties to an investigation shall, upon good cause shown, be treated as such by the authorities. Such information shall not be disclosed without specific permission of the party submitting it. </w:t>
            </w:r>
          </w:p>
        </w:tc>
      </w:tr>
    </w:tbl>
    <w:p w14:paraId="06A6A761" w14:textId="77777777" w:rsidR="00F572D3" w:rsidRPr="00272930" w:rsidRDefault="00F572D3" w:rsidP="00B709B7">
      <w:pPr>
        <w:pStyle w:val="BodyText"/>
        <w:numPr>
          <w:ilvl w:val="0"/>
          <w:numId w:val="0"/>
        </w:numPr>
        <w:spacing w:after="120"/>
        <w:rPr>
          <w:szCs w:val="18"/>
        </w:rPr>
      </w:pPr>
    </w:p>
    <w:p w14:paraId="426FED55" w14:textId="07479803" w:rsidR="00F572D3" w:rsidRPr="00272930" w:rsidRDefault="00F572D3" w:rsidP="00B709B7">
      <w:pPr>
        <w:pStyle w:val="BodyText"/>
        <w:numPr>
          <w:ilvl w:val="6"/>
          <w:numId w:val="18"/>
        </w:numPr>
        <w:rPr>
          <w:szCs w:val="18"/>
        </w:rPr>
      </w:pPr>
      <w:r w:rsidRPr="00272930">
        <w:rPr>
          <w:szCs w:val="18"/>
        </w:rPr>
        <w:t xml:space="preserve">The Panel noted that Article 6.5 addresses confidential treatment by investigating authorities of two categories of information: that which is by nature confidential, and that which is submitted on a confidential basis by parties to an investigation. The Panel further noted that a showing of </w:t>
      </w:r>
      <w:r w:rsidR="00972276" w:rsidRPr="00272930">
        <w:rPr>
          <w:szCs w:val="18"/>
        </w:rPr>
        <w:t>"</w:t>
      </w:r>
      <w:r w:rsidRPr="00272930">
        <w:rPr>
          <w:szCs w:val="18"/>
        </w:rPr>
        <w:t>good cause</w:t>
      </w:r>
      <w:r w:rsidR="00972276" w:rsidRPr="00272930">
        <w:rPr>
          <w:szCs w:val="18"/>
        </w:rPr>
        <w:t>"</w:t>
      </w:r>
      <w:r w:rsidRPr="00272930">
        <w:rPr>
          <w:szCs w:val="18"/>
        </w:rPr>
        <w:t xml:space="preserve"> is a </w:t>
      </w:r>
      <w:r w:rsidR="00972276" w:rsidRPr="00272930">
        <w:rPr>
          <w:szCs w:val="18"/>
        </w:rPr>
        <w:t>"</w:t>
      </w:r>
      <w:r w:rsidRPr="00272930">
        <w:rPr>
          <w:szCs w:val="18"/>
        </w:rPr>
        <w:t xml:space="preserve">condition precedent for </w:t>
      </w:r>
      <w:proofErr w:type="gramStart"/>
      <w:r w:rsidRPr="00272930">
        <w:rPr>
          <w:szCs w:val="18"/>
        </w:rPr>
        <w:t>according</w:t>
      </w:r>
      <w:proofErr w:type="gramEnd"/>
      <w:r w:rsidRPr="00272930">
        <w:rPr>
          <w:szCs w:val="18"/>
        </w:rPr>
        <w:t xml:space="preserve"> confidential treatment to information submitted to an </w:t>
      </w:r>
      <w:r w:rsidRPr="00272930">
        <w:rPr>
          <w:szCs w:val="18"/>
        </w:rPr>
        <w:lastRenderedPageBreak/>
        <w:t>authority</w:t>
      </w:r>
      <w:r w:rsidR="00972276" w:rsidRPr="00272930">
        <w:rPr>
          <w:szCs w:val="18"/>
        </w:rPr>
        <w:t>"</w:t>
      </w:r>
      <w:r w:rsidRPr="00272930">
        <w:rPr>
          <w:rStyle w:val="FootnoteReference"/>
          <w:szCs w:val="18"/>
        </w:rPr>
        <w:footnoteReference w:id="78"/>
      </w:r>
      <w:r w:rsidRPr="00272930">
        <w:rPr>
          <w:szCs w:val="18"/>
        </w:rPr>
        <w:t xml:space="preserve"> and applies to both categories of information.</w:t>
      </w:r>
      <w:r w:rsidRPr="00272930">
        <w:rPr>
          <w:rStyle w:val="FootnoteReference"/>
          <w:szCs w:val="18"/>
        </w:rPr>
        <w:footnoteReference w:id="79"/>
      </w:r>
      <w:r w:rsidRPr="00272930">
        <w:rPr>
          <w:szCs w:val="18"/>
        </w:rPr>
        <w:t xml:space="preserve"> The Panel added that authorities are required to objectively assess the alleged </w:t>
      </w:r>
      <w:r w:rsidR="00972276" w:rsidRPr="00272930">
        <w:rPr>
          <w:szCs w:val="18"/>
        </w:rPr>
        <w:t>"</w:t>
      </w:r>
      <w:r w:rsidRPr="00272930">
        <w:rPr>
          <w:szCs w:val="18"/>
        </w:rPr>
        <w:t>good cause</w:t>
      </w:r>
      <w:r w:rsidR="00972276" w:rsidRPr="00272930">
        <w:rPr>
          <w:szCs w:val="18"/>
        </w:rPr>
        <w:t>"</w:t>
      </w:r>
      <w:r w:rsidRPr="00272930">
        <w:rPr>
          <w:szCs w:val="18"/>
        </w:rPr>
        <w:t xml:space="preserve"> offered as the basis of the request for confidential treatment.</w:t>
      </w:r>
      <w:r w:rsidRPr="00272930">
        <w:rPr>
          <w:rStyle w:val="FootnoteReference"/>
          <w:szCs w:val="18"/>
        </w:rPr>
        <w:footnoteReference w:id="80"/>
      </w:r>
    </w:p>
    <w:p w14:paraId="5AF0BF74" w14:textId="0645BC49" w:rsidR="00F572D3" w:rsidRPr="00272930" w:rsidRDefault="00F572D3" w:rsidP="00B709B7">
      <w:pPr>
        <w:pStyle w:val="BodyText"/>
        <w:numPr>
          <w:ilvl w:val="6"/>
          <w:numId w:val="18"/>
        </w:numPr>
        <w:rPr>
          <w:szCs w:val="18"/>
        </w:rPr>
      </w:pPr>
      <w:r w:rsidRPr="00272930">
        <w:rPr>
          <w:szCs w:val="18"/>
        </w:rPr>
        <w:t>The Panel then noted that the information at issue – contained in section d(i) of the revised application – concerned the injury alleged by FEDEPAPA with respect to the Colombian potato</w:t>
      </w:r>
      <w:r w:rsidR="00E97256" w:rsidRPr="00272930">
        <w:rPr>
          <w:szCs w:val="18"/>
        </w:rPr>
        <w:noBreakHyphen/>
      </w:r>
      <w:r w:rsidRPr="00272930">
        <w:rPr>
          <w:szCs w:val="18"/>
        </w:rPr>
        <w:t>processing industry.</w:t>
      </w:r>
      <w:r w:rsidRPr="00272930">
        <w:rPr>
          <w:rStyle w:val="FootnoteReference"/>
          <w:szCs w:val="18"/>
        </w:rPr>
        <w:footnoteReference w:id="81"/>
      </w:r>
      <w:r w:rsidRPr="00272930">
        <w:rPr>
          <w:szCs w:val="18"/>
        </w:rPr>
        <w:t xml:space="preserve"> As the Panel further observed, that section contained certain information that was redacted by the applicant</w:t>
      </w:r>
      <w:r w:rsidRPr="00272930">
        <w:rPr>
          <w:rStyle w:val="FootnoteReference"/>
          <w:szCs w:val="18"/>
        </w:rPr>
        <w:footnoteReference w:id="82"/>
      </w:r>
      <w:r w:rsidRPr="00272930">
        <w:rPr>
          <w:szCs w:val="18"/>
        </w:rPr>
        <w:t xml:space="preserve">, but for which no showing of </w:t>
      </w:r>
      <w:r w:rsidR="00972276" w:rsidRPr="00272930">
        <w:rPr>
          <w:szCs w:val="18"/>
        </w:rPr>
        <w:t>"</w:t>
      </w:r>
      <w:r w:rsidRPr="00272930">
        <w:rPr>
          <w:szCs w:val="18"/>
        </w:rPr>
        <w:t>good cause</w:t>
      </w:r>
      <w:r w:rsidR="00972276" w:rsidRPr="00272930">
        <w:rPr>
          <w:szCs w:val="18"/>
        </w:rPr>
        <w:t>"</w:t>
      </w:r>
      <w:r w:rsidRPr="00272930">
        <w:rPr>
          <w:szCs w:val="18"/>
        </w:rPr>
        <w:t xml:space="preserve"> had been offered by the applicant or requested by MINCIT.</w:t>
      </w:r>
      <w:r w:rsidRPr="00272930">
        <w:rPr>
          <w:rStyle w:val="FootnoteReference"/>
          <w:szCs w:val="18"/>
        </w:rPr>
        <w:footnoteReference w:id="83"/>
      </w:r>
      <w:r w:rsidRPr="00272930">
        <w:rPr>
          <w:szCs w:val="18"/>
        </w:rPr>
        <w:t xml:space="preserve"> Nonetheless, the Panel considered it </w:t>
      </w:r>
      <w:r w:rsidR="00972276" w:rsidRPr="00272930">
        <w:rPr>
          <w:szCs w:val="18"/>
        </w:rPr>
        <w:t>"</w:t>
      </w:r>
      <w:r w:rsidRPr="00272930">
        <w:rPr>
          <w:szCs w:val="18"/>
        </w:rPr>
        <w:t xml:space="preserve">apparent that MINCIT treated this information as confidential, even in the absence of a showing of </w:t>
      </w:r>
      <w:r w:rsidR="00972276" w:rsidRPr="00272930">
        <w:rPr>
          <w:szCs w:val="18"/>
        </w:rPr>
        <w:t>'</w:t>
      </w:r>
      <w:r w:rsidRPr="00272930">
        <w:rPr>
          <w:szCs w:val="18"/>
        </w:rPr>
        <w:t>good cause</w:t>
      </w:r>
      <w:r w:rsidR="00972276" w:rsidRPr="00272930">
        <w:rPr>
          <w:szCs w:val="18"/>
        </w:rPr>
        <w:t>'</w:t>
      </w:r>
      <w:r w:rsidRPr="00272930">
        <w:rPr>
          <w:szCs w:val="18"/>
        </w:rPr>
        <w:t xml:space="preserve"> by the applicant</w:t>
      </w:r>
      <w:r w:rsidR="00972276" w:rsidRPr="00272930">
        <w:rPr>
          <w:szCs w:val="18"/>
        </w:rPr>
        <w:t>"</w:t>
      </w:r>
      <w:r w:rsidRPr="00272930">
        <w:rPr>
          <w:szCs w:val="18"/>
        </w:rPr>
        <w:t>.</w:t>
      </w:r>
      <w:r w:rsidRPr="00272930">
        <w:rPr>
          <w:rStyle w:val="FootnoteReference"/>
          <w:szCs w:val="18"/>
        </w:rPr>
        <w:footnoteReference w:id="84"/>
      </w:r>
      <w:r w:rsidRPr="00272930">
        <w:rPr>
          <w:szCs w:val="18"/>
        </w:rPr>
        <w:t xml:space="preserve"> The Panel rejected Colombia</w:t>
      </w:r>
      <w:r w:rsidR="00972276" w:rsidRPr="00272930">
        <w:rPr>
          <w:szCs w:val="18"/>
        </w:rPr>
        <w:t>'</w:t>
      </w:r>
      <w:r w:rsidRPr="00272930">
        <w:rPr>
          <w:szCs w:val="18"/>
        </w:rPr>
        <w:t xml:space="preserve">s argument that, given that the applicant never requested that the redacted information be treated as confidential, MINCIT did not grant such confidential </w:t>
      </w:r>
      <w:r w:rsidR="00614A37" w:rsidRPr="00272930">
        <w:rPr>
          <w:szCs w:val="18"/>
        </w:rPr>
        <w:t>treatment</w:t>
      </w:r>
      <w:r w:rsidRPr="00272930">
        <w:rPr>
          <w:szCs w:val="18"/>
        </w:rPr>
        <w:t xml:space="preserve">, and therefore Article 6.5 does not apply. The Panel instead found that </w:t>
      </w:r>
      <w:r w:rsidR="00972276" w:rsidRPr="00272930">
        <w:rPr>
          <w:szCs w:val="18"/>
        </w:rPr>
        <w:t>"</w:t>
      </w:r>
      <w:r w:rsidRPr="00272930">
        <w:rPr>
          <w:szCs w:val="18"/>
        </w:rPr>
        <w:t xml:space="preserve">the fact that the applicant submitted information on a redacted basis without a showing of </w:t>
      </w:r>
      <w:r w:rsidR="00972276" w:rsidRPr="00272930">
        <w:rPr>
          <w:szCs w:val="18"/>
        </w:rPr>
        <w:t>'</w:t>
      </w:r>
      <w:r w:rsidRPr="00272930">
        <w:rPr>
          <w:szCs w:val="18"/>
        </w:rPr>
        <w:t>good cause</w:t>
      </w:r>
      <w:r w:rsidR="00972276" w:rsidRPr="00272930">
        <w:rPr>
          <w:szCs w:val="18"/>
        </w:rPr>
        <w:t>'</w:t>
      </w:r>
      <w:r w:rsidR="0046762C" w:rsidRPr="00272930">
        <w:rPr>
          <w:szCs w:val="18"/>
        </w:rPr>
        <w:t> </w:t>
      </w:r>
      <w:r w:rsidRPr="00272930">
        <w:rPr>
          <w:szCs w:val="18"/>
        </w:rPr>
        <w:t>–coupled with the fact that MINCIT treated this information confidentially – demonstrates a lack of compliance with Article 6.5</w:t>
      </w:r>
      <w:r w:rsidR="00C212D4">
        <w:rPr>
          <w:szCs w:val="18"/>
        </w:rPr>
        <w:t>.</w:t>
      </w:r>
      <w:r w:rsidR="00972276" w:rsidRPr="00272930">
        <w:rPr>
          <w:szCs w:val="18"/>
        </w:rPr>
        <w:t>"</w:t>
      </w:r>
      <w:r w:rsidRPr="00272930">
        <w:rPr>
          <w:rStyle w:val="FootnoteReference"/>
          <w:szCs w:val="18"/>
        </w:rPr>
        <w:footnoteReference w:id="85"/>
      </w:r>
    </w:p>
    <w:p w14:paraId="60ED9C5B" w14:textId="09DF6C30" w:rsidR="00F572D3" w:rsidRPr="00272930" w:rsidRDefault="00F572D3" w:rsidP="00B709B7">
      <w:pPr>
        <w:pStyle w:val="BodyText"/>
        <w:numPr>
          <w:ilvl w:val="6"/>
          <w:numId w:val="18"/>
        </w:numPr>
        <w:rPr>
          <w:szCs w:val="18"/>
        </w:rPr>
      </w:pPr>
      <w:r w:rsidRPr="00272930">
        <w:rPr>
          <w:szCs w:val="18"/>
        </w:rPr>
        <w:t>The Panel further rejected Colombia</w:t>
      </w:r>
      <w:r w:rsidR="00972276" w:rsidRPr="00272930">
        <w:rPr>
          <w:szCs w:val="18"/>
        </w:rPr>
        <w:t>'</w:t>
      </w:r>
      <w:r w:rsidRPr="00272930">
        <w:rPr>
          <w:szCs w:val="18"/>
        </w:rPr>
        <w:t>s argument that the availability of the redacted information elsewhere on the record discharged MINCIT from complying with the obligations under Article</w:t>
      </w:r>
      <w:r w:rsidR="00F2224B" w:rsidRPr="00272930">
        <w:rPr>
          <w:szCs w:val="18"/>
        </w:rPr>
        <w:t> </w:t>
      </w:r>
      <w:r w:rsidRPr="00272930">
        <w:rPr>
          <w:szCs w:val="18"/>
        </w:rPr>
        <w:t>6.5. According to the Panel, there was no clear indication that the content of the redacted information was made available elsewhere on the record. In addition, the Panel rejected Colombia</w:t>
      </w:r>
      <w:r w:rsidR="00972276" w:rsidRPr="00272930">
        <w:rPr>
          <w:szCs w:val="18"/>
        </w:rPr>
        <w:t>'</w:t>
      </w:r>
      <w:r w:rsidRPr="00272930">
        <w:rPr>
          <w:szCs w:val="18"/>
        </w:rPr>
        <w:t>s assertion that the fact that the relevant tables</w:t>
      </w:r>
      <w:r w:rsidR="001A3FDD">
        <w:rPr>
          <w:szCs w:val="18"/>
        </w:rPr>
        <w:t>, one of which was in the original application</w:t>
      </w:r>
      <w:r w:rsidR="00531513">
        <w:rPr>
          <w:szCs w:val="18"/>
        </w:rPr>
        <w:t xml:space="preserve"> and non</w:t>
      </w:r>
      <w:r w:rsidR="00777CE8">
        <w:rPr>
          <w:szCs w:val="18"/>
        </w:rPr>
        <w:noBreakHyphen/>
      </w:r>
      <w:r w:rsidR="00531513">
        <w:rPr>
          <w:szCs w:val="18"/>
        </w:rPr>
        <w:t>redacted</w:t>
      </w:r>
      <w:r w:rsidR="001A3FDD">
        <w:rPr>
          <w:szCs w:val="18"/>
        </w:rPr>
        <w:t>,</w:t>
      </w:r>
      <w:r w:rsidRPr="00272930">
        <w:rPr>
          <w:szCs w:val="18"/>
        </w:rPr>
        <w:t xml:space="preserve"> share the same title, structure, and source of information was enough to show that the information in the original and revised applications were the same. The Panel therefore </w:t>
      </w:r>
      <w:r w:rsidR="00972276" w:rsidRPr="00272930">
        <w:rPr>
          <w:szCs w:val="18"/>
        </w:rPr>
        <w:t>"</w:t>
      </w:r>
      <w:r w:rsidRPr="00272930">
        <w:rPr>
          <w:szCs w:val="18"/>
        </w:rPr>
        <w:t>disagree[d] with Colombia</w:t>
      </w:r>
      <w:r w:rsidR="00972276" w:rsidRPr="00272930">
        <w:rPr>
          <w:szCs w:val="18"/>
        </w:rPr>
        <w:t>'</w:t>
      </w:r>
      <w:r w:rsidRPr="00272930">
        <w:rPr>
          <w:szCs w:val="18"/>
        </w:rPr>
        <w:t xml:space="preserve">s argument that a joint reading of both applications </w:t>
      </w:r>
      <w:r w:rsidR="00972276" w:rsidRPr="00272930">
        <w:rPr>
          <w:szCs w:val="18"/>
        </w:rPr>
        <w:t>'</w:t>
      </w:r>
      <w:r w:rsidRPr="00272930">
        <w:rPr>
          <w:szCs w:val="18"/>
        </w:rPr>
        <w:t>clearly shows</w:t>
      </w:r>
      <w:r w:rsidR="00972276" w:rsidRPr="00272930">
        <w:rPr>
          <w:szCs w:val="18"/>
        </w:rPr>
        <w:t>'</w:t>
      </w:r>
      <w:r w:rsidRPr="00272930">
        <w:rPr>
          <w:szCs w:val="18"/>
        </w:rPr>
        <w:t xml:space="preserve">, and enables a reader to </w:t>
      </w:r>
      <w:r w:rsidR="00972276" w:rsidRPr="00272930">
        <w:rPr>
          <w:szCs w:val="18"/>
        </w:rPr>
        <w:t>'</w:t>
      </w:r>
      <w:r w:rsidRPr="00272930">
        <w:rPr>
          <w:szCs w:val="18"/>
        </w:rPr>
        <w:t>easily infer</w:t>
      </w:r>
      <w:r w:rsidR="00972276" w:rsidRPr="00272930">
        <w:rPr>
          <w:szCs w:val="18"/>
        </w:rPr>
        <w:t>'</w:t>
      </w:r>
      <w:r w:rsidRPr="00272930">
        <w:rPr>
          <w:szCs w:val="18"/>
        </w:rPr>
        <w:t xml:space="preserve">, that the redacted information in the revised application was, </w:t>
      </w:r>
      <w:r w:rsidR="00972276" w:rsidRPr="00272930">
        <w:rPr>
          <w:szCs w:val="18"/>
        </w:rPr>
        <w:t>'</w:t>
      </w:r>
      <w:r w:rsidRPr="00272930">
        <w:rPr>
          <w:szCs w:val="18"/>
        </w:rPr>
        <w:t>in reality</w:t>
      </w:r>
      <w:r w:rsidR="00972276" w:rsidRPr="00272930">
        <w:rPr>
          <w:szCs w:val="18"/>
        </w:rPr>
        <w:t>'</w:t>
      </w:r>
      <w:r w:rsidRPr="00272930">
        <w:rPr>
          <w:szCs w:val="18"/>
        </w:rPr>
        <w:t xml:space="preserve">, the </w:t>
      </w:r>
      <w:r w:rsidRPr="00272930">
        <w:rPr>
          <w:i/>
          <w:iCs/>
          <w:szCs w:val="18"/>
        </w:rPr>
        <w:t>same</w:t>
      </w:r>
      <w:r w:rsidRPr="00272930">
        <w:rPr>
          <w:szCs w:val="18"/>
        </w:rPr>
        <w:t xml:space="preserve"> as the relevant information contained in the original application</w:t>
      </w:r>
      <w:r w:rsidR="00972276" w:rsidRPr="00272930">
        <w:rPr>
          <w:szCs w:val="18"/>
        </w:rPr>
        <w:t>"</w:t>
      </w:r>
      <w:r w:rsidRPr="00272930">
        <w:rPr>
          <w:szCs w:val="18"/>
        </w:rPr>
        <w:t>.</w:t>
      </w:r>
      <w:r w:rsidRPr="00272930">
        <w:rPr>
          <w:rStyle w:val="FootnoteReference"/>
          <w:szCs w:val="18"/>
        </w:rPr>
        <w:footnoteReference w:id="86"/>
      </w:r>
    </w:p>
    <w:p w14:paraId="16943962" w14:textId="40029672" w:rsidR="00F572D3" w:rsidRPr="00272930" w:rsidRDefault="00F572D3" w:rsidP="00B709B7">
      <w:pPr>
        <w:pStyle w:val="Heading3"/>
        <w:numPr>
          <w:ilvl w:val="2"/>
          <w:numId w:val="7"/>
        </w:numPr>
      </w:pPr>
      <w:bookmarkStart w:id="42" w:name="_Toc122339715"/>
      <w:r w:rsidRPr="00272930">
        <w:t>Whether</w:t>
      </w:r>
      <w:r w:rsidRPr="00272930">
        <w:rPr>
          <w:szCs w:val="18"/>
        </w:rPr>
        <w:t xml:space="preserve"> the Panel erred in finding that MINCIT acted inconsistently with Article</w:t>
      </w:r>
      <w:r w:rsidR="00F2224B" w:rsidRPr="00272930">
        <w:rPr>
          <w:szCs w:val="18"/>
        </w:rPr>
        <w:t> </w:t>
      </w:r>
      <w:r w:rsidRPr="00272930">
        <w:rPr>
          <w:szCs w:val="18"/>
        </w:rPr>
        <w:t xml:space="preserve">6.5 of the Anti-Dumping Agreement by granting confidential treatment to redacted information without a showing of </w:t>
      </w:r>
      <w:r w:rsidR="00972276" w:rsidRPr="00272930">
        <w:rPr>
          <w:szCs w:val="18"/>
        </w:rPr>
        <w:t>"</w:t>
      </w:r>
      <w:r w:rsidRPr="00272930">
        <w:rPr>
          <w:szCs w:val="18"/>
        </w:rPr>
        <w:t>good cause</w:t>
      </w:r>
      <w:r w:rsidR="00972276" w:rsidRPr="00272930">
        <w:rPr>
          <w:szCs w:val="18"/>
        </w:rPr>
        <w:t>"</w:t>
      </w:r>
      <w:bookmarkEnd w:id="42"/>
    </w:p>
    <w:p w14:paraId="4F6A34C6" w14:textId="3C5503A1" w:rsidR="00F572D3" w:rsidRPr="00272930" w:rsidRDefault="00F572D3" w:rsidP="00B709B7">
      <w:pPr>
        <w:pStyle w:val="BodyText"/>
        <w:numPr>
          <w:ilvl w:val="6"/>
          <w:numId w:val="18"/>
        </w:numPr>
        <w:rPr>
          <w:szCs w:val="18"/>
        </w:rPr>
      </w:pPr>
      <w:r w:rsidRPr="00272930">
        <w:rPr>
          <w:szCs w:val="18"/>
        </w:rPr>
        <w:t>The core premise of Colombia</w:t>
      </w:r>
      <w:r w:rsidR="00972276" w:rsidRPr="00272930">
        <w:rPr>
          <w:szCs w:val="18"/>
        </w:rPr>
        <w:t>'</w:t>
      </w:r>
      <w:r w:rsidRPr="00272930">
        <w:rPr>
          <w:szCs w:val="18"/>
        </w:rPr>
        <w:t xml:space="preserve">s claim on appeal is that a </w:t>
      </w:r>
      <w:r w:rsidR="00972276" w:rsidRPr="00272930">
        <w:rPr>
          <w:szCs w:val="18"/>
        </w:rPr>
        <w:t>"</w:t>
      </w:r>
      <w:r w:rsidRPr="00272930">
        <w:rPr>
          <w:szCs w:val="18"/>
        </w:rPr>
        <w:t>request</w:t>
      </w:r>
      <w:r w:rsidR="00972276" w:rsidRPr="00272930">
        <w:rPr>
          <w:szCs w:val="18"/>
        </w:rPr>
        <w:t>"</w:t>
      </w:r>
      <w:r w:rsidRPr="00272930">
        <w:rPr>
          <w:szCs w:val="18"/>
        </w:rPr>
        <w:t xml:space="preserve"> for confidentiality was required to trigger the obligations in Article</w:t>
      </w:r>
      <w:r w:rsidR="00F2224B" w:rsidRPr="00272930">
        <w:rPr>
          <w:szCs w:val="18"/>
        </w:rPr>
        <w:t> </w:t>
      </w:r>
      <w:r w:rsidRPr="00272930">
        <w:rPr>
          <w:szCs w:val="18"/>
        </w:rPr>
        <w:t>6.5.</w:t>
      </w:r>
      <w:r w:rsidRPr="00272930">
        <w:rPr>
          <w:rStyle w:val="FootnoteReference"/>
          <w:szCs w:val="18"/>
        </w:rPr>
        <w:footnoteReference w:id="87"/>
      </w:r>
      <w:r w:rsidRPr="00272930">
        <w:rPr>
          <w:szCs w:val="18"/>
        </w:rPr>
        <w:t xml:space="preserve"> Colombia argues that, since there was not an explicit request to treat certain redacted information in the revised application as confidential, MINCIT can neither be found to have accorded confidential treatment to the information nor to have failed to require a showing </w:t>
      </w:r>
      <w:r w:rsidR="008457E2">
        <w:rPr>
          <w:szCs w:val="18"/>
        </w:rPr>
        <w:t xml:space="preserve">of good cause </w:t>
      </w:r>
      <w:r w:rsidRPr="00272930">
        <w:rPr>
          <w:szCs w:val="18"/>
        </w:rPr>
        <w:t>under Article</w:t>
      </w:r>
      <w:r w:rsidR="00F2224B" w:rsidRPr="00272930">
        <w:rPr>
          <w:szCs w:val="18"/>
        </w:rPr>
        <w:t> </w:t>
      </w:r>
      <w:r w:rsidRPr="00272930">
        <w:rPr>
          <w:szCs w:val="18"/>
        </w:rPr>
        <w:t>6.5.</w:t>
      </w:r>
      <w:r w:rsidRPr="00272930">
        <w:rPr>
          <w:rStyle w:val="FootnoteReference"/>
          <w:szCs w:val="18"/>
        </w:rPr>
        <w:footnoteReference w:id="88"/>
      </w:r>
      <w:r w:rsidRPr="00272930">
        <w:rPr>
          <w:szCs w:val="18"/>
        </w:rPr>
        <w:t xml:space="preserve"> In addition, Colombia maintains that the redacted information at issue was not treated as confidential as it was available in a non-redacted form elsewhere on the public record (i.e. the original application).</w:t>
      </w:r>
      <w:r w:rsidRPr="00272930">
        <w:rPr>
          <w:rStyle w:val="FootnoteReference"/>
          <w:szCs w:val="18"/>
        </w:rPr>
        <w:footnoteReference w:id="89"/>
      </w:r>
    </w:p>
    <w:p w14:paraId="38777768" w14:textId="2478F96D" w:rsidR="00F572D3" w:rsidRPr="00272930" w:rsidRDefault="00F572D3" w:rsidP="00B709B7">
      <w:pPr>
        <w:pStyle w:val="BodyText"/>
        <w:numPr>
          <w:ilvl w:val="6"/>
          <w:numId w:val="7"/>
        </w:numPr>
        <w:rPr>
          <w:szCs w:val="18"/>
        </w:rPr>
      </w:pPr>
      <w:r w:rsidRPr="00272930">
        <w:rPr>
          <w:szCs w:val="18"/>
        </w:rPr>
        <w:t>The European</w:t>
      </w:r>
      <w:r w:rsidR="00DA0ACF" w:rsidRPr="00272930">
        <w:rPr>
          <w:szCs w:val="18"/>
        </w:rPr>
        <w:t> Union</w:t>
      </w:r>
      <w:r w:rsidRPr="00272930">
        <w:rPr>
          <w:szCs w:val="18"/>
        </w:rPr>
        <w:t xml:space="preserve"> responds that</w:t>
      </w:r>
      <w:r w:rsidRPr="00272930">
        <w:t xml:space="preserve"> the Panel correctly found that, despite the absence of an explicit request, MINCIT did grant confidential treatment to the information in section d(</w:t>
      </w:r>
      <w:r w:rsidR="006B44B3">
        <w:t>i</w:t>
      </w:r>
      <w:r w:rsidRPr="00272930">
        <w:t>) of the revised application, and that other interested parties were prevented from viewing the information redacted from the revised application.</w:t>
      </w:r>
      <w:r w:rsidRPr="00272930">
        <w:rPr>
          <w:rStyle w:val="FootnoteReference"/>
        </w:rPr>
        <w:footnoteReference w:id="90"/>
      </w:r>
    </w:p>
    <w:p w14:paraId="5A2CA4B3" w14:textId="6B8328FA" w:rsidR="00F572D3" w:rsidRPr="00272930" w:rsidRDefault="00F572D3" w:rsidP="00B709B7">
      <w:pPr>
        <w:pStyle w:val="BodyText"/>
        <w:numPr>
          <w:ilvl w:val="6"/>
          <w:numId w:val="7"/>
        </w:numPr>
        <w:rPr>
          <w:szCs w:val="18"/>
        </w:rPr>
      </w:pPr>
      <w:r w:rsidRPr="00272930">
        <w:rPr>
          <w:szCs w:val="18"/>
        </w:rPr>
        <w:lastRenderedPageBreak/>
        <w:t xml:space="preserve">We do not </w:t>
      </w:r>
      <w:r w:rsidRPr="00BD610B">
        <w:rPr>
          <w:szCs w:val="18"/>
        </w:rPr>
        <w:t>understand Colombia</w:t>
      </w:r>
      <w:r w:rsidRPr="00272930">
        <w:rPr>
          <w:szCs w:val="18"/>
        </w:rPr>
        <w:t xml:space="preserve"> to challenge the Panel</w:t>
      </w:r>
      <w:r w:rsidR="00972276" w:rsidRPr="00272930">
        <w:rPr>
          <w:szCs w:val="18"/>
        </w:rPr>
        <w:t>'</w:t>
      </w:r>
      <w:r w:rsidRPr="00272930">
        <w:rPr>
          <w:szCs w:val="18"/>
        </w:rPr>
        <w:t>s articulation of the legal standard with respect to Article</w:t>
      </w:r>
      <w:r w:rsidR="00F2224B" w:rsidRPr="00272930">
        <w:rPr>
          <w:szCs w:val="18"/>
        </w:rPr>
        <w:t> </w:t>
      </w:r>
      <w:r w:rsidRPr="00272930">
        <w:rPr>
          <w:szCs w:val="18"/>
        </w:rPr>
        <w:t xml:space="preserve">6.5 </w:t>
      </w:r>
      <w:r w:rsidRPr="00272930">
        <w:rPr>
          <w:i/>
          <w:iCs/>
          <w:szCs w:val="18"/>
        </w:rPr>
        <w:t>per se</w:t>
      </w:r>
      <w:r w:rsidRPr="00272930">
        <w:rPr>
          <w:szCs w:val="18"/>
        </w:rPr>
        <w:t xml:space="preserve">. As Colombia clarified at the hearing, it does not maintain that an explicit request for confidential treatment is </w:t>
      </w:r>
      <w:r w:rsidRPr="00272930">
        <w:rPr>
          <w:i/>
          <w:iCs/>
          <w:szCs w:val="18"/>
        </w:rPr>
        <w:t>always</w:t>
      </w:r>
      <w:r w:rsidRPr="00272930">
        <w:rPr>
          <w:szCs w:val="18"/>
        </w:rPr>
        <w:t xml:space="preserve"> required to trigger the obligations under Article</w:t>
      </w:r>
      <w:r w:rsidR="00F2224B" w:rsidRPr="00272930">
        <w:rPr>
          <w:szCs w:val="18"/>
        </w:rPr>
        <w:t> </w:t>
      </w:r>
      <w:r w:rsidRPr="00272930">
        <w:rPr>
          <w:szCs w:val="18"/>
        </w:rPr>
        <w:t>6.5, but rather that, in the circumstances of this case, where the redacted information at issue, unlike other information provided, was not subject to such a</w:t>
      </w:r>
      <w:r w:rsidR="00B3147A" w:rsidRPr="00272930">
        <w:rPr>
          <w:szCs w:val="18"/>
        </w:rPr>
        <w:t>n explicit</w:t>
      </w:r>
      <w:r w:rsidRPr="00272930">
        <w:rPr>
          <w:szCs w:val="18"/>
        </w:rPr>
        <w:t xml:space="preserve"> request, MINCIT could not be found to have acted inconsistently with Article</w:t>
      </w:r>
      <w:r w:rsidR="00F2224B" w:rsidRPr="00272930">
        <w:rPr>
          <w:szCs w:val="18"/>
        </w:rPr>
        <w:t> </w:t>
      </w:r>
      <w:r w:rsidRPr="00272930">
        <w:rPr>
          <w:szCs w:val="18"/>
        </w:rPr>
        <w:t>6.5.</w:t>
      </w:r>
      <w:r w:rsidRPr="00272930">
        <w:rPr>
          <w:rStyle w:val="FootnoteReference"/>
          <w:szCs w:val="18"/>
        </w:rPr>
        <w:footnoteReference w:id="91"/>
      </w:r>
      <w:r w:rsidRPr="00272930">
        <w:rPr>
          <w:szCs w:val="18"/>
        </w:rPr>
        <w:t xml:space="preserve"> We note that Article</w:t>
      </w:r>
      <w:r w:rsidR="00F2224B" w:rsidRPr="00272930">
        <w:rPr>
          <w:szCs w:val="18"/>
        </w:rPr>
        <w:t> </w:t>
      </w:r>
      <w:r w:rsidRPr="00272930">
        <w:rPr>
          <w:szCs w:val="18"/>
        </w:rPr>
        <w:t xml:space="preserve">6.5 does not itself refer to a </w:t>
      </w:r>
      <w:r w:rsidR="00972276" w:rsidRPr="00272930">
        <w:rPr>
          <w:szCs w:val="18"/>
        </w:rPr>
        <w:t>"</w:t>
      </w:r>
      <w:r w:rsidRPr="00272930">
        <w:rPr>
          <w:szCs w:val="18"/>
        </w:rPr>
        <w:t>request</w:t>
      </w:r>
      <w:r w:rsidR="00972276" w:rsidRPr="00272930">
        <w:rPr>
          <w:szCs w:val="18"/>
        </w:rPr>
        <w:t>"</w:t>
      </w:r>
      <w:r w:rsidRPr="00272930">
        <w:rPr>
          <w:szCs w:val="18"/>
        </w:rPr>
        <w:t xml:space="preserve">, but rather provides that, when information </w:t>
      </w:r>
      <w:r w:rsidR="00972276" w:rsidRPr="00272930">
        <w:rPr>
          <w:szCs w:val="18"/>
        </w:rPr>
        <w:t>"</w:t>
      </w:r>
      <w:r w:rsidRPr="00272930">
        <w:rPr>
          <w:szCs w:val="18"/>
        </w:rPr>
        <w:t>is provided on a confidential basis</w:t>
      </w:r>
      <w:r w:rsidR="00972276" w:rsidRPr="00272930">
        <w:rPr>
          <w:szCs w:val="18"/>
        </w:rPr>
        <w:t>"</w:t>
      </w:r>
      <w:r w:rsidRPr="00272930">
        <w:rPr>
          <w:szCs w:val="18"/>
        </w:rPr>
        <w:t xml:space="preserve"> by a party to an investigation, it shall be </w:t>
      </w:r>
      <w:r w:rsidR="00972276" w:rsidRPr="00272930">
        <w:rPr>
          <w:szCs w:val="18"/>
        </w:rPr>
        <w:t>"</w:t>
      </w:r>
      <w:r w:rsidRPr="00272930">
        <w:rPr>
          <w:szCs w:val="18"/>
        </w:rPr>
        <w:t>treated as such</w:t>
      </w:r>
      <w:r w:rsidR="00972276" w:rsidRPr="00272930">
        <w:rPr>
          <w:szCs w:val="18"/>
        </w:rPr>
        <w:t>"</w:t>
      </w:r>
      <w:r w:rsidRPr="00272930">
        <w:rPr>
          <w:szCs w:val="18"/>
        </w:rPr>
        <w:t xml:space="preserve"> by the investigating authority upon a showing of </w:t>
      </w:r>
      <w:r w:rsidR="00972276" w:rsidRPr="00272930">
        <w:rPr>
          <w:szCs w:val="18"/>
        </w:rPr>
        <w:t>"</w:t>
      </w:r>
      <w:r w:rsidRPr="00272930">
        <w:rPr>
          <w:szCs w:val="18"/>
        </w:rPr>
        <w:t>good cause</w:t>
      </w:r>
      <w:r w:rsidR="00972276" w:rsidRPr="00272930">
        <w:rPr>
          <w:szCs w:val="18"/>
        </w:rPr>
        <w:t>"</w:t>
      </w:r>
      <w:r w:rsidRPr="00272930">
        <w:rPr>
          <w:szCs w:val="18"/>
        </w:rPr>
        <w:t>.</w:t>
      </w:r>
    </w:p>
    <w:p w14:paraId="7DB751A6" w14:textId="50059E71" w:rsidR="00F572D3" w:rsidRPr="00272930" w:rsidRDefault="00F572D3" w:rsidP="00B709B7">
      <w:pPr>
        <w:pStyle w:val="BodyText"/>
        <w:numPr>
          <w:ilvl w:val="6"/>
          <w:numId w:val="7"/>
        </w:numPr>
        <w:rPr>
          <w:szCs w:val="18"/>
        </w:rPr>
      </w:pPr>
      <w:r w:rsidRPr="00272930">
        <w:rPr>
          <w:szCs w:val="18"/>
        </w:rPr>
        <w:t xml:space="preserve">The underlying facts set out by the Panel are as follows. After FEDEPAPA filed its original application in this dispute, MINCIT sent a letter requesting, </w:t>
      </w:r>
      <w:r w:rsidRPr="00272930">
        <w:rPr>
          <w:i/>
          <w:iCs/>
        </w:rPr>
        <w:t>inter</w:t>
      </w:r>
      <w:r w:rsidRPr="00272930">
        <w:rPr>
          <w:iCs/>
        </w:rPr>
        <w:t> </w:t>
      </w:r>
      <w:r w:rsidRPr="00272930">
        <w:rPr>
          <w:i/>
          <w:iCs/>
        </w:rPr>
        <w:t>alia</w:t>
      </w:r>
      <w:r w:rsidRPr="00272930">
        <w:t xml:space="preserve">, </w:t>
      </w:r>
      <w:r w:rsidR="00972276" w:rsidRPr="00272930">
        <w:t>"</w:t>
      </w:r>
      <w:r w:rsidRPr="00272930">
        <w:t>[t]he identification and justification of confidential documents and a summary or non</w:t>
      </w:r>
      <w:r w:rsidRPr="00272930">
        <w:noBreakHyphen/>
        <w:t>confidential version of these documents</w:t>
      </w:r>
      <w:r w:rsidR="00972276" w:rsidRPr="007A0ADB">
        <w:t>"</w:t>
      </w:r>
      <w:r w:rsidRPr="007A0ADB">
        <w:t>.</w:t>
      </w:r>
      <w:r w:rsidRPr="007A0ADB">
        <w:rPr>
          <w:rStyle w:val="FootnoteReference"/>
        </w:rPr>
        <w:footnoteReference w:id="92"/>
      </w:r>
      <w:r w:rsidRPr="007A0ADB">
        <w:t xml:space="preserve"> FEDEPAPA, in its revised application, stated that </w:t>
      </w:r>
      <w:r w:rsidR="00972276" w:rsidRPr="007A0ADB">
        <w:t>"</w:t>
      </w:r>
      <w:r w:rsidRPr="007A0ADB">
        <w:t>[t]he specific names of the domestic industry companies, all their financial information, and in general numerical, and any data that is classified as a trade secret, are confidential.</w:t>
      </w:r>
      <w:r w:rsidR="00972276" w:rsidRPr="007A0ADB">
        <w:t>"</w:t>
      </w:r>
      <w:r w:rsidRPr="007A0ADB">
        <w:rPr>
          <w:rStyle w:val="FootnoteReference"/>
        </w:rPr>
        <w:footnoteReference w:id="93"/>
      </w:r>
      <w:r w:rsidRPr="007A0ADB">
        <w:t xml:space="preserve"> FEDEPAPA then submitted an annex of its revised application as confidential information</w:t>
      </w:r>
      <w:bookmarkStart w:id="43" w:name="_Ref104803132"/>
      <w:r w:rsidRPr="007A0ADB">
        <w:t xml:space="preserve"> (</w:t>
      </w:r>
      <w:r w:rsidR="00CF2CBD" w:rsidRPr="007A0ADB">
        <w:t>A</w:t>
      </w:r>
      <w:r w:rsidRPr="007A0ADB">
        <w:t>nnex</w:t>
      </w:r>
      <w:r w:rsidR="00126344" w:rsidRPr="007A0ADB">
        <w:t> </w:t>
      </w:r>
      <w:r w:rsidRPr="007A0ADB">
        <w:t xml:space="preserve">10) and redacted certain information in a separate section of the revised application (section d(i)), entitled </w:t>
      </w:r>
      <w:r w:rsidR="00972276" w:rsidRPr="007A0ADB">
        <w:t>"</w:t>
      </w:r>
      <w:r w:rsidRPr="007A0ADB">
        <w:t>injury</w:t>
      </w:r>
      <w:r w:rsidRPr="00272930">
        <w:t xml:space="preserve"> for the potato</w:t>
      </w:r>
      <w:r w:rsidRPr="00272930">
        <w:noBreakHyphen/>
        <w:t>processing industry</w:t>
      </w:r>
      <w:r w:rsidR="00972276" w:rsidRPr="00272930">
        <w:t>"</w:t>
      </w:r>
      <w:r w:rsidRPr="00272930">
        <w:t>.</w:t>
      </w:r>
      <w:r w:rsidRPr="00272930">
        <w:rPr>
          <w:rStyle w:val="FootnoteReference"/>
        </w:rPr>
        <w:footnoteReference w:id="94"/>
      </w:r>
      <w:bookmarkEnd w:id="43"/>
      <w:r w:rsidRPr="00272930">
        <w:t xml:space="preserve"> MINCIT thereafter granted confidential treatment to </w:t>
      </w:r>
      <w:r w:rsidR="00972276" w:rsidRPr="00272930">
        <w:t>"</w:t>
      </w:r>
      <w:r w:rsidRPr="00272930">
        <w:t>anything related to financial information or data considered to be part of trade secrets</w:t>
      </w:r>
      <w:r w:rsidR="00972276" w:rsidRPr="00272930">
        <w:t>"</w:t>
      </w:r>
      <w:r w:rsidRPr="00272930">
        <w:t>, but stated that the specific names of the companies in the domestic industry cannot be considered confidential.</w:t>
      </w:r>
      <w:r w:rsidRPr="00272930">
        <w:rPr>
          <w:rStyle w:val="FootnoteReference"/>
        </w:rPr>
        <w:footnoteReference w:id="95"/>
      </w:r>
      <w:r w:rsidRPr="00272930">
        <w:t xml:space="preserve"> </w:t>
      </w:r>
      <w:r w:rsidR="00C46792" w:rsidRPr="00272930">
        <w:t>Only t</w:t>
      </w:r>
      <w:r w:rsidRPr="00272930">
        <w:t xml:space="preserve">he revised application with the redactions to section d(i) </w:t>
      </w:r>
      <w:r w:rsidR="00C46792" w:rsidRPr="00272930">
        <w:t xml:space="preserve">was </w:t>
      </w:r>
      <w:r w:rsidRPr="00272930">
        <w:t>on the public record.</w:t>
      </w:r>
      <w:r w:rsidRPr="00272930">
        <w:rPr>
          <w:rStyle w:val="FootnoteReference"/>
        </w:rPr>
        <w:footnoteReference w:id="96"/>
      </w:r>
    </w:p>
    <w:p w14:paraId="7CC43959" w14:textId="473669D0" w:rsidR="00F572D3" w:rsidRPr="00272930" w:rsidRDefault="00F572D3" w:rsidP="00B709B7">
      <w:pPr>
        <w:pStyle w:val="BodyText"/>
        <w:numPr>
          <w:ilvl w:val="6"/>
          <w:numId w:val="7"/>
        </w:numPr>
        <w:rPr>
          <w:szCs w:val="18"/>
        </w:rPr>
      </w:pPr>
      <w:r w:rsidRPr="00272930">
        <w:rPr>
          <w:szCs w:val="18"/>
        </w:rPr>
        <w:t>As we understand it, FEDEPAPA submitted both redacted and non-redacted versions of its revised application.</w:t>
      </w:r>
      <w:r w:rsidRPr="00272930">
        <w:rPr>
          <w:rStyle w:val="FootnoteReference"/>
          <w:szCs w:val="18"/>
        </w:rPr>
        <w:footnoteReference w:id="97"/>
      </w:r>
      <w:r w:rsidRPr="00272930">
        <w:rPr>
          <w:szCs w:val="18"/>
        </w:rPr>
        <w:t xml:space="preserve"> The redacted version contained redactions to two portions of the revised application: (i)</w:t>
      </w:r>
      <w:r w:rsidR="00F2224B" w:rsidRPr="00272930">
        <w:rPr>
          <w:szCs w:val="18"/>
        </w:rPr>
        <w:t> </w:t>
      </w:r>
      <w:r w:rsidRPr="00272930">
        <w:rPr>
          <w:szCs w:val="18"/>
        </w:rPr>
        <w:t>section d(i)</w:t>
      </w:r>
      <w:r w:rsidR="002C55B3" w:rsidRPr="00272930">
        <w:rPr>
          <w:szCs w:val="18"/>
        </w:rPr>
        <w:t>,</w:t>
      </w:r>
      <w:r w:rsidRPr="00272930">
        <w:rPr>
          <w:szCs w:val="18"/>
        </w:rPr>
        <w:t xml:space="preserve"> which concerned the alleged injury to the Colombia potato-processing industry; and (ii)</w:t>
      </w:r>
      <w:r w:rsidR="00F2224B" w:rsidRPr="00272930">
        <w:rPr>
          <w:szCs w:val="18"/>
        </w:rPr>
        <w:t> </w:t>
      </w:r>
      <w:r w:rsidR="00CF2CBD" w:rsidRPr="00272930">
        <w:rPr>
          <w:szCs w:val="18"/>
        </w:rPr>
        <w:t>A</w:t>
      </w:r>
      <w:r w:rsidRPr="00272930">
        <w:rPr>
          <w:szCs w:val="18"/>
        </w:rPr>
        <w:t>nnex</w:t>
      </w:r>
      <w:r w:rsidR="00126344">
        <w:rPr>
          <w:szCs w:val="18"/>
        </w:rPr>
        <w:t> </w:t>
      </w:r>
      <w:r w:rsidRPr="00272930">
        <w:rPr>
          <w:szCs w:val="18"/>
        </w:rPr>
        <w:t>10</w:t>
      </w:r>
      <w:r w:rsidR="002C55B3" w:rsidRPr="00272930">
        <w:rPr>
          <w:szCs w:val="18"/>
        </w:rPr>
        <w:t>,</w:t>
      </w:r>
      <w:r w:rsidRPr="00272930">
        <w:rPr>
          <w:szCs w:val="18"/>
        </w:rPr>
        <w:t xml:space="preserve"> which contained information on the three domestic companies on whose behalf FEDEPAPA filed its application.</w:t>
      </w:r>
      <w:r w:rsidRPr="00272930">
        <w:rPr>
          <w:rStyle w:val="FootnoteReference"/>
          <w:szCs w:val="18"/>
        </w:rPr>
        <w:footnoteReference w:id="98"/>
      </w:r>
      <w:r w:rsidRPr="00272930">
        <w:rPr>
          <w:szCs w:val="18"/>
        </w:rPr>
        <w:t xml:space="preserve"> However, as Colombia confirmed before the Panel, FEDEPAPA</w:t>
      </w:r>
      <w:r w:rsidR="00972276" w:rsidRPr="00272930">
        <w:rPr>
          <w:szCs w:val="18"/>
        </w:rPr>
        <w:t>'</w:t>
      </w:r>
      <w:r w:rsidRPr="00272930">
        <w:rPr>
          <w:szCs w:val="18"/>
        </w:rPr>
        <w:t xml:space="preserve">s explicit request for confidential treatment concerned </w:t>
      </w:r>
      <w:r w:rsidR="00CF2CBD" w:rsidRPr="00272930">
        <w:rPr>
          <w:szCs w:val="18"/>
        </w:rPr>
        <w:t>A</w:t>
      </w:r>
      <w:r w:rsidRPr="00272930">
        <w:rPr>
          <w:szCs w:val="18"/>
        </w:rPr>
        <w:t>nnex</w:t>
      </w:r>
      <w:r w:rsidR="00126344">
        <w:rPr>
          <w:szCs w:val="18"/>
        </w:rPr>
        <w:t> </w:t>
      </w:r>
      <w:r w:rsidRPr="00272930">
        <w:rPr>
          <w:szCs w:val="18"/>
        </w:rPr>
        <w:t>10 only, and did not relate to section d(i).</w:t>
      </w:r>
      <w:r w:rsidRPr="00272930">
        <w:rPr>
          <w:rStyle w:val="FootnoteReference"/>
          <w:szCs w:val="18"/>
        </w:rPr>
        <w:footnoteReference w:id="99"/>
      </w:r>
      <w:r w:rsidRPr="00272930">
        <w:rPr>
          <w:szCs w:val="18"/>
        </w:rPr>
        <w:t xml:space="preserve"> Subsequently, however, the redactions to section d(i) of the revised application remained on the public record without any further action, including any showing of </w:t>
      </w:r>
      <w:r w:rsidR="00972276" w:rsidRPr="00272930">
        <w:rPr>
          <w:szCs w:val="18"/>
        </w:rPr>
        <w:t>"</w:t>
      </w:r>
      <w:r w:rsidRPr="00272930">
        <w:rPr>
          <w:szCs w:val="18"/>
        </w:rPr>
        <w:t>good cause</w:t>
      </w:r>
      <w:r w:rsidR="00972276" w:rsidRPr="00272930">
        <w:rPr>
          <w:szCs w:val="18"/>
        </w:rPr>
        <w:t>"</w:t>
      </w:r>
      <w:r w:rsidRPr="00272930">
        <w:rPr>
          <w:szCs w:val="18"/>
        </w:rPr>
        <w:t>, being undertaken by FEDEPAPA or MINCIT.</w:t>
      </w:r>
      <w:r w:rsidRPr="00272930">
        <w:rPr>
          <w:rStyle w:val="FootnoteReference"/>
          <w:szCs w:val="18"/>
        </w:rPr>
        <w:footnoteReference w:id="100"/>
      </w:r>
      <w:r w:rsidRPr="00272930">
        <w:rPr>
          <w:szCs w:val="18"/>
        </w:rPr>
        <w:t xml:space="preserve"> Moreover, a non-redacted version of section d(i) of the revised application was never put on the </w:t>
      </w:r>
      <w:r w:rsidR="006B44B3">
        <w:rPr>
          <w:szCs w:val="18"/>
        </w:rPr>
        <w:t xml:space="preserve">public </w:t>
      </w:r>
      <w:r w:rsidRPr="00272930">
        <w:rPr>
          <w:szCs w:val="18"/>
        </w:rPr>
        <w:t>record.</w:t>
      </w:r>
      <w:r w:rsidRPr="00272930">
        <w:rPr>
          <w:rStyle w:val="FootnoteReference"/>
          <w:szCs w:val="18"/>
        </w:rPr>
        <w:footnoteReference w:id="101"/>
      </w:r>
    </w:p>
    <w:p w14:paraId="0ED908D7" w14:textId="0D86369E" w:rsidR="00F572D3" w:rsidRPr="00272930" w:rsidRDefault="00F572D3" w:rsidP="00B709B7">
      <w:pPr>
        <w:pStyle w:val="BodyText"/>
        <w:numPr>
          <w:ilvl w:val="6"/>
          <w:numId w:val="7"/>
        </w:numPr>
        <w:rPr>
          <w:szCs w:val="18"/>
        </w:rPr>
      </w:pPr>
      <w:r w:rsidRPr="00272930">
        <w:t>Article</w:t>
      </w:r>
      <w:r w:rsidR="00F2224B" w:rsidRPr="00272930">
        <w:t> </w:t>
      </w:r>
      <w:r w:rsidRPr="00272930">
        <w:t>6.5 states that a showing</w:t>
      </w:r>
      <w:r w:rsidR="008457E2">
        <w:t xml:space="preserve"> of good cause</w:t>
      </w:r>
      <w:r w:rsidRPr="00272930">
        <w:t xml:space="preserve"> is required as soon as information was </w:t>
      </w:r>
      <w:r w:rsidR="00972276" w:rsidRPr="00272930">
        <w:t>"</w:t>
      </w:r>
      <w:r w:rsidRPr="00272930">
        <w:t>provided on a confidential basis</w:t>
      </w:r>
      <w:r w:rsidR="00972276" w:rsidRPr="00272930">
        <w:t>"</w:t>
      </w:r>
      <w:r w:rsidRPr="00272930">
        <w:t xml:space="preserve"> by a party to an investigation, and that it was </w:t>
      </w:r>
      <w:r w:rsidR="00972276" w:rsidRPr="00272930">
        <w:t>"</w:t>
      </w:r>
      <w:r w:rsidRPr="00272930">
        <w:t>treated as such</w:t>
      </w:r>
      <w:r w:rsidR="00972276" w:rsidRPr="00272930">
        <w:t>"</w:t>
      </w:r>
      <w:r w:rsidRPr="00272930">
        <w:t xml:space="preserve"> by the investigating authority.</w:t>
      </w:r>
      <w:r w:rsidRPr="00272930">
        <w:rPr>
          <w:szCs w:val="18"/>
        </w:rPr>
        <w:t xml:space="preserve"> As we see it, the act of submitting information in both redacted and non</w:t>
      </w:r>
      <w:r w:rsidR="00233513" w:rsidRPr="00272930">
        <w:rPr>
          <w:szCs w:val="18"/>
        </w:rPr>
        <w:noBreakHyphen/>
      </w:r>
      <w:r w:rsidRPr="00272930">
        <w:rPr>
          <w:szCs w:val="18"/>
        </w:rPr>
        <w:t>redacted forms indicates that such information was, in the language of Article</w:t>
      </w:r>
      <w:r w:rsidR="00F2224B" w:rsidRPr="00272930">
        <w:rPr>
          <w:szCs w:val="18"/>
        </w:rPr>
        <w:t> </w:t>
      </w:r>
      <w:r w:rsidRPr="00272930">
        <w:rPr>
          <w:szCs w:val="18"/>
        </w:rPr>
        <w:t xml:space="preserve">6.5, </w:t>
      </w:r>
      <w:r w:rsidR="00972276" w:rsidRPr="00272930">
        <w:rPr>
          <w:szCs w:val="18"/>
        </w:rPr>
        <w:t>"</w:t>
      </w:r>
      <w:r w:rsidRPr="00272930">
        <w:rPr>
          <w:szCs w:val="18"/>
        </w:rPr>
        <w:t>provided on a confidential basis</w:t>
      </w:r>
      <w:r w:rsidR="00972276" w:rsidRPr="00272930">
        <w:rPr>
          <w:szCs w:val="18"/>
        </w:rPr>
        <w:t>"</w:t>
      </w:r>
      <w:r w:rsidRPr="00272930">
        <w:rPr>
          <w:szCs w:val="18"/>
        </w:rPr>
        <w:t>. Likewise, the fact that MINCIT allowed section d(i) of the revised application to remain on the public record in that redacted form indicates that such information was, in the language of Article</w:t>
      </w:r>
      <w:r w:rsidR="00F2224B" w:rsidRPr="00272930">
        <w:rPr>
          <w:szCs w:val="18"/>
        </w:rPr>
        <w:t> </w:t>
      </w:r>
      <w:r w:rsidRPr="00272930">
        <w:rPr>
          <w:szCs w:val="18"/>
        </w:rPr>
        <w:t xml:space="preserve">6.5, </w:t>
      </w:r>
      <w:r w:rsidR="00972276" w:rsidRPr="00272930">
        <w:rPr>
          <w:szCs w:val="18"/>
        </w:rPr>
        <w:t>"</w:t>
      </w:r>
      <w:r w:rsidRPr="00272930">
        <w:rPr>
          <w:szCs w:val="18"/>
        </w:rPr>
        <w:t>treated</w:t>
      </w:r>
      <w:r w:rsidR="00972276" w:rsidRPr="00272930">
        <w:rPr>
          <w:szCs w:val="18"/>
        </w:rPr>
        <w:t>"</w:t>
      </w:r>
      <w:r w:rsidRPr="00272930">
        <w:rPr>
          <w:szCs w:val="18"/>
        </w:rPr>
        <w:t xml:space="preserve"> as confidential by MINCIT. Because there was no showing of </w:t>
      </w:r>
      <w:r w:rsidR="00972276" w:rsidRPr="00272930">
        <w:rPr>
          <w:szCs w:val="18"/>
        </w:rPr>
        <w:t>"</w:t>
      </w:r>
      <w:r w:rsidRPr="00272930">
        <w:rPr>
          <w:szCs w:val="18"/>
        </w:rPr>
        <w:t xml:space="preserve">good </w:t>
      </w:r>
      <w:r w:rsidRPr="00272930">
        <w:rPr>
          <w:szCs w:val="18"/>
        </w:rPr>
        <w:lastRenderedPageBreak/>
        <w:t>cause</w:t>
      </w:r>
      <w:r w:rsidR="00972276" w:rsidRPr="00272930">
        <w:rPr>
          <w:szCs w:val="18"/>
        </w:rPr>
        <w:t>"</w:t>
      </w:r>
      <w:r w:rsidRPr="00272930">
        <w:rPr>
          <w:szCs w:val="18"/>
        </w:rPr>
        <w:t xml:space="preserve"> for the information to be treated as confidential, MINCIT has acted in a manner inconsistent with Article</w:t>
      </w:r>
      <w:r w:rsidR="00F2224B" w:rsidRPr="00272930">
        <w:rPr>
          <w:szCs w:val="18"/>
        </w:rPr>
        <w:t> </w:t>
      </w:r>
      <w:r w:rsidRPr="00272930">
        <w:rPr>
          <w:szCs w:val="18"/>
        </w:rPr>
        <w:t>6.5.</w:t>
      </w:r>
      <w:r w:rsidRPr="00272930">
        <w:rPr>
          <w:rStyle w:val="FootnoteReference"/>
          <w:szCs w:val="18"/>
        </w:rPr>
        <w:footnoteReference w:id="102"/>
      </w:r>
    </w:p>
    <w:p w14:paraId="3734DD2C" w14:textId="7BD3741B" w:rsidR="00F572D3" w:rsidRPr="00272930" w:rsidRDefault="00F572D3" w:rsidP="00B709B7">
      <w:pPr>
        <w:pStyle w:val="BodyText"/>
        <w:numPr>
          <w:ilvl w:val="6"/>
          <w:numId w:val="7"/>
        </w:numPr>
        <w:rPr>
          <w:szCs w:val="18"/>
        </w:rPr>
      </w:pPr>
      <w:r w:rsidRPr="00272930">
        <w:rPr>
          <w:szCs w:val="18"/>
        </w:rPr>
        <w:t xml:space="preserve">Colombia further contends that the redacted information in section d(i) cannot be found to have been treated as confidential as it was available in a non-redacted form elsewhere on the record. As Colombia puts it, </w:t>
      </w:r>
      <w:r w:rsidR="00972276" w:rsidRPr="00272930">
        <w:rPr>
          <w:szCs w:val="18"/>
        </w:rPr>
        <w:t>"</w:t>
      </w:r>
      <w:r w:rsidRPr="00272930">
        <w:rPr>
          <w:szCs w:val="18"/>
        </w:rPr>
        <w:t>any interested party seeking the information otherwise redacted in the revised application could have found it in the equivalent table in the original application, which was placed on the public record.</w:t>
      </w:r>
      <w:r w:rsidR="00972276" w:rsidRPr="00272930">
        <w:rPr>
          <w:szCs w:val="18"/>
        </w:rPr>
        <w:t>"</w:t>
      </w:r>
      <w:r w:rsidRPr="00272930">
        <w:rPr>
          <w:rStyle w:val="FootnoteReference"/>
          <w:szCs w:val="18"/>
        </w:rPr>
        <w:footnoteReference w:id="103"/>
      </w:r>
      <w:r w:rsidRPr="00272930">
        <w:rPr>
          <w:szCs w:val="18"/>
        </w:rPr>
        <w:t xml:space="preserve"> In support, Colombia points to the Panel</w:t>
      </w:r>
      <w:r w:rsidR="00972276" w:rsidRPr="00272930">
        <w:rPr>
          <w:szCs w:val="18"/>
        </w:rPr>
        <w:t>'</w:t>
      </w:r>
      <w:r w:rsidRPr="00272930">
        <w:rPr>
          <w:szCs w:val="18"/>
        </w:rPr>
        <w:t xml:space="preserve">s statement that the </w:t>
      </w:r>
      <w:r w:rsidR="00972276" w:rsidRPr="00272930">
        <w:rPr>
          <w:szCs w:val="18"/>
        </w:rPr>
        <w:t>"</w:t>
      </w:r>
      <w:r w:rsidR="00FD12AA">
        <w:rPr>
          <w:szCs w:val="18"/>
        </w:rPr>
        <w:t>'</w:t>
      </w:r>
      <w:r w:rsidRPr="00272930">
        <w:rPr>
          <w:szCs w:val="18"/>
        </w:rPr>
        <w:t>relevant tables</w:t>
      </w:r>
      <w:r w:rsidR="00FD12AA">
        <w:rPr>
          <w:szCs w:val="18"/>
        </w:rPr>
        <w:t>'</w:t>
      </w:r>
      <w:r w:rsidRPr="00272930">
        <w:rPr>
          <w:szCs w:val="18"/>
        </w:rPr>
        <w:t xml:space="preserve"> in both applications </w:t>
      </w:r>
      <w:r w:rsidR="00FD12AA">
        <w:rPr>
          <w:szCs w:val="18"/>
        </w:rPr>
        <w:t>'</w:t>
      </w:r>
      <w:r w:rsidRPr="00272930">
        <w:rPr>
          <w:szCs w:val="18"/>
        </w:rPr>
        <w:t>share the same title, structure, and source of information</w:t>
      </w:r>
      <w:r w:rsidR="00FD12AA">
        <w:rPr>
          <w:szCs w:val="18"/>
        </w:rPr>
        <w:t>'</w:t>
      </w:r>
      <w:r w:rsidR="00972276" w:rsidRPr="00272930">
        <w:rPr>
          <w:szCs w:val="18"/>
        </w:rPr>
        <w:t>"</w:t>
      </w:r>
      <w:r w:rsidRPr="00272930">
        <w:rPr>
          <w:szCs w:val="18"/>
        </w:rPr>
        <w:t>.</w:t>
      </w:r>
      <w:r w:rsidRPr="00272930">
        <w:rPr>
          <w:rStyle w:val="FootnoteReference"/>
          <w:szCs w:val="18"/>
        </w:rPr>
        <w:footnoteReference w:id="104"/>
      </w:r>
    </w:p>
    <w:p w14:paraId="0215BC40" w14:textId="450D7715" w:rsidR="00F572D3" w:rsidRPr="00272930" w:rsidRDefault="00F572D3" w:rsidP="00B709B7">
      <w:pPr>
        <w:pStyle w:val="BodyText"/>
        <w:numPr>
          <w:ilvl w:val="6"/>
          <w:numId w:val="7"/>
        </w:numPr>
        <w:rPr>
          <w:szCs w:val="18"/>
        </w:rPr>
      </w:pPr>
      <w:r w:rsidRPr="00272930">
        <w:rPr>
          <w:szCs w:val="18"/>
        </w:rPr>
        <w:t xml:space="preserve">The Panel stated that such similarities were </w:t>
      </w:r>
      <w:r w:rsidR="00972276" w:rsidRPr="00272930">
        <w:rPr>
          <w:szCs w:val="18"/>
        </w:rPr>
        <w:t>"</w:t>
      </w:r>
      <w:r w:rsidRPr="00272930">
        <w:rPr>
          <w:szCs w:val="18"/>
        </w:rPr>
        <w:t xml:space="preserve">not enough to demonstrate that the information at issue was the </w:t>
      </w:r>
      <w:r w:rsidRPr="00272930">
        <w:rPr>
          <w:i/>
          <w:iCs/>
          <w:szCs w:val="18"/>
        </w:rPr>
        <w:t>same</w:t>
      </w:r>
      <w:r w:rsidR="00972276" w:rsidRPr="00272930">
        <w:rPr>
          <w:szCs w:val="18"/>
        </w:rPr>
        <w:t>"</w:t>
      </w:r>
      <w:r w:rsidRPr="00272930">
        <w:rPr>
          <w:szCs w:val="18"/>
        </w:rPr>
        <w:t>.</w:t>
      </w:r>
      <w:r w:rsidRPr="00272930">
        <w:rPr>
          <w:rStyle w:val="FootnoteReference"/>
          <w:szCs w:val="18"/>
        </w:rPr>
        <w:footnoteReference w:id="105"/>
      </w:r>
      <w:r w:rsidRPr="00272930">
        <w:rPr>
          <w:szCs w:val="18"/>
        </w:rPr>
        <w:t xml:space="preserve"> Specifically, the Panel found that the similarities did not by themselves </w:t>
      </w:r>
      <w:r w:rsidR="00972276" w:rsidRPr="00272930">
        <w:rPr>
          <w:szCs w:val="18"/>
        </w:rPr>
        <w:t>"</w:t>
      </w:r>
      <w:r w:rsidRPr="00272930">
        <w:t xml:space="preserve">demonstrate (or make it easy to </w:t>
      </w:r>
      <w:r w:rsidR="00972276" w:rsidRPr="00272930">
        <w:t>'</w:t>
      </w:r>
      <w:r w:rsidRPr="00272930">
        <w:t>infer</w:t>
      </w:r>
      <w:r w:rsidR="00972276" w:rsidRPr="00272930">
        <w:t>'</w:t>
      </w:r>
      <w:r w:rsidRPr="00272930">
        <w:t xml:space="preserve">) that the specific </w:t>
      </w:r>
      <w:r w:rsidR="00972276" w:rsidRPr="00272930">
        <w:t>'</w:t>
      </w:r>
      <w:r w:rsidRPr="00272930">
        <w:t>values</w:t>
      </w:r>
      <w:r w:rsidR="00972276" w:rsidRPr="00272930">
        <w:t>'</w:t>
      </w:r>
      <w:r w:rsidRPr="00272930">
        <w:t xml:space="preserve"> or </w:t>
      </w:r>
      <w:r w:rsidR="00972276" w:rsidRPr="00272930">
        <w:t>'</w:t>
      </w:r>
      <w:r w:rsidRPr="00272930">
        <w:t>trends</w:t>
      </w:r>
      <w:r w:rsidR="00972276" w:rsidRPr="00272930">
        <w:t>'</w:t>
      </w:r>
      <w:r w:rsidRPr="00272930">
        <w:t xml:space="preserve"> redacted in one table are the </w:t>
      </w:r>
      <w:r w:rsidRPr="00272930">
        <w:rPr>
          <w:i/>
          <w:iCs/>
        </w:rPr>
        <w:t>same</w:t>
      </w:r>
      <w:r w:rsidRPr="00272930">
        <w:t xml:space="preserve"> as the </w:t>
      </w:r>
      <w:r w:rsidR="00972276" w:rsidRPr="00272930">
        <w:t>'</w:t>
      </w:r>
      <w:r w:rsidRPr="00272930">
        <w:t>values</w:t>
      </w:r>
      <w:r w:rsidR="00972276" w:rsidRPr="00272930">
        <w:t>'</w:t>
      </w:r>
      <w:r w:rsidRPr="00272930">
        <w:t xml:space="preserve"> or </w:t>
      </w:r>
      <w:r w:rsidR="00972276" w:rsidRPr="00272930">
        <w:t>'</w:t>
      </w:r>
      <w:r w:rsidRPr="00272930">
        <w:t>trends</w:t>
      </w:r>
      <w:r w:rsidR="00972276" w:rsidRPr="00272930">
        <w:t>'</w:t>
      </w:r>
      <w:r w:rsidRPr="00272930">
        <w:t xml:space="preserve"> allegedly available in another table</w:t>
      </w:r>
      <w:r w:rsidR="00972276" w:rsidRPr="00272930">
        <w:t>"</w:t>
      </w:r>
      <w:r w:rsidR="00EC1BC6" w:rsidRPr="00272930">
        <w:t>.</w:t>
      </w:r>
      <w:r w:rsidRPr="00272930">
        <w:rPr>
          <w:rStyle w:val="FootnoteReference"/>
        </w:rPr>
        <w:footnoteReference w:id="106"/>
      </w:r>
      <w:r w:rsidRPr="00272930">
        <w:t xml:space="preserve"> Accordingly, the Panel rejected Colombia</w:t>
      </w:r>
      <w:r w:rsidR="00972276" w:rsidRPr="00272930">
        <w:t>'</w:t>
      </w:r>
      <w:r w:rsidRPr="00272930">
        <w:t xml:space="preserve">s argument that a reading of both applications </w:t>
      </w:r>
      <w:r w:rsidR="00972276" w:rsidRPr="00272930">
        <w:t>"</w:t>
      </w:r>
      <w:r w:rsidRPr="00272930">
        <w:t>clearly shows</w:t>
      </w:r>
      <w:r w:rsidR="00972276" w:rsidRPr="00272930">
        <w:t>"</w:t>
      </w:r>
      <w:r w:rsidRPr="00272930">
        <w:t xml:space="preserve">, or enabled a reader to </w:t>
      </w:r>
      <w:r w:rsidR="00972276" w:rsidRPr="00272930">
        <w:t>"</w:t>
      </w:r>
      <w:r w:rsidRPr="00272930">
        <w:t>easily infer</w:t>
      </w:r>
      <w:r w:rsidR="00972276" w:rsidRPr="00272930">
        <w:t>"</w:t>
      </w:r>
      <w:r w:rsidRPr="00272930">
        <w:t>, that the redacted information in section d(i) of the revised application was the same as the relevant information contained in the original application.</w:t>
      </w:r>
      <w:r w:rsidRPr="00272930">
        <w:rPr>
          <w:rStyle w:val="FootnoteReference"/>
        </w:rPr>
        <w:footnoteReference w:id="107"/>
      </w:r>
    </w:p>
    <w:p w14:paraId="16E39FDF" w14:textId="75B3C1D0" w:rsidR="00F572D3" w:rsidRPr="00272930" w:rsidRDefault="00F572D3" w:rsidP="00B709B7">
      <w:pPr>
        <w:pStyle w:val="BodyText"/>
        <w:numPr>
          <w:ilvl w:val="6"/>
          <w:numId w:val="7"/>
        </w:numPr>
        <w:rPr>
          <w:szCs w:val="18"/>
        </w:rPr>
      </w:pPr>
      <w:r w:rsidRPr="00272930">
        <w:rPr>
          <w:color w:val="000000"/>
        </w:rPr>
        <w:t xml:space="preserve">That the same information redacted in one document is available and disclosed in another document may mean that the applicant </w:t>
      </w:r>
      <w:r w:rsidRPr="00423405">
        <w:rPr>
          <w:color w:val="000000"/>
        </w:rPr>
        <w:t xml:space="preserve">no longer considers that the information is truly kept </w:t>
      </w:r>
      <w:r w:rsidR="00972276" w:rsidRPr="00423405">
        <w:rPr>
          <w:color w:val="000000"/>
        </w:rPr>
        <w:t>"</w:t>
      </w:r>
      <w:r w:rsidRPr="00423405">
        <w:rPr>
          <w:color w:val="000000"/>
        </w:rPr>
        <w:t>confidential</w:t>
      </w:r>
      <w:r w:rsidR="00972276" w:rsidRPr="00423405">
        <w:rPr>
          <w:color w:val="000000"/>
        </w:rPr>
        <w:t>"</w:t>
      </w:r>
      <w:r w:rsidRPr="00423405">
        <w:rPr>
          <w:color w:val="000000"/>
        </w:rPr>
        <w:t>. However, for the exporter and other interested parties, that is not necessarily the case. Interested parties must not only search and identify the exact place in the other document where the information can be found. In addition, they cannot be certain if the information provided in one document and that withheld in another is really the same. The applicant may know for certain; the exporter cannot be sure. On the contrary, the fact that the information was redacted in a later document could lead an interested party to believe</w:t>
      </w:r>
      <w:r w:rsidRPr="00272930">
        <w:rPr>
          <w:color w:val="000000"/>
        </w:rPr>
        <w:t xml:space="preserve"> that there must have been a change to that information justifying the difference in treatment from non-redacted to redacted.</w:t>
      </w:r>
    </w:p>
    <w:p w14:paraId="3578DF78" w14:textId="3A494DCE" w:rsidR="00F572D3" w:rsidRPr="00272930" w:rsidRDefault="00F572D3" w:rsidP="00B709B7">
      <w:pPr>
        <w:pStyle w:val="BodyText"/>
        <w:numPr>
          <w:ilvl w:val="6"/>
          <w:numId w:val="7"/>
        </w:numPr>
        <w:rPr>
          <w:szCs w:val="18"/>
        </w:rPr>
      </w:pPr>
      <w:r w:rsidRPr="00272930">
        <w:rPr>
          <w:color w:val="000000"/>
        </w:rPr>
        <w:t>In light of the Panel</w:t>
      </w:r>
      <w:r w:rsidR="00972276" w:rsidRPr="00272930">
        <w:rPr>
          <w:color w:val="000000"/>
        </w:rPr>
        <w:t>'</w:t>
      </w:r>
      <w:r w:rsidRPr="00272930">
        <w:rPr>
          <w:color w:val="000000"/>
        </w:rPr>
        <w:t xml:space="preserve">s factual finding that a joint reading of both applications did not clearly show, </w:t>
      </w:r>
      <w:proofErr w:type="gramStart"/>
      <w:r w:rsidRPr="00272930">
        <w:rPr>
          <w:color w:val="000000"/>
        </w:rPr>
        <w:t>or</w:t>
      </w:r>
      <w:proofErr w:type="gramEnd"/>
      <w:r w:rsidRPr="00272930">
        <w:rPr>
          <w:color w:val="000000"/>
        </w:rPr>
        <w:t xml:space="preserve"> enable a reader to easily infer, that the redacted information in section d(i) was the same as</w:t>
      </w:r>
      <w:r w:rsidR="008815FF">
        <w:rPr>
          <w:color w:val="000000"/>
        </w:rPr>
        <w:t xml:space="preserve"> the</w:t>
      </w:r>
      <w:r w:rsidRPr="00272930">
        <w:rPr>
          <w:color w:val="000000"/>
        </w:rPr>
        <w:t xml:space="preserve"> information contained in the original application, we see no basis to disturb the Panel</w:t>
      </w:r>
      <w:r w:rsidR="00972276" w:rsidRPr="00272930">
        <w:rPr>
          <w:color w:val="000000"/>
        </w:rPr>
        <w:t>'</w:t>
      </w:r>
      <w:r w:rsidRPr="00272930">
        <w:rPr>
          <w:color w:val="000000"/>
        </w:rPr>
        <w:t>s understanding that such information was properly regarded as having been granted confidential treatment by MINCIT.</w:t>
      </w:r>
      <w:r w:rsidRPr="00272930">
        <w:rPr>
          <w:rStyle w:val="FootnoteReference"/>
          <w:color w:val="000000"/>
        </w:rPr>
        <w:footnoteReference w:id="108"/>
      </w:r>
    </w:p>
    <w:p w14:paraId="7921C493" w14:textId="77777777" w:rsidR="00F572D3" w:rsidRPr="00272930" w:rsidRDefault="00F572D3" w:rsidP="00B709B7">
      <w:pPr>
        <w:pStyle w:val="Heading3"/>
        <w:numPr>
          <w:ilvl w:val="2"/>
          <w:numId w:val="7"/>
        </w:numPr>
      </w:pPr>
      <w:bookmarkStart w:id="44" w:name="_Toc122339716"/>
      <w:r w:rsidRPr="00272930">
        <w:t>Conclusion</w:t>
      </w:r>
      <w:bookmarkEnd w:id="44"/>
    </w:p>
    <w:p w14:paraId="1F7F2E45" w14:textId="205FFED9" w:rsidR="00F572D3" w:rsidRPr="00272930" w:rsidRDefault="00F572D3" w:rsidP="00B709B7">
      <w:pPr>
        <w:pStyle w:val="BodyText"/>
        <w:numPr>
          <w:ilvl w:val="6"/>
          <w:numId w:val="7"/>
        </w:numPr>
      </w:pPr>
      <w:r w:rsidRPr="00272930">
        <w:t xml:space="preserve"> On the basis of the above, we </w:t>
      </w:r>
      <w:r w:rsidRPr="00272930">
        <w:rPr>
          <w:u w:val="single"/>
        </w:rPr>
        <w:t>uphold</w:t>
      </w:r>
      <w:r w:rsidRPr="00272930">
        <w:t xml:space="preserve"> the Panel</w:t>
      </w:r>
      <w:r w:rsidR="00972276" w:rsidRPr="00272930">
        <w:t>'</w:t>
      </w:r>
      <w:r w:rsidRPr="00272930">
        <w:t xml:space="preserve">s finding, in </w:t>
      </w:r>
      <w:r w:rsidR="00270F7B" w:rsidRPr="00272930">
        <w:t>paragraphs </w:t>
      </w:r>
      <w:r w:rsidRPr="00272930">
        <w:t>7.126, 7.152.a, and 8.1.b.i of its Report, that the European</w:t>
      </w:r>
      <w:r w:rsidR="00DA0ACF" w:rsidRPr="00272930">
        <w:t> Union</w:t>
      </w:r>
      <w:r w:rsidRPr="00272930">
        <w:t xml:space="preserve"> had established that Colombia acted inconsistently with its obligations under Article 6.5 of the Anti-Dumping Agreement with respect to the redacted information in section d(i) of FEDEPAPA</w:t>
      </w:r>
      <w:r w:rsidR="00972276" w:rsidRPr="00272930">
        <w:t>'</w:t>
      </w:r>
      <w:r w:rsidRPr="00272930">
        <w:t xml:space="preserve">s revised application because MINCIT granted confidential treatment to this information without a showing of </w:t>
      </w:r>
      <w:r w:rsidR="00972276" w:rsidRPr="00272930">
        <w:t>"</w:t>
      </w:r>
      <w:r w:rsidRPr="00272930">
        <w:t>good cause</w:t>
      </w:r>
      <w:r w:rsidR="00972276" w:rsidRPr="00272930">
        <w:t>"</w:t>
      </w:r>
      <w:r w:rsidRPr="00272930">
        <w:t xml:space="preserve"> by the applicant.</w:t>
      </w:r>
    </w:p>
    <w:p w14:paraId="6D1ED213" w14:textId="77A00DBA" w:rsidR="00F572D3" w:rsidRPr="006158DE" w:rsidRDefault="00F572D3" w:rsidP="00B709B7">
      <w:pPr>
        <w:pStyle w:val="Heading2"/>
        <w:numPr>
          <w:ilvl w:val="1"/>
          <w:numId w:val="7"/>
        </w:numPr>
      </w:pPr>
      <w:bookmarkStart w:id="45" w:name="_Toc122339717"/>
      <w:r w:rsidRPr="006158DE">
        <w:lastRenderedPageBreak/>
        <w:t>Claim under Article</w:t>
      </w:r>
      <w:r w:rsidR="00F2224B" w:rsidRPr="006158DE">
        <w:t> </w:t>
      </w:r>
      <w:r w:rsidRPr="006158DE">
        <w:t>6.2 of the DSU</w:t>
      </w:r>
      <w:bookmarkEnd w:id="45"/>
    </w:p>
    <w:p w14:paraId="526E07E8" w14:textId="77777777" w:rsidR="00F572D3" w:rsidRPr="00272930" w:rsidRDefault="00F572D3" w:rsidP="00B709B7">
      <w:pPr>
        <w:pStyle w:val="Heading3"/>
        <w:numPr>
          <w:ilvl w:val="2"/>
          <w:numId w:val="22"/>
        </w:numPr>
        <w:rPr>
          <w:szCs w:val="18"/>
        </w:rPr>
      </w:pPr>
      <w:bookmarkStart w:id="46" w:name="_Toc122339718"/>
      <w:r w:rsidRPr="00272930">
        <w:rPr>
          <w:szCs w:val="18"/>
        </w:rPr>
        <w:t>Introduction and Panel findings</w:t>
      </w:r>
      <w:bookmarkEnd w:id="46"/>
    </w:p>
    <w:p w14:paraId="6232236D" w14:textId="5C1F4BE1" w:rsidR="00F572D3" w:rsidRPr="00272930" w:rsidRDefault="00F572D3" w:rsidP="00B709B7">
      <w:pPr>
        <w:pStyle w:val="BodyText"/>
        <w:numPr>
          <w:ilvl w:val="6"/>
          <w:numId w:val="7"/>
        </w:numPr>
      </w:pPr>
      <w:bookmarkStart w:id="47" w:name="_Ref121123230"/>
      <w:r w:rsidRPr="00272930">
        <w:rPr>
          <w:szCs w:val="18"/>
        </w:rPr>
        <w:t>Colombia appeals the Panel</w:t>
      </w:r>
      <w:r w:rsidR="00972276" w:rsidRPr="00272930">
        <w:rPr>
          <w:szCs w:val="18"/>
        </w:rPr>
        <w:t>'</w:t>
      </w:r>
      <w:r w:rsidRPr="00272930">
        <w:rPr>
          <w:szCs w:val="18"/>
        </w:rPr>
        <w:t>s finding that the</w:t>
      </w:r>
      <w:r w:rsidRPr="00272930">
        <w:t xml:space="preserve"> European Union</w:t>
      </w:r>
      <w:r w:rsidR="00972276" w:rsidRPr="00272930">
        <w:t>'</w:t>
      </w:r>
      <w:r w:rsidRPr="00272930">
        <w:t>s panel request satisfied the requirement of Article</w:t>
      </w:r>
      <w:r w:rsidR="00F2224B" w:rsidRPr="00272930">
        <w:t> </w:t>
      </w:r>
      <w:r w:rsidRPr="00272930">
        <w:t xml:space="preserve">6.2 of the DSU with respect to </w:t>
      </w:r>
      <w:r w:rsidR="0061644F" w:rsidRPr="00272930">
        <w:t>the European</w:t>
      </w:r>
      <w:r w:rsidR="00DA0ACF" w:rsidRPr="00272930">
        <w:t> Union</w:t>
      </w:r>
      <w:r w:rsidR="00972276" w:rsidRPr="00272930">
        <w:t>'</w:t>
      </w:r>
      <w:r w:rsidR="0061644F" w:rsidRPr="00272930">
        <w:t>s</w:t>
      </w:r>
      <w:r w:rsidRPr="00272930">
        <w:t xml:space="preserve"> </w:t>
      </w:r>
      <w:r w:rsidR="00972276" w:rsidRPr="00272930">
        <w:t>"</w:t>
      </w:r>
      <w:r w:rsidRPr="00272930">
        <w:t>packaging cost-related claim</w:t>
      </w:r>
      <w:r w:rsidR="00972276" w:rsidRPr="00272930">
        <w:t>"</w:t>
      </w:r>
      <w:r w:rsidRPr="00272930">
        <w:t xml:space="preserve"> under Article 2.4 of the Anti-Dumping Agreement and that, therefore, such claim fell within the Panel</w:t>
      </w:r>
      <w:r w:rsidR="00972276" w:rsidRPr="00272930">
        <w:t>'</w:t>
      </w:r>
      <w:r w:rsidRPr="00272930">
        <w:t>s terms of reference.</w:t>
      </w:r>
      <w:r w:rsidRPr="00272930">
        <w:rPr>
          <w:rStyle w:val="FootnoteReference"/>
        </w:rPr>
        <w:footnoteReference w:id="109"/>
      </w:r>
      <w:r w:rsidRPr="00272930">
        <w:t xml:space="preserve"> The </w:t>
      </w:r>
      <w:r w:rsidR="00972276" w:rsidRPr="00272930">
        <w:t>"</w:t>
      </w:r>
      <w:r w:rsidRPr="00272930">
        <w:t>packaging cost-related claim</w:t>
      </w:r>
      <w:r w:rsidR="00972276" w:rsidRPr="00272930">
        <w:t>"</w:t>
      </w:r>
      <w:r w:rsidRPr="00272930">
        <w:t xml:space="preserve"> at issue concerned the European</w:t>
      </w:r>
      <w:r w:rsidR="00DA0ACF" w:rsidRPr="00272930">
        <w:t> Union</w:t>
      </w:r>
      <w:r w:rsidR="00972276" w:rsidRPr="00272930">
        <w:t>'</w:t>
      </w:r>
      <w:r w:rsidRPr="00272930">
        <w:t xml:space="preserve">s allegation before the Panel that </w:t>
      </w:r>
      <w:r w:rsidR="00972276" w:rsidRPr="00272930">
        <w:t>"</w:t>
      </w:r>
      <w:r w:rsidRPr="00272930">
        <w:t>Colombia acted inconsistently with the requirement under Article</w:t>
      </w:r>
      <w:r w:rsidR="00F2224B" w:rsidRPr="00272930">
        <w:t> </w:t>
      </w:r>
      <w:r w:rsidRPr="00272930">
        <w:t xml:space="preserve">2.4 to make a fair comparison because MINCIT did not grant [Belgium </w:t>
      </w:r>
      <w:r w:rsidR="00F02242" w:rsidRPr="00272930">
        <w:t>e</w:t>
      </w:r>
      <w:r w:rsidRPr="00272930">
        <w:t xml:space="preserve">xporter] </w:t>
      </w:r>
      <w:proofErr w:type="spellStart"/>
      <w:r w:rsidRPr="00272930">
        <w:t>Mydibel</w:t>
      </w:r>
      <w:r w:rsidR="00972276" w:rsidRPr="00272930">
        <w:t>'</w:t>
      </w:r>
      <w:r w:rsidRPr="00272930">
        <w:t>s</w:t>
      </w:r>
      <w:proofErr w:type="spellEnd"/>
      <w:r w:rsidRPr="00272930">
        <w:t xml:space="preserve"> adjustment request and, instead, elected to exclude certain packaging costs from the export price but retained packaging costs on the normal value side</w:t>
      </w:r>
      <w:r w:rsidR="005C1E0D" w:rsidRPr="00272930">
        <w:t>.</w:t>
      </w:r>
      <w:r w:rsidR="00972276" w:rsidRPr="00272930">
        <w:t>"</w:t>
      </w:r>
      <w:r w:rsidRPr="00272930">
        <w:rPr>
          <w:rStyle w:val="FootnoteReference"/>
        </w:rPr>
        <w:footnoteReference w:id="110"/>
      </w:r>
      <w:r w:rsidRPr="00272930">
        <w:t xml:space="preserve"> According to Colombia, while the first part of this allegation, on the failure to grant an adjustment request, was contained in the panel request, the second part, regarding the exclusion of certain packaging costs from the export price side alone, was a separate claim raised only during the panel proceedings and hence fell outside the Panel</w:t>
      </w:r>
      <w:r w:rsidR="00972276" w:rsidRPr="00272930">
        <w:t>'</w:t>
      </w:r>
      <w:r w:rsidRPr="00272930">
        <w:t>s terms of reference.</w:t>
      </w:r>
      <w:r w:rsidRPr="00272930">
        <w:rPr>
          <w:rStyle w:val="FootnoteReference"/>
        </w:rPr>
        <w:footnoteReference w:id="111"/>
      </w:r>
      <w:bookmarkEnd w:id="47"/>
    </w:p>
    <w:p w14:paraId="3885E5C3" w14:textId="007E3DAB" w:rsidR="00F572D3" w:rsidRPr="00272930" w:rsidRDefault="00F572D3" w:rsidP="00B709B7">
      <w:pPr>
        <w:pStyle w:val="BodyText"/>
        <w:numPr>
          <w:ilvl w:val="6"/>
          <w:numId w:val="7"/>
        </w:numPr>
        <w:rPr>
          <w:szCs w:val="18"/>
        </w:rPr>
      </w:pPr>
      <w:r w:rsidRPr="00272930">
        <w:t>Article</w:t>
      </w:r>
      <w:r w:rsidR="00F2224B" w:rsidRPr="00272930">
        <w:t> </w:t>
      </w:r>
      <w:r w:rsidRPr="00272930">
        <w:t>6.2 of the DSU provides, in relevant part:</w:t>
      </w:r>
    </w:p>
    <w:tbl>
      <w:tblPr>
        <w:tblW w:w="0" w:type="auto"/>
        <w:tblBorders>
          <w:insideH w:val="single" w:sz="6" w:space="0" w:color="FFFFFF"/>
        </w:tblBorders>
        <w:tblLayout w:type="fixed"/>
        <w:tblCellMar>
          <w:top w:w="57" w:type="dxa"/>
          <w:left w:w="170" w:type="dxa"/>
          <w:bottom w:w="57" w:type="dxa"/>
          <w:right w:w="170" w:type="dxa"/>
        </w:tblCellMar>
        <w:tblLook w:val="04A0" w:firstRow="1" w:lastRow="0" w:firstColumn="1" w:lastColumn="0" w:noHBand="0" w:noVBand="1"/>
      </w:tblPr>
      <w:tblGrid>
        <w:gridCol w:w="9242"/>
      </w:tblGrid>
      <w:tr w:rsidR="00F572D3" w:rsidRPr="00272930" w14:paraId="6FB4EDD0" w14:textId="77777777" w:rsidTr="001874F9">
        <w:tc>
          <w:tcPr>
            <w:tcW w:w="9242" w:type="dxa"/>
            <w:shd w:val="clear" w:color="auto" w:fill="C9DED4"/>
          </w:tcPr>
          <w:p w14:paraId="03CC4987" w14:textId="41E94A3F" w:rsidR="00F572D3" w:rsidRPr="00272930" w:rsidRDefault="00F572D3" w:rsidP="00B709B7">
            <w:pPr>
              <w:spacing w:before="120" w:after="120"/>
              <w:jc w:val="center"/>
            </w:pPr>
            <w:r w:rsidRPr="00272930">
              <w:t>Article</w:t>
            </w:r>
            <w:r w:rsidR="00F2224B" w:rsidRPr="00272930">
              <w:t> </w:t>
            </w:r>
            <w:r w:rsidRPr="00272930">
              <w:t>6</w:t>
            </w:r>
          </w:p>
          <w:p w14:paraId="67A7085A" w14:textId="4BEB8840" w:rsidR="001A21F6" w:rsidRPr="00272930" w:rsidRDefault="00F572D3" w:rsidP="00A92A75">
            <w:pPr>
              <w:spacing w:before="120" w:after="120"/>
              <w:jc w:val="center"/>
            </w:pPr>
            <w:r w:rsidRPr="00272930">
              <w:rPr>
                <w:i/>
                <w:iCs/>
              </w:rPr>
              <w:t>Establishment of Panels</w:t>
            </w:r>
          </w:p>
          <w:p w14:paraId="1D7369F7" w14:textId="7A1A357A" w:rsidR="00F572D3" w:rsidRPr="00272930" w:rsidRDefault="00F572D3" w:rsidP="00B709B7">
            <w:pPr>
              <w:spacing w:before="120" w:after="120"/>
            </w:pPr>
            <w:r w:rsidRPr="00272930">
              <w:t>2.</w:t>
            </w:r>
            <w:r w:rsidR="0046762C" w:rsidRPr="00272930">
              <w:t xml:space="preserve"> </w:t>
            </w:r>
            <w:r w:rsidRPr="00272930">
              <w:t>The request for the establishment of a panel shall be made in writing.</w:t>
            </w:r>
            <w:r w:rsidR="00591744" w:rsidRPr="00272930">
              <w:t xml:space="preserve"> </w:t>
            </w:r>
            <w:r w:rsidRPr="00272930">
              <w:t xml:space="preserve">It shall indicate whether consultations were held, identify the specific measures at issue and provide </w:t>
            </w:r>
            <w:proofErr w:type="gramStart"/>
            <w:r w:rsidRPr="00272930">
              <w:t>a brief summary</w:t>
            </w:r>
            <w:proofErr w:type="gramEnd"/>
            <w:r w:rsidRPr="00272930">
              <w:t xml:space="preserve"> of the legal basis of the complaint sufficient to present the problem clearly</w:t>
            </w:r>
            <w:r w:rsidR="000F0DD4">
              <w:t xml:space="preserve">. </w:t>
            </w:r>
          </w:p>
        </w:tc>
      </w:tr>
    </w:tbl>
    <w:p w14:paraId="0B14308A" w14:textId="547ECB2F" w:rsidR="00F572D3" w:rsidRPr="00272930" w:rsidRDefault="000F0DD4" w:rsidP="00B709B7">
      <w:pPr>
        <w:pStyle w:val="BodyText"/>
        <w:numPr>
          <w:ilvl w:val="6"/>
          <w:numId w:val="7"/>
        </w:numPr>
        <w:spacing w:before="240"/>
      </w:pPr>
      <w:bookmarkStart w:id="48" w:name="_Ref121123253"/>
      <w:r>
        <w:t>The</w:t>
      </w:r>
      <w:r w:rsidR="00F572D3" w:rsidRPr="00272930">
        <w:t xml:space="preserve"> </w:t>
      </w:r>
      <w:r>
        <w:t xml:space="preserve">relevant part of the </w:t>
      </w:r>
      <w:r w:rsidR="00F572D3" w:rsidRPr="00272930">
        <w:t>European</w:t>
      </w:r>
      <w:r w:rsidR="00DA0ACF" w:rsidRPr="00272930">
        <w:t> Union</w:t>
      </w:r>
      <w:r w:rsidR="00972276" w:rsidRPr="00272930">
        <w:t>'</w:t>
      </w:r>
      <w:r w:rsidR="00F572D3" w:rsidRPr="00272930">
        <w:t>s panel request</w:t>
      </w:r>
      <w:r>
        <w:t>, including its paragraph 5,</w:t>
      </w:r>
      <w:r w:rsidR="00F572D3" w:rsidRPr="00272930">
        <w:t xml:space="preserve"> reads as follows:</w:t>
      </w:r>
      <w:bookmarkEnd w:id="48"/>
    </w:p>
    <w:p w14:paraId="2096C7DF" w14:textId="5120F78C" w:rsidR="00F572D3" w:rsidRPr="00272930" w:rsidRDefault="00F572D3" w:rsidP="00B709B7">
      <w:pPr>
        <w:pStyle w:val="Quotation"/>
      </w:pPr>
      <w:r w:rsidRPr="00272930">
        <w:t>The measures at issue described above [in the panel request] appear to be inconsistent with Colombia</w:t>
      </w:r>
      <w:r w:rsidR="00972276" w:rsidRPr="00272930">
        <w:t>'</w:t>
      </w:r>
      <w:r w:rsidRPr="00272930">
        <w:t>s obligations under the following provisions of the covered agreements:</w:t>
      </w:r>
    </w:p>
    <w:p w14:paraId="537E7028" w14:textId="523BA2D0" w:rsidR="00F572D3" w:rsidRPr="00272930" w:rsidRDefault="00F572D3" w:rsidP="00B709B7">
      <w:pPr>
        <w:pStyle w:val="Quotation"/>
      </w:pPr>
      <w:r w:rsidRPr="00272930">
        <w:t>5. Article</w:t>
      </w:r>
      <w:r w:rsidR="00F2224B" w:rsidRPr="00272930">
        <w:t> </w:t>
      </w:r>
      <w:r w:rsidRPr="00272930">
        <w:t xml:space="preserve">2.4 of the Anti-Dumping Agreement because Colombia did not make a fair comparison between the export price and the normal value. </w:t>
      </w:r>
      <w:r w:rsidRPr="00272930">
        <w:rPr>
          <w:i/>
          <w:iCs/>
        </w:rPr>
        <w:t>In particular</w:t>
      </w:r>
      <w:r w:rsidRPr="00272930">
        <w:t xml:space="preserve">, Colombia </w:t>
      </w:r>
      <w:r w:rsidRPr="00272930">
        <w:rPr>
          <w:i/>
          <w:iCs/>
        </w:rPr>
        <w:t xml:space="preserve">did not </w:t>
      </w:r>
      <w:proofErr w:type="gramStart"/>
      <w:r w:rsidRPr="00272930">
        <w:rPr>
          <w:i/>
          <w:iCs/>
        </w:rPr>
        <w:t>make due</w:t>
      </w:r>
      <w:proofErr w:type="gramEnd"/>
      <w:r w:rsidRPr="00272930">
        <w:rPr>
          <w:i/>
          <w:iCs/>
        </w:rPr>
        <w:t xml:space="preserve"> allowances</w:t>
      </w:r>
      <w:r w:rsidRPr="00272930">
        <w:t xml:space="preserve"> </w:t>
      </w:r>
      <w:r w:rsidRPr="00272930">
        <w:rPr>
          <w:i/>
          <w:iCs/>
        </w:rPr>
        <w:t xml:space="preserve">for differences </w:t>
      </w:r>
      <w:r w:rsidRPr="00272930">
        <w:t>which</w:t>
      </w:r>
      <w:r w:rsidRPr="00272930">
        <w:rPr>
          <w:i/>
          <w:iCs/>
        </w:rPr>
        <w:t xml:space="preserve"> affect price comparability</w:t>
      </w:r>
      <w:r w:rsidRPr="00272930">
        <w:t xml:space="preserve">, including for differences in physical characteristics and/or any other differences between the products sold on the domestic markets in Belgium, Germany and the Netherlands, and the products under investigation sold on the export market, which were demonstrated to affect price comparability. </w:t>
      </w:r>
      <w:r w:rsidRPr="00272930">
        <w:rPr>
          <w:i/>
          <w:iCs/>
        </w:rPr>
        <w:t>Inter alia</w:t>
      </w:r>
      <w:r w:rsidRPr="00272930">
        <w:t xml:space="preserve">, </w:t>
      </w:r>
      <w:r w:rsidRPr="00272930">
        <w:rPr>
          <w:i/>
          <w:iCs/>
        </w:rPr>
        <w:t>Colombia disregarded</w:t>
      </w:r>
      <w:r w:rsidRPr="00272930">
        <w:t xml:space="preserve"> the differences between the types of products, the different proportions of high and low value products exported to Colombia, as compared to domestic sales in Belgium, </w:t>
      </w:r>
      <w:proofErr w:type="gramStart"/>
      <w:r w:rsidRPr="00272930">
        <w:t>Germany</w:t>
      </w:r>
      <w:proofErr w:type="gramEnd"/>
      <w:r w:rsidRPr="00272930">
        <w:t xml:space="preserve"> and the Netherlands, as well as </w:t>
      </w:r>
      <w:r w:rsidRPr="00272930">
        <w:rPr>
          <w:i/>
          <w:iCs/>
        </w:rPr>
        <w:t>differences in packaging</w:t>
      </w:r>
      <w:r w:rsidRPr="00272930">
        <w:t xml:space="preserve"> and differences resulting from the use of different types of oils.</w:t>
      </w:r>
      <w:r w:rsidRPr="00272930">
        <w:rPr>
          <w:rStyle w:val="FootnoteReference"/>
        </w:rPr>
        <w:footnoteReference w:id="112"/>
      </w:r>
    </w:p>
    <w:p w14:paraId="34A18693" w14:textId="2E96294D" w:rsidR="00F572D3" w:rsidRPr="00272930" w:rsidRDefault="00F572D3" w:rsidP="00AB5F5B">
      <w:pPr>
        <w:pStyle w:val="BodyText"/>
        <w:numPr>
          <w:ilvl w:val="6"/>
          <w:numId w:val="7"/>
        </w:numPr>
        <w:spacing w:before="240"/>
        <w:rPr>
          <w:szCs w:val="18"/>
        </w:rPr>
      </w:pPr>
      <w:bookmarkStart w:id="49" w:name="_Ref121123263"/>
      <w:r w:rsidRPr="00272930">
        <w:t>In addition, Article</w:t>
      </w:r>
      <w:r w:rsidR="00F2224B" w:rsidRPr="00272930">
        <w:t> </w:t>
      </w:r>
      <w:r w:rsidRPr="00272930">
        <w:t>2.4 of the Anti-Dumping Agreement provides, in relevant part:</w:t>
      </w:r>
      <w:bookmarkEnd w:id="49"/>
    </w:p>
    <w:tbl>
      <w:tblPr>
        <w:tblW w:w="0" w:type="auto"/>
        <w:tblBorders>
          <w:insideH w:val="single" w:sz="6" w:space="0" w:color="FFFFFF"/>
        </w:tblBorders>
        <w:tblLayout w:type="fixed"/>
        <w:tblCellMar>
          <w:top w:w="57" w:type="dxa"/>
          <w:left w:w="170" w:type="dxa"/>
          <w:bottom w:w="57" w:type="dxa"/>
          <w:right w:w="170" w:type="dxa"/>
        </w:tblCellMar>
        <w:tblLook w:val="04A0" w:firstRow="1" w:lastRow="0" w:firstColumn="1" w:lastColumn="0" w:noHBand="0" w:noVBand="1"/>
      </w:tblPr>
      <w:tblGrid>
        <w:gridCol w:w="9242"/>
      </w:tblGrid>
      <w:tr w:rsidR="00F572D3" w:rsidRPr="00272930" w14:paraId="3D08B333" w14:textId="77777777" w:rsidTr="001874F9">
        <w:tc>
          <w:tcPr>
            <w:tcW w:w="9242" w:type="dxa"/>
            <w:shd w:val="clear" w:color="auto" w:fill="C9DED4"/>
          </w:tcPr>
          <w:p w14:paraId="33B4794A" w14:textId="08C27476" w:rsidR="00F572D3" w:rsidRPr="00272930" w:rsidRDefault="00F572D3" w:rsidP="00436255">
            <w:pPr>
              <w:keepNext/>
              <w:spacing w:before="120" w:after="120"/>
              <w:jc w:val="center"/>
            </w:pPr>
            <w:r w:rsidRPr="00272930">
              <w:lastRenderedPageBreak/>
              <w:t>Article</w:t>
            </w:r>
            <w:r w:rsidR="00F2224B" w:rsidRPr="00272930">
              <w:t> </w:t>
            </w:r>
            <w:r w:rsidRPr="00272930">
              <w:t>2</w:t>
            </w:r>
          </w:p>
          <w:p w14:paraId="1B049897" w14:textId="3A189A75" w:rsidR="00F572D3" w:rsidRPr="00272930" w:rsidRDefault="00F572D3" w:rsidP="00436255">
            <w:pPr>
              <w:keepNext/>
              <w:spacing w:before="120" w:after="120"/>
              <w:jc w:val="center"/>
            </w:pPr>
            <w:r w:rsidRPr="00272930">
              <w:rPr>
                <w:i/>
                <w:iCs/>
              </w:rPr>
              <w:t>Determination of Dumping</w:t>
            </w:r>
          </w:p>
          <w:p w14:paraId="1A5EAC67" w14:textId="5E2431FB" w:rsidR="00F572D3" w:rsidRPr="00272930" w:rsidRDefault="00F572D3" w:rsidP="00436255">
            <w:pPr>
              <w:pStyle w:val="Quotation"/>
              <w:keepNext/>
              <w:spacing w:after="120"/>
              <w:ind w:left="0"/>
              <w:rPr>
                <w:color w:val="000000"/>
                <w:vertAlign w:val="superscript"/>
              </w:rPr>
            </w:pPr>
            <w:r w:rsidRPr="00272930">
              <w:t>2.4</w:t>
            </w:r>
            <w:r w:rsidR="0046762C" w:rsidRPr="00272930">
              <w:t xml:space="preserve"> </w:t>
            </w:r>
            <w:r w:rsidRPr="00272930">
              <w:t>A fair comparison shall be made between the export price and the normal value.</w:t>
            </w:r>
            <w:r w:rsidR="0046762C" w:rsidRPr="00272930">
              <w:t xml:space="preserve"> </w:t>
            </w:r>
            <w:r w:rsidRPr="00272930">
              <w:t>…</w:t>
            </w:r>
            <w:r w:rsidR="0046762C" w:rsidRPr="00272930">
              <w:t xml:space="preserve"> </w:t>
            </w:r>
            <w:r w:rsidRPr="00272930">
              <w:t xml:space="preserve">Due allowance shall be made in each case, on its merits, for differences which affect price comparability, including differences in conditions and terms of sale, taxation, levels of trade, quantities, physical characteristics, and any other differences which are also demonstrated to affect price comparability. </w:t>
            </w:r>
          </w:p>
        </w:tc>
      </w:tr>
    </w:tbl>
    <w:p w14:paraId="11CF85D2" w14:textId="5CEA5A43" w:rsidR="00F572D3" w:rsidRPr="00272930" w:rsidRDefault="00F572D3" w:rsidP="00B709B7">
      <w:pPr>
        <w:pStyle w:val="BodyText"/>
        <w:numPr>
          <w:ilvl w:val="6"/>
          <w:numId w:val="7"/>
        </w:numPr>
        <w:spacing w:before="240"/>
      </w:pPr>
      <w:bookmarkStart w:id="50" w:name="_Ref121123087"/>
      <w:r w:rsidRPr="00272930">
        <w:t>By way of background, the European</w:t>
      </w:r>
      <w:r w:rsidR="00DA0ACF" w:rsidRPr="00272930">
        <w:t> Union</w:t>
      </w:r>
      <w:r w:rsidR="00972276" w:rsidRPr="00272930">
        <w:t>'</w:t>
      </w:r>
      <w:r w:rsidRPr="00272930">
        <w:t xml:space="preserve">s </w:t>
      </w:r>
      <w:r w:rsidR="00972276" w:rsidRPr="00272930">
        <w:t>"</w:t>
      </w:r>
      <w:r w:rsidRPr="00272930">
        <w:t>packaging cost-related claim</w:t>
      </w:r>
      <w:r w:rsidR="00972276" w:rsidRPr="00272930">
        <w:t>"</w:t>
      </w:r>
      <w:r w:rsidRPr="00272930">
        <w:t xml:space="preserve"> at issue arose from the following facts that transpired before MINCIT.</w:t>
      </w:r>
      <w:r w:rsidRPr="00272930">
        <w:rPr>
          <w:rStyle w:val="FootnoteReference"/>
        </w:rPr>
        <w:footnoteReference w:id="113"/>
      </w:r>
      <w:r w:rsidRPr="00272930">
        <w:t xml:space="preserve"> In its questionnaire response during the investigation, </w:t>
      </w:r>
      <w:proofErr w:type="spellStart"/>
      <w:r w:rsidRPr="00272930">
        <w:t>Mydibel</w:t>
      </w:r>
      <w:proofErr w:type="spellEnd"/>
      <w:r w:rsidRPr="00272930">
        <w:t xml:space="preserve"> stated that, while it used the same packaging materials in all of its sales, the costs of these common components differed between products made for export and those made for domestic sales, due to differences in product types and customer specifications.</w:t>
      </w:r>
      <w:r w:rsidRPr="00272930">
        <w:rPr>
          <w:rStyle w:val="FootnoteReference"/>
        </w:rPr>
        <w:footnoteReference w:id="114"/>
      </w:r>
      <w:r w:rsidRPr="00272930">
        <w:t xml:space="preserve"> In particular, customers in its domestic market requested packaging material that incurred higher costs.</w:t>
      </w:r>
      <w:r w:rsidRPr="00272930">
        <w:rPr>
          <w:rStyle w:val="FootnoteReference"/>
        </w:rPr>
        <w:footnoteReference w:id="115"/>
      </w:r>
      <w:r w:rsidRPr="00272930">
        <w:t xml:space="preserve"> To account for this difference, </w:t>
      </w:r>
      <w:proofErr w:type="spellStart"/>
      <w:r w:rsidRPr="00272930">
        <w:t>Mydibel</w:t>
      </w:r>
      <w:proofErr w:type="spellEnd"/>
      <w:r w:rsidRPr="00272930">
        <w:t xml:space="preserve"> requested an adjustment</w:t>
      </w:r>
      <w:r w:rsidRPr="00272930">
        <w:rPr>
          <w:rStyle w:val="FootnoteReference"/>
        </w:rPr>
        <w:footnoteReference w:id="116"/>
      </w:r>
      <w:r w:rsidRPr="00272930">
        <w:t xml:space="preserve"> by listing the cost of </w:t>
      </w:r>
      <w:r w:rsidR="00972276" w:rsidRPr="00272930">
        <w:t>"</w:t>
      </w:r>
      <w:r w:rsidRPr="00272930">
        <w:t>packaging material</w:t>
      </w:r>
      <w:r w:rsidR="00972276" w:rsidRPr="00272930">
        <w:t>"</w:t>
      </w:r>
      <w:r w:rsidRPr="00272930">
        <w:t xml:space="preserve"> as one of the elements of the cost of manufacture, and identifying the amount incurred for packaging for each product type.</w:t>
      </w:r>
      <w:r w:rsidRPr="00272930">
        <w:rPr>
          <w:rStyle w:val="FootnoteReference"/>
        </w:rPr>
        <w:footnoteReference w:id="117"/>
      </w:r>
      <w:bookmarkEnd w:id="50"/>
    </w:p>
    <w:p w14:paraId="614D780B" w14:textId="25959B6D" w:rsidR="00F572D3" w:rsidRPr="00272930" w:rsidRDefault="00F572D3" w:rsidP="00B709B7">
      <w:pPr>
        <w:pStyle w:val="BodyText"/>
        <w:numPr>
          <w:ilvl w:val="6"/>
          <w:numId w:val="7"/>
        </w:numPr>
      </w:pPr>
      <w:bookmarkStart w:id="51" w:name="_Ref121123108"/>
      <w:r w:rsidRPr="00272930">
        <w:t xml:space="preserve">MINCIT did not make the adjustment requested by </w:t>
      </w:r>
      <w:proofErr w:type="spellStart"/>
      <w:r w:rsidRPr="00272930">
        <w:t>Mydibel</w:t>
      </w:r>
      <w:proofErr w:type="spellEnd"/>
      <w:r w:rsidRPr="00272930">
        <w:t>.</w:t>
      </w:r>
      <w:r w:rsidRPr="00272930">
        <w:rPr>
          <w:rStyle w:val="FootnoteReference"/>
        </w:rPr>
        <w:footnoteReference w:id="118"/>
      </w:r>
      <w:r w:rsidRPr="00272930">
        <w:t xml:space="preserve"> Instead, MINCIT deducted certain packaging costs from the export price</w:t>
      </w:r>
      <w:r w:rsidRPr="00272930">
        <w:rPr>
          <w:rStyle w:val="FootnoteReference"/>
        </w:rPr>
        <w:footnoteReference w:id="119"/>
      </w:r>
      <w:r w:rsidRPr="00272930">
        <w:t>, without making any corresponding adjustment to the normal value</w:t>
      </w:r>
      <w:r w:rsidRPr="00272930">
        <w:rPr>
          <w:rStyle w:val="FootnoteReference"/>
        </w:rPr>
        <w:footnoteReference w:id="120"/>
      </w:r>
      <w:r w:rsidRPr="00272930">
        <w:t xml:space="preserve">, resulting in a so-called </w:t>
      </w:r>
      <w:r w:rsidR="00972276" w:rsidRPr="00272930">
        <w:t>"</w:t>
      </w:r>
      <w:r w:rsidRPr="00E66D5E">
        <w:t>asymmetrical deduction</w:t>
      </w:r>
      <w:r w:rsidR="00972276" w:rsidRPr="00272930">
        <w:t>"</w:t>
      </w:r>
      <w:r w:rsidRPr="00272930">
        <w:t>.</w:t>
      </w:r>
      <w:r w:rsidRPr="00272930">
        <w:rPr>
          <w:rStyle w:val="FootnoteReference"/>
        </w:rPr>
        <w:footnoteReference w:id="121"/>
      </w:r>
      <w:r w:rsidRPr="00272930">
        <w:t xml:space="preserve"> In its comments on MINCIT</w:t>
      </w:r>
      <w:r w:rsidR="00972276" w:rsidRPr="00272930">
        <w:t>'</w:t>
      </w:r>
      <w:r w:rsidRPr="00272930">
        <w:t xml:space="preserve">s essential facts disclosure, </w:t>
      </w:r>
      <w:proofErr w:type="spellStart"/>
      <w:r w:rsidRPr="00272930">
        <w:t>Mydibel</w:t>
      </w:r>
      <w:proofErr w:type="spellEnd"/>
      <w:r w:rsidRPr="00272930">
        <w:t xml:space="preserve"> stated explicitly that its exports did </w:t>
      </w:r>
      <w:r w:rsidRPr="00272930">
        <w:rPr>
          <w:i/>
          <w:iCs/>
        </w:rPr>
        <w:t>not</w:t>
      </w:r>
      <w:r w:rsidRPr="00272930">
        <w:t xml:space="preserve"> incur any </w:t>
      </w:r>
      <w:r w:rsidRPr="00272930">
        <w:rPr>
          <w:i/>
          <w:iCs/>
        </w:rPr>
        <w:t>additional</w:t>
      </w:r>
      <w:r w:rsidRPr="00272930">
        <w:t xml:space="preserve"> export packaging costs distinct from those incurred in its domestic sales.</w:t>
      </w:r>
      <w:r w:rsidRPr="00272930">
        <w:rPr>
          <w:rStyle w:val="FootnoteReference"/>
        </w:rPr>
        <w:footnoteReference w:id="122"/>
      </w:r>
      <w:r w:rsidRPr="00272930">
        <w:t xml:space="preserve"> Notwithstanding </w:t>
      </w:r>
      <w:proofErr w:type="spellStart"/>
      <w:r w:rsidRPr="00272930">
        <w:t>Mydibel</w:t>
      </w:r>
      <w:r w:rsidR="00972276" w:rsidRPr="00272930">
        <w:t>'</w:t>
      </w:r>
      <w:r w:rsidRPr="00272930">
        <w:t>s</w:t>
      </w:r>
      <w:proofErr w:type="spellEnd"/>
      <w:r w:rsidRPr="00272930">
        <w:t xml:space="preserve"> comment, MINCIT maintained that it deducted costs for </w:t>
      </w:r>
      <w:r w:rsidR="00972276" w:rsidRPr="00272930">
        <w:t>"</w:t>
      </w:r>
      <w:r w:rsidRPr="00272930">
        <w:rPr>
          <w:i/>
          <w:iCs/>
        </w:rPr>
        <w:t>export</w:t>
      </w:r>
      <w:r w:rsidRPr="00272930">
        <w:t xml:space="preserve"> packaging material</w:t>
      </w:r>
      <w:r w:rsidR="00972276" w:rsidRPr="00272930">
        <w:t>"</w:t>
      </w:r>
      <w:r w:rsidRPr="00272930">
        <w:t xml:space="preserve"> from the export price alone (thereby increasing any margin of dumping), and that it did not make any normal value adjustment for packaging costs (which would have decreased the margin of dumping) because, in its view, </w:t>
      </w:r>
      <w:r w:rsidR="00972276" w:rsidRPr="00272930">
        <w:t>"</w:t>
      </w:r>
      <w:r w:rsidRPr="00272930">
        <w:rPr>
          <w:i/>
          <w:iCs/>
        </w:rPr>
        <w:t>packaging</w:t>
      </w:r>
      <w:r w:rsidRPr="00272930">
        <w:rPr>
          <w:iCs/>
        </w:rPr>
        <w:t xml:space="preserve"> </w:t>
      </w:r>
      <w:r w:rsidRPr="00272930">
        <w:rPr>
          <w:i/>
          <w:iCs/>
        </w:rPr>
        <w:t>costs</w:t>
      </w:r>
      <w:r w:rsidRPr="00272930">
        <w:t xml:space="preserve"> … are part of the production … costs</w:t>
      </w:r>
      <w:r w:rsidR="00CB2108" w:rsidRPr="00272930">
        <w:t>.</w:t>
      </w:r>
      <w:r w:rsidR="00972276" w:rsidRPr="00272930">
        <w:t>"</w:t>
      </w:r>
      <w:r w:rsidRPr="00272930">
        <w:rPr>
          <w:rStyle w:val="FootnoteReference"/>
        </w:rPr>
        <w:footnoteReference w:id="123"/>
      </w:r>
      <w:bookmarkEnd w:id="51"/>
    </w:p>
    <w:p w14:paraId="74032505" w14:textId="15E91857" w:rsidR="00F572D3" w:rsidRPr="00272930" w:rsidRDefault="00F572D3" w:rsidP="00B709B7">
      <w:pPr>
        <w:pStyle w:val="BodyText"/>
        <w:numPr>
          <w:ilvl w:val="6"/>
          <w:numId w:val="7"/>
        </w:numPr>
      </w:pPr>
      <w:r w:rsidRPr="00272930">
        <w:t>During the panel proceedings, the European</w:t>
      </w:r>
      <w:r w:rsidR="00DA0ACF" w:rsidRPr="00272930">
        <w:t> Union</w:t>
      </w:r>
      <w:r w:rsidRPr="00272930">
        <w:t xml:space="preserve"> submitted that Colombia acted inconsistently with the requirement under Article 2.4 to make a fair comparison, because MINCIT </w:t>
      </w:r>
      <w:r w:rsidR="00972276" w:rsidRPr="00272930">
        <w:t>"</w:t>
      </w:r>
      <w:r w:rsidRPr="00272930">
        <w:t>erred in declining</w:t>
      </w:r>
      <w:r w:rsidR="00972276" w:rsidRPr="00272930">
        <w:t>"</w:t>
      </w:r>
      <w:r w:rsidRPr="00272930">
        <w:t xml:space="preserve"> </w:t>
      </w:r>
      <w:proofErr w:type="spellStart"/>
      <w:r w:rsidRPr="00272930">
        <w:t>Mydibel</w:t>
      </w:r>
      <w:r w:rsidR="00972276" w:rsidRPr="00272930">
        <w:t>'</w:t>
      </w:r>
      <w:r w:rsidRPr="00272930">
        <w:t>s</w:t>
      </w:r>
      <w:proofErr w:type="spellEnd"/>
      <w:r w:rsidRPr="00272930">
        <w:t xml:space="preserve"> adjustment request </w:t>
      </w:r>
      <w:r w:rsidR="00972276" w:rsidRPr="00272930">
        <w:t>"</w:t>
      </w:r>
      <w:r w:rsidRPr="00272930">
        <w:t>for differences in the cost of the common packaging components</w:t>
      </w:r>
      <w:r w:rsidR="00972276" w:rsidRPr="00272930">
        <w:t>"</w:t>
      </w:r>
      <w:r w:rsidRPr="00272930">
        <w:t xml:space="preserve">, and then </w:t>
      </w:r>
      <w:r w:rsidR="00972276" w:rsidRPr="00272930">
        <w:t>"</w:t>
      </w:r>
      <w:r w:rsidRPr="00272930">
        <w:t>compounded the error</w:t>
      </w:r>
      <w:r w:rsidR="00972276" w:rsidRPr="00272930">
        <w:t>"</w:t>
      </w:r>
      <w:r w:rsidRPr="00272930">
        <w:t xml:space="preserve"> by making the </w:t>
      </w:r>
      <w:r w:rsidR="00972276" w:rsidRPr="00272930">
        <w:t>"</w:t>
      </w:r>
      <w:r w:rsidRPr="00272930">
        <w:t>asymmetrical deduction</w:t>
      </w:r>
      <w:r w:rsidR="00972276" w:rsidRPr="00272930">
        <w:t>"</w:t>
      </w:r>
      <w:r w:rsidRPr="00272930">
        <w:t>.</w:t>
      </w:r>
      <w:r w:rsidRPr="00272930">
        <w:rPr>
          <w:rStyle w:val="FootnoteReference"/>
        </w:rPr>
        <w:footnoteReference w:id="124"/>
      </w:r>
      <w:r w:rsidRPr="00272930">
        <w:t xml:space="preserve"> Colombia challenged the sufficiency of the panel request under Article</w:t>
      </w:r>
      <w:r w:rsidR="00F2224B" w:rsidRPr="00272930">
        <w:t> </w:t>
      </w:r>
      <w:r w:rsidRPr="00272930">
        <w:t xml:space="preserve">6.2 of the DSU, </w:t>
      </w:r>
      <w:r w:rsidRPr="00272930">
        <w:lastRenderedPageBreak/>
        <w:t>arguing that, whereas the panel request referred to MINCIT</w:t>
      </w:r>
      <w:r w:rsidR="00972276" w:rsidRPr="00272930">
        <w:t>'</w:t>
      </w:r>
      <w:r w:rsidRPr="00272930">
        <w:t xml:space="preserve">s alleged </w:t>
      </w:r>
      <w:r w:rsidR="00972276" w:rsidRPr="00272930">
        <w:t>"</w:t>
      </w:r>
      <w:r w:rsidRPr="00272930">
        <w:t>disregard</w:t>
      </w:r>
      <w:r w:rsidR="00972276" w:rsidRPr="00272930">
        <w:t>"</w:t>
      </w:r>
      <w:r w:rsidRPr="00272930">
        <w:t xml:space="preserve"> of packaging costs differences, the allegation against the </w:t>
      </w:r>
      <w:r w:rsidR="00972276" w:rsidRPr="00272930">
        <w:t>"</w:t>
      </w:r>
      <w:r w:rsidRPr="00272930">
        <w:t>asymmetrical deduction</w:t>
      </w:r>
      <w:r w:rsidR="00972276" w:rsidRPr="00272930">
        <w:t>"</w:t>
      </w:r>
      <w:r w:rsidRPr="00272930">
        <w:t xml:space="preserve"> developed in the European</w:t>
      </w:r>
      <w:r w:rsidR="00DA0ACF" w:rsidRPr="00272930">
        <w:t> Union</w:t>
      </w:r>
      <w:r w:rsidR="00972276" w:rsidRPr="00272930">
        <w:t>'</w:t>
      </w:r>
      <w:r w:rsidRPr="00272930">
        <w:t xml:space="preserve">s first written submission was </w:t>
      </w:r>
      <w:r w:rsidR="00972276" w:rsidRPr="00272930">
        <w:t>"</w:t>
      </w:r>
      <w:r w:rsidRPr="00272930">
        <w:t>substantively different</w:t>
      </w:r>
      <w:r w:rsidR="00972276" w:rsidRPr="00272930">
        <w:t>"</w:t>
      </w:r>
      <w:r w:rsidRPr="00272930">
        <w:t xml:space="preserve"> from that </w:t>
      </w:r>
      <w:r w:rsidR="0061644F" w:rsidRPr="00272930">
        <w:t xml:space="preserve">which </w:t>
      </w:r>
      <w:r w:rsidRPr="00272930">
        <w:t>was in the panel request.</w:t>
      </w:r>
      <w:r w:rsidRPr="00272930">
        <w:rPr>
          <w:rStyle w:val="FootnoteReference"/>
        </w:rPr>
        <w:footnoteReference w:id="125"/>
      </w:r>
      <w:r w:rsidRPr="00272930">
        <w:t xml:space="preserve"> In the alternative, Colombia also challenged the merits of the European</w:t>
      </w:r>
      <w:r w:rsidR="00DA0ACF" w:rsidRPr="00272930">
        <w:t> Union</w:t>
      </w:r>
      <w:r w:rsidR="00972276" w:rsidRPr="00272930">
        <w:t>'</w:t>
      </w:r>
      <w:r w:rsidRPr="00272930">
        <w:t>s above allegation.</w:t>
      </w:r>
      <w:r w:rsidRPr="00272930">
        <w:rPr>
          <w:rStyle w:val="FootnoteReference"/>
        </w:rPr>
        <w:footnoteReference w:id="126"/>
      </w:r>
    </w:p>
    <w:p w14:paraId="37B027A7" w14:textId="2A39690D" w:rsidR="00F572D3" w:rsidRPr="00272930" w:rsidRDefault="00F572D3" w:rsidP="00B709B7">
      <w:pPr>
        <w:pStyle w:val="BodyText"/>
        <w:numPr>
          <w:ilvl w:val="6"/>
          <w:numId w:val="7"/>
        </w:numPr>
      </w:pPr>
      <w:r w:rsidRPr="00272930">
        <w:t>The Panel, having examined the panel request and how the European</w:t>
      </w:r>
      <w:r w:rsidR="00DA0ACF" w:rsidRPr="00272930">
        <w:t> Union</w:t>
      </w:r>
      <w:r w:rsidRPr="00272930">
        <w:t xml:space="preserve"> developed its claim during the panel proceedings, found that </w:t>
      </w:r>
      <w:r w:rsidR="00972276" w:rsidRPr="00272930">
        <w:t>"</w:t>
      </w:r>
      <w:r w:rsidRPr="00272930">
        <w:t>the European</w:t>
      </w:r>
      <w:r w:rsidR="00DA0ACF" w:rsidRPr="00272930">
        <w:t> Union</w:t>
      </w:r>
      <w:r w:rsidR="00972276" w:rsidRPr="00272930">
        <w:t>'</w:t>
      </w:r>
      <w:r w:rsidRPr="00272930">
        <w:t>s panel request did not need to engage in detail with all the factual aspects of the calculation that led to Colombia</w:t>
      </w:r>
      <w:r w:rsidR="00972276" w:rsidRPr="00272930">
        <w:t>'</w:t>
      </w:r>
      <w:r w:rsidRPr="00272930">
        <w:t>s alleged failure to perform a fair comparison</w:t>
      </w:r>
      <w:r w:rsidR="006158DE">
        <w:t>.</w:t>
      </w:r>
      <w:r w:rsidR="00972276" w:rsidRPr="00272930">
        <w:t>"</w:t>
      </w:r>
      <w:r w:rsidRPr="00272930">
        <w:rPr>
          <w:rStyle w:val="FootnoteReference"/>
        </w:rPr>
        <w:footnoteReference w:id="127"/>
      </w:r>
      <w:r w:rsidRPr="00272930">
        <w:t xml:space="preserve"> </w:t>
      </w:r>
      <w:r w:rsidR="00972276" w:rsidRPr="00272930">
        <w:t>"</w:t>
      </w:r>
      <w:r w:rsidRPr="00272930">
        <w:t>In particular</w:t>
      </w:r>
      <w:r w:rsidR="00972276" w:rsidRPr="00272930">
        <w:t>"</w:t>
      </w:r>
      <w:r w:rsidRPr="00272930">
        <w:t xml:space="preserve">, the Panel stated, </w:t>
      </w:r>
      <w:r w:rsidR="00972276" w:rsidRPr="00272930">
        <w:t>"</w:t>
      </w:r>
      <w:r w:rsidRPr="00272930">
        <w:t>it was not necessary for the panel request to outline which specific adjustment was allegedly not – or incorrectly – made and why</w:t>
      </w:r>
      <w:r w:rsidR="006158DE">
        <w:t>.</w:t>
      </w:r>
      <w:r w:rsidR="00972276" w:rsidRPr="00272930">
        <w:t>"</w:t>
      </w:r>
      <w:r w:rsidRPr="00272930">
        <w:rPr>
          <w:rStyle w:val="FootnoteReference"/>
        </w:rPr>
        <w:footnoteReference w:id="128"/>
      </w:r>
      <w:r w:rsidRPr="00272930">
        <w:t xml:space="preserve"> The Panel therefore concluded that Article 6.2 of the DSU does not require the European Union to include its argument regarding the </w:t>
      </w:r>
      <w:r w:rsidR="00972276" w:rsidRPr="00272930">
        <w:t>"</w:t>
      </w:r>
      <w:r w:rsidRPr="00272930">
        <w:t>asymmetrical deduction</w:t>
      </w:r>
      <w:r w:rsidR="00972276" w:rsidRPr="00272930">
        <w:t>"</w:t>
      </w:r>
      <w:r w:rsidRPr="00272930">
        <w:t xml:space="preserve"> in the panel request in order to provide a brief summary of the legal basis of </w:t>
      </w:r>
      <w:r w:rsidR="0061644F" w:rsidRPr="00272930">
        <w:t xml:space="preserve">its </w:t>
      </w:r>
      <w:r w:rsidR="00972276" w:rsidRPr="00272930">
        <w:t>"</w:t>
      </w:r>
      <w:r w:rsidR="0061644F" w:rsidRPr="00272930">
        <w:t>fair comparison</w:t>
      </w:r>
      <w:r w:rsidR="00972276" w:rsidRPr="00272930">
        <w:t>"</w:t>
      </w:r>
      <w:r w:rsidRPr="00272930">
        <w:t xml:space="preserve"> complaint.</w:t>
      </w:r>
      <w:r w:rsidRPr="00272930">
        <w:rPr>
          <w:rStyle w:val="FootnoteReference"/>
        </w:rPr>
        <w:footnoteReference w:id="129"/>
      </w:r>
      <w:r w:rsidRPr="00272930">
        <w:t xml:space="preserve"> These findings are subject to Colombia</w:t>
      </w:r>
      <w:r w:rsidR="00972276" w:rsidRPr="00272930">
        <w:t>'</w:t>
      </w:r>
      <w:r w:rsidRPr="00272930">
        <w:t>s appeal.</w:t>
      </w:r>
    </w:p>
    <w:p w14:paraId="7BEE0ECD" w14:textId="055174DD" w:rsidR="00F572D3" w:rsidRPr="00272930" w:rsidRDefault="00F572D3" w:rsidP="00B709B7">
      <w:pPr>
        <w:pStyle w:val="BodyText"/>
        <w:numPr>
          <w:ilvl w:val="6"/>
          <w:numId w:val="7"/>
        </w:numPr>
      </w:pPr>
      <w:bookmarkStart w:id="52" w:name="_Ref121125568"/>
      <w:r w:rsidRPr="00272930">
        <w:t>In examining the merits of the European</w:t>
      </w:r>
      <w:r w:rsidR="00DA0ACF" w:rsidRPr="00272930">
        <w:t> Union</w:t>
      </w:r>
      <w:r w:rsidR="00972276" w:rsidRPr="00272930">
        <w:t>'</w:t>
      </w:r>
      <w:r w:rsidRPr="00272930">
        <w:t>s claim under Article</w:t>
      </w:r>
      <w:r w:rsidR="00F2224B" w:rsidRPr="00272930">
        <w:t> </w:t>
      </w:r>
      <w:r w:rsidRPr="00272930">
        <w:t xml:space="preserve">2.4, the Panel observed a </w:t>
      </w:r>
      <w:r w:rsidR="00972276" w:rsidRPr="00272930">
        <w:t>"</w:t>
      </w:r>
      <w:r w:rsidRPr="00272930">
        <w:t>disconnect</w:t>
      </w:r>
      <w:r w:rsidR="00972276" w:rsidRPr="00272930">
        <w:t>"</w:t>
      </w:r>
      <w:r w:rsidRPr="00272930">
        <w:t xml:space="preserve"> between the parties</w:t>
      </w:r>
      <w:r w:rsidR="00972276" w:rsidRPr="00272930">
        <w:t>'</w:t>
      </w:r>
      <w:r w:rsidRPr="00272930">
        <w:t xml:space="preserve"> arguments as they addressed </w:t>
      </w:r>
      <w:r w:rsidR="00972276" w:rsidRPr="00272930">
        <w:t>"</w:t>
      </w:r>
      <w:r w:rsidRPr="00272930">
        <w:t>different types of packaging costs and, hence, distinct and unrelated types of adjustments</w:t>
      </w:r>
      <w:r w:rsidR="00972276" w:rsidRPr="00272930">
        <w:t>"</w:t>
      </w:r>
      <w:r w:rsidRPr="00272930">
        <w:t>.</w:t>
      </w:r>
      <w:r w:rsidRPr="00272930">
        <w:rPr>
          <w:rStyle w:val="FootnoteReference"/>
        </w:rPr>
        <w:footnoteReference w:id="130"/>
      </w:r>
      <w:r w:rsidRPr="00272930">
        <w:t xml:space="preserve"> Specifically, the European</w:t>
      </w:r>
      <w:r w:rsidR="00DA0ACF" w:rsidRPr="00272930">
        <w:t> Union</w:t>
      </w:r>
      <w:r w:rsidR="00972276" w:rsidRPr="00272930">
        <w:t>'</w:t>
      </w:r>
      <w:r w:rsidRPr="00272930">
        <w:t xml:space="preserve">s arguments referred to </w:t>
      </w:r>
      <w:proofErr w:type="spellStart"/>
      <w:r w:rsidRPr="00272930">
        <w:t>Mydibel</w:t>
      </w:r>
      <w:r w:rsidR="00972276" w:rsidRPr="00272930">
        <w:t>'</w:t>
      </w:r>
      <w:r w:rsidRPr="00272930">
        <w:t>s</w:t>
      </w:r>
      <w:proofErr w:type="spellEnd"/>
      <w:r w:rsidRPr="00272930">
        <w:t xml:space="preserve"> request for an adjustment </w:t>
      </w:r>
      <w:r w:rsidR="00972276" w:rsidRPr="00272930">
        <w:t>"</w:t>
      </w:r>
      <w:r w:rsidRPr="00272930">
        <w:t>to account for alleged cost differences</w:t>
      </w:r>
      <w:r w:rsidR="00972276" w:rsidRPr="00272930">
        <w:t>"</w:t>
      </w:r>
      <w:r w:rsidRPr="00272930">
        <w:t xml:space="preserve"> due to </w:t>
      </w:r>
      <w:r w:rsidR="00972276" w:rsidRPr="00272930">
        <w:t>"</w:t>
      </w:r>
      <w:r w:rsidRPr="00272930">
        <w:t>differences in product types and customer specifications</w:t>
      </w:r>
      <w:r w:rsidR="00972276" w:rsidRPr="00272930">
        <w:t>"</w:t>
      </w:r>
      <w:r w:rsidRPr="00272930">
        <w:t>, while Colombia</w:t>
      </w:r>
      <w:r w:rsidR="00972276" w:rsidRPr="00272930">
        <w:t>'</w:t>
      </w:r>
      <w:r w:rsidRPr="00272930">
        <w:t xml:space="preserve">s rebuttal arguments related to an adjustment made by MINCIT </w:t>
      </w:r>
      <w:r w:rsidR="00972276" w:rsidRPr="00272930">
        <w:t>"</w:t>
      </w:r>
      <w:r w:rsidRPr="00272930">
        <w:t xml:space="preserve">to account for the fact that </w:t>
      </w:r>
      <w:proofErr w:type="spellStart"/>
      <w:r w:rsidRPr="00272930">
        <w:t>Mydibel</w:t>
      </w:r>
      <w:r w:rsidR="00972276" w:rsidRPr="00272930">
        <w:t>'</w:t>
      </w:r>
      <w:r w:rsidRPr="00272930">
        <w:t>s</w:t>
      </w:r>
      <w:proofErr w:type="spellEnd"/>
      <w:r w:rsidRPr="00272930">
        <w:t> export sales allegedly incurred additional – and different – packaging costs than its domestic sales</w:t>
      </w:r>
      <w:r w:rsidR="00972276" w:rsidRPr="00272930">
        <w:t>"</w:t>
      </w:r>
      <w:r w:rsidRPr="00272930">
        <w:t>.</w:t>
      </w:r>
      <w:r w:rsidRPr="00272930">
        <w:rPr>
          <w:rStyle w:val="FootnoteReference"/>
        </w:rPr>
        <w:footnoteReference w:id="131"/>
      </w:r>
      <w:r w:rsidRPr="00272930">
        <w:t xml:space="preserve"> Having examined the relevant facts underlying these arguments</w:t>
      </w:r>
      <w:r w:rsidRPr="00272930">
        <w:rPr>
          <w:rStyle w:val="FootnoteReference"/>
        </w:rPr>
        <w:footnoteReference w:id="132"/>
      </w:r>
      <w:r w:rsidRPr="00272930">
        <w:t>, the Panel considered that, because MINCIT</w:t>
      </w:r>
      <w:r w:rsidR="00972276" w:rsidRPr="00272930">
        <w:t>'</w:t>
      </w:r>
      <w:r w:rsidRPr="00272930">
        <w:t xml:space="preserve">s actual consideration of packaging costs </w:t>
      </w:r>
      <w:r w:rsidR="00972276" w:rsidRPr="00272930">
        <w:t>"</w:t>
      </w:r>
      <w:r w:rsidRPr="00272930">
        <w:rPr>
          <w:i/>
          <w:iCs/>
        </w:rPr>
        <w:t>did not respond to</w:t>
      </w:r>
      <w:r w:rsidRPr="00272930">
        <w:t xml:space="preserve"> the substance</w:t>
      </w:r>
      <w:r w:rsidR="008E2988">
        <w:t>"</w:t>
      </w:r>
      <w:r w:rsidRPr="00272930">
        <w:t xml:space="preserve"> of the requested adjustment, MINCIT </w:t>
      </w:r>
      <w:r w:rsidR="00972276" w:rsidRPr="00272930">
        <w:t>"</w:t>
      </w:r>
      <w:r w:rsidRPr="00272930">
        <w:t>failed to provide a proper basis to deny</w:t>
      </w:r>
      <w:r w:rsidR="00972276" w:rsidRPr="00272930">
        <w:t>"</w:t>
      </w:r>
      <w:r w:rsidRPr="00272930">
        <w:t xml:space="preserve"> </w:t>
      </w:r>
      <w:proofErr w:type="spellStart"/>
      <w:r w:rsidRPr="00272930">
        <w:t>Mydibel</w:t>
      </w:r>
      <w:r w:rsidR="00972276" w:rsidRPr="00272930">
        <w:t>'</w:t>
      </w:r>
      <w:r w:rsidRPr="00272930">
        <w:t>s</w:t>
      </w:r>
      <w:proofErr w:type="spellEnd"/>
      <w:r w:rsidRPr="00272930">
        <w:t xml:space="preserve"> request.</w:t>
      </w:r>
      <w:r w:rsidRPr="00272930">
        <w:rPr>
          <w:rStyle w:val="FootnoteReference"/>
        </w:rPr>
        <w:footnoteReference w:id="133"/>
      </w:r>
      <w:r w:rsidRPr="00272930">
        <w:t xml:space="preserve"> The Panel also considered that </w:t>
      </w:r>
      <w:r w:rsidR="00972276" w:rsidRPr="00272930">
        <w:t>"</w:t>
      </w:r>
      <w:r w:rsidRPr="00272930">
        <w:t>MINCIT had no proper basis … to deduct certain other packaging costs from the export price</w:t>
      </w:r>
      <w:r w:rsidR="00972276" w:rsidRPr="00272930">
        <w:t>"</w:t>
      </w:r>
      <w:r w:rsidRPr="00272930">
        <w:t xml:space="preserve"> alone.</w:t>
      </w:r>
      <w:r w:rsidRPr="00272930">
        <w:rPr>
          <w:rStyle w:val="FootnoteReference"/>
        </w:rPr>
        <w:footnoteReference w:id="134"/>
      </w:r>
      <w:r w:rsidRPr="00272930">
        <w:t xml:space="preserve"> Both considerations served </w:t>
      </w:r>
      <w:r w:rsidR="00E07A11" w:rsidRPr="00272930">
        <w:t xml:space="preserve">as </w:t>
      </w:r>
      <w:r w:rsidRPr="00272930">
        <w:t>the basis for the Panel</w:t>
      </w:r>
      <w:r w:rsidR="00972276" w:rsidRPr="00272930">
        <w:t>'</w:t>
      </w:r>
      <w:r w:rsidRPr="00272930">
        <w:t xml:space="preserve">s ultimate conclusion that Colombia had acted </w:t>
      </w:r>
      <w:r w:rsidR="00972276" w:rsidRPr="00272930">
        <w:t>inconsistently</w:t>
      </w:r>
      <w:r w:rsidRPr="00272930">
        <w:t xml:space="preserve"> with Article</w:t>
      </w:r>
      <w:r w:rsidR="00F2224B" w:rsidRPr="00272930">
        <w:t> </w:t>
      </w:r>
      <w:r w:rsidRPr="00272930">
        <w:t>2.4 for its failure to make a fair comparison. These findings are not subject to</w:t>
      </w:r>
      <w:r w:rsidR="00850883">
        <w:t xml:space="preserve">, </w:t>
      </w:r>
      <w:r w:rsidRPr="00272930">
        <w:t>but provide relevant background for assessing</w:t>
      </w:r>
      <w:r w:rsidR="00850883">
        <w:t>,</w:t>
      </w:r>
      <w:r w:rsidRPr="00272930">
        <w:t xml:space="preserve"> Colombia</w:t>
      </w:r>
      <w:r w:rsidR="00972276" w:rsidRPr="00272930">
        <w:t>'</w:t>
      </w:r>
      <w:r w:rsidRPr="00272930">
        <w:t>s appeal under Article</w:t>
      </w:r>
      <w:r w:rsidR="00F2224B" w:rsidRPr="00272930">
        <w:t> </w:t>
      </w:r>
      <w:r w:rsidRPr="00272930">
        <w:t>6.2 of the DSU.</w:t>
      </w:r>
      <w:bookmarkEnd w:id="52"/>
    </w:p>
    <w:p w14:paraId="76BAC634" w14:textId="4DEF3CE4" w:rsidR="00F572D3" w:rsidRPr="00272930" w:rsidRDefault="00F572D3" w:rsidP="00B709B7">
      <w:pPr>
        <w:pStyle w:val="Heading3"/>
        <w:numPr>
          <w:ilvl w:val="2"/>
          <w:numId w:val="7"/>
        </w:numPr>
      </w:pPr>
      <w:bookmarkStart w:id="53" w:name="_Toc122339719"/>
      <w:r w:rsidRPr="00272930">
        <w:t>Whether the Panel erred in finding that the European Union</w:t>
      </w:r>
      <w:r w:rsidR="00972276" w:rsidRPr="00272930">
        <w:t>'</w:t>
      </w:r>
      <w:r w:rsidRPr="00272930">
        <w:t>s </w:t>
      </w:r>
      <w:r w:rsidR="008E2988">
        <w:t>"</w:t>
      </w:r>
      <w:r w:rsidRPr="00272930">
        <w:t>packaging cost</w:t>
      </w:r>
      <w:r w:rsidR="00F936AB" w:rsidRPr="00272930">
        <w:noBreakHyphen/>
      </w:r>
      <w:r w:rsidRPr="00272930">
        <w:t>related claim</w:t>
      </w:r>
      <w:r w:rsidR="008E2988">
        <w:t>"</w:t>
      </w:r>
      <w:r w:rsidRPr="00272930">
        <w:t xml:space="preserve"> under Article</w:t>
      </w:r>
      <w:r w:rsidR="00F2224B" w:rsidRPr="00272930">
        <w:t> </w:t>
      </w:r>
      <w:r w:rsidRPr="00272930">
        <w:t>2.4 of the Anti-Dumping Agreement was within the Panel</w:t>
      </w:r>
      <w:r w:rsidR="00972276" w:rsidRPr="00272930">
        <w:t>'</w:t>
      </w:r>
      <w:r w:rsidRPr="00272930">
        <w:t>s terms of reference pursuant to Article</w:t>
      </w:r>
      <w:r w:rsidR="00F2224B" w:rsidRPr="00272930">
        <w:t> </w:t>
      </w:r>
      <w:r w:rsidRPr="00272930">
        <w:t>6.2 of the DSU</w:t>
      </w:r>
      <w:bookmarkEnd w:id="53"/>
    </w:p>
    <w:p w14:paraId="7652C348" w14:textId="2A4CFD5B" w:rsidR="00F572D3" w:rsidRPr="00272930" w:rsidRDefault="00F572D3" w:rsidP="00B709B7">
      <w:pPr>
        <w:pStyle w:val="BodyText"/>
        <w:numPr>
          <w:ilvl w:val="6"/>
          <w:numId w:val="7"/>
        </w:numPr>
      </w:pPr>
      <w:r w:rsidRPr="00272930">
        <w:t>Pursuant to Article</w:t>
      </w:r>
      <w:r w:rsidR="00F2224B" w:rsidRPr="00272930">
        <w:t> </w:t>
      </w:r>
      <w:r w:rsidRPr="00272930">
        <w:t xml:space="preserve">6.2 of the DSU, the </w:t>
      </w:r>
      <w:r w:rsidR="00972276" w:rsidRPr="00272930">
        <w:t>"</w:t>
      </w:r>
      <w:r w:rsidRPr="00272930">
        <w:t>specific measures at issue</w:t>
      </w:r>
      <w:r w:rsidR="00972276" w:rsidRPr="00272930">
        <w:t>"</w:t>
      </w:r>
      <w:r w:rsidRPr="00272930">
        <w:t xml:space="preserve"> and </w:t>
      </w:r>
      <w:r w:rsidR="00972276" w:rsidRPr="00272930">
        <w:t>"</w:t>
      </w:r>
      <w:r w:rsidRPr="00272930">
        <w:t>a brief summary of the legal basis of the complaint</w:t>
      </w:r>
      <w:r w:rsidR="00972276" w:rsidRPr="00272930">
        <w:t>"</w:t>
      </w:r>
      <w:r w:rsidRPr="00272930">
        <w:t xml:space="preserve"> </w:t>
      </w:r>
      <w:r w:rsidR="008E2988">
        <w:t>identified</w:t>
      </w:r>
      <w:r w:rsidR="008E2988" w:rsidRPr="00272930">
        <w:t xml:space="preserve"> </w:t>
      </w:r>
      <w:r w:rsidRPr="00272930">
        <w:t xml:space="preserve">in a panel request constitute the </w:t>
      </w:r>
      <w:r w:rsidR="00972276" w:rsidRPr="00272930">
        <w:t>"</w:t>
      </w:r>
      <w:r w:rsidRPr="00272930">
        <w:t>matter referred to the DSB</w:t>
      </w:r>
      <w:r w:rsidR="00972276" w:rsidRPr="00272930">
        <w:t>"</w:t>
      </w:r>
      <w:r w:rsidRPr="00272930">
        <w:t xml:space="preserve"> which, pursuant to Article 7.1 of the DSU, forms the basis of a Panel</w:t>
      </w:r>
      <w:r w:rsidR="00972276" w:rsidRPr="00272930">
        <w:t>'</w:t>
      </w:r>
      <w:r w:rsidRPr="00272930">
        <w:t xml:space="preserve">s terms of reference. The term </w:t>
      </w:r>
      <w:r w:rsidR="00972276" w:rsidRPr="00272930">
        <w:t>"</w:t>
      </w:r>
      <w:r w:rsidRPr="00272930">
        <w:t>legal basis of the complaint</w:t>
      </w:r>
      <w:r w:rsidR="00972276" w:rsidRPr="00272930">
        <w:t>"</w:t>
      </w:r>
      <w:r w:rsidRPr="00272930">
        <w:t xml:space="preserve"> in Article</w:t>
      </w:r>
      <w:r w:rsidR="00F2224B" w:rsidRPr="00272930">
        <w:t> </w:t>
      </w:r>
      <w:r w:rsidRPr="00272930">
        <w:t xml:space="preserve">6.2 has been understood to mean the </w:t>
      </w:r>
      <w:r w:rsidR="00972276" w:rsidRPr="00272930">
        <w:t>"</w:t>
      </w:r>
      <w:r w:rsidRPr="00272930">
        <w:t>claim</w:t>
      </w:r>
      <w:r w:rsidR="00972276" w:rsidRPr="00272930">
        <w:t>"</w:t>
      </w:r>
      <w:r w:rsidRPr="00272930">
        <w:t xml:space="preserve"> brought by a complainant in a dispute, such as an allegation that the responding party has acted inconsistently with an identified provision of a particular agreement.</w:t>
      </w:r>
      <w:r w:rsidRPr="00272930">
        <w:rPr>
          <w:rStyle w:val="FootnoteReference"/>
        </w:rPr>
        <w:footnoteReference w:id="135"/>
      </w:r>
      <w:r w:rsidRPr="00272930">
        <w:t xml:space="preserve"> To fulfil the requirement to provide a </w:t>
      </w:r>
      <w:r w:rsidR="00972276" w:rsidRPr="00272930">
        <w:t>"</w:t>
      </w:r>
      <w:r w:rsidRPr="00272930">
        <w:t>brief summary</w:t>
      </w:r>
      <w:r w:rsidR="00972276" w:rsidRPr="00272930">
        <w:t>"</w:t>
      </w:r>
      <w:r w:rsidRPr="00272930">
        <w:t xml:space="preserve"> of the claim sufficient to </w:t>
      </w:r>
      <w:r w:rsidR="00972276" w:rsidRPr="00272930">
        <w:t>"</w:t>
      </w:r>
      <w:r w:rsidRPr="00272930">
        <w:t>present the problem clearly</w:t>
      </w:r>
      <w:r w:rsidR="00972276" w:rsidRPr="00272930">
        <w:t>"</w:t>
      </w:r>
      <w:r w:rsidRPr="00272930">
        <w:t>, findings in prior disputes suggest that the complaining party must plainly connect the challenged measure(s) with the provision(s) of the covered agreements claimed to have been infringed</w:t>
      </w:r>
      <w:r w:rsidRPr="00272930">
        <w:rPr>
          <w:rFonts w:eastAsia="Times New Roman"/>
        </w:rPr>
        <w:t>.</w:t>
      </w:r>
      <w:r w:rsidRPr="00272930">
        <w:rPr>
          <w:rFonts w:eastAsia="Times New Roman"/>
          <w:vertAlign w:val="superscript"/>
        </w:rPr>
        <w:footnoteReference w:id="136"/>
      </w:r>
      <w:r w:rsidRPr="00272930">
        <w:rPr>
          <w:rFonts w:eastAsia="Times New Roman"/>
        </w:rPr>
        <w:t xml:space="preserve"> Furthermore, w</w:t>
      </w:r>
      <w:r w:rsidRPr="00272930">
        <w:t>hile the failure to set out a claim in the panel request excludes such claim from the panel</w:t>
      </w:r>
      <w:r w:rsidR="00972276" w:rsidRPr="00272930">
        <w:t>'</w:t>
      </w:r>
      <w:r w:rsidRPr="00272930">
        <w:t xml:space="preserve">s terms of reference, the same is not true for arguments. In contrast to claims, </w:t>
      </w:r>
      <w:r w:rsidR="00972276" w:rsidRPr="00272930">
        <w:t>"</w:t>
      </w:r>
      <w:r w:rsidRPr="00272930">
        <w:t>arguments</w:t>
      </w:r>
      <w:r w:rsidR="00972276" w:rsidRPr="00272930">
        <w:t>"</w:t>
      </w:r>
      <w:r w:rsidRPr="00272930">
        <w:t xml:space="preserve"> are the reasons put forth by a complaining party to demonstrate that the responding party</w:t>
      </w:r>
      <w:r w:rsidR="00972276" w:rsidRPr="00272930">
        <w:t>'</w:t>
      </w:r>
      <w:r w:rsidRPr="00272930">
        <w:t xml:space="preserve">s measure does indeed </w:t>
      </w:r>
      <w:r w:rsidRPr="00272930">
        <w:lastRenderedPageBreak/>
        <w:t>infringe upon the identified treaty provision.</w:t>
      </w:r>
      <w:r w:rsidRPr="00272930">
        <w:rPr>
          <w:rStyle w:val="FootnoteReference"/>
        </w:rPr>
        <w:footnoteReference w:id="137"/>
      </w:r>
      <w:r w:rsidRPr="00272930">
        <w:t xml:space="preserve"> As such, they are not part of </w:t>
      </w:r>
      <w:r w:rsidR="00972276" w:rsidRPr="00272930">
        <w:t>"</w:t>
      </w:r>
      <w:r w:rsidRPr="00272930">
        <w:t>a brief summary of the legal basis of the complaint</w:t>
      </w:r>
      <w:r w:rsidR="00972276" w:rsidRPr="00272930">
        <w:t>"</w:t>
      </w:r>
      <w:r w:rsidRPr="00272930">
        <w:t xml:space="preserve"> and need not be included in the panel request.</w:t>
      </w:r>
      <w:r w:rsidRPr="00272930">
        <w:rPr>
          <w:rStyle w:val="FootnoteReference"/>
        </w:rPr>
        <w:footnoteReference w:id="138"/>
      </w:r>
      <w:r w:rsidRPr="00272930">
        <w:t xml:space="preserve"> We understand that the parties, in principle, agree with the applicable legal standard under Article</w:t>
      </w:r>
      <w:r w:rsidR="00F2224B" w:rsidRPr="00272930">
        <w:t> </w:t>
      </w:r>
      <w:r w:rsidRPr="00272930">
        <w:t>6.2 as set out above.</w:t>
      </w:r>
      <w:r w:rsidRPr="00272930">
        <w:rPr>
          <w:rStyle w:val="FootnoteReference"/>
        </w:rPr>
        <w:footnoteReference w:id="139"/>
      </w:r>
    </w:p>
    <w:p w14:paraId="601A8DE0" w14:textId="66A060E0" w:rsidR="00F572D3" w:rsidRPr="00272930" w:rsidRDefault="00F572D3" w:rsidP="00B709B7">
      <w:pPr>
        <w:pStyle w:val="BodyText"/>
        <w:numPr>
          <w:ilvl w:val="6"/>
          <w:numId w:val="7"/>
        </w:numPr>
      </w:pPr>
      <w:r w:rsidRPr="00272930">
        <w:t>On appeal, Colombia contends that the Panel</w:t>
      </w:r>
      <w:r w:rsidR="00972276" w:rsidRPr="00272930">
        <w:t>'</w:t>
      </w:r>
      <w:r w:rsidRPr="00272930">
        <w:t>s findings under Article</w:t>
      </w:r>
      <w:r w:rsidR="00F2224B" w:rsidRPr="00272930">
        <w:t> </w:t>
      </w:r>
      <w:r w:rsidRPr="00272930">
        <w:t xml:space="preserve">6.2 of the DSU do not correctly reflect the distinction between </w:t>
      </w:r>
      <w:r w:rsidR="00972276" w:rsidRPr="00272930">
        <w:t>"</w:t>
      </w:r>
      <w:r w:rsidRPr="00272930">
        <w:t>claims</w:t>
      </w:r>
      <w:r w:rsidR="00972276" w:rsidRPr="00272930">
        <w:t>"</w:t>
      </w:r>
      <w:r w:rsidRPr="00272930">
        <w:t xml:space="preserve"> and </w:t>
      </w:r>
      <w:r w:rsidR="00972276" w:rsidRPr="00272930">
        <w:t>"</w:t>
      </w:r>
      <w:r w:rsidRPr="00272930">
        <w:t>arguments</w:t>
      </w:r>
      <w:r w:rsidR="00972276" w:rsidRPr="00272930">
        <w:t>"</w:t>
      </w:r>
      <w:r w:rsidRPr="00272930">
        <w:t>.</w:t>
      </w:r>
      <w:r w:rsidRPr="00272930">
        <w:rPr>
          <w:rStyle w:val="FootnoteReference"/>
        </w:rPr>
        <w:footnoteReference w:id="140"/>
      </w:r>
      <w:r w:rsidRPr="00272930">
        <w:t xml:space="preserve"> According to Colombia, the European</w:t>
      </w:r>
      <w:r w:rsidR="00DA0ACF" w:rsidRPr="00272930">
        <w:t> Union</w:t>
      </w:r>
      <w:r w:rsidR="00972276" w:rsidRPr="00272930">
        <w:t>'</w:t>
      </w:r>
      <w:r w:rsidRPr="00272930">
        <w:t xml:space="preserve">s panel request only lists a claim regarding packaging cost </w:t>
      </w:r>
      <w:proofErr w:type="gramStart"/>
      <w:r w:rsidRPr="00272930">
        <w:rPr>
          <w:i/>
          <w:iCs/>
        </w:rPr>
        <w:t>adjustments</w:t>
      </w:r>
      <w:r w:rsidRPr="00272930">
        <w:t>, and</w:t>
      </w:r>
      <w:proofErr w:type="gramEnd"/>
      <w:r w:rsidRPr="00272930">
        <w:t xml:space="preserve"> does not cover calculation-related and similar errors such as, in Colombia</w:t>
      </w:r>
      <w:r w:rsidR="00972276" w:rsidRPr="00272930">
        <w:t>'</w:t>
      </w:r>
      <w:r w:rsidRPr="00272930">
        <w:t>s view, the European</w:t>
      </w:r>
      <w:r w:rsidR="00DA0ACF" w:rsidRPr="00272930">
        <w:t> Union</w:t>
      </w:r>
      <w:r w:rsidR="00972276" w:rsidRPr="00272930">
        <w:t>'</w:t>
      </w:r>
      <w:r w:rsidRPr="00272930">
        <w:t xml:space="preserve">s </w:t>
      </w:r>
      <w:r w:rsidRPr="00D177C1">
        <w:t xml:space="preserve">asymmetrical deduction </w:t>
      </w:r>
      <w:r w:rsidR="008E2988">
        <w:t>"</w:t>
      </w:r>
      <w:r w:rsidRPr="00D177C1">
        <w:t>claim</w:t>
      </w:r>
      <w:r w:rsidR="00972276" w:rsidRPr="00272930">
        <w:t>"</w:t>
      </w:r>
      <w:r w:rsidRPr="00272930">
        <w:t xml:space="preserve">. Colombia considers that the two </w:t>
      </w:r>
      <w:r w:rsidR="00972276" w:rsidRPr="00272930">
        <w:t>"</w:t>
      </w:r>
      <w:r w:rsidRPr="00272930">
        <w:t>claims</w:t>
      </w:r>
      <w:r w:rsidR="00972276" w:rsidRPr="00272930">
        <w:t>"</w:t>
      </w:r>
      <w:r w:rsidRPr="00272930">
        <w:t xml:space="preserve"> are </w:t>
      </w:r>
      <w:r w:rsidR="001F231E" w:rsidRPr="00272930">
        <w:t>"</w:t>
      </w:r>
      <w:r w:rsidRPr="00272930">
        <w:t>distinct, involve two</w:t>
      </w:r>
      <w:r w:rsidR="00270F7B" w:rsidRPr="00272930">
        <w:t> </w:t>
      </w:r>
      <w:r w:rsidRPr="00272930">
        <w:t>different sets of facts and two separate, independent decisions by an investigating authority</w:t>
      </w:r>
      <w:r w:rsidR="00972276" w:rsidRPr="00272930">
        <w:t>"</w:t>
      </w:r>
      <w:r w:rsidRPr="00272930">
        <w:t>.</w:t>
      </w:r>
      <w:r w:rsidRPr="00272930">
        <w:rPr>
          <w:rStyle w:val="FootnoteReference"/>
        </w:rPr>
        <w:footnoteReference w:id="141"/>
      </w:r>
      <w:r w:rsidRPr="00272930">
        <w:t xml:space="preserve"> The European</w:t>
      </w:r>
      <w:r w:rsidR="00DA0ACF" w:rsidRPr="00272930">
        <w:t> Union</w:t>
      </w:r>
      <w:r w:rsidRPr="00272930">
        <w:t xml:space="preserve"> responds that </w:t>
      </w:r>
      <w:r w:rsidR="00972276" w:rsidRPr="00272930">
        <w:t>"</w:t>
      </w:r>
      <w:r w:rsidRPr="00272930">
        <w:t>Colombia attempts to create an impression of two distinct claims where there is, in fact, only one: MINCIT disregarded its obligations under Article</w:t>
      </w:r>
      <w:r w:rsidR="00F2224B" w:rsidRPr="00272930">
        <w:t> </w:t>
      </w:r>
      <w:r w:rsidRPr="00272930">
        <w:t>2.4 … by carrying out an unfair comparison between normal value and export price, because various due allowances/adjustments were not done properly (which includes due allowances/adjustments for packaging costs)</w:t>
      </w:r>
      <w:r w:rsidR="00A87889" w:rsidRPr="00272930">
        <w:t>.</w:t>
      </w:r>
      <w:r w:rsidR="00972276" w:rsidRPr="00272930">
        <w:t>"</w:t>
      </w:r>
      <w:r w:rsidRPr="00272930">
        <w:rPr>
          <w:rStyle w:val="FootnoteReference"/>
        </w:rPr>
        <w:footnoteReference w:id="142"/>
      </w:r>
    </w:p>
    <w:p w14:paraId="75C1B9CA" w14:textId="31B162E4" w:rsidR="00F572D3" w:rsidRPr="00272930" w:rsidRDefault="00F572D3" w:rsidP="00B709B7">
      <w:pPr>
        <w:pStyle w:val="BodyText"/>
        <w:numPr>
          <w:ilvl w:val="6"/>
          <w:numId w:val="7"/>
        </w:numPr>
      </w:pPr>
      <w:r w:rsidRPr="00272930">
        <w:t>The European</w:t>
      </w:r>
      <w:r w:rsidR="00DA0ACF" w:rsidRPr="00272930">
        <w:t> Union</w:t>
      </w:r>
      <w:r w:rsidR="00972276" w:rsidRPr="00272930">
        <w:t>'</w:t>
      </w:r>
      <w:r w:rsidRPr="00272930">
        <w:t xml:space="preserve">s claim related to packaging costs is set out in </w:t>
      </w:r>
      <w:r w:rsidR="00270F7B" w:rsidRPr="00272930">
        <w:t>paragraph </w:t>
      </w:r>
      <w:r w:rsidRPr="00272930">
        <w:t>5 of its panel request and incorporates language from the first and third sentences of Article</w:t>
      </w:r>
      <w:r w:rsidR="00F2224B" w:rsidRPr="00272930">
        <w:t> </w:t>
      </w:r>
      <w:r w:rsidRPr="00272930">
        <w:t>2.4 of the Anti</w:t>
      </w:r>
      <w:r w:rsidR="0062276F" w:rsidRPr="00272930">
        <w:noBreakHyphen/>
      </w:r>
      <w:r w:rsidRPr="00272930">
        <w:t xml:space="preserve">Dumping Agreement. Reading </w:t>
      </w:r>
      <w:r w:rsidR="00270F7B" w:rsidRPr="00272930">
        <w:t>paragraph </w:t>
      </w:r>
      <w:r w:rsidRPr="00272930">
        <w:t xml:space="preserve">5 of the panel request </w:t>
      </w:r>
      <w:proofErr w:type="gramStart"/>
      <w:r w:rsidRPr="00272930">
        <w:t>in light of</w:t>
      </w:r>
      <w:proofErr w:type="gramEnd"/>
      <w:r w:rsidRPr="00272930">
        <w:t xml:space="preserve"> Article</w:t>
      </w:r>
      <w:r w:rsidR="00F2224B" w:rsidRPr="00272930">
        <w:t> </w:t>
      </w:r>
      <w:r w:rsidRPr="00272930">
        <w:t>2.4, both quoted above</w:t>
      </w:r>
      <w:r w:rsidRPr="00272930">
        <w:rPr>
          <w:rStyle w:val="FootnoteReference"/>
        </w:rPr>
        <w:footnoteReference w:id="143"/>
      </w:r>
      <w:r w:rsidRPr="00272930">
        <w:t>, we agree with the Panel</w:t>
      </w:r>
      <w:r w:rsidR="00972276" w:rsidRPr="00272930">
        <w:t>'</w:t>
      </w:r>
      <w:r w:rsidRPr="00272930">
        <w:t xml:space="preserve">s description of the relevant claim set out in </w:t>
      </w:r>
      <w:r w:rsidR="00270F7B" w:rsidRPr="00272930">
        <w:t>paragraph </w:t>
      </w:r>
      <w:r w:rsidRPr="00272930">
        <w:t>5:</w:t>
      </w:r>
    </w:p>
    <w:p w14:paraId="24017E69" w14:textId="70EBDA89" w:rsidR="00F572D3" w:rsidRPr="00272930" w:rsidRDefault="0062276F" w:rsidP="00B709B7">
      <w:pPr>
        <w:pStyle w:val="Quotation"/>
      </w:pPr>
      <w:r w:rsidRPr="00272930">
        <w:t>[T]</w:t>
      </w:r>
      <w:r w:rsidR="00F572D3" w:rsidRPr="00272930">
        <w:t xml:space="preserve">he European Union describes the elements of its Article 2.4 complaint as being: (a) the alleged failure to </w:t>
      </w:r>
      <w:r w:rsidR="00972276" w:rsidRPr="00272930">
        <w:t>"</w:t>
      </w:r>
      <w:r w:rsidR="00F572D3" w:rsidRPr="00272930">
        <w:t>make a fair comparison between the export price and the normal value</w:t>
      </w:r>
      <w:r w:rsidR="00972276" w:rsidRPr="00272930">
        <w:t>"</w:t>
      </w:r>
      <w:r w:rsidR="00F572D3" w:rsidRPr="00272930">
        <w:t>; (b) </w:t>
      </w:r>
      <w:r w:rsidR="00972276" w:rsidRPr="00272930">
        <w:t>"</w:t>
      </w:r>
      <w:r w:rsidR="00F572D3" w:rsidRPr="00272930">
        <w:t>[i]n particular</w:t>
      </w:r>
      <w:r w:rsidR="00972276" w:rsidRPr="00272930">
        <w:t>"</w:t>
      </w:r>
      <w:r w:rsidR="00F572D3" w:rsidRPr="00272930">
        <w:t xml:space="preserve">, the alleged failure to </w:t>
      </w:r>
      <w:r w:rsidR="00972276" w:rsidRPr="00272930">
        <w:t>"</w:t>
      </w:r>
      <w:r w:rsidR="00F572D3" w:rsidRPr="00272930">
        <w:t>make due allowances for differences … affect[</w:t>
      </w:r>
      <w:proofErr w:type="spellStart"/>
      <w:r w:rsidR="00F572D3" w:rsidRPr="00272930">
        <w:t>ing</w:t>
      </w:r>
      <w:proofErr w:type="spellEnd"/>
      <w:r w:rsidR="00F572D3" w:rsidRPr="00272930">
        <w:t>] price comparability</w:t>
      </w:r>
      <w:r w:rsidR="00972276" w:rsidRPr="00272930">
        <w:t>"</w:t>
      </w:r>
      <w:r w:rsidR="00F572D3" w:rsidRPr="00272930">
        <w:t>; and (c) as an example (</w:t>
      </w:r>
      <w:r w:rsidR="00972276" w:rsidRPr="00272930">
        <w:t>"</w:t>
      </w:r>
      <w:r w:rsidR="00F572D3" w:rsidRPr="00AB5F5B">
        <w:rPr>
          <w:i/>
        </w:rPr>
        <w:t>inter alia</w:t>
      </w:r>
      <w:r w:rsidR="00972276" w:rsidRPr="00272930">
        <w:t>"</w:t>
      </w:r>
      <w:r w:rsidR="00F572D3" w:rsidRPr="00272930">
        <w:t>), Colombia</w:t>
      </w:r>
      <w:r w:rsidR="00972276" w:rsidRPr="00272930">
        <w:t>'</w:t>
      </w:r>
      <w:r w:rsidR="00F572D3" w:rsidRPr="00272930">
        <w:t xml:space="preserve">s alleged disregard for </w:t>
      </w:r>
      <w:r w:rsidR="00972276" w:rsidRPr="00272930">
        <w:t>"</w:t>
      </w:r>
      <w:r w:rsidR="00F572D3" w:rsidRPr="00272930">
        <w:t>differences in packaging</w:t>
      </w:r>
      <w:r w:rsidR="00972276" w:rsidRPr="00272930">
        <w:t>"</w:t>
      </w:r>
      <w:r w:rsidR="00F572D3" w:rsidRPr="00272930">
        <w:t>.</w:t>
      </w:r>
      <w:r w:rsidR="00F572D3" w:rsidRPr="00272930">
        <w:rPr>
          <w:rStyle w:val="FootnoteReference"/>
        </w:rPr>
        <w:footnoteReference w:id="144"/>
      </w:r>
    </w:p>
    <w:p w14:paraId="685B37B7" w14:textId="7D2BA5C8" w:rsidR="00F572D3" w:rsidRPr="00272930" w:rsidRDefault="00F572D3" w:rsidP="00B709B7">
      <w:pPr>
        <w:pStyle w:val="BodyText"/>
        <w:numPr>
          <w:ilvl w:val="6"/>
          <w:numId w:val="7"/>
        </w:numPr>
      </w:pPr>
      <w:r w:rsidRPr="00272930">
        <w:t>Therefore, the European</w:t>
      </w:r>
      <w:r w:rsidR="00DA0ACF" w:rsidRPr="00272930">
        <w:t> Union</w:t>
      </w:r>
      <w:r w:rsidR="00972276" w:rsidRPr="00272930">
        <w:t>'</w:t>
      </w:r>
      <w:r w:rsidRPr="00272930">
        <w:t>s panel request plainly connects (i)</w:t>
      </w:r>
      <w:r w:rsidR="00F2224B" w:rsidRPr="00272930">
        <w:t> </w:t>
      </w:r>
      <w:r w:rsidRPr="00272930">
        <w:t>the relevant aspect of the measure, i.e. MINCIT</w:t>
      </w:r>
      <w:r w:rsidR="00972276" w:rsidRPr="00272930">
        <w:t>'</w:t>
      </w:r>
      <w:r w:rsidRPr="00272930">
        <w:t>s treatment of differences affecting price comparability, including its alleged disregard of packaging differences, with (ii)</w:t>
      </w:r>
      <w:r w:rsidR="00F2224B" w:rsidRPr="00272930">
        <w:t> </w:t>
      </w:r>
      <w:r w:rsidRPr="00272930">
        <w:t xml:space="preserve">the relevant provision of the covered agreements, namely, the requirement to make </w:t>
      </w:r>
      <w:r w:rsidR="00972276" w:rsidRPr="00272930">
        <w:t>"</w:t>
      </w:r>
      <w:r w:rsidRPr="00272930">
        <w:t>due allowance</w:t>
      </w:r>
      <w:r w:rsidR="00972276" w:rsidRPr="00272930">
        <w:t>"</w:t>
      </w:r>
      <w:r w:rsidRPr="00272930">
        <w:t xml:space="preserve"> for differences affecting price comparability and a </w:t>
      </w:r>
      <w:r w:rsidR="00972276" w:rsidRPr="00272930">
        <w:t>"</w:t>
      </w:r>
      <w:r w:rsidRPr="00272930">
        <w:t>fair comparison</w:t>
      </w:r>
      <w:r w:rsidR="00972276" w:rsidRPr="00272930">
        <w:t>"</w:t>
      </w:r>
      <w:r w:rsidRPr="00272930">
        <w:t xml:space="preserve"> under Article</w:t>
      </w:r>
      <w:r w:rsidR="00F2224B" w:rsidRPr="00272930">
        <w:t> </w:t>
      </w:r>
      <w:r w:rsidRPr="00272930">
        <w:t>2.4.</w:t>
      </w:r>
      <w:r w:rsidRPr="00272930">
        <w:rPr>
          <w:rStyle w:val="FootnoteReference"/>
        </w:rPr>
        <w:footnoteReference w:id="145"/>
      </w:r>
      <w:r w:rsidR="0046762C" w:rsidRPr="00272930">
        <w:t xml:space="preserve"> </w:t>
      </w:r>
      <w:r w:rsidRPr="00272930">
        <w:t xml:space="preserve">As the Panel also noted, the alleged disregard for differences in packaging is listed as an </w:t>
      </w:r>
      <w:r w:rsidR="00972276" w:rsidRPr="00272930">
        <w:t>"</w:t>
      </w:r>
      <w:r w:rsidRPr="00272930">
        <w:t>example</w:t>
      </w:r>
      <w:r w:rsidR="00972276" w:rsidRPr="00272930">
        <w:t>"</w:t>
      </w:r>
      <w:r w:rsidRPr="00272930">
        <w:t xml:space="preserve">. As such, it helps to illustrate the claim, but </w:t>
      </w:r>
      <w:r w:rsidR="00F90197" w:rsidRPr="00272930">
        <w:t>t</w:t>
      </w:r>
      <w:r w:rsidRPr="00272930">
        <w:t>he fact that the European</w:t>
      </w:r>
      <w:r w:rsidR="00DA0ACF" w:rsidRPr="00272930">
        <w:t> Union</w:t>
      </w:r>
      <w:r w:rsidRPr="00272930">
        <w:t xml:space="preserve"> chose to elaborate by providing examples should not be taken as narrowing the scope of the claim.</w:t>
      </w:r>
      <w:r w:rsidRPr="00272930">
        <w:rPr>
          <w:rStyle w:val="FootnoteReference"/>
        </w:rPr>
        <w:footnoteReference w:id="146"/>
      </w:r>
    </w:p>
    <w:p w14:paraId="0E7562D1" w14:textId="0E83EB83" w:rsidR="00F572D3" w:rsidRPr="00272930" w:rsidRDefault="00F572D3" w:rsidP="00B709B7">
      <w:pPr>
        <w:pStyle w:val="BodyText"/>
        <w:numPr>
          <w:ilvl w:val="6"/>
          <w:numId w:val="7"/>
        </w:numPr>
      </w:pPr>
      <w:r w:rsidRPr="00272930">
        <w:t xml:space="preserve">The requirement to make </w:t>
      </w:r>
      <w:r w:rsidR="00972276" w:rsidRPr="00272930">
        <w:t>"</w:t>
      </w:r>
      <w:r w:rsidRPr="00272930">
        <w:t>[d]</w:t>
      </w:r>
      <w:proofErr w:type="spellStart"/>
      <w:r w:rsidRPr="00272930">
        <w:t>ue</w:t>
      </w:r>
      <w:proofErr w:type="spellEnd"/>
      <w:r w:rsidRPr="00272930">
        <w:t xml:space="preserve"> allowance</w:t>
      </w:r>
      <w:r w:rsidR="00972276" w:rsidRPr="00272930">
        <w:t>"</w:t>
      </w:r>
      <w:r w:rsidRPr="00272930">
        <w:t xml:space="preserve"> in Article</w:t>
      </w:r>
      <w:r w:rsidR="00F2224B" w:rsidRPr="00272930">
        <w:t> </w:t>
      </w:r>
      <w:r w:rsidRPr="00272930">
        <w:t xml:space="preserve">2.4 has been understood to mean that </w:t>
      </w:r>
      <w:r w:rsidR="00972276" w:rsidRPr="00272930">
        <w:t>"</w:t>
      </w:r>
      <w:r w:rsidRPr="00272930">
        <w:rPr>
          <w:i/>
          <w:iCs/>
        </w:rPr>
        <w:t>additions or deductions</w:t>
      </w:r>
      <w:r w:rsidRPr="00272930">
        <w:t xml:space="preserve"> in appropriate amounts to the export price or normal value may be required to account for </w:t>
      </w:r>
      <w:r w:rsidR="00972276" w:rsidRPr="00272930">
        <w:t>'</w:t>
      </w:r>
      <w:r w:rsidRPr="00272930">
        <w:t>differences</w:t>
      </w:r>
      <w:r w:rsidR="00972276" w:rsidRPr="00272930">
        <w:t>'</w:t>
      </w:r>
      <w:r w:rsidR="003C2D50">
        <w:t> … </w:t>
      </w:r>
      <w:r w:rsidRPr="00272930">
        <w:t>affect</w:t>
      </w:r>
      <w:r w:rsidR="003C2D50">
        <w:t>[</w:t>
      </w:r>
      <w:proofErr w:type="spellStart"/>
      <w:r w:rsidRPr="00272930">
        <w:t>ing</w:t>
      </w:r>
      <w:proofErr w:type="spellEnd"/>
      <w:r w:rsidR="003C2D50">
        <w:t>]</w:t>
      </w:r>
      <w:r w:rsidRPr="00272930">
        <w:t xml:space="preserve"> price comparability, thereby ensuring the </w:t>
      </w:r>
      <w:r w:rsidR="00972276" w:rsidRPr="00272930">
        <w:t>'</w:t>
      </w:r>
      <w:r w:rsidRPr="00272930">
        <w:t>fairness</w:t>
      </w:r>
      <w:r w:rsidR="00972276" w:rsidRPr="00272930">
        <w:t>'</w:t>
      </w:r>
      <w:r w:rsidRPr="00272930">
        <w:t xml:space="preserve"> of the comparison</w:t>
      </w:r>
      <w:r w:rsidR="00972276" w:rsidRPr="00272930">
        <w:t>"</w:t>
      </w:r>
      <w:r w:rsidRPr="00272930">
        <w:t>.</w:t>
      </w:r>
      <w:r w:rsidRPr="00272930">
        <w:rPr>
          <w:rStyle w:val="FootnoteReference"/>
        </w:rPr>
        <w:footnoteReference w:id="147"/>
      </w:r>
      <w:r w:rsidRPr="00272930">
        <w:t xml:space="preserve"> It has also been noted that </w:t>
      </w:r>
      <w:r w:rsidR="00972276" w:rsidRPr="00272930">
        <w:t>"</w:t>
      </w:r>
      <w:r w:rsidRPr="00272930">
        <w:t>Article 2.4 prohibits investigating authorities from making adjustments … when [differences in characteristics] have no impact on price comparability</w:t>
      </w:r>
      <w:r w:rsidR="00972276" w:rsidRPr="00272930">
        <w:t>"</w:t>
      </w:r>
      <w:r w:rsidRPr="00272930">
        <w:t xml:space="preserve">, and that </w:t>
      </w:r>
      <w:r w:rsidR="00972276" w:rsidRPr="00272930">
        <w:t>"</w:t>
      </w:r>
      <w:r w:rsidRPr="00272930">
        <w:t>making allowances that are not warranted will render the comparison unfair</w:t>
      </w:r>
      <w:r w:rsidR="00972276" w:rsidRPr="00272930">
        <w:t>"</w:t>
      </w:r>
      <w:r w:rsidRPr="00272930">
        <w:t>.</w:t>
      </w:r>
      <w:r w:rsidRPr="00272930">
        <w:rPr>
          <w:rStyle w:val="FootnoteReference"/>
        </w:rPr>
        <w:footnoteReference w:id="148"/>
      </w:r>
      <w:r w:rsidRPr="00272930">
        <w:t xml:space="preserve"> The text of Article</w:t>
      </w:r>
      <w:r w:rsidR="00F2224B" w:rsidRPr="00272930">
        <w:t> </w:t>
      </w:r>
      <w:r w:rsidRPr="00272930">
        <w:t>2.4 and its interpretation thus indicate that not only a lack of due allowance (e.g.</w:t>
      </w:r>
      <w:r w:rsidR="00C45700" w:rsidRPr="00272930">
        <w:t> </w:t>
      </w:r>
      <w:r w:rsidR="008E2988">
        <w:t xml:space="preserve">MINCIT's </w:t>
      </w:r>
      <w:r w:rsidRPr="00272930">
        <w:t xml:space="preserve">refusal of </w:t>
      </w:r>
      <w:proofErr w:type="spellStart"/>
      <w:r w:rsidRPr="00272930">
        <w:t>Mydibel</w:t>
      </w:r>
      <w:r w:rsidR="00972276" w:rsidRPr="00272930">
        <w:t>'</w:t>
      </w:r>
      <w:r w:rsidRPr="00272930">
        <w:t>s</w:t>
      </w:r>
      <w:proofErr w:type="spellEnd"/>
      <w:r w:rsidRPr="00272930">
        <w:t xml:space="preserve"> request to make due allowance for higher packaging costs for domestic sales), but also an adjustment that is unwarranted (e.g.</w:t>
      </w:r>
      <w:r w:rsidR="00C45700" w:rsidRPr="00272930">
        <w:t> </w:t>
      </w:r>
      <w:r w:rsidRPr="00272930">
        <w:t>MINCIT</w:t>
      </w:r>
      <w:r w:rsidR="00972276" w:rsidRPr="00272930">
        <w:t>'</w:t>
      </w:r>
      <w:r w:rsidRPr="00272930">
        <w:t xml:space="preserve">s asymmetrical deduction of packaging </w:t>
      </w:r>
      <w:r w:rsidRPr="00272930">
        <w:lastRenderedPageBreak/>
        <w:t xml:space="preserve">costs only on the export price side), could lead to a violation of the principle of </w:t>
      </w:r>
      <w:r w:rsidR="00972276" w:rsidRPr="00272930">
        <w:t>"</w:t>
      </w:r>
      <w:r w:rsidRPr="00272930">
        <w:t>fair comparison</w:t>
      </w:r>
      <w:r w:rsidR="00972276" w:rsidRPr="00272930">
        <w:t>"</w:t>
      </w:r>
      <w:r w:rsidRPr="00272930">
        <w:t>.</w:t>
      </w:r>
      <w:r w:rsidRPr="00272930">
        <w:rPr>
          <w:rStyle w:val="FootnoteReference"/>
        </w:rPr>
        <w:footnoteReference w:id="149"/>
      </w:r>
      <w:r w:rsidRPr="00272930">
        <w:t xml:space="preserve"> Both types of conduct on the part of an authority concern differences affecting price comparability that could have a bearing on the ability to ensure a fair comparison.</w:t>
      </w:r>
    </w:p>
    <w:p w14:paraId="485C9EA7" w14:textId="75EEABD2" w:rsidR="00F572D3" w:rsidRPr="00272930" w:rsidRDefault="00F572D3" w:rsidP="00B709B7">
      <w:pPr>
        <w:pStyle w:val="BodyText"/>
        <w:numPr>
          <w:ilvl w:val="6"/>
          <w:numId w:val="7"/>
        </w:numPr>
      </w:pPr>
      <w:r w:rsidRPr="00272930">
        <w:t>In light of the applicable legal standard under Article</w:t>
      </w:r>
      <w:r w:rsidR="00F2224B" w:rsidRPr="00272930">
        <w:t> </w:t>
      </w:r>
      <w:r w:rsidRPr="00272930">
        <w:t>2.4, therefore, we fail to see a basis in Article</w:t>
      </w:r>
      <w:r w:rsidR="00F2224B" w:rsidRPr="00272930">
        <w:t> </w:t>
      </w:r>
      <w:r w:rsidRPr="00272930">
        <w:t>2.4 to support Colombia</w:t>
      </w:r>
      <w:r w:rsidR="00972276" w:rsidRPr="00272930">
        <w:t>'</w:t>
      </w:r>
      <w:r w:rsidRPr="00272930">
        <w:t xml:space="preserve">s restricted reading of </w:t>
      </w:r>
      <w:r w:rsidR="00972276" w:rsidRPr="00272930">
        <w:t>"</w:t>
      </w:r>
      <w:r w:rsidRPr="00272930">
        <w:t>allowance</w:t>
      </w:r>
      <w:r w:rsidR="00972276" w:rsidRPr="00272930">
        <w:t>"</w:t>
      </w:r>
      <w:r w:rsidRPr="00272930">
        <w:t xml:space="preserve"> as pertaining only to </w:t>
      </w:r>
      <w:r w:rsidR="00972276" w:rsidRPr="00272930">
        <w:t>"</w:t>
      </w:r>
      <w:r w:rsidRPr="00272930">
        <w:t>[a]</w:t>
      </w:r>
      <w:proofErr w:type="spellStart"/>
      <w:r w:rsidRPr="00272930">
        <w:t>djustments</w:t>
      </w:r>
      <w:proofErr w:type="spellEnd"/>
      <w:r w:rsidR="004676E7">
        <w:t> … </w:t>
      </w:r>
      <w:r w:rsidRPr="00272930">
        <w:rPr>
          <w:i/>
          <w:iCs/>
        </w:rPr>
        <w:t>requested</w:t>
      </w:r>
      <w:r w:rsidRPr="00272930">
        <w:t xml:space="preserve"> by investigated parties</w:t>
      </w:r>
      <w:r w:rsidR="00972276" w:rsidRPr="00272930">
        <w:t>"</w:t>
      </w:r>
      <w:r w:rsidRPr="00272930">
        <w:t xml:space="preserve"> and involving </w:t>
      </w:r>
      <w:r w:rsidR="00972276" w:rsidRPr="00272930">
        <w:t>"</w:t>
      </w:r>
      <w:r w:rsidRPr="00272930">
        <w:t>the treatment of particular expenses incurred by the exporter</w:t>
      </w:r>
      <w:r w:rsidR="00972276" w:rsidRPr="00272930">
        <w:t>"</w:t>
      </w:r>
      <w:r w:rsidR="00F2224B" w:rsidRPr="00272930">
        <w:t>.</w:t>
      </w:r>
      <w:r w:rsidRPr="00272930">
        <w:rPr>
          <w:rStyle w:val="FootnoteReference"/>
        </w:rPr>
        <w:footnoteReference w:id="150"/>
      </w:r>
      <w:r w:rsidRPr="00272930">
        <w:t xml:space="preserve"> Neither do we see a distinction between </w:t>
      </w:r>
      <w:r w:rsidR="00972276" w:rsidRPr="00272930">
        <w:t>"</w:t>
      </w:r>
      <w:r w:rsidRPr="00272930">
        <w:t>due allowances</w:t>
      </w:r>
      <w:r w:rsidR="00972276" w:rsidRPr="00272930">
        <w:t>"</w:t>
      </w:r>
      <w:r w:rsidRPr="00272930">
        <w:t xml:space="preserve"> and </w:t>
      </w:r>
      <w:r w:rsidR="00972276" w:rsidRPr="00272930">
        <w:t>"</w:t>
      </w:r>
      <w:r w:rsidRPr="00272930">
        <w:t>issues such as calculation-related or similar errors</w:t>
      </w:r>
      <w:r w:rsidR="00972276" w:rsidRPr="00272930">
        <w:t>"</w:t>
      </w:r>
      <w:r w:rsidRPr="00272930">
        <w:t xml:space="preserve">, the latter of which are not, according to Colombia, listed in </w:t>
      </w:r>
      <w:r w:rsidR="00270F7B" w:rsidRPr="00272930">
        <w:t>paragraph </w:t>
      </w:r>
      <w:r w:rsidRPr="00272930">
        <w:t>5 of the panel request.</w:t>
      </w:r>
      <w:r w:rsidRPr="00272930">
        <w:rPr>
          <w:rStyle w:val="FootnoteReference"/>
        </w:rPr>
        <w:footnoteReference w:id="151"/>
      </w:r>
      <w:r w:rsidRPr="00272930">
        <w:t xml:space="preserve"> Rather, in our view, </w:t>
      </w:r>
      <w:r w:rsidR="00270F7B" w:rsidRPr="00272930">
        <w:t>paragraph </w:t>
      </w:r>
      <w:r w:rsidRPr="00272930">
        <w:t xml:space="preserve">5 of the panel request potentially covers errors made by the authority that allegedly rendered an </w:t>
      </w:r>
      <w:r w:rsidR="00972276" w:rsidRPr="00272930">
        <w:t>"</w:t>
      </w:r>
      <w:r w:rsidRPr="00272930">
        <w:t>allowance</w:t>
      </w:r>
      <w:r w:rsidR="00972276" w:rsidRPr="00272930">
        <w:t>"</w:t>
      </w:r>
      <w:r w:rsidRPr="00272930">
        <w:t xml:space="preserve"> it made </w:t>
      </w:r>
      <w:r w:rsidR="00972276" w:rsidRPr="00272930">
        <w:t>"</w:t>
      </w:r>
      <w:r w:rsidRPr="00272930">
        <w:t>undue</w:t>
      </w:r>
      <w:r w:rsidR="00972276" w:rsidRPr="00272930">
        <w:t>"</w:t>
      </w:r>
      <w:r w:rsidRPr="00272930">
        <w:t xml:space="preserve"> or </w:t>
      </w:r>
      <w:r w:rsidR="00972276" w:rsidRPr="00272930">
        <w:t>"</w:t>
      </w:r>
      <w:r w:rsidRPr="00272930">
        <w:t>unfair</w:t>
      </w:r>
      <w:r w:rsidR="00972276" w:rsidRPr="00272930">
        <w:t>"</w:t>
      </w:r>
      <w:r w:rsidRPr="00272930">
        <w:t>.</w:t>
      </w:r>
    </w:p>
    <w:p w14:paraId="243F4563" w14:textId="60429012" w:rsidR="00F572D3" w:rsidRPr="00272930" w:rsidRDefault="00F572D3" w:rsidP="00B709B7">
      <w:pPr>
        <w:pStyle w:val="BodyText"/>
        <w:numPr>
          <w:ilvl w:val="6"/>
          <w:numId w:val="7"/>
        </w:numPr>
      </w:pPr>
      <w:r w:rsidRPr="00272930">
        <w:t xml:space="preserve">Similarly, we do not find </w:t>
      </w:r>
      <w:r w:rsidR="008766DF">
        <w:t xml:space="preserve">that </w:t>
      </w:r>
      <w:r w:rsidR="00270F7B" w:rsidRPr="00272930">
        <w:t>paragraph </w:t>
      </w:r>
      <w:r w:rsidRPr="00272930">
        <w:t>6 of the panel request lend</w:t>
      </w:r>
      <w:r w:rsidR="008766DF">
        <w:t>s</w:t>
      </w:r>
      <w:r w:rsidRPr="00272930">
        <w:t xml:space="preserve"> support to Colombia</w:t>
      </w:r>
      <w:r w:rsidR="00972276" w:rsidRPr="00272930">
        <w:t>'</w:t>
      </w:r>
      <w:r w:rsidRPr="00272930">
        <w:t>s position.</w:t>
      </w:r>
      <w:r w:rsidRPr="00272930">
        <w:rPr>
          <w:rStyle w:val="FootnoteReference"/>
        </w:rPr>
        <w:footnoteReference w:id="152"/>
      </w:r>
      <w:r w:rsidRPr="00272930">
        <w:t xml:space="preserve"> </w:t>
      </w:r>
      <w:r w:rsidR="00270F7B" w:rsidRPr="00272930">
        <w:t>Paragraph </w:t>
      </w:r>
      <w:r w:rsidRPr="00272930">
        <w:t>6 states as follows:</w:t>
      </w:r>
    </w:p>
    <w:p w14:paraId="2A559CD7" w14:textId="00A10AAC" w:rsidR="00F572D3" w:rsidRPr="00272930" w:rsidRDefault="00F572D3" w:rsidP="00B709B7">
      <w:pPr>
        <w:pStyle w:val="Quotation"/>
      </w:pPr>
      <w:r w:rsidRPr="00272930">
        <w:t>[The measures at issue described above appear to be inconsistent with Colombia</w:t>
      </w:r>
      <w:r w:rsidR="00972276" w:rsidRPr="00272930">
        <w:t>'</w:t>
      </w:r>
      <w:r w:rsidRPr="00272930">
        <w:t>s obligations under] Article</w:t>
      </w:r>
      <w:r w:rsidR="00F2224B" w:rsidRPr="00272930">
        <w:t> </w:t>
      </w:r>
      <w:r w:rsidRPr="00272930">
        <w:t xml:space="preserve">2.4 of the Anti-Dumping Agreement because Colombia did not make a fair comparison between the export price and the normal value by </w:t>
      </w:r>
      <w:r w:rsidRPr="00272930">
        <w:rPr>
          <w:i/>
          <w:iCs/>
        </w:rPr>
        <w:t>deducting</w:t>
      </w:r>
      <w:r w:rsidRPr="00272930">
        <w:t xml:space="preserve"> certain sea freight and insurance costs </w:t>
      </w:r>
      <w:r w:rsidRPr="00272930">
        <w:rPr>
          <w:i/>
          <w:iCs/>
        </w:rPr>
        <w:t>twice</w:t>
      </w:r>
      <w:r w:rsidRPr="00272930">
        <w:t xml:space="preserve"> from the export price of a company, thereby unduly lowering the export price.</w:t>
      </w:r>
      <w:r w:rsidRPr="00272930">
        <w:rPr>
          <w:rStyle w:val="FootnoteReference"/>
        </w:rPr>
        <w:footnoteReference w:id="153"/>
      </w:r>
    </w:p>
    <w:p w14:paraId="316EAE96" w14:textId="3C2B9D23" w:rsidR="00F572D3" w:rsidRPr="00272930" w:rsidRDefault="00F572D3" w:rsidP="00B709B7">
      <w:pPr>
        <w:pStyle w:val="BodyText"/>
        <w:numPr>
          <w:ilvl w:val="6"/>
          <w:numId w:val="7"/>
        </w:numPr>
      </w:pPr>
      <w:r w:rsidRPr="00272930">
        <w:t xml:space="preserve">Both </w:t>
      </w:r>
      <w:r w:rsidR="00270F7B" w:rsidRPr="00272930">
        <w:t>paragraphs </w:t>
      </w:r>
      <w:r w:rsidRPr="00272930">
        <w:t xml:space="preserve">5 and 6 concern a failure to make a </w:t>
      </w:r>
      <w:r w:rsidR="00972276" w:rsidRPr="00272930">
        <w:t>"</w:t>
      </w:r>
      <w:r w:rsidRPr="00272930">
        <w:t>fair comparison</w:t>
      </w:r>
      <w:r w:rsidR="00972276" w:rsidRPr="00272930">
        <w:t>"</w:t>
      </w:r>
      <w:r w:rsidRPr="00272930">
        <w:t xml:space="preserve"> under Article</w:t>
      </w:r>
      <w:r w:rsidR="00F2224B" w:rsidRPr="00272930">
        <w:t> </w:t>
      </w:r>
      <w:r w:rsidRPr="00272930">
        <w:t xml:space="preserve">2.4, although each has its own focus. The fact that </w:t>
      </w:r>
      <w:r w:rsidR="00270F7B" w:rsidRPr="00272930">
        <w:t>paragraph </w:t>
      </w:r>
      <w:r w:rsidRPr="00272930">
        <w:t xml:space="preserve">6 appears to be directed at certain duplicative deductions does not preclude the possibility that the claim raised under </w:t>
      </w:r>
      <w:r w:rsidR="00270F7B" w:rsidRPr="00272930">
        <w:t>paragraph </w:t>
      </w:r>
      <w:r w:rsidRPr="00272930">
        <w:t xml:space="preserve">5 covers other errors in </w:t>
      </w:r>
      <w:r w:rsidR="008766DF">
        <w:t>MINCIT</w:t>
      </w:r>
      <w:r w:rsidR="00972276" w:rsidRPr="00272930">
        <w:t>'</w:t>
      </w:r>
      <w:r w:rsidRPr="00272930">
        <w:t xml:space="preserve">s determination on </w:t>
      </w:r>
      <w:r w:rsidR="00972276" w:rsidRPr="00272930">
        <w:t>"</w:t>
      </w:r>
      <w:r w:rsidRPr="00272930">
        <w:t>due allowance</w:t>
      </w:r>
      <w:r w:rsidR="00972276" w:rsidRPr="00272930">
        <w:t>"</w:t>
      </w:r>
      <w:r w:rsidRPr="00272930">
        <w:t>.</w:t>
      </w:r>
      <w:r w:rsidR="00591744" w:rsidRPr="00272930">
        <w:t xml:space="preserve"> </w:t>
      </w:r>
      <w:r w:rsidRPr="00272930">
        <w:t xml:space="preserve">We therefore do not read </w:t>
      </w:r>
      <w:r w:rsidR="00270F7B" w:rsidRPr="00272930">
        <w:t>paragraph </w:t>
      </w:r>
      <w:r w:rsidRPr="00272930">
        <w:t>6 as diminishing or altering the scope of the claim set out in paragraph</w:t>
      </w:r>
      <w:r w:rsidR="00270F7B" w:rsidRPr="00272930">
        <w:t> </w:t>
      </w:r>
      <w:r w:rsidRPr="00272930">
        <w:t xml:space="preserve">5 regarding a failure to make </w:t>
      </w:r>
      <w:r w:rsidR="00972276" w:rsidRPr="00272930">
        <w:t>"</w:t>
      </w:r>
      <w:r w:rsidRPr="00272930">
        <w:t>due allowance</w:t>
      </w:r>
      <w:r w:rsidR="00972276" w:rsidRPr="00272930">
        <w:t>"</w:t>
      </w:r>
      <w:r w:rsidRPr="00272930">
        <w:t>.</w:t>
      </w:r>
    </w:p>
    <w:p w14:paraId="7E2C7918" w14:textId="25B8EEB5" w:rsidR="00F572D3" w:rsidRPr="00272930" w:rsidRDefault="00F572D3" w:rsidP="00B709B7">
      <w:pPr>
        <w:pStyle w:val="BodyText"/>
        <w:numPr>
          <w:ilvl w:val="6"/>
          <w:numId w:val="7"/>
        </w:numPr>
      </w:pPr>
      <w:r w:rsidRPr="00272930">
        <w:t>Turning to the European</w:t>
      </w:r>
      <w:r w:rsidR="00DA0ACF" w:rsidRPr="00272930">
        <w:t> Union</w:t>
      </w:r>
      <w:r w:rsidR="00972276" w:rsidRPr="00272930">
        <w:t>'</w:t>
      </w:r>
      <w:r w:rsidRPr="00272930">
        <w:t>s allegations during the panel proceedings</w:t>
      </w:r>
      <w:r w:rsidRPr="00272930">
        <w:rPr>
          <w:rStyle w:val="FootnoteReference"/>
        </w:rPr>
        <w:footnoteReference w:id="154"/>
      </w:r>
      <w:r w:rsidRPr="00272930">
        <w:t>, we recall that both MINCIT</w:t>
      </w:r>
      <w:r w:rsidR="00972276" w:rsidRPr="00272930">
        <w:t>'</w:t>
      </w:r>
      <w:r w:rsidRPr="00272930">
        <w:t>s disregard of the requested adjustment and its asymmetrical deduction occurred within the same context and investigative step, i.e. as part of MINCIT</w:t>
      </w:r>
      <w:r w:rsidR="00972276" w:rsidRPr="00272930">
        <w:t>'</w:t>
      </w:r>
      <w:r w:rsidRPr="00272930">
        <w:t xml:space="preserve">s treatment of packaging costs for </w:t>
      </w:r>
      <w:r w:rsidR="00852302" w:rsidRPr="00272930">
        <w:t xml:space="preserve">the </w:t>
      </w:r>
      <w:r w:rsidRPr="00272930">
        <w:t>purpose of conducting the price comparison</w:t>
      </w:r>
      <w:r w:rsidR="00F70657" w:rsidRPr="00272930">
        <w:t xml:space="preserve"> with respect to </w:t>
      </w:r>
      <w:proofErr w:type="spellStart"/>
      <w:r w:rsidR="00F70657" w:rsidRPr="00272930">
        <w:t>Mydibel</w:t>
      </w:r>
      <w:proofErr w:type="spellEnd"/>
      <w:r w:rsidRPr="00272930">
        <w:t>.</w:t>
      </w:r>
      <w:r w:rsidRPr="00272930">
        <w:rPr>
          <w:rStyle w:val="FootnoteReference"/>
        </w:rPr>
        <w:footnoteReference w:id="155"/>
      </w:r>
      <w:r w:rsidRPr="00272930">
        <w:t xml:space="preserve"> To elaborate on its claim under Article</w:t>
      </w:r>
      <w:r w:rsidR="00F2224B" w:rsidRPr="00272930">
        <w:t> </w:t>
      </w:r>
      <w:r w:rsidRPr="00272930">
        <w:t>2.4 during the panel proceedings, the European</w:t>
      </w:r>
      <w:r w:rsidR="00DA0ACF" w:rsidRPr="00272930">
        <w:t> Union</w:t>
      </w:r>
      <w:r w:rsidRPr="00272930">
        <w:t xml:space="preserve"> relied on both MINCIT</w:t>
      </w:r>
      <w:r w:rsidR="00972276" w:rsidRPr="00272930">
        <w:t>'</w:t>
      </w:r>
      <w:r w:rsidRPr="00272930">
        <w:t xml:space="preserve">s alleged error in declining the requested adjustment, as well as the asymmetrical deduction which, in its view, </w:t>
      </w:r>
      <w:r w:rsidR="00972276" w:rsidRPr="00272930">
        <w:t>"</w:t>
      </w:r>
      <w:r w:rsidRPr="00272930">
        <w:t>compounded</w:t>
      </w:r>
      <w:r w:rsidR="00972276" w:rsidRPr="00272930">
        <w:t>"</w:t>
      </w:r>
      <w:r w:rsidRPr="00272930">
        <w:t xml:space="preserve"> that error.</w:t>
      </w:r>
      <w:r w:rsidRPr="00272930">
        <w:rPr>
          <w:rStyle w:val="FootnoteReference"/>
        </w:rPr>
        <w:footnoteReference w:id="156"/>
      </w:r>
      <w:r w:rsidRPr="00272930">
        <w:t xml:space="preserve"> We therefore share the Panel</w:t>
      </w:r>
      <w:r w:rsidR="00972276" w:rsidRPr="00272930">
        <w:t>'</w:t>
      </w:r>
      <w:r w:rsidRPr="00272930">
        <w:t xml:space="preserve">s view that both allegations concern </w:t>
      </w:r>
      <w:r w:rsidR="00972276" w:rsidRPr="00272930">
        <w:t>"</w:t>
      </w:r>
      <w:r w:rsidRPr="00272930">
        <w:t>detail[s]</w:t>
      </w:r>
      <w:r w:rsidR="00972276" w:rsidRPr="00272930">
        <w:t>"</w:t>
      </w:r>
      <w:r w:rsidRPr="00272930">
        <w:t xml:space="preserve"> in the </w:t>
      </w:r>
      <w:r w:rsidR="00972276" w:rsidRPr="00272930">
        <w:t>"</w:t>
      </w:r>
      <w:r w:rsidRPr="00272930">
        <w:t>factual aspects of the calculation that led to Colombia</w:t>
      </w:r>
      <w:r w:rsidR="00972276" w:rsidRPr="00272930">
        <w:t>'</w:t>
      </w:r>
      <w:r w:rsidRPr="00272930">
        <w:t>s alleged failure to perform a fair comparison</w:t>
      </w:r>
      <w:r w:rsidR="00972276" w:rsidRPr="00272930">
        <w:t>"</w:t>
      </w:r>
      <w:r w:rsidRPr="00272930">
        <w:t>.</w:t>
      </w:r>
      <w:r w:rsidRPr="00272930">
        <w:rPr>
          <w:rStyle w:val="FootnoteReference"/>
        </w:rPr>
        <w:footnoteReference w:id="157"/>
      </w:r>
      <w:r w:rsidRPr="00272930">
        <w:t xml:space="preserve"> As the Panel rightly found, the panel request need not engage in these details </w:t>
      </w:r>
      <w:r w:rsidR="008766DF">
        <w:t>or</w:t>
      </w:r>
      <w:r w:rsidRPr="00272930">
        <w:t xml:space="preserve"> outline </w:t>
      </w:r>
      <w:r w:rsidR="00972276" w:rsidRPr="00272930">
        <w:t>"</w:t>
      </w:r>
      <w:r w:rsidRPr="00272930">
        <w:t>which specific adjustment was allegedly not – or incorrectly – made and why</w:t>
      </w:r>
      <w:r w:rsidR="00972276" w:rsidRPr="00272930">
        <w:t>"</w:t>
      </w:r>
      <w:r w:rsidRPr="00272930">
        <w:t>.</w:t>
      </w:r>
      <w:r w:rsidRPr="00272930">
        <w:rPr>
          <w:rStyle w:val="FootnoteReference"/>
        </w:rPr>
        <w:footnoteReference w:id="158"/>
      </w:r>
    </w:p>
    <w:p w14:paraId="0B2E8E4D" w14:textId="1DF6313A" w:rsidR="00F572D3" w:rsidRPr="00272930" w:rsidRDefault="00F572D3" w:rsidP="00B709B7">
      <w:pPr>
        <w:pStyle w:val="BodyText"/>
        <w:numPr>
          <w:ilvl w:val="6"/>
          <w:numId w:val="7"/>
        </w:numPr>
      </w:pPr>
      <w:r w:rsidRPr="00272930">
        <w:t>Colombia nonetheless submits that the European</w:t>
      </w:r>
      <w:r w:rsidR="00DA0ACF" w:rsidRPr="00272930">
        <w:t> Union</w:t>
      </w:r>
      <w:r w:rsidR="00972276" w:rsidRPr="00272930">
        <w:t>'</w:t>
      </w:r>
      <w:r w:rsidRPr="00272930">
        <w:t>s allegations regarding these two</w:t>
      </w:r>
      <w:r w:rsidR="00270F7B" w:rsidRPr="00272930">
        <w:t> </w:t>
      </w:r>
      <w:r w:rsidRPr="00272930">
        <w:t>aspects of MINCIT</w:t>
      </w:r>
      <w:r w:rsidR="00972276" w:rsidRPr="00272930">
        <w:t>'</w:t>
      </w:r>
      <w:r w:rsidRPr="00272930">
        <w:t xml:space="preserve">s conduct </w:t>
      </w:r>
      <w:r w:rsidR="00972276" w:rsidRPr="00272930">
        <w:t>"</w:t>
      </w:r>
      <w:r w:rsidRPr="00272930">
        <w:t xml:space="preserve">involve two factually and legally </w:t>
      </w:r>
      <w:r w:rsidR="00972276" w:rsidRPr="00272930">
        <w:t>'</w:t>
      </w:r>
      <w:r w:rsidRPr="00272930">
        <w:t>distinct and unrelated</w:t>
      </w:r>
      <w:r w:rsidR="00972276" w:rsidRPr="00272930">
        <w:t>'</w:t>
      </w:r>
      <w:r w:rsidRPr="00272930">
        <w:t xml:space="preserve"> issues</w:t>
      </w:r>
      <w:r w:rsidR="00972276" w:rsidRPr="00272930">
        <w:t>"</w:t>
      </w:r>
      <w:r w:rsidRPr="00272930">
        <w:t xml:space="preserve"> and are </w:t>
      </w:r>
      <w:r w:rsidR="00972276" w:rsidRPr="00272930">
        <w:t>"</w:t>
      </w:r>
      <w:r w:rsidRPr="00272930">
        <w:t xml:space="preserve">two different </w:t>
      </w:r>
      <w:r w:rsidRPr="004676E7">
        <w:t>claims</w:t>
      </w:r>
      <w:r w:rsidR="00972276" w:rsidRPr="00272930">
        <w:t>"</w:t>
      </w:r>
      <w:r w:rsidRPr="00272930">
        <w:t>.</w:t>
      </w:r>
      <w:r w:rsidRPr="00272930">
        <w:rPr>
          <w:rStyle w:val="FootnoteReference"/>
        </w:rPr>
        <w:footnoteReference w:id="159"/>
      </w:r>
      <w:r w:rsidRPr="00272930">
        <w:t xml:space="preserve"> As a linchpin of this argument, Colombia </w:t>
      </w:r>
      <w:r w:rsidR="00F70657" w:rsidRPr="00272930">
        <w:t xml:space="preserve">submits </w:t>
      </w:r>
      <w:r w:rsidRPr="00272930">
        <w:t xml:space="preserve">that </w:t>
      </w:r>
      <w:r w:rsidR="00972276" w:rsidRPr="00272930">
        <w:t>"</w:t>
      </w:r>
      <w:r w:rsidRPr="00272930">
        <w:t xml:space="preserve">[t]he Panel itself described these two issues as </w:t>
      </w:r>
      <w:r w:rsidR="00972276" w:rsidRPr="00272930">
        <w:t>'</w:t>
      </w:r>
      <w:r w:rsidRPr="00272930">
        <w:t>of a different type and of a different nature</w:t>
      </w:r>
      <w:r w:rsidR="00972276" w:rsidRPr="00272930">
        <w:t>'</w:t>
      </w:r>
      <w:r w:rsidRPr="00272930">
        <w:t xml:space="preserve"> and as </w:t>
      </w:r>
      <w:r w:rsidR="00972276" w:rsidRPr="00272930">
        <w:t>'</w:t>
      </w:r>
      <w:r w:rsidRPr="00272930">
        <w:t>different types of packaging costs and, hence, distinct and unrelated types of adjustments</w:t>
      </w:r>
      <w:r w:rsidR="00972276" w:rsidRPr="00272930">
        <w:t>'</w:t>
      </w:r>
      <w:r w:rsidR="00EB0F17" w:rsidRPr="00272930">
        <w:t>.</w:t>
      </w:r>
      <w:r w:rsidR="00972276" w:rsidRPr="00272930">
        <w:t>"</w:t>
      </w:r>
      <w:r w:rsidRPr="00272930">
        <w:rPr>
          <w:rStyle w:val="FootnoteReference"/>
        </w:rPr>
        <w:footnoteReference w:id="160"/>
      </w:r>
    </w:p>
    <w:p w14:paraId="1415C7C3" w14:textId="1CBDE818" w:rsidR="00F572D3" w:rsidRPr="00272930" w:rsidRDefault="00F572D3" w:rsidP="00B709B7">
      <w:pPr>
        <w:pStyle w:val="BodyText"/>
        <w:numPr>
          <w:ilvl w:val="6"/>
          <w:numId w:val="7"/>
        </w:numPr>
      </w:pPr>
      <w:r w:rsidRPr="00272930">
        <w:lastRenderedPageBreak/>
        <w:t xml:space="preserve">The statements quoted by Colombia were made by the Panel when describing </w:t>
      </w:r>
      <w:r w:rsidR="006A06E1" w:rsidRPr="00272930">
        <w:t xml:space="preserve">a </w:t>
      </w:r>
      <w:r w:rsidRPr="00272930">
        <w:t xml:space="preserve">certain </w:t>
      </w:r>
      <w:r w:rsidR="00972276" w:rsidRPr="00272930">
        <w:t>"</w:t>
      </w:r>
      <w:r w:rsidRPr="00272930">
        <w:t>disconnect</w:t>
      </w:r>
      <w:r w:rsidR="00972276" w:rsidRPr="00272930">
        <w:t>"</w:t>
      </w:r>
      <w:r w:rsidRPr="00272930">
        <w:t xml:space="preserve"> between the parties</w:t>
      </w:r>
      <w:r w:rsidR="00972276" w:rsidRPr="00272930">
        <w:t>'</w:t>
      </w:r>
      <w:r w:rsidRPr="00272930">
        <w:t xml:space="preserve"> arguments and the facts underlying these arguments.</w:t>
      </w:r>
      <w:r w:rsidRPr="00272930">
        <w:rPr>
          <w:rStyle w:val="FootnoteReference"/>
        </w:rPr>
        <w:footnoteReference w:id="161"/>
      </w:r>
      <w:r w:rsidRPr="00272930">
        <w:t xml:space="preserve"> Read in context, these statements reflect the Panel</w:t>
      </w:r>
      <w:r w:rsidR="00972276" w:rsidRPr="00272930">
        <w:t>'</w:t>
      </w:r>
      <w:r w:rsidRPr="00272930">
        <w:t xml:space="preserve">s appreciation of the fact that, in addressing the issue of packaging costs, what MINCIT was </w:t>
      </w:r>
      <w:r w:rsidRPr="00272930">
        <w:rPr>
          <w:i/>
          <w:iCs/>
        </w:rPr>
        <w:t>requested to do</w:t>
      </w:r>
      <w:r w:rsidRPr="00272930">
        <w:t xml:space="preserve"> and what it </w:t>
      </w:r>
      <w:proofErr w:type="gramStart"/>
      <w:r w:rsidRPr="00272930">
        <w:rPr>
          <w:i/>
          <w:iCs/>
        </w:rPr>
        <w:t>actually did</w:t>
      </w:r>
      <w:proofErr w:type="gramEnd"/>
      <w:r w:rsidRPr="00272930">
        <w:t xml:space="preserve"> were different. As noted above, having examined how this mismatch transpired in MINCIT</w:t>
      </w:r>
      <w:r w:rsidR="00972276" w:rsidRPr="00272930">
        <w:t>'</w:t>
      </w:r>
      <w:r w:rsidRPr="00272930">
        <w:t>s treatment of packaging cost adjustments</w:t>
      </w:r>
      <w:r w:rsidRPr="00272930">
        <w:rPr>
          <w:rStyle w:val="FootnoteReference"/>
        </w:rPr>
        <w:footnoteReference w:id="162"/>
      </w:r>
      <w:r w:rsidRPr="00272930">
        <w:t xml:space="preserve">, the Panel came to the view that MINCIT </w:t>
      </w:r>
      <w:r w:rsidR="00972276" w:rsidRPr="00272930">
        <w:t>"</w:t>
      </w:r>
      <w:r w:rsidRPr="00272930">
        <w:t>failed to provide a proper basis to deny</w:t>
      </w:r>
      <w:r w:rsidR="00972276" w:rsidRPr="00272930">
        <w:t>"</w:t>
      </w:r>
      <w:r w:rsidRPr="00272930">
        <w:t xml:space="preserve"> </w:t>
      </w:r>
      <w:proofErr w:type="spellStart"/>
      <w:r w:rsidRPr="00272930">
        <w:t>Mydibel</w:t>
      </w:r>
      <w:r w:rsidR="00972276" w:rsidRPr="00272930">
        <w:t>'</w:t>
      </w:r>
      <w:r w:rsidRPr="00272930">
        <w:t>s</w:t>
      </w:r>
      <w:proofErr w:type="spellEnd"/>
      <w:r w:rsidRPr="00272930">
        <w:t xml:space="preserve"> request because what MINCIT actually did (i.e. the asymmetrical deduction) </w:t>
      </w:r>
      <w:r w:rsidR="00972276" w:rsidRPr="00272930">
        <w:t>"</w:t>
      </w:r>
      <w:r w:rsidRPr="00272930">
        <w:rPr>
          <w:i/>
          <w:iCs/>
        </w:rPr>
        <w:t>did not respond to</w:t>
      </w:r>
      <w:r w:rsidRPr="00272930">
        <w:t xml:space="preserve"> the substance of </w:t>
      </w:r>
      <w:r w:rsidR="00235784">
        <w:t>[</w:t>
      </w:r>
      <w:r w:rsidRPr="00272930">
        <w:t>the requested</w:t>
      </w:r>
      <w:r w:rsidR="00235784">
        <w:t>]</w:t>
      </w:r>
      <w:r w:rsidRPr="00272930">
        <w:t xml:space="preserve"> adjustment</w:t>
      </w:r>
      <w:r w:rsidR="00972276" w:rsidRPr="00272930">
        <w:t>"</w:t>
      </w:r>
      <w:r w:rsidRPr="00272930">
        <w:t>.</w:t>
      </w:r>
      <w:r w:rsidRPr="00272930">
        <w:rPr>
          <w:rStyle w:val="FootnoteReference"/>
        </w:rPr>
        <w:footnoteReference w:id="163"/>
      </w:r>
      <w:r w:rsidRPr="00272930">
        <w:t xml:space="preserve"> The mismatch between the two</w:t>
      </w:r>
      <w:r w:rsidR="00270F7B" w:rsidRPr="00272930">
        <w:t> </w:t>
      </w:r>
      <w:r w:rsidRPr="00272930">
        <w:t>factual aspects at issue was thus one of the reasons supporting the Panel</w:t>
      </w:r>
      <w:r w:rsidR="00972276" w:rsidRPr="00272930">
        <w:t>'</w:t>
      </w:r>
      <w:r w:rsidRPr="00272930">
        <w:t>s conclusion that MINCIT</w:t>
      </w:r>
      <w:r w:rsidR="00972276" w:rsidRPr="00272930">
        <w:t>'</w:t>
      </w:r>
      <w:r w:rsidRPr="00272930">
        <w:t>s treatment of packaging costs was inconsistent with Article</w:t>
      </w:r>
      <w:r w:rsidR="00F2224B" w:rsidRPr="00272930">
        <w:t> </w:t>
      </w:r>
      <w:r w:rsidRPr="00272930">
        <w:t>2.4.</w:t>
      </w:r>
      <w:r w:rsidRPr="00272930">
        <w:rPr>
          <w:rStyle w:val="FootnoteReference"/>
        </w:rPr>
        <w:footnoteReference w:id="164"/>
      </w:r>
      <w:r w:rsidRPr="00272930">
        <w:t xml:space="preserve"> This does not turn these two factual aspects, as Colombia argues, into two separate </w:t>
      </w:r>
      <w:r w:rsidR="00972276" w:rsidRPr="00272930">
        <w:t>"</w:t>
      </w:r>
      <w:r w:rsidRPr="00272930">
        <w:t>claims</w:t>
      </w:r>
      <w:r w:rsidR="00972276" w:rsidRPr="00272930">
        <w:t>"</w:t>
      </w:r>
      <w:r w:rsidRPr="00272930">
        <w:t xml:space="preserve"> that are </w:t>
      </w:r>
      <w:r w:rsidR="00972276" w:rsidRPr="00272930">
        <w:t>"</w:t>
      </w:r>
      <w:r w:rsidRPr="00272930">
        <w:t>legally independent of each other</w:t>
      </w:r>
      <w:r w:rsidR="00972276" w:rsidRPr="00272930">
        <w:t>"</w:t>
      </w:r>
      <w:r w:rsidRPr="00272930">
        <w:t>, let alone claims that are somehow not covered by the European</w:t>
      </w:r>
      <w:r w:rsidR="00DA0ACF" w:rsidRPr="00272930">
        <w:t> Union</w:t>
      </w:r>
      <w:r w:rsidR="00972276" w:rsidRPr="00272930">
        <w:t>'</w:t>
      </w:r>
      <w:r w:rsidRPr="00272930">
        <w:t xml:space="preserve">s </w:t>
      </w:r>
      <w:r w:rsidR="009F62CD" w:rsidRPr="00272930">
        <w:t>p</w:t>
      </w:r>
      <w:r w:rsidRPr="00272930">
        <w:t>anel request.</w:t>
      </w:r>
      <w:r w:rsidRPr="00272930">
        <w:rPr>
          <w:rStyle w:val="FootnoteReference"/>
        </w:rPr>
        <w:footnoteReference w:id="165"/>
      </w:r>
    </w:p>
    <w:p w14:paraId="229D48A0" w14:textId="42AA5C09" w:rsidR="00F572D3" w:rsidRPr="00272930" w:rsidRDefault="00F572D3" w:rsidP="00B709B7">
      <w:pPr>
        <w:pStyle w:val="BodyText"/>
        <w:numPr>
          <w:ilvl w:val="6"/>
          <w:numId w:val="7"/>
        </w:numPr>
      </w:pPr>
      <w:r w:rsidRPr="00272930">
        <w:t>Furthermore, Colombia highlights the due process objective of a panel request, including to enable the respondent to know what case it has to answer and begin preparing its defence.</w:t>
      </w:r>
      <w:r w:rsidRPr="00272930">
        <w:rPr>
          <w:rStyle w:val="FootnoteReference"/>
        </w:rPr>
        <w:footnoteReference w:id="166"/>
      </w:r>
      <w:r w:rsidRPr="00272930">
        <w:t xml:space="preserve"> However, apart from a general reference to the </w:t>
      </w:r>
      <w:r w:rsidR="00235784">
        <w:t>number of claims contained in</w:t>
      </w:r>
      <w:r w:rsidRPr="00272930">
        <w:t xml:space="preserve"> the European</w:t>
      </w:r>
      <w:r w:rsidR="00DA0ACF" w:rsidRPr="00272930">
        <w:t> Union</w:t>
      </w:r>
      <w:r w:rsidR="00972276" w:rsidRPr="00272930">
        <w:t>'</w:t>
      </w:r>
      <w:r w:rsidRPr="00272930">
        <w:t>s panel request, of which the European</w:t>
      </w:r>
      <w:r w:rsidR="00DA0ACF" w:rsidRPr="00272930">
        <w:t> Union</w:t>
      </w:r>
      <w:r w:rsidRPr="00272930">
        <w:t xml:space="preserve"> pursued only a </w:t>
      </w:r>
      <w:r w:rsidR="00972276" w:rsidRPr="00272930">
        <w:t>"</w:t>
      </w:r>
      <w:r w:rsidRPr="00272930">
        <w:t>subset</w:t>
      </w:r>
      <w:r w:rsidR="00972276" w:rsidRPr="00272930">
        <w:t>"</w:t>
      </w:r>
      <w:r w:rsidRPr="00272930">
        <w:rPr>
          <w:rStyle w:val="FootnoteReference"/>
        </w:rPr>
        <w:footnoteReference w:id="167"/>
      </w:r>
      <w:r w:rsidRPr="00272930">
        <w:t>, Colombia</w:t>
      </w:r>
      <w:r w:rsidR="00972276" w:rsidRPr="00272930">
        <w:t>'</w:t>
      </w:r>
      <w:r w:rsidRPr="00272930">
        <w:t>s arguments do not indicate how its due process rights were breached due to the alleged lack of clarity of the European</w:t>
      </w:r>
      <w:r w:rsidR="00DA0ACF" w:rsidRPr="00272930">
        <w:t> Union</w:t>
      </w:r>
      <w:r w:rsidR="00972276" w:rsidRPr="00272930">
        <w:t>'</w:t>
      </w:r>
      <w:r w:rsidRPr="00272930">
        <w:t>s panel request. On the contrary, given that the two factual elements underlying the European</w:t>
      </w:r>
      <w:r w:rsidR="00DA0ACF" w:rsidRPr="00272930">
        <w:t> Union</w:t>
      </w:r>
      <w:r w:rsidR="00972276" w:rsidRPr="00272930">
        <w:t>'</w:t>
      </w:r>
      <w:r w:rsidRPr="00272930">
        <w:t>s allegations related to the same investigative step</w:t>
      </w:r>
      <w:r w:rsidR="0046762C" w:rsidRPr="00272930">
        <w:t xml:space="preserve"> </w:t>
      </w:r>
      <w:r w:rsidR="00F70657" w:rsidRPr="00272930">
        <w:t>regarding</w:t>
      </w:r>
      <w:r w:rsidRPr="00272930">
        <w:t xml:space="preserve"> </w:t>
      </w:r>
      <w:proofErr w:type="spellStart"/>
      <w:r w:rsidR="00F70657" w:rsidRPr="00272930">
        <w:t>Mydibel's</w:t>
      </w:r>
      <w:proofErr w:type="spellEnd"/>
      <w:r w:rsidR="00F70657" w:rsidRPr="00272930">
        <w:t xml:space="preserve"> </w:t>
      </w:r>
      <w:r w:rsidRPr="00272930">
        <w:t>packaging cost</w:t>
      </w:r>
      <w:r w:rsidR="00F70657" w:rsidRPr="00272930">
        <w:t>s</w:t>
      </w:r>
      <w:r w:rsidRPr="00272930">
        <w:rPr>
          <w:rStyle w:val="FootnoteReference"/>
        </w:rPr>
        <w:footnoteReference w:id="168"/>
      </w:r>
      <w:r w:rsidRPr="00272930">
        <w:t>, we see no grounds to consider that Colombia received insufficient notice as to the scope of the European</w:t>
      </w:r>
      <w:r w:rsidR="00DA0ACF" w:rsidRPr="00272930">
        <w:t> Union</w:t>
      </w:r>
      <w:r w:rsidR="00972276" w:rsidRPr="00272930">
        <w:t>'</w:t>
      </w:r>
      <w:r w:rsidRPr="00272930">
        <w:t>s claim listed in paragraph 5 of the panel request.</w:t>
      </w:r>
    </w:p>
    <w:p w14:paraId="06F7F23A" w14:textId="4DAE806D" w:rsidR="00F572D3" w:rsidRPr="00272930" w:rsidRDefault="00F572D3" w:rsidP="00B709B7">
      <w:pPr>
        <w:pStyle w:val="BodyText"/>
        <w:numPr>
          <w:ilvl w:val="6"/>
          <w:numId w:val="7"/>
        </w:numPr>
      </w:pPr>
      <w:r w:rsidRPr="00272930">
        <w:t>Finally, Colombia argues that Article</w:t>
      </w:r>
      <w:r w:rsidR="00F2224B" w:rsidRPr="00272930">
        <w:t> </w:t>
      </w:r>
      <w:r w:rsidRPr="00272930">
        <w:t>6.2 of the DSU and Article</w:t>
      </w:r>
      <w:r w:rsidR="00F2224B" w:rsidRPr="00272930">
        <w:t> </w:t>
      </w:r>
      <w:r w:rsidRPr="00272930">
        <w:t xml:space="preserve">17.5(ii) of the Anti-Dumping Agreement, read together, </w:t>
      </w:r>
      <w:r w:rsidR="00972276" w:rsidRPr="00272930">
        <w:t>"</w:t>
      </w:r>
      <w:r w:rsidRPr="00272930">
        <w:t>require</w:t>
      </w:r>
      <w:r w:rsidR="009733C3" w:rsidRPr="00272930">
        <w:t>[]</w:t>
      </w:r>
      <w:r w:rsidRPr="00272930">
        <w:t xml:space="preserve"> the complainant … to identify [in the panel request] the discrete set of </w:t>
      </w:r>
      <w:r w:rsidR="00972276" w:rsidRPr="00272930">
        <w:t>'</w:t>
      </w:r>
      <w:r w:rsidRPr="00272930">
        <w:t>facts made available</w:t>
      </w:r>
      <w:r w:rsidR="00972276" w:rsidRPr="00272930">
        <w:t>'</w:t>
      </w:r>
      <w:r w:rsidRPr="00272930">
        <w:t xml:space="preserve"> to the investigating authority during the investigation</w:t>
      </w:r>
      <w:r w:rsidR="00972276" w:rsidRPr="00272930">
        <w:t>"</w:t>
      </w:r>
      <w:r w:rsidRPr="00272930">
        <w:t>.</w:t>
      </w:r>
      <w:r w:rsidRPr="00272930">
        <w:rPr>
          <w:rStyle w:val="FootnoteReference"/>
        </w:rPr>
        <w:footnoteReference w:id="169"/>
      </w:r>
      <w:r w:rsidRPr="00272930">
        <w:t xml:space="preserve"> This means that, for purposes of a claim under Article</w:t>
      </w:r>
      <w:r w:rsidR="00F2224B" w:rsidRPr="00272930">
        <w:t> </w:t>
      </w:r>
      <w:r w:rsidRPr="00272930">
        <w:t xml:space="preserve">2.4 of the Anti-Dumping Agreement, a complainant must identify </w:t>
      </w:r>
      <w:r w:rsidR="00972276" w:rsidRPr="00272930">
        <w:t>"</w:t>
      </w:r>
      <w:r w:rsidRPr="00272930">
        <w:t>the particular element of the determination</w:t>
      </w:r>
      <w:r w:rsidR="00972276" w:rsidRPr="00272930">
        <w:t>"</w:t>
      </w:r>
      <w:r w:rsidRPr="00272930">
        <w:t xml:space="preserve">, such as adjustments, the construction of the export price, or the mechanics of the comparison, so that the respondent can </w:t>
      </w:r>
      <w:r w:rsidR="00972276" w:rsidRPr="00272930">
        <w:t>"</w:t>
      </w:r>
      <w:r w:rsidRPr="00272930">
        <w:t>know what case it has to answer</w:t>
      </w:r>
      <w:r w:rsidR="00972276" w:rsidRPr="00272930">
        <w:t>"</w:t>
      </w:r>
      <w:r w:rsidRPr="00272930">
        <w:t>.</w:t>
      </w:r>
      <w:r w:rsidRPr="00272930">
        <w:rPr>
          <w:rStyle w:val="FootnoteReference"/>
        </w:rPr>
        <w:footnoteReference w:id="170"/>
      </w:r>
      <w:r w:rsidRPr="00272930">
        <w:t xml:space="preserve"> We note that Article</w:t>
      </w:r>
      <w:r w:rsidR="00F2224B" w:rsidRPr="00272930">
        <w:t> </w:t>
      </w:r>
      <w:r w:rsidRPr="00272930">
        <w:t>17.5(ii) governs the scope of evidence a panel is allowed to review in disputes involving anti-dumping measures.</w:t>
      </w:r>
      <w:r w:rsidRPr="00272930">
        <w:rPr>
          <w:rStyle w:val="FootnoteReference"/>
        </w:rPr>
        <w:footnoteReference w:id="171"/>
      </w:r>
      <w:r w:rsidRPr="00272930">
        <w:t xml:space="preserve"> The </w:t>
      </w:r>
      <w:r w:rsidR="00972276" w:rsidRPr="00272930">
        <w:t>"</w:t>
      </w:r>
      <w:r w:rsidRPr="00272930">
        <w:t>facts</w:t>
      </w:r>
      <w:r w:rsidR="00972276" w:rsidRPr="00272930">
        <w:t>"</w:t>
      </w:r>
      <w:r w:rsidRPr="00272930">
        <w:t xml:space="preserve"> referred to in Article</w:t>
      </w:r>
      <w:r w:rsidR="00F2224B" w:rsidRPr="00272930">
        <w:t> </w:t>
      </w:r>
      <w:r w:rsidRPr="00272930">
        <w:t>17.5(ii) are what a panel may examine during the panel proceedings, not what a complainant must spell out in the panel request. We therefore fail to see how Article</w:t>
      </w:r>
      <w:r w:rsidR="00F2224B" w:rsidRPr="00272930">
        <w:t> </w:t>
      </w:r>
      <w:r w:rsidRPr="00272930">
        <w:t>17.5(ii) of the Anti-Dumping Agreement is relevant for assessing the sufficiency of a panel request.</w:t>
      </w:r>
      <w:r w:rsidRPr="00272930">
        <w:rPr>
          <w:rStyle w:val="FootnoteReference"/>
        </w:rPr>
        <w:footnoteReference w:id="172"/>
      </w:r>
      <w:r w:rsidRPr="00272930">
        <w:t xml:space="preserve"> Instead, we consider that </w:t>
      </w:r>
      <w:r w:rsidRPr="00272930">
        <w:lastRenderedPageBreak/>
        <w:t>a granular description of the facts, as Colombia suggests, is not required in a panel request under Article</w:t>
      </w:r>
      <w:r w:rsidR="00F2224B" w:rsidRPr="00272930">
        <w:t> </w:t>
      </w:r>
      <w:r w:rsidRPr="00272930">
        <w:t>6.2 of the DSU.</w:t>
      </w:r>
    </w:p>
    <w:p w14:paraId="71145536" w14:textId="77777777" w:rsidR="00F572D3" w:rsidRPr="00272930" w:rsidRDefault="00F572D3" w:rsidP="00B709B7">
      <w:pPr>
        <w:pStyle w:val="Heading3"/>
        <w:numPr>
          <w:ilvl w:val="2"/>
          <w:numId w:val="7"/>
        </w:numPr>
      </w:pPr>
      <w:bookmarkStart w:id="54" w:name="_Toc122339720"/>
      <w:r w:rsidRPr="00272930">
        <w:t>Conclusion</w:t>
      </w:r>
      <w:bookmarkEnd w:id="54"/>
    </w:p>
    <w:p w14:paraId="3415F706" w14:textId="3A81A5FF" w:rsidR="00F572D3" w:rsidRPr="00272930" w:rsidRDefault="00F572D3" w:rsidP="00B709B7">
      <w:pPr>
        <w:pStyle w:val="BodyText"/>
        <w:numPr>
          <w:ilvl w:val="6"/>
          <w:numId w:val="7"/>
        </w:numPr>
        <w:rPr>
          <w:szCs w:val="18"/>
        </w:rPr>
      </w:pPr>
      <w:proofErr w:type="gramStart"/>
      <w:r w:rsidRPr="00272930">
        <w:t>On the basis of</w:t>
      </w:r>
      <w:proofErr w:type="gramEnd"/>
      <w:r w:rsidRPr="00272930">
        <w:t xml:space="preserve"> the above, we </w:t>
      </w:r>
      <w:r w:rsidRPr="00272930">
        <w:rPr>
          <w:u w:val="single"/>
        </w:rPr>
        <w:t>uphold</w:t>
      </w:r>
      <w:r w:rsidRPr="00272930">
        <w:t xml:space="preserve"> the Panel</w:t>
      </w:r>
      <w:r w:rsidR="00972276" w:rsidRPr="00272930">
        <w:t>'</w:t>
      </w:r>
      <w:r w:rsidRPr="00272930">
        <w:t xml:space="preserve">s finding, in </w:t>
      </w:r>
      <w:r w:rsidR="00270F7B" w:rsidRPr="00272930">
        <w:t>paragraphs </w:t>
      </w:r>
      <w:r w:rsidRPr="00272930">
        <w:t>7.232, 7.233, 7.244, and 8.1.d.ii of its Report, that the European Union</w:t>
      </w:r>
      <w:r w:rsidR="00972276" w:rsidRPr="00272930">
        <w:t>'</w:t>
      </w:r>
      <w:r w:rsidRPr="00272930">
        <w:t xml:space="preserve">s claim under Article 2.4 of the Anti-Dumping Agreement concerning </w:t>
      </w:r>
      <w:proofErr w:type="spellStart"/>
      <w:r w:rsidRPr="00272930">
        <w:t>Mydibel</w:t>
      </w:r>
      <w:r w:rsidR="00972276" w:rsidRPr="00272930">
        <w:t>'</w:t>
      </w:r>
      <w:r w:rsidRPr="00272930">
        <w:t>s</w:t>
      </w:r>
      <w:proofErr w:type="spellEnd"/>
      <w:r w:rsidRPr="00272930">
        <w:t> packaging cost-related adjustment request fell within the Panel</w:t>
      </w:r>
      <w:r w:rsidR="00972276" w:rsidRPr="00272930">
        <w:t>'</w:t>
      </w:r>
      <w:r w:rsidRPr="00272930">
        <w:t xml:space="preserve">s terms of reference. For these reasons, we also </w:t>
      </w:r>
      <w:r w:rsidRPr="00272930">
        <w:rPr>
          <w:u w:val="single"/>
        </w:rPr>
        <w:t>decline</w:t>
      </w:r>
      <w:r w:rsidRPr="00272930">
        <w:t xml:space="preserve"> Colombia</w:t>
      </w:r>
      <w:r w:rsidR="00972276" w:rsidRPr="00272930">
        <w:t>'</w:t>
      </w:r>
      <w:r w:rsidRPr="00272930">
        <w:t xml:space="preserve">s request to </w:t>
      </w:r>
      <w:r w:rsidR="00972276" w:rsidRPr="00272930">
        <w:t>"</w:t>
      </w:r>
      <w:r w:rsidRPr="00272930">
        <w:t>declare moot and of no legal effect</w:t>
      </w:r>
      <w:r w:rsidR="00972276" w:rsidRPr="00272930">
        <w:t>"</w:t>
      </w:r>
      <w:r w:rsidRPr="00272930">
        <w:t xml:space="preserve"> the Panel</w:t>
      </w:r>
      <w:r w:rsidR="00972276" w:rsidRPr="00272930">
        <w:t>'</w:t>
      </w:r>
      <w:r w:rsidRPr="00272930">
        <w:t>s substantive findings under Article</w:t>
      </w:r>
      <w:r w:rsidR="00F2224B" w:rsidRPr="00272930">
        <w:t> </w:t>
      </w:r>
      <w:r w:rsidRPr="00272930">
        <w:t>2.4.</w:t>
      </w:r>
    </w:p>
    <w:p w14:paraId="49B26524" w14:textId="4E6EA88D" w:rsidR="00F572D3" w:rsidRPr="00272930" w:rsidRDefault="00F572D3" w:rsidP="00B709B7">
      <w:pPr>
        <w:pStyle w:val="Heading2"/>
        <w:numPr>
          <w:ilvl w:val="1"/>
          <w:numId w:val="7"/>
        </w:numPr>
        <w:rPr>
          <w:szCs w:val="18"/>
        </w:rPr>
      </w:pPr>
      <w:bookmarkStart w:id="55" w:name="_Toc122339721"/>
      <w:r w:rsidRPr="00272930">
        <w:rPr>
          <w:szCs w:val="18"/>
        </w:rPr>
        <w:t xml:space="preserve">Claim under </w:t>
      </w:r>
      <w:r w:rsidR="000528F6" w:rsidRPr="00272930">
        <w:rPr>
          <w:szCs w:val="18"/>
        </w:rPr>
        <w:t>Articles </w:t>
      </w:r>
      <w:r w:rsidRPr="00272930">
        <w:rPr>
          <w:szCs w:val="18"/>
        </w:rPr>
        <w:t>3.1, 3.2, 3.4, and 3.5 of the Anti-Dumping Agreement</w:t>
      </w:r>
      <w:bookmarkEnd w:id="55"/>
    </w:p>
    <w:p w14:paraId="5BDEE640" w14:textId="77777777" w:rsidR="00F572D3" w:rsidRPr="00272930" w:rsidRDefault="00F572D3" w:rsidP="00B709B7">
      <w:pPr>
        <w:pStyle w:val="Heading3"/>
        <w:numPr>
          <w:ilvl w:val="2"/>
          <w:numId w:val="7"/>
        </w:numPr>
      </w:pPr>
      <w:bookmarkStart w:id="56" w:name="_Toc122339722"/>
      <w:r w:rsidRPr="00272930">
        <w:t>Introduction and Panel findings</w:t>
      </w:r>
      <w:bookmarkEnd w:id="56"/>
    </w:p>
    <w:p w14:paraId="11340CBB" w14:textId="19FEC142" w:rsidR="00F572D3" w:rsidRPr="00272930" w:rsidRDefault="00F572D3" w:rsidP="00B709B7">
      <w:pPr>
        <w:pStyle w:val="BodyText"/>
        <w:numPr>
          <w:ilvl w:val="6"/>
          <w:numId w:val="7"/>
        </w:numPr>
      </w:pPr>
      <w:r w:rsidRPr="00272930">
        <w:t>Colombia appeals the Panel</w:t>
      </w:r>
      <w:r w:rsidR="00972276" w:rsidRPr="00272930">
        <w:t>'</w:t>
      </w:r>
      <w:r w:rsidRPr="00272930">
        <w:t xml:space="preserve">s finding that MINCIT acted inconsistently with </w:t>
      </w:r>
      <w:r w:rsidR="000528F6" w:rsidRPr="00272930">
        <w:t>Articles </w:t>
      </w:r>
      <w:r w:rsidRPr="00272930">
        <w:t xml:space="preserve">3.1, 3.2, 3.4, and 3.5 by including in its final injury and causation determinations imports from exporters that were determined to have final </w:t>
      </w:r>
      <w:r w:rsidRPr="00272930">
        <w:rPr>
          <w:i/>
          <w:iCs/>
        </w:rPr>
        <w:t>de minimis</w:t>
      </w:r>
      <w:r w:rsidRPr="00272930">
        <w:t xml:space="preserve"> dumping margins.</w:t>
      </w:r>
      <w:r w:rsidRPr="00272930">
        <w:rPr>
          <w:rStyle w:val="FootnoteReference"/>
          <w:szCs w:val="18"/>
        </w:rPr>
        <w:footnoteReference w:id="173"/>
      </w:r>
      <w:r w:rsidRPr="00272930">
        <w:t xml:space="preserve"> According to Colombia, interpreting the term </w:t>
      </w:r>
      <w:r w:rsidR="00972276" w:rsidRPr="00272930">
        <w:t>"</w:t>
      </w:r>
      <w:r w:rsidRPr="00272930">
        <w:t>dumped imports</w:t>
      </w:r>
      <w:r w:rsidR="00972276" w:rsidRPr="00272930">
        <w:t>"</w:t>
      </w:r>
      <w:r w:rsidRPr="00272930">
        <w:t xml:space="preserve"> in </w:t>
      </w:r>
      <w:r w:rsidR="000528F6" w:rsidRPr="00272930">
        <w:t>Articles </w:t>
      </w:r>
      <w:r w:rsidRPr="00272930">
        <w:t xml:space="preserve">3.1, 3.2, 3.4, and 3.5 to include imports with final </w:t>
      </w:r>
      <w:r w:rsidRPr="00272930">
        <w:rPr>
          <w:i/>
          <w:iCs/>
        </w:rPr>
        <w:t>de minimis</w:t>
      </w:r>
      <w:r w:rsidRPr="00272930">
        <w:t xml:space="preserve"> dumping margins, as MINCIT did, </w:t>
      </w:r>
      <w:r w:rsidR="00972276" w:rsidRPr="00272930">
        <w:t>"</w:t>
      </w:r>
      <w:r w:rsidRPr="00272930">
        <w:t xml:space="preserve">is correct or, at the very least, a </w:t>
      </w:r>
      <w:r w:rsidR="00972276" w:rsidRPr="00272930">
        <w:t>'</w:t>
      </w:r>
      <w:r w:rsidRPr="00272930">
        <w:t>permissible</w:t>
      </w:r>
      <w:r w:rsidR="00972276" w:rsidRPr="00272930">
        <w:t>'</w:t>
      </w:r>
      <w:r w:rsidRPr="00272930">
        <w:t xml:space="preserve"> interpretation within the meaning of Article</w:t>
      </w:r>
      <w:r w:rsidR="00F2224B" w:rsidRPr="00272930">
        <w:t> </w:t>
      </w:r>
      <w:r w:rsidRPr="00272930">
        <w:t>17.6(ii) of the Anti-Dumping Agreement</w:t>
      </w:r>
      <w:r w:rsidR="00972276" w:rsidRPr="00272930">
        <w:t>"</w:t>
      </w:r>
      <w:r w:rsidRPr="00272930">
        <w:t>.</w:t>
      </w:r>
      <w:r w:rsidRPr="00272930">
        <w:rPr>
          <w:rStyle w:val="FootnoteReference"/>
        </w:rPr>
        <w:footnoteReference w:id="174"/>
      </w:r>
    </w:p>
    <w:p w14:paraId="14D90F7E" w14:textId="1C99ADA6" w:rsidR="00F572D3" w:rsidRPr="00272930" w:rsidRDefault="00F572D3" w:rsidP="00B709B7">
      <w:pPr>
        <w:pStyle w:val="BodyText"/>
        <w:numPr>
          <w:ilvl w:val="6"/>
          <w:numId w:val="7"/>
        </w:numPr>
        <w:rPr>
          <w:szCs w:val="18"/>
        </w:rPr>
      </w:pPr>
      <w:r w:rsidRPr="00272930">
        <w:t>Article</w:t>
      </w:r>
      <w:r w:rsidR="00F2224B" w:rsidRPr="00272930">
        <w:t> </w:t>
      </w:r>
      <w:r w:rsidRPr="00272930">
        <w:t xml:space="preserve">3 of the Anti-Dumping Agreement, entitled </w:t>
      </w:r>
      <w:r w:rsidR="00972276" w:rsidRPr="00272930">
        <w:t>"</w:t>
      </w:r>
      <w:r w:rsidRPr="00272930">
        <w:t>Determination of Injury</w:t>
      </w:r>
      <w:r w:rsidR="00972276" w:rsidRPr="00272930">
        <w:t>"</w:t>
      </w:r>
      <w:r w:rsidRPr="00272930">
        <w:t>, elaborates on the requirement of injury. Article</w:t>
      </w:r>
      <w:r w:rsidR="00F2224B" w:rsidRPr="00272930">
        <w:t> </w:t>
      </w:r>
      <w:r w:rsidRPr="00272930">
        <w:t>3.1 provides:</w:t>
      </w:r>
    </w:p>
    <w:tbl>
      <w:tblPr>
        <w:tblW w:w="0" w:type="auto"/>
        <w:tblBorders>
          <w:insideH w:val="single" w:sz="6" w:space="0" w:color="FFFFFF"/>
        </w:tblBorders>
        <w:tblLayout w:type="fixed"/>
        <w:tblCellMar>
          <w:top w:w="57" w:type="dxa"/>
          <w:left w:w="170" w:type="dxa"/>
          <w:bottom w:w="57" w:type="dxa"/>
          <w:right w:w="170" w:type="dxa"/>
        </w:tblCellMar>
        <w:tblLook w:val="04A0" w:firstRow="1" w:lastRow="0" w:firstColumn="1" w:lastColumn="0" w:noHBand="0" w:noVBand="1"/>
      </w:tblPr>
      <w:tblGrid>
        <w:gridCol w:w="9242"/>
      </w:tblGrid>
      <w:tr w:rsidR="00F572D3" w:rsidRPr="00272930" w14:paraId="74E01D78" w14:textId="77777777" w:rsidTr="001874F9">
        <w:tc>
          <w:tcPr>
            <w:tcW w:w="9242" w:type="dxa"/>
            <w:shd w:val="clear" w:color="auto" w:fill="C9DED4"/>
          </w:tcPr>
          <w:p w14:paraId="66341908" w14:textId="49EE8129" w:rsidR="00F572D3" w:rsidRPr="00272930" w:rsidRDefault="00F572D3" w:rsidP="00B709B7">
            <w:pPr>
              <w:spacing w:after="120"/>
              <w:jc w:val="center"/>
            </w:pPr>
            <w:r w:rsidRPr="00272930">
              <w:t>Article</w:t>
            </w:r>
            <w:r w:rsidR="00F2224B" w:rsidRPr="00272930">
              <w:t> </w:t>
            </w:r>
            <w:r w:rsidRPr="00272930">
              <w:t>3</w:t>
            </w:r>
          </w:p>
          <w:p w14:paraId="77B133F3" w14:textId="77777777" w:rsidR="00F572D3" w:rsidRPr="00272930" w:rsidRDefault="00F572D3" w:rsidP="00B709B7">
            <w:pPr>
              <w:spacing w:after="120"/>
              <w:jc w:val="center"/>
              <w:rPr>
                <w:i/>
                <w:iCs/>
              </w:rPr>
            </w:pPr>
            <w:r w:rsidRPr="00272930">
              <w:rPr>
                <w:i/>
                <w:iCs/>
              </w:rPr>
              <w:t>Determination of Injury</w:t>
            </w:r>
          </w:p>
          <w:p w14:paraId="2B299259" w14:textId="5214DD96" w:rsidR="00F572D3" w:rsidRPr="00272930" w:rsidRDefault="00F572D3" w:rsidP="00B709B7">
            <w:pPr>
              <w:spacing w:after="120"/>
            </w:pPr>
            <w:r w:rsidRPr="00272930">
              <w:t>3.1</w:t>
            </w:r>
            <w:r w:rsidR="0046762C" w:rsidRPr="00272930">
              <w:t xml:space="preserve"> </w:t>
            </w:r>
            <w:r w:rsidRPr="00272930">
              <w:t xml:space="preserve">A determination of injury for purposes of Article VI of GATT 1994 shall be based on positive evidence and involve an objective examination of both (a) the volume of the </w:t>
            </w:r>
            <w:r w:rsidRPr="00272930">
              <w:rPr>
                <w:u w:val="single"/>
              </w:rPr>
              <w:t>dumped imports</w:t>
            </w:r>
            <w:r w:rsidRPr="00272930">
              <w:t xml:space="preserve"> and the effect of the </w:t>
            </w:r>
            <w:r w:rsidRPr="00272930">
              <w:rPr>
                <w:u w:val="single"/>
              </w:rPr>
              <w:t>dumped imports</w:t>
            </w:r>
            <w:r w:rsidRPr="00272930">
              <w:t xml:space="preserve"> on prices in the domestic market for like products, and (b) the consequent impact of </w:t>
            </w:r>
            <w:r w:rsidRPr="00272930">
              <w:rPr>
                <w:u w:val="single"/>
              </w:rPr>
              <w:t>these imports</w:t>
            </w:r>
            <w:r w:rsidRPr="00272930">
              <w:t xml:space="preserve"> on domestic producers of </w:t>
            </w:r>
            <w:r w:rsidRPr="00272930">
              <w:rPr>
                <w:u w:val="single"/>
              </w:rPr>
              <w:t>such products</w:t>
            </w:r>
            <w:r w:rsidRPr="00272930">
              <w:t>. (</w:t>
            </w:r>
            <w:proofErr w:type="gramStart"/>
            <w:r w:rsidRPr="00272930">
              <w:t>underlining</w:t>
            </w:r>
            <w:proofErr w:type="gramEnd"/>
            <w:r w:rsidRPr="00272930">
              <w:t xml:space="preserve"> added)</w:t>
            </w:r>
          </w:p>
        </w:tc>
      </w:tr>
    </w:tbl>
    <w:p w14:paraId="54D78D30" w14:textId="34773C85" w:rsidR="00F572D3" w:rsidRPr="00272930" w:rsidRDefault="000528F6" w:rsidP="00B709B7">
      <w:pPr>
        <w:pStyle w:val="BodyText"/>
        <w:numPr>
          <w:ilvl w:val="6"/>
          <w:numId w:val="7"/>
        </w:numPr>
        <w:spacing w:before="240"/>
      </w:pPr>
      <w:r w:rsidRPr="00272930">
        <w:t>Articles </w:t>
      </w:r>
      <w:r w:rsidR="00F572D3" w:rsidRPr="00272930">
        <w:t>3.2, 3.4</w:t>
      </w:r>
      <w:r w:rsidR="004B6C62" w:rsidRPr="00272930">
        <w:t>,</w:t>
      </w:r>
      <w:r w:rsidR="00F572D3" w:rsidRPr="00272930">
        <w:t xml:space="preserve"> and 3.5 similarly refer to </w:t>
      </w:r>
      <w:r w:rsidR="00972276" w:rsidRPr="00272930">
        <w:t>"</w:t>
      </w:r>
      <w:r w:rsidR="00F572D3" w:rsidRPr="00272930">
        <w:t>dumped imports</w:t>
      </w:r>
      <w:r w:rsidR="00972276" w:rsidRPr="00272930">
        <w:t>"</w:t>
      </w:r>
      <w:r w:rsidR="00F572D3" w:rsidRPr="00272930">
        <w:t xml:space="preserve"> without explicitly addressing whether this includes or excludes imports with </w:t>
      </w:r>
      <w:r w:rsidR="00F572D3" w:rsidRPr="00272930">
        <w:rPr>
          <w:i/>
          <w:iCs/>
        </w:rPr>
        <w:t>de minimis</w:t>
      </w:r>
      <w:r w:rsidR="00F572D3" w:rsidRPr="00272930">
        <w:t xml:space="preserve"> dumping margins.</w:t>
      </w:r>
    </w:p>
    <w:p w14:paraId="12FB617D" w14:textId="07FF744D" w:rsidR="00606F04" w:rsidRPr="00272930" w:rsidRDefault="00606F04" w:rsidP="0080750D">
      <w:pPr>
        <w:pStyle w:val="BodyText"/>
        <w:keepNext/>
        <w:numPr>
          <w:ilvl w:val="6"/>
          <w:numId w:val="7"/>
        </w:numPr>
        <w:rPr>
          <w:szCs w:val="18"/>
        </w:rPr>
      </w:pPr>
      <w:r w:rsidRPr="00272930">
        <w:lastRenderedPageBreak/>
        <w:t>In addition to the above provisions at issue under Article</w:t>
      </w:r>
      <w:r w:rsidR="00F2224B" w:rsidRPr="00272930">
        <w:t> </w:t>
      </w:r>
      <w:r w:rsidRPr="00272930">
        <w:t xml:space="preserve">3, the parties and the Panel also referred to, </w:t>
      </w:r>
      <w:r w:rsidRPr="00272930">
        <w:rPr>
          <w:i/>
          <w:iCs/>
        </w:rPr>
        <w:t>inter</w:t>
      </w:r>
      <w:r w:rsidR="00F2224B" w:rsidRPr="00272930">
        <w:rPr>
          <w:i/>
          <w:iCs/>
        </w:rPr>
        <w:t> alia</w:t>
      </w:r>
      <w:r w:rsidRPr="00272930">
        <w:t>, Article</w:t>
      </w:r>
      <w:r w:rsidR="00F2224B" w:rsidRPr="00272930">
        <w:t> </w:t>
      </w:r>
      <w:r w:rsidRPr="00272930">
        <w:t>2.1 and Article</w:t>
      </w:r>
      <w:r w:rsidR="00F2224B" w:rsidRPr="00272930">
        <w:t> </w:t>
      </w:r>
      <w:r w:rsidRPr="00272930">
        <w:t>5.8 as pertinent context. Article</w:t>
      </w:r>
      <w:r w:rsidR="00F2224B" w:rsidRPr="00272930">
        <w:t> </w:t>
      </w:r>
      <w:r w:rsidRPr="00272930">
        <w:t>2 contains rules on the determination of dumping, and its first paragraph provides:</w:t>
      </w:r>
    </w:p>
    <w:tbl>
      <w:tblPr>
        <w:tblW w:w="0" w:type="auto"/>
        <w:tblBorders>
          <w:insideH w:val="single" w:sz="6" w:space="0" w:color="FFFFFF"/>
        </w:tblBorders>
        <w:tblLayout w:type="fixed"/>
        <w:tblCellMar>
          <w:top w:w="57" w:type="dxa"/>
          <w:left w:w="170" w:type="dxa"/>
          <w:bottom w:w="57" w:type="dxa"/>
          <w:right w:w="170" w:type="dxa"/>
        </w:tblCellMar>
        <w:tblLook w:val="04A0" w:firstRow="1" w:lastRow="0" w:firstColumn="1" w:lastColumn="0" w:noHBand="0" w:noVBand="1"/>
      </w:tblPr>
      <w:tblGrid>
        <w:gridCol w:w="9242"/>
      </w:tblGrid>
      <w:tr w:rsidR="00606F04" w:rsidRPr="00272930" w14:paraId="30359AA0" w14:textId="77777777" w:rsidTr="00B60400">
        <w:tc>
          <w:tcPr>
            <w:tcW w:w="9242" w:type="dxa"/>
            <w:shd w:val="clear" w:color="auto" w:fill="C9DED4"/>
          </w:tcPr>
          <w:p w14:paraId="50D7B759" w14:textId="3DCD0E3D" w:rsidR="00606F04" w:rsidRPr="00272930" w:rsidRDefault="00606F04" w:rsidP="0080750D">
            <w:pPr>
              <w:keepNext/>
              <w:spacing w:after="120"/>
              <w:jc w:val="center"/>
            </w:pPr>
            <w:r w:rsidRPr="00272930">
              <w:t>Article</w:t>
            </w:r>
            <w:r w:rsidR="00F2224B" w:rsidRPr="00272930">
              <w:t> </w:t>
            </w:r>
            <w:r w:rsidRPr="00272930">
              <w:t>2</w:t>
            </w:r>
          </w:p>
          <w:p w14:paraId="7EA1C159" w14:textId="5174507A" w:rsidR="00606F04" w:rsidRPr="00272930" w:rsidRDefault="00606F04" w:rsidP="0080750D">
            <w:pPr>
              <w:keepNext/>
              <w:spacing w:after="120"/>
              <w:jc w:val="center"/>
              <w:rPr>
                <w:i/>
                <w:iCs/>
              </w:rPr>
            </w:pPr>
            <w:r w:rsidRPr="00272930">
              <w:rPr>
                <w:i/>
                <w:iCs/>
              </w:rPr>
              <w:t>Determination of Dumping</w:t>
            </w:r>
          </w:p>
          <w:p w14:paraId="12966F39" w14:textId="500CB17B" w:rsidR="00606F04" w:rsidRPr="00272930" w:rsidRDefault="00606F04" w:rsidP="0080750D">
            <w:pPr>
              <w:keepNext/>
              <w:spacing w:after="120"/>
            </w:pPr>
            <w:r w:rsidRPr="00272930">
              <w:t>2.1</w:t>
            </w:r>
            <w:r w:rsidR="0046762C" w:rsidRPr="00272930">
              <w:t xml:space="preserve"> </w:t>
            </w:r>
            <w:r w:rsidRPr="00272930">
              <w:t xml:space="preserve">For the purpose of this Agreement, a product is to be considered as being dumped, </w:t>
            </w:r>
            <w:proofErr w:type="gramStart"/>
            <w:r w:rsidRPr="00272930">
              <w:t>i.e.</w:t>
            </w:r>
            <w:proofErr w:type="gramEnd"/>
            <w:r w:rsidR="0046762C" w:rsidRPr="00272930">
              <w:t> </w:t>
            </w:r>
            <w:r w:rsidRPr="00272930">
              <w:t>introduced into the commerce of another country at less than its normal value, if the export price of the product exported from one country to another is less than the comparable price, in the ordinary course of trade, for the like product when destined for consumption in the exporting country.</w:t>
            </w:r>
          </w:p>
        </w:tc>
      </w:tr>
    </w:tbl>
    <w:p w14:paraId="32A6451E" w14:textId="77777777" w:rsidR="00606F04" w:rsidRPr="00272930" w:rsidRDefault="00606F04" w:rsidP="0080750D">
      <w:pPr>
        <w:pStyle w:val="BodyText"/>
        <w:numPr>
          <w:ilvl w:val="0"/>
          <w:numId w:val="0"/>
        </w:numPr>
        <w:spacing w:after="120"/>
        <w:rPr>
          <w:szCs w:val="18"/>
        </w:rPr>
      </w:pPr>
    </w:p>
    <w:p w14:paraId="6C50495F" w14:textId="5D444014" w:rsidR="00F572D3" w:rsidRPr="00272930" w:rsidRDefault="00F572D3" w:rsidP="00B709B7">
      <w:pPr>
        <w:pStyle w:val="BodyText"/>
        <w:numPr>
          <w:ilvl w:val="6"/>
          <w:numId w:val="7"/>
        </w:numPr>
        <w:rPr>
          <w:szCs w:val="18"/>
        </w:rPr>
      </w:pPr>
      <w:r w:rsidRPr="00272930">
        <w:t>Article</w:t>
      </w:r>
      <w:r w:rsidR="00F2224B" w:rsidRPr="00272930">
        <w:t> </w:t>
      </w:r>
      <w:r w:rsidRPr="00272930">
        <w:t xml:space="preserve">5, in turn, entitled </w:t>
      </w:r>
      <w:r w:rsidR="00972276" w:rsidRPr="00272930">
        <w:t>"</w:t>
      </w:r>
      <w:r w:rsidRPr="00272930">
        <w:t>Initiation and Subsequent Investigation</w:t>
      </w:r>
      <w:r w:rsidR="00972276" w:rsidRPr="00272930">
        <w:t>"</w:t>
      </w:r>
      <w:r w:rsidRPr="00272930">
        <w:t>, sets out rules and more precise steps for specific anti-dumping applications and investigations. Article</w:t>
      </w:r>
      <w:r w:rsidR="00F2224B" w:rsidRPr="00272930">
        <w:t> </w:t>
      </w:r>
      <w:r w:rsidRPr="00272930">
        <w:t>5.8 provides:</w:t>
      </w:r>
    </w:p>
    <w:tbl>
      <w:tblPr>
        <w:tblW w:w="0" w:type="auto"/>
        <w:tblBorders>
          <w:insideH w:val="single" w:sz="6" w:space="0" w:color="FFFFFF"/>
        </w:tblBorders>
        <w:tblLayout w:type="fixed"/>
        <w:tblCellMar>
          <w:top w:w="57" w:type="dxa"/>
          <w:left w:w="170" w:type="dxa"/>
          <w:bottom w:w="57" w:type="dxa"/>
          <w:right w:w="170" w:type="dxa"/>
        </w:tblCellMar>
        <w:tblLook w:val="04A0" w:firstRow="1" w:lastRow="0" w:firstColumn="1" w:lastColumn="0" w:noHBand="0" w:noVBand="1"/>
      </w:tblPr>
      <w:tblGrid>
        <w:gridCol w:w="9242"/>
      </w:tblGrid>
      <w:tr w:rsidR="00F572D3" w:rsidRPr="00272930" w14:paraId="42CB1C6C" w14:textId="77777777" w:rsidTr="001874F9">
        <w:tc>
          <w:tcPr>
            <w:tcW w:w="9242" w:type="dxa"/>
            <w:shd w:val="clear" w:color="auto" w:fill="C9DED4"/>
          </w:tcPr>
          <w:p w14:paraId="5F1BA0AB" w14:textId="110C77D6" w:rsidR="00F572D3" w:rsidRPr="00272930" w:rsidRDefault="00F572D3" w:rsidP="00B709B7">
            <w:pPr>
              <w:spacing w:after="120"/>
              <w:jc w:val="center"/>
            </w:pPr>
            <w:r w:rsidRPr="00272930">
              <w:t>Article</w:t>
            </w:r>
            <w:r w:rsidR="00F2224B" w:rsidRPr="00272930">
              <w:t> </w:t>
            </w:r>
            <w:r w:rsidRPr="00272930">
              <w:t>5</w:t>
            </w:r>
          </w:p>
          <w:p w14:paraId="23E61685" w14:textId="62000548" w:rsidR="00F572D3" w:rsidRPr="00272930" w:rsidRDefault="00F572D3" w:rsidP="00A92A75">
            <w:pPr>
              <w:spacing w:after="120"/>
              <w:jc w:val="center"/>
            </w:pPr>
            <w:r w:rsidRPr="00272930">
              <w:rPr>
                <w:i/>
                <w:iCs/>
              </w:rPr>
              <w:t>Initiation and Subsequent Investigation</w:t>
            </w:r>
          </w:p>
          <w:p w14:paraId="46D3B4C7" w14:textId="6495C100" w:rsidR="00F572D3" w:rsidRPr="00272930" w:rsidRDefault="00F572D3" w:rsidP="00B709B7">
            <w:pPr>
              <w:spacing w:after="120"/>
            </w:pPr>
            <w:r w:rsidRPr="00272930">
              <w:t>5.8</w:t>
            </w:r>
            <w:r w:rsidR="0046762C" w:rsidRPr="00272930">
              <w:t xml:space="preserve"> </w:t>
            </w:r>
            <w:r w:rsidRPr="00272930">
              <w:t>An application under paragraph 1 shall be rejected and an investigation shall be terminated promptly as soon as the authorities concerned are satisfied that there is not sufficient evidence of either dumping or of injury to justify proceeding with the case.</w:t>
            </w:r>
            <w:r w:rsidR="0046762C" w:rsidRPr="00272930">
              <w:t xml:space="preserve"> </w:t>
            </w:r>
            <w:r w:rsidRPr="00272930">
              <w:rPr>
                <w:u w:val="single"/>
              </w:rPr>
              <w:t>There shall be immediate termination in cases where the authorities determine that the margin of dumping is</w:t>
            </w:r>
            <w:r w:rsidR="00591744" w:rsidRPr="00272930">
              <w:rPr>
                <w:u w:val="single"/>
              </w:rPr>
              <w:t xml:space="preserve"> </w:t>
            </w:r>
            <w:r w:rsidRPr="00272930">
              <w:rPr>
                <w:i/>
                <w:u w:val="single"/>
              </w:rPr>
              <w:t>de minimis</w:t>
            </w:r>
            <w:r w:rsidRPr="00272930">
              <w:t>, or that the volume of dumped imports, actual or potential, or the injury, is negligible.</w:t>
            </w:r>
            <w:r w:rsidR="0046762C" w:rsidRPr="00272930">
              <w:t xml:space="preserve"> </w:t>
            </w:r>
            <w:r w:rsidRPr="00272930">
              <w:t xml:space="preserve">The margin of dumping shall </w:t>
            </w:r>
            <w:proofErr w:type="gramStart"/>
            <w:r w:rsidRPr="00272930">
              <w:t>be considered to be</w:t>
            </w:r>
            <w:proofErr w:type="gramEnd"/>
            <w:r w:rsidRPr="00272930">
              <w:t xml:space="preserve"> </w:t>
            </w:r>
            <w:r w:rsidRPr="00272930">
              <w:rPr>
                <w:i/>
              </w:rPr>
              <w:t>de minimis</w:t>
            </w:r>
            <w:r w:rsidRPr="00272930">
              <w:t xml:space="preserve"> if this margin is less than 2 per cent, expressed as a percentage of the export price. (</w:t>
            </w:r>
            <w:proofErr w:type="gramStart"/>
            <w:r w:rsidRPr="00272930">
              <w:t>underlining</w:t>
            </w:r>
            <w:proofErr w:type="gramEnd"/>
            <w:r w:rsidRPr="00272930">
              <w:t xml:space="preserve"> added)</w:t>
            </w:r>
          </w:p>
        </w:tc>
      </w:tr>
    </w:tbl>
    <w:p w14:paraId="050E24D1" w14:textId="4CC7200B" w:rsidR="00F572D3" w:rsidRPr="00272930" w:rsidRDefault="00F572D3" w:rsidP="00B709B7">
      <w:pPr>
        <w:pStyle w:val="BodyText"/>
        <w:numPr>
          <w:ilvl w:val="6"/>
          <w:numId w:val="7"/>
        </w:numPr>
        <w:spacing w:before="240"/>
      </w:pPr>
      <w:r w:rsidRPr="00272930">
        <w:t xml:space="preserve">The Panel observed that, while the term </w:t>
      </w:r>
      <w:r w:rsidR="00972276" w:rsidRPr="00272930">
        <w:t>"</w:t>
      </w:r>
      <w:r w:rsidRPr="00272930">
        <w:t>dumped imports</w:t>
      </w:r>
      <w:r w:rsidR="00972276" w:rsidRPr="00272930">
        <w:t>"</w:t>
      </w:r>
      <w:r w:rsidRPr="00272930">
        <w:t xml:space="preserve"> carries the same meaning across </w:t>
      </w:r>
      <w:r w:rsidR="000528F6" w:rsidRPr="00272930">
        <w:t>Articles </w:t>
      </w:r>
      <w:r w:rsidRPr="00272930">
        <w:t>3.1, 3.2, 3.4, and 3.5, it is not defined in Article 3.</w:t>
      </w:r>
      <w:r w:rsidRPr="00272930">
        <w:rPr>
          <w:rStyle w:val="FootnoteReference"/>
        </w:rPr>
        <w:footnoteReference w:id="175"/>
      </w:r>
      <w:r w:rsidRPr="00272930">
        <w:t xml:space="preserve"> The Panel noted that the parties identified different textual and contextual elements in support of their positions.</w:t>
      </w:r>
      <w:r w:rsidRPr="00272930">
        <w:rPr>
          <w:rStyle w:val="FootnoteReference"/>
        </w:rPr>
        <w:footnoteReference w:id="176"/>
      </w:r>
      <w:r w:rsidRPr="00272930">
        <w:t xml:space="preserve"> To the Panel, the principle of effectiveness, which flows from Article 31 of the Vienna</w:t>
      </w:r>
      <w:r w:rsidR="00BA4836" w:rsidRPr="00272930">
        <w:t> Convention</w:t>
      </w:r>
      <w:r w:rsidRPr="00272930">
        <w:t xml:space="preserve">, meant that it may not adopt an interpretation that would result in reducing the provisions of the Anti-Dumping Agreement to redundancy or </w:t>
      </w:r>
      <w:proofErr w:type="spellStart"/>
      <w:r w:rsidRPr="00272930">
        <w:t>inutility</w:t>
      </w:r>
      <w:proofErr w:type="spellEnd"/>
      <w:r w:rsidRPr="00272930">
        <w:t>.</w:t>
      </w:r>
      <w:r w:rsidRPr="00272930">
        <w:rPr>
          <w:rStyle w:val="FootnoteReference"/>
        </w:rPr>
        <w:footnoteReference w:id="177"/>
      </w:r>
    </w:p>
    <w:p w14:paraId="0AA727A4" w14:textId="082A64A7" w:rsidR="00F572D3" w:rsidRPr="00272930" w:rsidRDefault="00F572D3" w:rsidP="00B709B7">
      <w:pPr>
        <w:pStyle w:val="BodyText"/>
        <w:numPr>
          <w:ilvl w:val="6"/>
          <w:numId w:val="7"/>
        </w:numPr>
      </w:pPr>
      <w:r w:rsidRPr="00272930">
        <w:t xml:space="preserve">The Panel considered that, </w:t>
      </w:r>
      <w:r w:rsidR="00972276" w:rsidRPr="00272930">
        <w:t>"</w:t>
      </w:r>
      <w:r w:rsidRPr="00272930">
        <w:t>[i]n this case</w:t>
      </w:r>
      <w:r w:rsidR="00972276" w:rsidRPr="00272930">
        <w:t>"</w:t>
      </w:r>
      <w:r w:rsidRPr="00272930">
        <w:t>, Article</w:t>
      </w:r>
      <w:r w:rsidR="00F2224B" w:rsidRPr="00272930">
        <w:t> </w:t>
      </w:r>
      <w:r w:rsidRPr="00272930">
        <w:t xml:space="preserve">5.8 of the Anti-Dumping Agreement </w:t>
      </w:r>
      <w:r w:rsidR="00BD6EEF">
        <w:t>"</w:t>
      </w:r>
      <w:r w:rsidRPr="00272930">
        <w:t xml:space="preserve">provides important context for the interpretation of the term </w:t>
      </w:r>
      <w:r w:rsidR="00BD6EEF">
        <w:t>'</w:t>
      </w:r>
      <w:r w:rsidRPr="00272930">
        <w:t>dumped imports</w:t>
      </w:r>
      <w:r w:rsidR="00BD6EEF">
        <w:t>'</w:t>
      </w:r>
      <w:r w:rsidR="00972276" w:rsidRPr="00272930">
        <w:t>"</w:t>
      </w:r>
      <w:r w:rsidRPr="00272930">
        <w:t xml:space="preserve"> because, in addition to Article 2.1, provisions of Article</w:t>
      </w:r>
      <w:r w:rsidR="00F2224B" w:rsidRPr="00272930">
        <w:t> </w:t>
      </w:r>
      <w:r w:rsidRPr="00272930">
        <w:t>5 are applicable to and regulate the entire anti-dumping investigation to determine the existence, degree, and effect of any alleged dumping.</w:t>
      </w:r>
      <w:r w:rsidRPr="00272930">
        <w:rPr>
          <w:rStyle w:val="FootnoteReference"/>
        </w:rPr>
        <w:footnoteReference w:id="178"/>
      </w:r>
      <w:r w:rsidRPr="00272930">
        <w:t xml:space="preserve"> Article 5.8 requires an authority to end its investigation as soon as it determines that the margin of dumping is </w:t>
      </w:r>
      <w:r w:rsidRPr="00272930">
        <w:rPr>
          <w:i/>
          <w:iCs/>
        </w:rPr>
        <w:t>de minimis</w:t>
      </w:r>
      <w:r w:rsidRPr="00272930">
        <w:t>. Furthermore, an injury determination under Article</w:t>
      </w:r>
      <w:r w:rsidR="00F2224B" w:rsidRPr="00272930">
        <w:t> </w:t>
      </w:r>
      <w:r w:rsidRPr="00272930">
        <w:t xml:space="preserve">3 follows and </w:t>
      </w:r>
      <w:proofErr w:type="gramStart"/>
      <w:r w:rsidRPr="00272930">
        <w:t>takes into account</w:t>
      </w:r>
      <w:proofErr w:type="gramEnd"/>
      <w:r w:rsidRPr="00272930">
        <w:t xml:space="preserve"> the determination of the margin of dumping. Read together, these provisions indicate that, once a producer or exporter has been assigned a </w:t>
      </w:r>
      <w:r w:rsidRPr="00272930">
        <w:rPr>
          <w:i/>
          <w:iCs/>
        </w:rPr>
        <w:t>de</w:t>
      </w:r>
      <w:r w:rsidRPr="00272930">
        <w:rPr>
          <w:iCs/>
        </w:rPr>
        <w:t> </w:t>
      </w:r>
      <w:r w:rsidRPr="00272930">
        <w:rPr>
          <w:i/>
          <w:iCs/>
        </w:rPr>
        <w:t>minimis</w:t>
      </w:r>
      <w:r w:rsidRPr="00272930">
        <w:t xml:space="preserve"> margin of dumping, the continued treatment of any imports from that producer or exporter as </w:t>
      </w:r>
      <w:r w:rsidR="00972276" w:rsidRPr="00272930">
        <w:t>"</w:t>
      </w:r>
      <w:r w:rsidRPr="00272930">
        <w:t>dumped imports</w:t>
      </w:r>
      <w:r w:rsidR="00972276" w:rsidRPr="00272930">
        <w:t>"</w:t>
      </w:r>
      <w:r w:rsidRPr="00272930">
        <w:t xml:space="preserve">, in any subsequent injury and causation analyses under Article 3, would render ineffective the requirement to </w:t>
      </w:r>
      <w:r w:rsidR="00972276" w:rsidRPr="00272930">
        <w:t>"</w:t>
      </w:r>
      <w:r w:rsidRPr="00272930">
        <w:t>immediate[</w:t>
      </w:r>
      <w:proofErr w:type="spellStart"/>
      <w:r w:rsidRPr="00272930">
        <w:t>ly</w:t>
      </w:r>
      <w:proofErr w:type="spellEnd"/>
      <w:r w:rsidRPr="00272930">
        <w:t>] terminate</w:t>
      </w:r>
      <w:r w:rsidR="00972276" w:rsidRPr="00272930">
        <w:t>"</w:t>
      </w:r>
      <w:r w:rsidRPr="00272930">
        <w:t xml:space="preserve"> the investigation.</w:t>
      </w:r>
      <w:r w:rsidRPr="00272930">
        <w:rPr>
          <w:rStyle w:val="FootnoteReference"/>
        </w:rPr>
        <w:footnoteReference w:id="179"/>
      </w:r>
    </w:p>
    <w:p w14:paraId="49A87D85" w14:textId="0EAAAEB7" w:rsidR="00F572D3" w:rsidRPr="00272930" w:rsidRDefault="00F572D3" w:rsidP="00B709B7">
      <w:pPr>
        <w:pStyle w:val="BodyText"/>
        <w:numPr>
          <w:ilvl w:val="6"/>
          <w:numId w:val="7"/>
        </w:numPr>
      </w:pPr>
      <w:r w:rsidRPr="00272930">
        <w:t xml:space="preserve">Colombia argued before the Panel that </w:t>
      </w:r>
      <w:r w:rsidR="000528F6" w:rsidRPr="00272930">
        <w:t>Articles </w:t>
      </w:r>
      <w:r w:rsidRPr="00272930">
        <w:t xml:space="preserve">3.3 and 9.4 (which do explicitly exclude </w:t>
      </w:r>
      <w:r w:rsidRPr="00272930">
        <w:rPr>
          <w:i/>
          <w:iCs/>
        </w:rPr>
        <w:t>de</w:t>
      </w:r>
      <w:r w:rsidR="004B6C62" w:rsidRPr="00272930">
        <w:rPr>
          <w:i/>
          <w:iCs/>
        </w:rPr>
        <w:t> </w:t>
      </w:r>
      <w:r w:rsidRPr="00272930">
        <w:rPr>
          <w:i/>
          <w:iCs/>
        </w:rPr>
        <w:t xml:space="preserve">minimis </w:t>
      </w:r>
      <w:r w:rsidRPr="00272930">
        <w:t>margin</w:t>
      </w:r>
      <w:r w:rsidR="00F70657" w:rsidRPr="00272930">
        <w:t>s of</w:t>
      </w:r>
      <w:r w:rsidRPr="00272930">
        <w:t xml:space="preserve"> dumping) demonstrate the absence of a link between Article</w:t>
      </w:r>
      <w:r w:rsidR="00F2224B" w:rsidRPr="00272930">
        <w:t> </w:t>
      </w:r>
      <w:r w:rsidRPr="00272930">
        <w:t xml:space="preserve">5.8 and </w:t>
      </w:r>
      <w:r w:rsidR="000528F6" w:rsidRPr="00272930">
        <w:t>Articles </w:t>
      </w:r>
      <w:r w:rsidRPr="00272930">
        <w:t xml:space="preserve">3.1, 3.2, 3.4, and 3.5 because, when drafters decided to qualify the dumping margins as those above the </w:t>
      </w:r>
      <w:r w:rsidRPr="00272930">
        <w:rPr>
          <w:i/>
          <w:iCs/>
        </w:rPr>
        <w:t>de</w:t>
      </w:r>
      <w:r w:rsidRPr="00272930">
        <w:rPr>
          <w:iCs/>
        </w:rPr>
        <w:t> </w:t>
      </w:r>
      <w:r w:rsidRPr="00272930">
        <w:rPr>
          <w:i/>
          <w:iCs/>
        </w:rPr>
        <w:t>minimis</w:t>
      </w:r>
      <w:r w:rsidRPr="00272930">
        <w:t xml:space="preserve"> threshold, they did so expressly.</w:t>
      </w:r>
      <w:r w:rsidRPr="00272930">
        <w:rPr>
          <w:rStyle w:val="FootnoteReference"/>
        </w:rPr>
        <w:footnoteReference w:id="180"/>
      </w:r>
      <w:r w:rsidRPr="00272930">
        <w:t xml:space="preserve"> In the Panel</w:t>
      </w:r>
      <w:r w:rsidR="00972276" w:rsidRPr="00272930">
        <w:t>'</w:t>
      </w:r>
      <w:r w:rsidRPr="00272930">
        <w:t xml:space="preserve">s view, however, given the </w:t>
      </w:r>
      <w:r w:rsidR="00972276" w:rsidRPr="00272930">
        <w:t>"</w:t>
      </w:r>
      <w:r w:rsidRPr="00272930">
        <w:t>considerably different</w:t>
      </w:r>
      <w:r w:rsidR="00972276" w:rsidRPr="00272930">
        <w:t>"</w:t>
      </w:r>
      <w:r w:rsidRPr="00272930">
        <w:t xml:space="preserve"> scope of these provisions, the fact that </w:t>
      </w:r>
      <w:r w:rsidR="000528F6" w:rsidRPr="00272930">
        <w:t>Articles </w:t>
      </w:r>
      <w:r w:rsidRPr="00272930">
        <w:t xml:space="preserve">3.3 and 9.4 explicitly make Article 5.8 operational in the </w:t>
      </w:r>
      <w:r w:rsidRPr="00272930">
        <w:rPr>
          <w:i/>
          <w:iCs/>
        </w:rPr>
        <w:t>specific</w:t>
      </w:r>
      <w:r w:rsidRPr="00272930">
        <w:rPr>
          <w:iCs/>
        </w:rPr>
        <w:t xml:space="preserve"> </w:t>
      </w:r>
      <w:r w:rsidRPr="00272930">
        <w:t xml:space="preserve">situations contemplated under those provisions </w:t>
      </w:r>
      <w:r w:rsidRPr="00272930">
        <w:lastRenderedPageBreak/>
        <w:t xml:space="preserve">highlighted the contextual relevance of Article 5.8 for the </w:t>
      </w:r>
      <w:r w:rsidRPr="00272930">
        <w:rPr>
          <w:i/>
          <w:iCs/>
        </w:rPr>
        <w:t>general</w:t>
      </w:r>
      <w:r w:rsidRPr="00272930">
        <w:t xml:space="preserve"> injury and causation determinations under Article 3.</w:t>
      </w:r>
      <w:r w:rsidRPr="00272930">
        <w:rPr>
          <w:rStyle w:val="FootnoteReference"/>
        </w:rPr>
        <w:footnoteReference w:id="181"/>
      </w:r>
      <w:r w:rsidRPr="00272930">
        <w:t xml:space="preserve"> In addition, the Panel rejected Colombia</w:t>
      </w:r>
      <w:r w:rsidR="00972276" w:rsidRPr="00272930">
        <w:t>'</w:t>
      </w:r>
      <w:r w:rsidRPr="00272930">
        <w:t>s reliance on the panel</w:t>
      </w:r>
      <w:r w:rsidR="00972276" w:rsidRPr="00272930">
        <w:t>'</w:t>
      </w:r>
      <w:r w:rsidRPr="00272930">
        <w:t xml:space="preserve">s finding in </w:t>
      </w:r>
      <w:r w:rsidRPr="00272930">
        <w:rPr>
          <w:i/>
          <w:iCs/>
        </w:rPr>
        <w:t>Canada</w:t>
      </w:r>
      <w:r w:rsidR="004B6C62" w:rsidRPr="00272930">
        <w:rPr>
          <w:i/>
          <w:iCs/>
        </w:rPr>
        <w:t> </w:t>
      </w:r>
      <w:r w:rsidRPr="00272930">
        <w:rPr>
          <w:i/>
          <w:iCs/>
        </w:rPr>
        <w:t>–</w:t>
      </w:r>
      <w:r w:rsidR="004B6C62" w:rsidRPr="00272930">
        <w:rPr>
          <w:i/>
          <w:iCs/>
        </w:rPr>
        <w:t> </w:t>
      </w:r>
      <w:r w:rsidRPr="00272930">
        <w:rPr>
          <w:i/>
          <w:iCs/>
        </w:rPr>
        <w:t>Welded Pipe</w:t>
      </w:r>
      <w:r w:rsidRPr="00272930">
        <w:t xml:space="preserve">, where the panel found that </w:t>
      </w:r>
      <w:r w:rsidR="00F90197" w:rsidRPr="00272930">
        <w:t xml:space="preserve">the notion of </w:t>
      </w:r>
      <w:r w:rsidR="00972276" w:rsidRPr="00272930">
        <w:t>"</w:t>
      </w:r>
      <w:r w:rsidRPr="00272930">
        <w:t>dumping</w:t>
      </w:r>
      <w:r w:rsidR="00972276" w:rsidRPr="00272930">
        <w:t>"</w:t>
      </w:r>
      <w:r w:rsidRPr="00272930">
        <w:t xml:space="preserve"> </w:t>
      </w:r>
      <w:r w:rsidR="00F90197" w:rsidRPr="00272930">
        <w:t xml:space="preserve">does not have a </w:t>
      </w:r>
      <w:r w:rsidRPr="00272930">
        <w:rPr>
          <w:i/>
          <w:iCs/>
        </w:rPr>
        <w:t>de</w:t>
      </w:r>
      <w:r w:rsidR="00591744" w:rsidRPr="00272930">
        <w:rPr>
          <w:i/>
          <w:iCs/>
        </w:rPr>
        <w:t> </w:t>
      </w:r>
      <w:r w:rsidRPr="00272930">
        <w:rPr>
          <w:i/>
          <w:iCs/>
        </w:rPr>
        <w:t>minimis</w:t>
      </w:r>
      <w:r w:rsidRPr="00272930">
        <w:t xml:space="preserve"> </w:t>
      </w:r>
      <w:r w:rsidR="00F90197" w:rsidRPr="00272930">
        <w:t>component</w:t>
      </w:r>
      <w:r w:rsidRPr="00272930">
        <w:t xml:space="preserve">, because that finding concerns the interpretation of </w:t>
      </w:r>
      <w:r w:rsidR="00972276" w:rsidRPr="00272930">
        <w:t>"</w:t>
      </w:r>
      <w:r w:rsidRPr="00272930">
        <w:t>dumping</w:t>
      </w:r>
      <w:r w:rsidR="00972276" w:rsidRPr="00272930">
        <w:t>"</w:t>
      </w:r>
      <w:r w:rsidRPr="00272930">
        <w:t xml:space="preserve"> in Article</w:t>
      </w:r>
      <w:r w:rsidR="00F2224B" w:rsidRPr="00272930">
        <w:t> </w:t>
      </w:r>
      <w:r w:rsidRPr="00272930">
        <w:t xml:space="preserve">7.1(ii), which is limited to the application of </w:t>
      </w:r>
      <w:r w:rsidRPr="00272930">
        <w:rPr>
          <w:i/>
          <w:iCs/>
        </w:rPr>
        <w:t>provisional</w:t>
      </w:r>
      <w:r w:rsidRPr="00272930">
        <w:t xml:space="preserve"> anti-dumping measures not at issue in this dispute.</w:t>
      </w:r>
      <w:r w:rsidRPr="00272930">
        <w:rPr>
          <w:rStyle w:val="FootnoteReference"/>
        </w:rPr>
        <w:footnoteReference w:id="182"/>
      </w:r>
      <w:r w:rsidRPr="00272930">
        <w:t xml:space="preserve"> The Panel highlighted, instead, the same panel</w:t>
      </w:r>
      <w:r w:rsidR="00972276" w:rsidRPr="00272930">
        <w:t>'</w:t>
      </w:r>
      <w:r w:rsidRPr="00272930">
        <w:t xml:space="preserve">s statement that imports from an exporter with a </w:t>
      </w:r>
      <w:r w:rsidRPr="00272930">
        <w:rPr>
          <w:i/>
          <w:iCs/>
        </w:rPr>
        <w:t>final</w:t>
      </w:r>
      <w:r w:rsidRPr="00272930">
        <w:t xml:space="preserve"> </w:t>
      </w:r>
      <w:r w:rsidRPr="00272930">
        <w:rPr>
          <w:i/>
        </w:rPr>
        <w:t>de minimis</w:t>
      </w:r>
      <w:r w:rsidRPr="00272930">
        <w:t xml:space="preserve"> margin of dumping </w:t>
      </w:r>
      <w:r w:rsidR="00972276" w:rsidRPr="00272930">
        <w:t>"</w:t>
      </w:r>
      <w:r w:rsidRPr="00272930">
        <w:t xml:space="preserve">should not be treated as </w:t>
      </w:r>
      <w:r w:rsidR="00972276" w:rsidRPr="00272930">
        <w:t>'</w:t>
      </w:r>
      <w:r w:rsidRPr="00272930">
        <w:t>dumped</w:t>
      </w:r>
      <w:r w:rsidR="00972276" w:rsidRPr="00272930">
        <w:t>'</w:t>
      </w:r>
      <w:r w:rsidRPr="00272930">
        <w:t xml:space="preserve"> for the purpose of the analysis and final determinations of injury and causation</w:t>
      </w:r>
      <w:r w:rsidR="00972276" w:rsidRPr="00272930">
        <w:t>"</w:t>
      </w:r>
      <w:r w:rsidRPr="00272930">
        <w:t xml:space="preserve">, because </w:t>
      </w:r>
      <w:r w:rsidR="00972276" w:rsidRPr="00272930">
        <w:t>"</w:t>
      </w:r>
      <w:r w:rsidRPr="00272930">
        <w:t>Article 5.8 effectively means that there is no legally cognizable dumping</w:t>
      </w:r>
      <w:r w:rsidR="00972276" w:rsidRPr="00272930">
        <w:t>"</w:t>
      </w:r>
      <w:r w:rsidRPr="00272930">
        <w:t xml:space="preserve"> by that exporter.</w:t>
      </w:r>
      <w:r w:rsidRPr="00272930">
        <w:rPr>
          <w:rStyle w:val="FootnoteReference"/>
        </w:rPr>
        <w:footnoteReference w:id="183"/>
      </w:r>
    </w:p>
    <w:p w14:paraId="5FE420F8" w14:textId="477B16CB" w:rsidR="00F572D3" w:rsidRPr="00272930" w:rsidRDefault="00F572D3" w:rsidP="00B709B7">
      <w:pPr>
        <w:pStyle w:val="BodyText"/>
        <w:numPr>
          <w:ilvl w:val="6"/>
          <w:numId w:val="7"/>
        </w:numPr>
      </w:pPr>
      <w:r w:rsidRPr="00272930">
        <w:t xml:space="preserve">Finally, the Panel disagreed with Colombia that, under its legal system, in which final determinations of dumping, injury, and causation occur at the same time, </w:t>
      </w:r>
      <w:r w:rsidR="00972276" w:rsidRPr="00272930">
        <w:t>"</w:t>
      </w:r>
      <w:r w:rsidRPr="00272930">
        <w:t xml:space="preserve">the only way to terminate immediately an investigation, in respect of producers or exporters for which a </w:t>
      </w:r>
      <w:r w:rsidRPr="00272930">
        <w:rPr>
          <w:i/>
          <w:iCs/>
        </w:rPr>
        <w:t>de</w:t>
      </w:r>
      <w:r w:rsidRPr="00272930">
        <w:rPr>
          <w:iCs/>
        </w:rPr>
        <w:t> </w:t>
      </w:r>
      <w:r w:rsidRPr="00272930">
        <w:rPr>
          <w:i/>
          <w:iCs/>
        </w:rPr>
        <w:t>minimis</w:t>
      </w:r>
      <w:r w:rsidRPr="00272930">
        <w:t xml:space="preserve"> margin of dumping is determined, is to exclude them from the scope of the order</w:t>
      </w:r>
      <w:r w:rsidR="004B6C62" w:rsidRPr="00272930">
        <w:t>.</w:t>
      </w:r>
      <w:r w:rsidR="00972276" w:rsidRPr="00272930">
        <w:t>"</w:t>
      </w:r>
      <w:r w:rsidRPr="00272930">
        <w:rPr>
          <w:rStyle w:val="FootnoteReference"/>
        </w:rPr>
        <w:footnoteReference w:id="184"/>
      </w:r>
      <w:r w:rsidRPr="00272930">
        <w:t xml:space="preserve"> The Panel found that authorities</w:t>
      </w:r>
      <w:r w:rsidR="00972276" w:rsidRPr="00272930">
        <w:t>'</w:t>
      </w:r>
      <w:r w:rsidRPr="00272930">
        <w:t xml:space="preserve"> freedom to structure their investigations cannot be used as a justification for non</w:t>
      </w:r>
      <w:r w:rsidRPr="00272930">
        <w:noBreakHyphen/>
        <w:t xml:space="preserve">compliance with the unambiguous requirement under Article 5.8 to terminate immediately an investigation in cases where the authorities determine that the margin of dumping is </w:t>
      </w:r>
      <w:r w:rsidRPr="00272930">
        <w:rPr>
          <w:i/>
          <w:iCs/>
        </w:rPr>
        <w:t>de minimis</w:t>
      </w:r>
      <w:r w:rsidRPr="00272930">
        <w:t>.</w:t>
      </w:r>
      <w:r w:rsidRPr="00272930">
        <w:rPr>
          <w:rStyle w:val="FootnoteReference"/>
        </w:rPr>
        <w:footnoteReference w:id="185"/>
      </w:r>
      <w:r w:rsidRPr="00272930">
        <w:t xml:space="preserve"> In conclusion, the Panel found that Colombia</w:t>
      </w:r>
      <w:r w:rsidR="00972276" w:rsidRPr="00272930">
        <w:t>'</w:t>
      </w:r>
      <w:r w:rsidRPr="00272930">
        <w:t xml:space="preserve">s interpretation of the term </w:t>
      </w:r>
      <w:r w:rsidR="00972276" w:rsidRPr="00272930">
        <w:t>"</w:t>
      </w:r>
      <w:r w:rsidRPr="00272930">
        <w:t>dumped imports</w:t>
      </w:r>
      <w:r w:rsidR="00972276" w:rsidRPr="00272930">
        <w:t>"</w:t>
      </w:r>
      <w:r w:rsidRPr="00272930">
        <w:t xml:space="preserve"> as including </w:t>
      </w:r>
      <w:r w:rsidRPr="00272930">
        <w:rPr>
          <w:i/>
        </w:rPr>
        <w:t>de</w:t>
      </w:r>
      <w:r w:rsidRPr="00272930">
        <w:t> </w:t>
      </w:r>
      <w:r w:rsidRPr="00272930">
        <w:rPr>
          <w:i/>
        </w:rPr>
        <w:t>minimis</w:t>
      </w:r>
      <w:r w:rsidRPr="00272930">
        <w:t xml:space="preserve"> margin imports is not </w:t>
      </w:r>
      <w:r w:rsidR="00972276" w:rsidRPr="00272930">
        <w:t>"</w:t>
      </w:r>
      <w:r w:rsidRPr="00272930">
        <w:t>permissible</w:t>
      </w:r>
      <w:r w:rsidR="00972276" w:rsidRPr="00272930">
        <w:t>"</w:t>
      </w:r>
      <w:r w:rsidRPr="00272930">
        <w:t xml:space="preserve"> within the meaning of the second sentence of Article 17.6(ii) of the Anti</w:t>
      </w:r>
      <w:r w:rsidRPr="00272930">
        <w:noBreakHyphen/>
        <w:t>Dumping Agreement.</w:t>
      </w:r>
      <w:r w:rsidRPr="00272930">
        <w:rPr>
          <w:rStyle w:val="FootnoteReference"/>
        </w:rPr>
        <w:footnoteReference w:id="186"/>
      </w:r>
    </w:p>
    <w:p w14:paraId="4DD1B923" w14:textId="0205F557" w:rsidR="00F572D3" w:rsidRPr="00272930" w:rsidRDefault="00F572D3" w:rsidP="00B709B7">
      <w:pPr>
        <w:pStyle w:val="BodyText"/>
        <w:numPr>
          <w:ilvl w:val="6"/>
          <w:numId w:val="7"/>
        </w:numPr>
        <w:rPr>
          <w:szCs w:val="18"/>
        </w:rPr>
      </w:pPr>
      <w:r w:rsidRPr="00272930">
        <w:t xml:space="preserve">In </w:t>
      </w:r>
      <w:r w:rsidR="00270F7B" w:rsidRPr="00272930">
        <w:t>paragraphs </w:t>
      </w:r>
      <w:r w:rsidR="00A92A75" w:rsidRPr="00272930">
        <w:fldChar w:fldCharType="begin" w:fldLock="1"/>
      </w:r>
      <w:r w:rsidR="00A92A75" w:rsidRPr="00272930">
        <w:instrText xml:space="preserve"> REF _Ref121122984 \r \h </w:instrText>
      </w:r>
      <w:r w:rsidR="00A92A75" w:rsidRPr="00272930">
        <w:fldChar w:fldCharType="separate"/>
      </w:r>
      <w:r w:rsidR="006A23AB">
        <w:t>4.8</w:t>
      </w:r>
      <w:r w:rsidR="00A92A75" w:rsidRPr="00272930">
        <w:fldChar w:fldCharType="end"/>
      </w:r>
      <w:r w:rsidR="00CC1BA2">
        <w:t xml:space="preserve"> </w:t>
      </w:r>
      <w:r w:rsidR="007C1A34" w:rsidRPr="00272930">
        <w:t xml:space="preserve">to </w:t>
      </w:r>
      <w:r w:rsidR="00A92A75" w:rsidRPr="00272930">
        <w:fldChar w:fldCharType="begin" w:fldLock="1"/>
      </w:r>
      <w:r w:rsidR="00A92A75" w:rsidRPr="00272930">
        <w:instrText xml:space="preserve"> REF _Ref121123001 \r \h </w:instrText>
      </w:r>
      <w:r w:rsidR="00A92A75" w:rsidRPr="00272930">
        <w:fldChar w:fldCharType="separate"/>
      </w:r>
      <w:r w:rsidR="006A23AB">
        <w:t>4.15</w:t>
      </w:r>
      <w:r w:rsidR="00A92A75" w:rsidRPr="00272930">
        <w:fldChar w:fldCharType="end"/>
      </w:r>
      <w:r w:rsidR="00CC1BA2">
        <w:t xml:space="preserve"> </w:t>
      </w:r>
      <w:r w:rsidRPr="00272930">
        <w:t xml:space="preserve">above, we set out our approach to addressing the interpretative issues before us under </w:t>
      </w:r>
      <w:r w:rsidR="000528F6" w:rsidRPr="00272930">
        <w:t>Articles </w:t>
      </w:r>
      <w:r w:rsidRPr="00272930">
        <w:t xml:space="preserve">5.2(iii) and 5.3 (especially, the phrase </w:t>
      </w:r>
      <w:r w:rsidR="00972276" w:rsidRPr="00272930">
        <w:t>"</w:t>
      </w:r>
      <w:r w:rsidRPr="00272930">
        <w:t>where appropriate</w:t>
      </w:r>
      <w:r w:rsidR="00972276" w:rsidRPr="00272930">
        <w:t>"</w:t>
      </w:r>
      <w:r w:rsidRPr="00272930">
        <w:t>) in light of Article 17.6(ii). We follow the same approach below in examining Colombia</w:t>
      </w:r>
      <w:r w:rsidR="00972276" w:rsidRPr="00272930">
        <w:t>'</w:t>
      </w:r>
      <w:r w:rsidRPr="00272930">
        <w:t>s appeal</w:t>
      </w:r>
      <w:r w:rsidR="002A6C5C" w:rsidRPr="00272930">
        <w:t xml:space="preserve"> under </w:t>
      </w:r>
      <w:r w:rsidR="000528F6" w:rsidRPr="00272930">
        <w:t>Articles </w:t>
      </w:r>
      <w:r w:rsidR="002A6C5C" w:rsidRPr="00272930">
        <w:t xml:space="preserve">3.1, 3.2, 3.4, and 3.5 </w:t>
      </w:r>
      <w:r w:rsidR="00390F4E" w:rsidRPr="00272930">
        <w:t>regarding the term</w:t>
      </w:r>
      <w:r w:rsidR="002A6C5C" w:rsidRPr="00272930">
        <w:t xml:space="preserve"> </w:t>
      </w:r>
      <w:r w:rsidR="00972276" w:rsidRPr="00272930">
        <w:t>"</w:t>
      </w:r>
      <w:r w:rsidR="002A6C5C" w:rsidRPr="00272930">
        <w:t>dumped imports</w:t>
      </w:r>
      <w:r w:rsidR="00972276" w:rsidRPr="00272930">
        <w:t>"</w:t>
      </w:r>
      <w:r w:rsidRPr="00272930">
        <w:t xml:space="preserve">. In doing so, our task is not to search for a single interpretation that we consider to be </w:t>
      </w:r>
      <w:r w:rsidR="00972276" w:rsidRPr="00272930">
        <w:t>"</w:t>
      </w:r>
      <w:r w:rsidRPr="00272930">
        <w:t>final</w:t>
      </w:r>
      <w:r w:rsidR="00972276" w:rsidRPr="00272930">
        <w:t>"</w:t>
      </w:r>
      <w:r w:rsidRPr="00272930">
        <w:t xml:space="preserve"> or </w:t>
      </w:r>
      <w:r w:rsidR="00972276" w:rsidRPr="00272930">
        <w:t>"</w:t>
      </w:r>
      <w:r w:rsidRPr="00272930">
        <w:t>correct</w:t>
      </w:r>
      <w:r w:rsidR="00972276" w:rsidRPr="00272930">
        <w:t>"</w:t>
      </w:r>
      <w:r w:rsidRPr="00272930">
        <w:t>. Rather, we will test Colombia</w:t>
      </w:r>
      <w:r w:rsidR="00972276" w:rsidRPr="00272930">
        <w:t>'</w:t>
      </w:r>
      <w:r w:rsidRPr="00272930">
        <w:t xml:space="preserve">s interpretation of the term </w:t>
      </w:r>
      <w:r w:rsidR="00972276" w:rsidRPr="00272930">
        <w:t>"</w:t>
      </w:r>
      <w:r w:rsidRPr="00272930">
        <w:t>dumped imports</w:t>
      </w:r>
      <w:r w:rsidR="00972276" w:rsidRPr="00272930">
        <w:t>"</w:t>
      </w:r>
      <w:r w:rsidRPr="00272930">
        <w:t xml:space="preserve"> and ask whether </w:t>
      </w:r>
      <w:r w:rsidRPr="00272930">
        <w:rPr>
          <w:rFonts w:cstheme="minorHAnsi"/>
        </w:rPr>
        <w:t>a treaty interpreter, using the Vienna</w:t>
      </w:r>
      <w:r w:rsidR="00BA4836" w:rsidRPr="00272930">
        <w:rPr>
          <w:rFonts w:cstheme="minorHAnsi"/>
        </w:rPr>
        <w:t> Convention</w:t>
      </w:r>
      <w:r w:rsidRPr="00272930">
        <w:rPr>
          <w:rFonts w:cstheme="minorHAnsi"/>
        </w:rPr>
        <w:t xml:space="preserve"> method for treaty interpretation, </w:t>
      </w:r>
      <w:r w:rsidRPr="00272930">
        <w:t>could have reached Colombia</w:t>
      </w:r>
      <w:r w:rsidR="00972276" w:rsidRPr="00272930">
        <w:t>'</w:t>
      </w:r>
      <w:r w:rsidRPr="00272930">
        <w:t>s interpretation</w:t>
      </w:r>
      <w:r w:rsidRPr="00272930">
        <w:rPr>
          <w:rFonts w:cstheme="minorHAnsi"/>
        </w:rPr>
        <w:t xml:space="preserve">. In other words, </w:t>
      </w:r>
      <w:r w:rsidR="000B54F3">
        <w:rPr>
          <w:rFonts w:cstheme="minorHAnsi"/>
        </w:rPr>
        <w:t xml:space="preserve">we will examine whether </w:t>
      </w:r>
      <w:r w:rsidRPr="00272930">
        <w:rPr>
          <w:rFonts w:cstheme="minorHAnsi"/>
        </w:rPr>
        <w:t>Colombia</w:t>
      </w:r>
      <w:r w:rsidR="00972276" w:rsidRPr="00272930">
        <w:rPr>
          <w:rFonts w:cstheme="minorHAnsi"/>
        </w:rPr>
        <w:t>'</w:t>
      </w:r>
      <w:r w:rsidRPr="00272930">
        <w:rPr>
          <w:rFonts w:cstheme="minorHAnsi"/>
        </w:rPr>
        <w:t xml:space="preserve">s interpretation </w:t>
      </w:r>
      <w:r w:rsidR="000B54F3">
        <w:rPr>
          <w:rFonts w:cstheme="minorHAnsi"/>
        </w:rPr>
        <w:t>has</w:t>
      </w:r>
      <w:r w:rsidR="000B54F3" w:rsidRPr="00272930">
        <w:rPr>
          <w:rFonts w:cstheme="minorHAnsi"/>
        </w:rPr>
        <w:t xml:space="preserve"> </w:t>
      </w:r>
      <w:r w:rsidRPr="00272930">
        <w:rPr>
          <w:rFonts w:cstheme="minorHAnsi"/>
          <w:szCs w:val="18"/>
        </w:rPr>
        <w:t xml:space="preserve">the required degree of solidness or analytical support for it to be given deference as </w:t>
      </w:r>
      <w:r w:rsidR="00972276" w:rsidRPr="00272930">
        <w:rPr>
          <w:rFonts w:cstheme="minorHAnsi"/>
          <w:szCs w:val="18"/>
        </w:rPr>
        <w:t>"</w:t>
      </w:r>
      <w:r w:rsidRPr="00272930">
        <w:rPr>
          <w:rFonts w:cstheme="minorHAnsi"/>
          <w:szCs w:val="18"/>
        </w:rPr>
        <w:t>permissible</w:t>
      </w:r>
      <w:r w:rsidR="00972276" w:rsidRPr="00272930">
        <w:rPr>
          <w:rFonts w:cstheme="minorHAnsi"/>
          <w:szCs w:val="18"/>
        </w:rPr>
        <w:t>"</w:t>
      </w:r>
      <w:r w:rsidRPr="00272930">
        <w:rPr>
          <w:rFonts w:cstheme="minorHAnsi"/>
          <w:szCs w:val="18"/>
        </w:rPr>
        <w:t xml:space="preserve"> within the bounds of the Vienna</w:t>
      </w:r>
      <w:r w:rsidR="004B6C62" w:rsidRPr="00272930">
        <w:rPr>
          <w:rFonts w:cstheme="minorHAnsi"/>
          <w:szCs w:val="18"/>
        </w:rPr>
        <w:t> </w:t>
      </w:r>
      <w:r w:rsidRPr="00272930">
        <w:rPr>
          <w:rFonts w:cstheme="minorHAnsi"/>
          <w:szCs w:val="18"/>
        </w:rPr>
        <w:t>Convention method for treaty interpretation</w:t>
      </w:r>
      <w:r w:rsidR="000B54F3">
        <w:rPr>
          <w:rFonts w:cstheme="minorHAnsi"/>
          <w:szCs w:val="18"/>
        </w:rPr>
        <w:t>.</w:t>
      </w:r>
    </w:p>
    <w:p w14:paraId="01B854E7" w14:textId="5408A2B1" w:rsidR="00F572D3" w:rsidRPr="00272930" w:rsidRDefault="00F572D3" w:rsidP="00B709B7">
      <w:pPr>
        <w:pStyle w:val="Heading3"/>
        <w:numPr>
          <w:ilvl w:val="2"/>
          <w:numId w:val="7"/>
        </w:numPr>
      </w:pPr>
      <w:bookmarkStart w:id="57" w:name="_Toc122339723"/>
      <w:r w:rsidRPr="00272930">
        <w:t>Whether</w:t>
      </w:r>
      <w:r w:rsidRPr="00272930">
        <w:rPr>
          <w:szCs w:val="18"/>
        </w:rPr>
        <w:t xml:space="preserve"> it is permissible to interpret the term </w:t>
      </w:r>
      <w:r w:rsidR="00972276" w:rsidRPr="00272930">
        <w:rPr>
          <w:szCs w:val="18"/>
        </w:rPr>
        <w:t>"</w:t>
      </w:r>
      <w:r w:rsidRPr="00272930">
        <w:rPr>
          <w:szCs w:val="18"/>
        </w:rPr>
        <w:t>dumped imports</w:t>
      </w:r>
      <w:r w:rsidR="00972276" w:rsidRPr="00272930">
        <w:rPr>
          <w:szCs w:val="18"/>
        </w:rPr>
        <w:t>"</w:t>
      </w:r>
      <w:r w:rsidRPr="00272930">
        <w:rPr>
          <w:szCs w:val="18"/>
        </w:rPr>
        <w:t xml:space="preserve"> in </w:t>
      </w:r>
      <w:r w:rsidR="000528F6" w:rsidRPr="00272930">
        <w:rPr>
          <w:szCs w:val="18"/>
        </w:rPr>
        <w:t>Articles </w:t>
      </w:r>
      <w:r w:rsidRPr="00272930">
        <w:rPr>
          <w:szCs w:val="18"/>
        </w:rPr>
        <w:t xml:space="preserve">3.1, 3.2, 3.4, and 3.5 of the Anti-Dumping Agreement to include imports of exporters determined to have final </w:t>
      </w:r>
      <w:r w:rsidRPr="00272930">
        <w:rPr>
          <w:i/>
          <w:iCs/>
          <w:szCs w:val="18"/>
        </w:rPr>
        <w:t>de minimis</w:t>
      </w:r>
      <w:r w:rsidRPr="00272930">
        <w:rPr>
          <w:szCs w:val="18"/>
        </w:rPr>
        <w:t xml:space="preserve"> margins of dumping</w:t>
      </w:r>
      <w:bookmarkEnd w:id="57"/>
    </w:p>
    <w:p w14:paraId="179DC596" w14:textId="51E7FEB8" w:rsidR="00F572D3" w:rsidRPr="00272930" w:rsidRDefault="00F572D3" w:rsidP="00B709B7">
      <w:pPr>
        <w:pStyle w:val="BodyText"/>
        <w:numPr>
          <w:ilvl w:val="6"/>
          <w:numId w:val="7"/>
        </w:numPr>
      </w:pPr>
      <w:r w:rsidRPr="00272930">
        <w:t xml:space="preserve">On appeal, Colombia contends that the Panel ignored the ordinary meaning of the term </w:t>
      </w:r>
      <w:r w:rsidR="00972276" w:rsidRPr="00272930">
        <w:t>"</w:t>
      </w:r>
      <w:r w:rsidRPr="00272930">
        <w:t>dumped imports</w:t>
      </w:r>
      <w:r w:rsidR="00972276" w:rsidRPr="00272930">
        <w:t>"</w:t>
      </w:r>
      <w:r w:rsidRPr="00272930">
        <w:t xml:space="preserve"> in light of the definition of </w:t>
      </w:r>
      <w:r w:rsidR="00972276" w:rsidRPr="00272930">
        <w:t>"</w:t>
      </w:r>
      <w:r w:rsidRPr="00272930">
        <w:t>dumping</w:t>
      </w:r>
      <w:r w:rsidR="00972276" w:rsidRPr="00272930">
        <w:t>"</w:t>
      </w:r>
      <w:r w:rsidRPr="00272930">
        <w:t xml:space="preserve"> in Article</w:t>
      </w:r>
      <w:r w:rsidR="00F2224B" w:rsidRPr="00272930">
        <w:t> </w:t>
      </w:r>
      <w:r w:rsidRPr="00272930">
        <w:t>2.1 of the Anti-Dumping Agreement</w:t>
      </w:r>
      <w:r w:rsidRPr="00272930">
        <w:rPr>
          <w:rStyle w:val="FootnoteReference"/>
        </w:rPr>
        <w:footnoteReference w:id="187"/>
      </w:r>
      <w:r w:rsidRPr="00272930">
        <w:t>, and instead focused on one contextual provision, i.e.</w:t>
      </w:r>
      <w:r w:rsidR="0080750D" w:rsidRPr="00272930">
        <w:t> </w:t>
      </w:r>
      <w:r w:rsidRPr="00272930">
        <w:t>Article</w:t>
      </w:r>
      <w:r w:rsidR="00F2224B" w:rsidRPr="00272930">
        <w:t> </w:t>
      </w:r>
      <w:r w:rsidRPr="00272930">
        <w:t xml:space="preserve">5.8, at the expense of the context provided by other provisions such as </w:t>
      </w:r>
      <w:r w:rsidR="000528F6" w:rsidRPr="00272930">
        <w:t>Articles </w:t>
      </w:r>
      <w:r w:rsidRPr="00272930">
        <w:t>3.3, 3.5</w:t>
      </w:r>
      <w:r w:rsidR="00434F2A" w:rsidRPr="00272930">
        <w:t>,</w:t>
      </w:r>
      <w:r w:rsidRPr="00272930">
        <w:t xml:space="preserve"> and 9.4.</w:t>
      </w:r>
      <w:r w:rsidRPr="00272930">
        <w:rPr>
          <w:rStyle w:val="FootnoteReference"/>
        </w:rPr>
        <w:footnoteReference w:id="188"/>
      </w:r>
      <w:r w:rsidRPr="00272930">
        <w:t xml:space="preserve"> Colombia further argues that the Panel</w:t>
      </w:r>
      <w:r w:rsidR="00972276" w:rsidRPr="00272930">
        <w:t>'</w:t>
      </w:r>
      <w:r w:rsidRPr="00272930">
        <w:t>s reliance on Article</w:t>
      </w:r>
      <w:r w:rsidR="00F2224B" w:rsidRPr="00272930">
        <w:t> </w:t>
      </w:r>
      <w:r w:rsidRPr="00272930">
        <w:t xml:space="preserve">5.8 is premised on the erroneous understanding that an authority must definitely determine the existence of dumping </w:t>
      </w:r>
      <w:r w:rsidRPr="00272930">
        <w:rPr>
          <w:i/>
          <w:iCs/>
        </w:rPr>
        <w:t>before</w:t>
      </w:r>
      <w:r w:rsidRPr="00272930">
        <w:t xml:space="preserve"> assessing the existence of injury and causation, even though such a sequential decision-making process is not required by the Anti</w:t>
      </w:r>
      <w:r w:rsidR="00580753" w:rsidRPr="00272930">
        <w:noBreakHyphen/>
      </w:r>
      <w:r w:rsidRPr="00272930">
        <w:t>Dumping Agreement.</w:t>
      </w:r>
      <w:r w:rsidRPr="00272930">
        <w:rPr>
          <w:rStyle w:val="FootnoteReference"/>
        </w:rPr>
        <w:footnoteReference w:id="189"/>
      </w:r>
      <w:r w:rsidRPr="00272930">
        <w:t xml:space="preserve"> Colombia also seeks to support its view with supplementary means of treaty interpretation, including preparatory work for the Kennedy Round Anti-Dumping Code.</w:t>
      </w:r>
      <w:r w:rsidRPr="00272930">
        <w:rPr>
          <w:rStyle w:val="FootnoteReference"/>
        </w:rPr>
        <w:footnoteReference w:id="190"/>
      </w:r>
    </w:p>
    <w:p w14:paraId="1AB1D0A8" w14:textId="42F5667A" w:rsidR="00F572D3" w:rsidRPr="00272930" w:rsidRDefault="00F572D3" w:rsidP="00B709B7">
      <w:pPr>
        <w:pStyle w:val="BodyText"/>
        <w:numPr>
          <w:ilvl w:val="6"/>
          <w:numId w:val="7"/>
        </w:numPr>
      </w:pPr>
      <w:r w:rsidRPr="00272930">
        <w:t>The European</w:t>
      </w:r>
      <w:r w:rsidR="00DA0ACF" w:rsidRPr="00272930">
        <w:t> Union</w:t>
      </w:r>
      <w:r w:rsidRPr="00272930">
        <w:t xml:space="preserve"> maintains</w:t>
      </w:r>
      <w:r w:rsidRPr="00272930">
        <w:rPr>
          <w:rFonts w:eastAsiaTheme="minorEastAsia"/>
        </w:rPr>
        <w:t xml:space="preserve"> that </w:t>
      </w:r>
      <w:r w:rsidRPr="00272930">
        <w:t xml:space="preserve">the </w:t>
      </w:r>
      <w:r w:rsidR="00972276" w:rsidRPr="00272930">
        <w:t>"</w:t>
      </w:r>
      <w:r w:rsidRPr="00272930">
        <w:t>ordinary meaning</w:t>
      </w:r>
      <w:r w:rsidR="00972276" w:rsidRPr="00272930">
        <w:t>"</w:t>
      </w:r>
      <w:r w:rsidRPr="00272930">
        <w:t xml:space="preserve"> of the term </w:t>
      </w:r>
      <w:r w:rsidR="00972276" w:rsidRPr="00272930">
        <w:t>"</w:t>
      </w:r>
      <w:r w:rsidRPr="00272930">
        <w:t>dumped imports</w:t>
      </w:r>
      <w:r w:rsidR="00972276" w:rsidRPr="00272930">
        <w:t>"</w:t>
      </w:r>
      <w:r w:rsidRPr="00272930">
        <w:t xml:space="preserve"> in Article</w:t>
      </w:r>
      <w:r w:rsidR="00F2224B" w:rsidRPr="00272930">
        <w:t> </w:t>
      </w:r>
      <w:r w:rsidRPr="00272930">
        <w:t xml:space="preserve">3 refers to those imports attributable to producers or exporters for which, at the end of an investigation, a margin of dumping greater than </w:t>
      </w:r>
      <w:r w:rsidRPr="00272930">
        <w:rPr>
          <w:i/>
        </w:rPr>
        <w:t>de minimis</w:t>
      </w:r>
      <w:r w:rsidRPr="00272930">
        <w:t xml:space="preserve"> has been calculated.</w:t>
      </w:r>
      <w:r w:rsidRPr="00272930">
        <w:rPr>
          <w:rStyle w:val="FootnoteReference"/>
        </w:rPr>
        <w:footnoteReference w:id="191"/>
      </w:r>
      <w:r w:rsidRPr="00272930">
        <w:t xml:space="preserve"> To the European</w:t>
      </w:r>
      <w:r w:rsidR="00DA0ACF" w:rsidRPr="00272930">
        <w:t> Union</w:t>
      </w:r>
      <w:r w:rsidRPr="00272930">
        <w:t xml:space="preserve">, such a reading comports with the </w:t>
      </w:r>
      <w:r w:rsidR="00972276" w:rsidRPr="00272930">
        <w:t>"</w:t>
      </w:r>
      <w:r w:rsidRPr="00272930">
        <w:t>terms and objectives</w:t>
      </w:r>
      <w:r w:rsidR="00972276" w:rsidRPr="00272930">
        <w:t>"</w:t>
      </w:r>
      <w:r w:rsidRPr="00272930">
        <w:t xml:space="preserve"> of the Anti-Dumping </w:t>
      </w:r>
      <w:r w:rsidRPr="00272930">
        <w:lastRenderedPageBreak/>
        <w:t>Agreement as a whole</w:t>
      </w:r>
      <w:r w:rsidRPr="00272930">
        <w:rPr>
          <w:rStyle w:val="FootnoteReference"/>
        </w:rPr>
        <w:footnoteReference w:id="192"/>
      </w:r>
      <w:r w:rsidRPr="00272930">
        <w:t xml:space="preserve">, ensures the effectiveness of all relevant provisions including </w:t>
      </w:r>
      <w:r w:rsidR="000528F6" w:rsidRPr="00272930">
        <w:t>Articles </w:t>
      </w:r>
      <w:r w:rsidRPr="00272930">
        <w:t>5 and</w:t>
      </w:r>
      <w:r w:rsidR="00580753" w:rsidRPr="00272930">
        <w:t> </w:t>
      </w:r>
      <w:r w:rsidRPr="00272930">
        <w:t>6 of the Agreement</w:t>
      </w:r>
      <w:r w:rsidRPr="00272930">
        <w:rPr>
          <w:rStyle w:val="FootnoteReference"/>
        </w:rPr>
        <w:footnoteReference w:id="193"/>
      </w:r>
      <w:r w:rsidRPr="00272930">
        <w:t>, and is supported by findings in previous disputes.</w:t>
      </w:r>
      <w:r w:rsidRPr="00272930">
        <w:rPr>
          <w:rStyle w:val="FootnoteReference"/>
        </w:rPr>
        <w:footnoteReference w:id="194"/>
      </w:r>
      <w:r w:rsidRPr="00272930">
        <w:t xml:space="preserve"> In reaching its finding, therefore, the Panel gave due consideration to the ordinary meaning of the term </w:t>
      </w:r>
      <w:r w:rsidR="00972276" w:rsidRPr="00272930">
        <w:t>"</w:t>
      </w:r>
      <w:r w:rsidRPr="00272930">
        <w:t>dumped imports</w:t>
      </w:r>
      <w:r w:rsidR="00972276" w:rsidRPr="00272930">
        <w:t>"</w:t>
      </w:r>
      <w:r w:rsidRPr="00272930">
        <w:t xml:space="preserve"> in its context</w:t>
      </w:r>
      <w:r w:rsidRPr="00272930">
        <w:rPr>
          <w:rStyle w:val="FootnoteReference"/>
        </w:rPr>
        <w:footnoteReference w:id="195"/>
      </w:r>
      <w:r w:rsidRPr="00272930">
        <w:t>, and did not err in its reliance on Article</w:t>
      </w:r>
      <w:r w:rsidR="00F2224B" w:rsidRPr="00272930">
        <w:t> </w:t>
      </w:r>
      <w:r w:rsidRPr="00272930">
        <w:t>5.8 or in its rejection of Colombia</w:t>
      </w:r>
      <w:r w:rsidR="00972276" w:rsidRPr="00272930">
        <w:t>'</w:t>
      </w:r>
      <w:r w:rsidRPr="00272930">
        <w:t>s arguments on the basis of context and preparatory work.</w:t>
      </w:r>
      <w:r w:rsidRPr="00272930">
        <w:rPr>
          <w:rStyle w:val="FootnoteReference"/>
        </w:rPr>
        <w:footnoteReference w:id="196"/>
      </w:r>
    </w:p>
    <w:p w14:paraId="329E7A40" w14:textId="0684E9CA" w:rsidR="00F572D3" w:rsidRPr="00272930" w:rsidRDefault="00F572D3" w:rsidP="00B709B7">
      <w:pPr>
        <w:pStyle w:val="BodyText"/>
        <w:numPr>
          <w:ilvl w:val="6"/>
          <w:numId w:val="7"/>
        </w:numPr>
      </w:pPr>
      <w:r w:rsidRPr="00272930">
        <w:t>At the outset, we note that MINCIT based its final injury and causation determinations in this case on all investigated imports, i.e. those from exporters for whom it determined final margins of dumping that were (i)</w:t>
      </w:r>
      <w:r w:rsidR="00F2224B" w:rsidRPr="00272930">
        <w:t> </w:t>
      </w:r>
      <w:r w:rsidRPr="00272930">
        <w:t xml:space="preserve">above the </w:t>
      </w:r>
      <w:r w:rsidRPr="00272930">
        <w:rPr>
          <w:i/>
          <w:iCs/>
        </w:rPr>
        <w:t>de minimis</w:t>
      </w:r>
      <w:r w:rsidRPr="00272930">
        <w:t xml:space="preserve"> threshold (2</w:t>
      </w:r>
      <w:r w:rsidR="00EC1BC6" w:rsidRPr="00272930">
        <w:t>%</w:t>
      </w:r>
      <w:r w:rsidRPr="00272930">
        <w:t xml:space="preserve"> or greater)</w:t>
      </w:r>
      <w:r w:rsidR="00580753" w:rsidRPr="00272930">
        <w:t>;</w:t>
      </w:r>
      <w:r w:rsidRPr="00272930">
        <w:t xml:space="preserve"> (ii)</w:t>
      </w:r>
      <w:r w:rsidR="00F2224B" w:rsidRPr="00272930">
        <w:t> </w:t>
      </w:r>
      <w:r w:rsidRPr="00272930">
        <w:t xml:space="preserve">below the </w:t>
      </w:r>
      <w:r w:rsidRPr="00272930">
        <w:rPr>
          <w:i/>
          <w:iCs/>
        </w:rPr>
        <w:t>de</w:t>
      </w:r>
      <w:r w:rsidR="0080750D" w:rsidRPr="00272930">
        <w:rPr>
          <w:i/>
          <w:iCs/>
        </w:rPr>
        <w:t> </w:t>
      </w:r>
      <w:r w:rsidRPr="00272930">
        <w:rPr>
          <w:i/>
          <w:iCs/>
        </w:rPr>
        <w:t>minimis</w:t>
      </w:r>
      <w:r w:rsidRPr="00272930">
        <w:t xml:space="preserve"> threshold (less than 2</w:t>
      </w:r>
      <w:r w:rsidR="00EC1BC6" w:rsidRPr="00272930">
        <w:t>%</w:t>
      </w:r>
      <w:r w:rsidRPr="00272930">
        <w:t>)</w:t>
      </w:r>
      <w:r w:rsidR="00580753" w:rsidRPr="00272930">
        <w:t>;</w:t>
      </w:r>
      <w:r w:rsidRPr="00272930">
        <w:t xml:space="preserve"> and (iii) negative.</w:t>
      </w:r>
      <w:r w:rsidRPr="00272930">
        <w:rPr>
          <w:rStyle w:val="FootnoteReference"/>
        </w:rPr>
        <w:footnoteReference w:id="197"/>
      </w:r>
      <w:r w:rsidRPr="00272930">
        <w:t xml:space="preserve"> The question raised by Colombia</w:t>
      </w:r>
      <w:r w:rsidR="00972276" w:rsidRPr="00272930">
        <w:t>'</w:t>
      </w:r>
      <w:r w:rsidRPr="00272930">
        <w:t xml:space="preserve">s appeal is whether, by including imports from exporters for whom final </w:t>
      </w:r>
      <w:r w:rsidRPr="00272930">
        <w:rPr>
          <w:i/>
          <w:iCs/>
        </w:rPr>
        <w:t>de minimis</w:t>
      </w:r>
      <w:r w:rsidRPr="00272930">
        <w:t xml:space="preserve"> margins of dumping were determined, MINCIT</w:t>
      </w:r>
      <w:r w:rsidR="00972276" w:rsidRPr="00272930">
        <w:t>'</w:t>
      </w:r>
      <w:r w:rsidRPr="00272930">
        <w:t xml:space="preserve">s injury and causation determinations rest upon a </w:t>
      </w:r>
      <w:r w:rsidR="00972276" w:rsidRPr="00272930">
        <w:t>"</w:t>
      </w:r>
      <w:r w:rsidRPr="00272930">
        <w:t>permissible</w:t>
      </w:r>
      <w:r w:rsidR="00972276" w:rsidRPr="00272930">
        <w:t>"</w:t>
      </w:r>
      <w:r w:rsidRPr="00272930">
        <w:t xml:space="preserve"> interpretation of the term </w:t>
      </w:r>
      <w:r w:rsidR="00972276" w:rsidRPr="00272930">
        <w:t>"</w:t>
      </w:r>
      <w:r w:rsidRPr="00272930">
        <w:t>dumped imports</w:t>
      </w:r>
      <w:r w:rsidR="00972276" w:rsidRPr="00272930">
        <w:t>"</w:t>
      </w:r>
      <w:r w:rsidRPr="00272930">
        <w:t xml:space="preserve"> in </w:t>
      </w:r>
      <w:r w:rsidR="000528F6" w:rsidRPr="00272930">
        <w:t>Articles </w:t>
      </w:r>
      <w:r w:rsidRPr="00272930">
        <w:t>3.1, 3.2, 3.4</w:t>
      </w:r>
      <w:r w:rsidR="00580753" w:rsidRPr="00272930">
        <w:t>,</w:t>
      </w:r>
      <w:r w:rsidRPr="00272930">
        <w:t xml:space="preserve"> and 3.5. The Spanish and French versions of the same term are, respectively, </w:t>
      </w:r>
      <w:r w:rsidR="00972276" w:rsidRPr="00272930">
        <w:t>"</w:t>
      </w:r>
      <w:proofErr w:type="spellStart"/>
      <w:r w:rsidRPr="00272930">
        <w:t>importaciones</w:t>
      </w:r>
      <w:proofErr w:type="spellEnd"/>
      <w:r w:rsidRPr="00272930">
        <w:t xml:space="preserve"> </w:t>
      </w:r>
      <w:proofErr w:type="spellStart"/>
      <w:r w:rsidRPr="00272930">
        <w:t>objeto</w:t>
      </w:r>
      <w:proofErr w:type="spellEnd"/>
      <w:r w:rsidRPr="00272930">
        <w:t xml:space="preserve"> de dumping</w:t>
      </w:r>
      <w:r w:rsidR="00972276" w:rsidRPr="00272930">
        <w:t>"</w:t>
      </w:r>
      <w:r w:rsidRPr="00272930">
        <w:t xml:space="preserve"> and </w:t>
      </w:r>
      <w:r w:rsidR="00972276" w:rsidRPr="00272930">
        <w:t>"</w:t>
      </w:r>
      <w:r w:rsidRPr="00272930">
        <w:t xml:space="preserve">importations </w:t>
      </w:r>
      <w:proofErr w:type="spellStart"/>
      <w:r w:rsidRPr="00272930">
        <w:t>faisant</w:t>
      </w:r>
      <w:proofErr w:type="spellEnd"/>
      <w:r w:rsidRPr="00272930">
        <w:t xml:space="preserve"> </w:t>
      </w:r>
      <w:proofErr w:type="spellStart"/>
      <w:r w:rsidRPr="00272930">
        <w:t>l</w:t>
      </w:r>
      <w:r w:rsidR="00972276" w:rsidRPr="00272930">
        <w:t>'</w:t>
      </w:r>
      <w:r w:rsidRPr="00272930">
        <w:t>objet</w:t>
      </w:r>
      <w:proofErr w:type="spellEnd"/>
      <w:r w:rsidRPr="00272930">
        <w:t xml:space="preserve"> d</w:t>
      </w:r>
      <w:r w:rsidR="00972276" w:rsidRPr="00272930">
        <w:t>'</w:t>
      </w:r>
      <w:r w:rsidRPr="00272930">
        <w:t>un dumping</w:t>
      </w:r>
      <w:r w:rsidR="00972276" w:rsidRPr="00272930">
        <w:t>"</w:t>
      </w:r>
      <w:r w:rsidRPr="00272930">
        <w:t xml:space="preserve">. The text of these provisions does not define the term </w:t>
      </w:r>
      <w:r w:rsidR="00972276" w:rsidRPr="00272930">
        <w:t>"</w:t>
      </w:r>
      <w:r w:rsidRPr="00272930">
        <w:t>dumped imports</w:t>
      </w:r>
      <w:r w:rsidR="00972276" w:rsidRPr="00272930">
        <w:t>"</w:t>
      </w:r>
      <w:r w:rsidRPr="00272930">
        <w:t xml:space="preserve"> and, on its face, is silent as to whether the term is limited to imports with margins of dumping </w:t>
      </w:r>
      <w:r w:rsidR="000B54F3">
        <w:t>above</w:t>
      </w:r>
      <w:r w:rsidR="000B54F3" w:rsidRPr="00272930">
        <w:t xml:space="preserve"> </w:t>
      </w:r>
      <w:r w:rsidRPr="00272930">
        <w:t>a particular threshold.</w:t>
      </w:r>
    </w:p>
    <w:p w14:paraId="04C4AC17" w14:textId="27C31D3B" w:rsidR="00F572D3" w:rsidRPr="00272930" w:rsidRDefault="00F572D3" w:rsidP="00CA1995">
      <w:pPr>
        <w:pStyle w:val="Heading4"/>
        <w:numPr>
          <w:ilvl w:val="3"/>
          <w:numId w:val="46"/>
        </w:numPr>
      </w:pPr>
      <w:r w:rsidRPr="00272930">
        <w:t>Context provided by Article</w:t>
      </w:r>
      <w:r w:rsidR="00F2224B" w:rsidRPr="00272930">
        <w:t> </w:t>
      </w:r>
      <w:r w:rsidRPr="00272930">
        <w:t>2.1 and relevant provisions of Article</w:t>
      </w:r>
      <w:r w:rsidR="00F2224B" w:rsidRPr="00272930">
        <w:t> </w:t>
      </w:r>
      <w:r w:rsidRPr="00272930">
        <w:t>5</w:t>
      </w:r>
    </w:p>
    <w:p w14:paraId="080AA2BC" w14:textId="340999D0" w:rsidR="00F572D3" w:rsidRPr="00272930" w:rsidRDefault="00F572D3" w:rsidP="00B709B7">
      <w:pPr>
        <w:pStyle w:val="BodyText"/>
        <w:numPr>
          <w:ilvl w:val="6"/>
          <w:numId w:val="7"/>
        </w:numPr>
      </w:pPr>
      <w:r w:rsidRPr="00272930">
        <w:t>Colombia</w:t>
      </w:r>
      <w:r w:rsidR="00972276" w:rsidRPr="00272930">
        <w:t>'</w:t>
      </w:r>
      <w:r w:rsidRPr="00272930">
        <w:t xml:space="preserve">s interpretation relies principally on the fact that, under the definition of </w:t>
      </w:r>
      <w:r w:rsidR="00972276" w:rsidRPr="00272930">
        <w:t>"</w:t>
      </w:r>
      <w:r w:rsidRPr="00272930">
        <w:t>dumping</w:t>
      </w:r>
      <w:r w:rsidR="00972276" w:rsidRPr="00272930">
        <w:t>"</w:t>
      </w:r>
      <w:r w:rsidRPr="00272930">
        <w:t xml:space="preserve"> in Article</w:t>
      </w:r>
      <w:r w:rsidR="00F2224B" w:rsidRPr="00272930">
        <w:t> </w:t>
      </w:r>
      <w:r w:rsidRPr="00272930">
        <w:t xml:space="preserve">2.1, dumping exists when the dumping margin is above </w:t>
      </w:r>
      <w:r w:rsidR="00580753" w:rsidRPr="00272930">
        <w:t>0%</w:t>
      </w:r>
      <w:r w:rsidRPr="00272930">
        <w:t xml:space="preserve">. To Colombia, absent an express indication to the contrary, every time there is a reference to </w:t>
      </w:r>
      <w:r w:rsidR="00972276" w:rsidRPr="00272930">
        <w:t>"</w:t>
      </w:r>
      <w:r w:rsidRPr="00272930">
        <w:t>dumping</w:t>
      </w:r>
      <w:r w:rsidR="00972276" w:rsidRPr="00272930">
        <w:t>"</w:t>
      </w:r>
      <w:r w:rsidRPr="00272930">
        <w:t xml:space="preserve"> anywhere in the Anti-Dumping Agreement, the definition in Article</w:t>
      </w:r>
      <w:r w:rsidR="00F2224B" w:rsidRPr="00272930">
        <w:t> </w:t>
      </w:r>
      <w:r w:rsidRPr="00272930">
        <w:t xml:space="preserve">2.1 must apply. Thus, the term </w:t>
      </w:r>
      <w:r w:rsidR="00972276" w:rsidRPr="00272930">
        <w:t>"</w:t>
      </w:r>
      <w:r w:rsidRPr="00272930">
        <w:t>dumped imports</w:t>
      </w:r>
      <w:r w:rsidR="00972276" w:rsidRPr="00272930">
        <w:t>"</w:t>
      </w:r>
      <w:r w:rsidRPr="00272930">
        <w:t xml:space="preserve"> refers to </w:t>
      </w:r>
      <w:r w:rsidR="000B54F3" w:rsidRPr="00272930">
        <w:t>"</w:t>
      </w:r>
      <w:r w:rsidRPr="00272930">
        <w:t xml:space="preserve">any imports for which an authority calculates a positive dumping margin </w:t>
      </w:r>
      <w:r w:rsidRPr="00272930">
        <w:rPr>
          <w:i/>
          <w:iCs/>
        </w:rPr>
        <w:t>regardless of the magnitude of the margin</w:t>
      </w:r>
      <w:r w:rsidR="00972276" w:rsidRPr="00272930">
        <w:t>"</w:t>
      </w:r>
      <w:r w:rsidR="00EC1BC6" w:rsidRPr="00272930">
        <w:t>.</w:t>
      </w:r>
      <w:r w:rsidRPr="00272930">
        <w:rPr>
          <w:rStyle w:val="FootnoteReference"/>
        </w:rPr>
        <w:footnoteReference w:id="198"/>
      </w:r>
    </w:p>
    <w:p w14:paraId="1B11B880" w14:textId="1B369484" w:rsidR="00F572D3" w:rsidRPr="00272930" w:rsidRDefault="00F572D3" w:rsidP="00B709B7">
      <w:pPr>
        <w:pStyle w:val="BodyText"/>
        <w:numPr>
          <w:ilvl w:val="6"/>
          <w:numId w:val="7"/>
        </w:numPr>
      </w:pPr>
      <w:r w:rsidRPr="00272930">
        <w:t>Article</w:t>
      </w:r>
      <w:r w:rsidR="00F2224B" w:rsidRPr="00272930">
        <w:t> </w:t>
      </w:r>
      <w:r w:rsidRPr="00272930">
        <w:t xml:space="preserve">2.1, entitled </w:t>
      </w:r>
      <w:r w:rsidR="00972276" w:rsidRPr="00272930">
        <w:t>"</w:t>
      </w:r>
      <w:r w:rsidRPr="00272930">
        <w:t>Determination of Dumping</w:t>
      </w:r>
      <w:r w:rsidR="00972276" w:rsidRPr="00272930">
        <w:t>"</w:t>
      </w:r>
      <w:r w:rsidRPr="00272930">
        <w:t xml:space="preserve">, outlines provisions relevant to determining whether a </w:t>
      </w:r>
      <w:r w:rsidR="00972276" w:rsidRPr="00272930">
        <w:t>"</w:t>
      </w:r>
      <w:r w:rsidRPr="00272930">
        <w:t>product</w:t>
      </w:r>
      <w:r w:rsidR="00972276" w:rsidRPr="00272930">
        <w:t>"</w:t>
      </w:r>
      <w:r w:rsidRPr="00272930">
        <w:t xml:space="preserve"> can be </w:t>
      </w:r>
      <w:r w:rsidR="00972276" w:rsidRPr="00272930">
        <w:t>"</w:t>
      </w:r>
      <w:r w:rsidRPr="00272930">
        <w:t>considered as being dumped</w:t>
      </w:r>
      <w:r w:rsidR="00972276" w:rsidRPr="00272930">
        <w:t>"</w:t>
      </w:r>
      <w:r w:rsidRPr="00272930">
        <w:t xml:space="preserve"> and does so </w:t>
      </w:r>
      <w:r w:rsidR="00972276" w:rsidRPr="00272930">
        <w:t>"</w:t>
      </w:r>
      <w:r w:rsidRPr="00272930">
        <w:t>[f]or the purpose of</w:t>
      </w:r>
      <w:r w:rsidR="00972276" w:rsidRPr="00272930">
        <w:t>"</w:t>
      </w:r>
      <w:r w:rsidRPr="00272930">
        <w:t xml:space="preserve"> the Anti-Dumping Agreement. Article</w:t>
      </w:r>
      <w:r w:rsidR="00F2224B" w:rsidRPr="00272930">
        <w:t> </w:t>
      </w:r>
      <w:r w:rsidRPr="00272930">
        <w:t xml:space="preserve">3, however, refers specifically to </w:t>
      </w:r>
      <w:r w:rsidR="00972276" w:rsidRPr="00272930">
        <w:t>"</w:t>
      </w:r>
      <w:r w:rsidRPr="00272930">
        <w:t xml:space="preserve">dumped </w:t>
      </w:r>
      <w:r w:rsidRPr="00272930">
        <w:rPr>
          <w:i/>
          <w:iCs/>
        </w:rPr>
        <w:t>imports</w:t>
      </w:r>
      <w:r w:rsidR="00972276" w:rsidRPr="00272930">
        <w:t>"</w:t>
      </w:r>
      <w:r w:rsidRPr="00272930">
        <w:rPr>
          <w:rStyle w:val="FootnoteReference"/>
        </w:rPr>
        <w:footnoteReference w:id="199"/>
      </w:r>
      <w:r w:rsidRPr="00272930">
        <w:t xml:space="preserve"> in the context of injury determinations, rather than the generic concept of </w:t>
      </w:r>
      <w:r w:rsidR="00972276" w:rsidRPr="00272930">
        <w:t>"</w:t>
      </w:r>
      <w:r w:rsidRPr="00272930">
        <w:t>dumping</w:t>
      </w:r>
      <w:r w:rsidR="00972276" w:rsidRPr="00272930">
        <w:t>"</w:t>
      </w:r>
      <w:r w:rsidRPr="00272930">
        <w:t xml:space="preserve"> in isolation, as Article</w:t>
      </w:r>
      <w:r w:rsidR="00F2224B" w:rsidRPr="00272930">
        <w:t> </w:t>
      </w:r>
      <w:r w:rsidRPr="00272930">
        <w:t>2.1 does. While the definition in Article</w:t>
      </w:r>
      <w:r w:rsidR="00F2224B" w:rsidRPr="00272930">
        <w:t> </w:t>
      </w:r>
      <w:r w:rsidRPr="00272930">
        <w:t xml:space="preserve">2.1 is relevant for interpreting the term </w:t>
      </w:r>
      <w:r w:rsidR="00972276" w:rsidRPr="00272930">
        <w:t>"</w:t>
      </w:r>
      <w:r w:rsidRPr="00272930">
        <w:t>dumped imports</w:t>
      </w:r>
      <w:r w:rsidR="00972276" w:rsidRPr="00272930">
        <w:t>"</w:t>
      </w:r>
      <w:r w:rsidRPr="00272930">
        <w:t>, it is not the only relevant context for assessing the ordinary meaning of this term under Article 3. This is because, unlike the considerations in Article</w:t>
      </w:r>
      <w:r w:rsidR="00F2224B" w:rsidRPr="00272930">
        <w:t> </w:t>
      </w:r>
      <w:r w:rsidRPr="00272930">
        <w:t xml:space="preserve">2.1 relating to a determination of </w:t>
      </w:r>
      <w:r w:rsidR="00972276" w:rsidRPr="00272930">
        <w:t>"</w:t>
      </w:r>
      <w:r w:rsidRPr="00272930">
        <w:t>dumping</w:t>
      </w:r>
      <w:r w:rsidR="00972276" w:rsidRPr="00272930">
        <w:t>"</w:t>
      </w:r>
      <w:r w:rsidRPr="00272930">
        <w:t xml:space="preserve"> (or </w:t>
      </w:r>
      <w:r w:rsidR="00972276" w:rsidRPr="00272930">
        <w:t>"</w:t>
      </w:r>
      <w:r w:rsidRPr="00272930">
        <w:t>dumped</w:t>
      </w:r>
      <w:r w:rsidR="00972276" w:rsidRPr="00272930">
        <w:t>"</w:t>
      </w:r>
      <w:r w:rsidRPr="00272930">
        <w:t xml:space="preserve">), the term </w:t>
      </w:r>
      <w:r w:rsidR="00972276" w:rsidRPr="00272930">
        <w:t>"</w:t>
      </w:r>
      <w:r w:rsidRPr="00272930">
        <w:t xml:space="preserve">dumped </w:t>
      </w:r>
      <w:r w:rsidRPr="00272930">
        <w:rPr>
          <w:i/>
          <w:iCs/>
        </w:rPr>
        <w:t>imports</w:t>
      </w:r>
      <w:r w:rsidR="00972276" w:rsidRPr="00272930">
        <w:t>"</w:t>
      </w:r>
      <w:r w:rsidRPr="00272930">
        <w:t xml:space="preserve"> in Article</w:t>
      </w:r>
      <w:r w:rsidR="00F2224B" w:rsidRPr="00272930">
        <w:t> </w:t>
      </w:r>
      <w:r w:rsidRPr="00272930">
        <w:t>3 refers to a specific group of imports subject to an authority</w:t>
      </w:r>
      <w:r w:rsidR="00972276" w:rsidRPr="00272930">
        <w:t>'</w:t>
      </w:r>
      <w:r w:rsidRPr="00272930">
        <w:t xml:space="preserve">s injury determination in the context of a specific anti-dumping investigation which, in turn, may lead to the application of duties. This is supported by Article 1 of the Anti-Dumping Agreement, which states that an anti-dumping measure may be </w:t>
      </w:r>
      <w:r w:rsidR="00972276" w:rsidRPr="00272930">
        <w:t>"</w:t>
      </w:r>
      <w:r w:rsidRPr="00272930">
        <w:t>applied only under the circumstances provided for in Article</w:t>
      </w:r>
      <w:r w:rsidR="00F2224B" w:rsidRPr="00272930">
        <w:t> </w:t>
      </w:r>
      <w:r w:rsidRPr="00272930">
        <w:t>VI of GATT</w:t>
      </w:r>
      <w:r w:rsidR="00F2224B" w:rsidRPr="00272930">
        <w:t> 1994</w:t>
      </w:r>
      <w:r w:rsidRPr="00272930">
        <w:t xml:space="preserve"> and pursuant to investigations </w:t>
      </w:r>
      <w:r w:rsidRPr="00272930">
        <w:rPr>
          <w:i/>
          <w:iCs/>
        </w:rPr>
        <w:t>initiated and conducted</w:t>
      </w:r>
      <w:r w:rsidRPr="00272930">
        <w:t xml:space="preserve"> </w:t>
      </w:r>
      <w:r w:rsidRPr="00272930">
        <w:rPr>
          <w:i/>
          <w:iCs/>
        </w:rPr>
        <w:t>in accordance with the provisions of this Agreement</w:t>
      </w:r>
      <w:r w:rsidR="00972276" w:rsidRPr="00272930">
        <w:t>"</w:t>
      </w:r>
      <w:r w:rsidRPr="00272930">
        <w:t>.</w:t>
      </w:r>
      <w:r w:rsidRPr="00272930">
        <w:rPr>
          <w:rStyle w:val="FootnoteReference"/>
        </w:rPr>
        <w:footnoteReference w:id="200"/>
      </w:r>
      <w:r w:rsidRPr="00272930">
        <w:t xml:space="preserve"> Thus, in addition to Article</w:t>
      </w:r>
      <w:r w:rsidR="00F2224B" w:rsidRPr="00272930">
        <w:t> </w:t>
      </w:r>
      <w:r w:rsidRPr="00272930">
        <w:t xml:space="preserve">2.1, other provisions of the Anti-Dumping Agreement regarding the initiation and conduct of investigations are also instructive as to the meaning and scope of the term </w:t>
      </w:r>
      <w:r w:rsidR="00972276" w:rsidRPr="00272930">
        <w:t>"</w:t>
      </w:r>
      <w:r w:rsidRPr="00272930">
        <w:t>dumped imports</w:t>
      </w:r>
      <w:r w:rsidR="00972276" w:rsidRPr="00272930">
        <w:t>"</w:t>
      </w:r>
      <w:r w:rsidRPr="00272930">
        <w:t>.</w:t>
      </w:r>
    </w:p>
    <w:p w14:paraId="11DFD4CE" w14:textId="60B98786" w:rsidR="00F572D3" w:rsidRPr="00272930" w:rsidRDefault="00F572D3" w:rsidP="00B709B7">
      <w:pPr>
        <w:pStyle w:val="BodyText"/>
        <w:numPr>
          <w:ilvl w:val="6"/>
          <w:numId w:val="7"/>
        </w:numPr>
      </w:pPr>
      <w:r w:rsidRPr="00272930">
        <w:t xml:space="preserve">The </w:t>
      </w:r>
      <w:r w:rsidR="00972276" w:rsidRPr="00272930">
        <w:t>"</w:t>
      </w:r>
      <w:r w:rsidRPr="00272930">
        <w:t>provisions</w:t>
      </w:r>
      <w:r w:rsidR="00972276" w:rsidRPr="00272930">
        <w:t>"</w:t>
      </w:r>
      <w:r w:rsidRPr="00272930">
        <w:t xml:space="preserve"> referred to in Article</w:t>
      </w:r>
      <w:r w:rsidR="00F2224B" w:rsidRPr="00272930">
        <w:t> </w:t>
      </w:r>
      <w:r w:rsidRPr="00272930">
        <w:t xml:space="preserve">1 begin with the </w:t>
      </w:r>
      <w:r w:rsidR="00972276" w:rsidRPr="00272930">
        <w:t>"</w:t>
      </w:r>
      <w:r w:rsidRPr="00272930">
        <w:t>Determination of Dumping</w:t>
      </w:r>
      <w:r w:rsidR="00972276" w:rsidRPr="00272930">
        <w:t>"</w:t>
      </w:r>
      <w:r w:rsidRPr="00272930">
        <w:t xml:space="preserve"> in Article 2, proceed to the </w:t>
      </w:r>
      <w:r w:rsidR="00972276" w:rsidRPr="00272930">
        <w:t>"</w:t>
      </w:r>
      <w:r w:rsidRPr="00272930">
        <w:t>Determination of Injury</w:t>
      </w:r>
      <w:r w:rsidR="00972276" w:rsidRPr="00272930">
        <w:t>"</w:t>
      </w:r>
      <w:r w:rsidRPr="00272930">
        <w:t xml:space="preserve"> in Article</w:t>
      </w:r>
      <w:r w:rsidR="00F2224B" w:rsidRPr="00272930">
        <w:t> </w:t>
      </w:r>
      <w:r w:rsidRPr="00272930">
        <w:t xml:space="preserve">3, and continue with the </w:t>
      </w:r>
      <w:r w:rsidR="00972276" w:rsidRPr="00272930">
        <w:t>"</w:t>
      </w:r>
      <w:r w:rsidRPr="00272930">
        <w:t>Definition of Domestic Industry</w:t>
      </w:r>
      <w:r w:rsidR="00972276" w:rsidRPr="00272930">
        <w:t>"</w:t>
      </w:r>
      <w:r w:rsidRPr="00272930">
        <w:t xml:space="preserve"> in Article 4. Each provision, separately, addresses one of the substantive components of an anti-dumping investigation, including by defining the relevant concepts. Article</w:t>
      </w:r>
      <w:r w:rsidR="00F2224B" w:rsidRPr="00272930">
        <w:t> </w:t>
      </w:r>
      <w:r w:rsidRPr="00272930">
        <w:t>5, in turn, links these components together by regulating an investigating authority</w:t>
      </w:r>
      <w:r w:rsidR="00972276" w:rsidRPr="00272930">
        <w:t>'</w:t>
      </w:r>
      <w:r w:rsidRPr="00272930">
        <w:t xml:space="preserve">s </w:t>
      </w:r>
      <w:r w:rsidR="00972276" w:rsidRPr="00272930">
        <w:t>"</w:t>
      </w:r>
      <w:r w:rsidR="000B54F3">
        <w:t>I</w:t>
      </w:r>
      <w:r w:rsidRPr="00272930">
        <w:t xml:space="preserve">nitiation and </w:t>
      </w:r>
      <w:r w:rsidR="000B54F3">
        <w:t>S</w:t>
      </w:r>
      <w:r w:rsidRPr="00272930">
        <w:t xml:space="preserve">ubsequent </w:t>
      </w:r>
      <w:r w:rsidR="000B54F3">
        <w:t>I</w:t>
      </w:r>
      <w:r w:rsidRPr="00272930">
        <w:t>nvestigation</w:t>
      </w:r>
      <w:r w:rsidR="00972276" w:rsidRPr="00272930">
        <w:t>"</w:t>
      </w:r>
      <w:r w:rsidRPr="00272930">
        <w:t xml:space="preserve"> to determine the </w:t>
      </w:r>
      <w:r w:rsidR="00972276" w:rsidRPr="00272930">
        <w:t>"</w:t>
      </w:r>
      <w:r w:rsidRPr="00272930">
        <w:rPr>
          <w:i/>
          <w:iCs/>
        </w:rPr>
        <w:t>existence, degree and effect</w:t>
      </w:r>
      <w:r w:rsidRPr="00272930">
        <w:t xml:space="preserve"> of any alleged dumping</w:t>
      </w:r>
      <w:r w:rsidR="00972276" w:rsidRPr="00272930">
        <w:t>"</w:t>
      </w:r>
      <w:r w:rsidRPr="00272930">
        <w:t>.</w:t>
      </w:r>
      <w:r w:rsidRPr="00272930">
        <w:rPr>
          <w:rStyle w:val="FootnoteReference"/>
        </w:rPr>
        <w:footnoteReference w:id="201"/>
      </w:r>
      <w:r w:rsidRPr="00272930">
        <w:t xml:space="preserve"> Read in its totality, the disciplines imposed by Article</w:t>
      </w:r>
      <w:r w:rsidR="00F2224B" w:rsidRPr="00272930">
        <w:t> </w:t>
      </w:r>
      <w:r w:rsidRPr="00272930">
        <w:t xml:space="preserve">5 are intended to cover all stages </w:t>
      </w:r>
      <w:r w:rsidRPr="00272930">
        <w:lastRenderedPageBreak/>
        <w:t>of an investigating authority</w:t>
      </w:r>
      <w:r w:rsidR="00972276" w:rsidRPr="00272930">
        <w:t>'</w:t>
      </w:r>
      <w:r w:rsidRPr="00272930">
        <w:t>s investigation, including the analysis leading to the injury determination.</w:t>
      </w:r>
      <w:r w:rsidRPr="00272930">
        <w:rPr>
          <w:rStyle w:val="FootnoteReference"/>
        </w:rPr>
        <w:footnoteReference w:id="202"/>
      </w:r>
    </w:p>
    <w:p w14:paraId="52F38F31" w14:textId="7FE610C6" w:rsidR="00F572D3" w:rsidRPr="00272930" w:rsidRDefault="00F572D3" w:rsidP="00B709B7">
      <w:pPr>
        <w:pStyle w:val="BodyText"/>
        <w:numPr>
          <w:ilvl w:val="6"/>
          <w:numId w:val="7"/>
        </w:numPr>
      </w:pPr>
      <w:r w:rsidRPr="00272930">
        <w:t>We recall Colombia</w:t>
      </w:r>
      <w:r w:rsidR="00972276" w:rsidRPr="00272930">
        <w:t>'</w:t>
      </w:r>
      <w:r w:rsidRPr="00272930">
        <w:t xml:space="preserve">s argument that the reference to dumping </w:t>
      </w:r>
      <w:r w:rsidR="00972276" w:rsidRPr="00272930">
        <w:t>"</w:t>
      </w:r>
      <w:r w:rsidRPr="00272930">
        <w:t>anywhere</w:t>
      </w:r>
      <w:r w:rsidR="00972276" w:rsidRPr="00272930">
        <w:t>"</w:t>
      </w:r>
      <w:r w:rsidRPr="00272930">
        <w:t xml:space="preserve"> in the Agreement</w:t>
      </w:r>
      <w:r w:rsidRPr="00272930">
        <w:rPr>
          <w:rStyle w:val="FootnoteReference"/>
        </w:rPr>
        <w:footnoteReference w:id="203"/>
      </w:r>
      <w:r w:rsidRPr="00272930">
        <w:t xml:space="preserve">, including in </w:t>
      </w:r>
      <w:r w:rsidR="000528F6" w:rsidRPr="00272930">
        <w:t>Articles </w:t>
      </w:r>
      <w:r w:rsidRPr="00272930">
        <w:t xml:space="preserve">5.1 and 5.7, must mean </w:t>
      </w:r>
      <w:r w:rsidR="00972276" w:rsidRPr="00272930">
        <w:t>"</w:t>
      </w:r>
      <w:r w:rsidRPr="00272930">
        <w:t xml:space="preserve">the difference between a higher normal value and a lower export price </w:t>
      </w:r>
      <w:r w:rsidRPr="00272930">
        <w:rPr>
          <w:i/>
          <w:iCs/>
        </w:rPr>
        <w:t>regardless of the magnitude</w:t>
      </w:r>
      <w:r w:rsidR="00972276" w:rsidRPr="00272930">
        <w:t>"</w:t>
      </w:r>
      <w:r w:rsidRPr="00272930">
        <w:t>.</w:t>
      </w:r>
      <w:r w:rsidRPr="00272930">
        <w:rPr>
          <w:rStyle w:val="FootnoteReference"/>
        </w:rPr>
        <w:footnoteReference w:id="204"/>
      </w:r>
      <w:r w:rsidRPr="00272930">
        <w:t xml:space="preserve"> This reading, however, is contradicted by Article 5.1, which refers to </w:t>
      </w:r>
      <w:r w:rsidR="00972276" w:rsidRPr="00272930">
        <w:t>"</w:t>
      </w:r>
      <w:r w:rsidRPr="00272930">
        <w:rPr>
          <w:color w:val="000000"/>
        </w:rPr>
        <w:t xml:space="preserve">an investigation to determine the existence, </w:t>
      </w:r>
      <w:r w:rsidRPr="00272930">
        <w:rPr>
          <w:i/>
          <w:iCs/>
          <w:color w:val="000000"/>
        </w:rPr>
        <w:t>degree</w:t>
      </w:r>
      <w:r w:rsidRPr="00272930">
        <w:rPr>
          <w:color w:val="000000"/>
        </w:rPr>
        <w:t xml:space="preserve"> and effect of any alleged dumping</w:t>
      </w:r>
      <w:r w:rsidR="00972276" w:rsidRPr="00272930">
        <w:rPr>
          <w:color w:val="000000"/>
        </w:rPr>
        <w:t>"</w:t>
      </w:r>
      <w:r w:rsidRPr="00272930">
        <w:t xml:space="preserve"> and indicates that not only the existence of dumping, but also its </w:t>
      </w:r>
      <w:r w:rsidRPr="00272930">
        <w:rPr>
          <w:i/>
          <w:iCs/>
        </w:rPr>
        <w:t>degree</w:t>
      </w:r>
      <w:r w:rsidRPr="00272930">
        <w:t xml:space="preserve">, are pertinent for the conduct of an anti-dumping investigation. Under the Anti-Dumping Agreement, the degree of dumping is expressed in terms of the margin of dumping. Where an authority determines the margin of dumping to be </w:t>
      </w:r>
      <w:r w:rsidRPr="00272930">
        <w:rPr>
          <w:i/>
          <w:iCs/>
        </w:rPr>
        <w:t>de minimis</w:t>
      </w:r>
      <w:r w:rsidRPr="00272930">
        <w:t>, Article</w:t>
      </w:r>
      <w:r w:rsidR="00F2224B" w:rsidRPr="00272930">
        <w:t> </w:t>
      </w:r>
      <w:r w:rsidRPr="00272930">
        <w:t xml:space="preserve">5.8 requires that there must be </w:t>
      </w:r>
      <w:r w:rsidR="00972276" w:rsidRPr="00272930">
        <w:t>"</w:t>
      </w:r>
      <w:r w:rsidRPr="00272930">
        <w:t>immediate termination</w:t>
      </w:r>
      <w:r w:rsidR="00972276" w:rsidRPr="00272930">
        <w:t>"</w:t>
      </w:r>
      <w:r w:rsidRPr="00272930">
        <w:t xml:space="preserve"> of the investigation. Thus, notwithstanding the </w:t>
      </w:r>
      <w:r w:rsidRPr="00272930">
        <w:rPr>
          <w:i/>
          <w:iCs/>
        </w:rPr>
        <w:t>existence</w:t>
      </w:r>
      <w:r w:rsidRPr="00272930">
        <w:t xml:space="preserve"> of dumping in the meaning of Article</w:t>
      </w:r>
      <w:r w:rsidR="00F2224B" w:rsidRPr="00272930">
        <w:t> </w:t>
      </w:r>
      <w:r w:rsidRPr="00272930">
        <w:t xml:space="preserve">2.1, if the </w:t>
      </w:r>
      <w:r w:rsidRPr="00272930">
        <w:rPr>
          <w:i/>
          <w:iCs/>
        </w:rPr>
        <w:t>degree</w:t>
      </w:r>
      <w:r w:rsidRPr="00272930">
        <w:t xml:space="preserve"> of the dumping is determined to be </w:t>
      </w:r>
      <w:r w:rsidRPr="00272930">
        <w:rPr>
          <w:i/>
          <w:iCs/>
        </w:rPr>
        <w:t>de minimis</w:t>
      </w:r>
      <w:r w:rsidRPr="00272930">
        <w:t xml:space="preserve"> for an exporter, it ends the investigation </w:t>
      </w:r>
      <w:proofErr w:type="gramStart"/>
      <w:r w:rsidRPr="00272930">
        <w:t>with regard to</w:t>
      </w:r>
      <w:proofErr w:type="gramEnd"/>
      <w:r w:rsidRPr="00272930">
        <w:t xml:space="preserve"> that exporter. This also means that, in the scenarios triggering </w:t>
      </w:r>
      <w:r w:rsidR="00972276" w:rsidRPr="00272930">
        <w:t>"</w:t>
      </w:r>
      <w:r w:rsidRPr="00272930">
        <w:t>immediate termination</w:t>
      </w:r>
      <w:r w:rsidR="00972276" w:rsidRPr="00272930">
        <w:t>"</w:t>
      </w:r>
      <w:r w:rsidRPr="00272930">
        <w:t xml:space="preserve"> under Article</w:t>
      </w:r>
      <w:r w:rsidR="00F2224B" w:rsidRPr="00272930">
        <w:t> </w:t>
      </w:r>
      <w:r w:rsidRPr="00272930">
        <w:t>5.8 (</w:t>
      </w:r>
      <w:proofErr w:type="gramStart"/>
      <w:r w:rsidRPr="00272930">
        <w:t>i.e.</w:t>
      </w:r>
      <w:proofErr w:type="gramEnd"/>
      <w:r w:rsidRPr="00272930">
        <w:t xml:space="preserve"> </w:t>
      </w:r>
      <w:r w:rsidRPr="00272930">
        <w:rPr>
          <w:i/>
          <w:iCs/>
        </w:rPr>
        <w:t>de minimis</w:t>
      </w:r>
      <w:r w:rsidRPr="00272930">
        <w:t xml:space="preserve"> dumping margins, </w:t>
      </w:r>
      <w:r w:rsidRPr="00272930">
        <w:rPr>
          <w:i/>
          <w:iCs/>
        </w:rPr>
        <w:t>negligible</w:t>
      </w:r>
      <w:r w:rsidRPr="00272930">
        <w:t xml:space="preserve"> volumes of dumped imports, or </w:t>
      </w:r>
      <w:r w:rsidRPr="00272930">
        <w:rPr>
          <w:i/>
          <w:iCs/>
        </w:rPr>
        <w:t>negligible</w:t>
      </w:r>
      <w:r w:rsidRPr="00272930">
        <w:t xml:space="preserve"> injury), dumping is </w:t>
      </w:r>
      <w:r w:rsidRPr="00272930">
        <w:rPr>
          <w:i/>
          <w:iCs/>
        </w:rPr>
        <w:t>not</w:t>
      </w:r>
      <w:r w:rsidRPr="00272930">
        <w:t xml:space="preserve"> </w:t>
      </w:r>
      <w:r w:rsidR="00972276" w:rsidRPr="00272930">
        <w:t>"</w:t>
      </w:r>
      <w:r w:rsidRPr="00272930">
        <w:t>to be condemned</w:t>
      </w:r>
      <w:r w:rsidR="00972276" w:rsidRPr="00272930">
        <w:t>"</w:t>
      </w:r>
      <w:r w:rsidRPr="00272930">
        <w:t xml:space="preserve"> within the meaning of Article</w:t>
      </w:r>
      <w:r w:rsidR="00F2224B" w:rsidRPr="00272930">
        <w:t> </w:t>
      </w:r>
      <w:r w:rsidRPr="00272930">
        <w:t>VI</w:t>
      </w:r>
      <w:r w:rsidR="00824E82">
        <w:t>:1</w:t>
      </w:r>
      <w:r w:rsidRPr="00272930">
        <w:t xml:space="preserve"> of the GATT</w:t>
      </w:r>
      <w:r w:rsidR="00F2224B" w:rsidRPr="00272930">
        <w:t> 1994</w:t>
      </w:r>
      <w:r w:rsidRPr="00272930">
        <w:rPr>
          <w:rStyle w:val="FootnoteReference"/>
        </w:rPr>
        <w:footnoteReference w:id="205"/>
      </w:r>
      <w:r w:rsidRPr="00272930">
        <w:t xml:space="preserve">, and hence cannot be the subject of an anti-dumping measure. Immediate termination, as noted by panels in prior disputes, indicates that there is no longer </w:t>
      </w:r>
      <w:r w:rsidR="00972276" w:rsidRPr="00272930">
        <w:t>"</w:t>
      </w:r>
      <w:r w:rsidRPr="00272930">
        <w:t>legally cognizable dumping</w:t>
      </w:r>
      <w:r w:rsidR="00972276" w:rsidRPr="00272930">
        <w:t>"</w:t>
      </w:r>
      <w:r w:rsidRPr="00272930">
        <w:t>.</w:t>
      </w:r>
      <w:r w:rsidRPr="00272930">
        <w:rPr>
          <w:rStyle w:val="FootnoteReference"/>
        </w:rPr>
        <w:footnoteReference w:id="206"/>
      </w:r>
    </w:p>
    <w:p w14:paraId="64C93905" w14:textId="381E78B0" w:rsidR="00F572D3" w:rsidRPr="00272930" w:rsidRDefault="00F572D3" w:rsidP="00B709B7">
      <w:pPr>
        <w:pStyle w:val="BodyText"/>
        <w:numPr>
          <w:ilvl w:val="6"/>
          <w:numId w:val="7"/>
        </w:numPr>
      </w:pPr>
      <w:r w:rsidRPr="00272930">
        <w:t xml:space="preserve">The term </w:t>
      </w:r>
      <w:r w:rsidR="00972276" w:rsidRPr="00272930">
        <w:t>"</w:t>
      </w:r>
      <w:r w:rsidRPr="00272930">
        <w:t>dumped imports</w:t>
      </w:r>
      <w:r w:rsidR="00972276" w:rsidRPr="00272930">
        <w:t>"</w:t>
      </w:r>
      <w:r w:rsidRPr="00272930">
        <w:t xml:space="preserve"> in Article</w:t>
      </w:r>
      <w:r w:rsidR="00F2224B" w:rsidRPr="00272930">
        <w:t> </w:t>
      </w:r>
      <w:r w:rsidRPr="00272930">
        <w:t xml:space="preserve">3 and the reference to </w:t>
      </w:r>
      <w:r w:rsidR="00972276" w:rsidRPr="00272930">
        <w:t>"</w:t>
      </w:r>
      <w:r w:rsidRPr="00272930">
        <w:t>the magnitude of the margin of dumping</w:t>
      </w:r>
      <w:r w:rsidR="00972276" w:rsidRPr="00272930">
        <w:t>"</w:t>
      </w:r>
      <w:r w:rsidRPr="00272930">
        <w:t xml:space="preserve"> in Article</w:t>
      </w:r>
      <w:r w:rsidR="00F2224B" w:rsidRPr="00272930">
        <w:t> </w:t>
      </w:r>
      <w:r w:rsidRPr="00272930">
        <w:t xml:space="preserve">3.4 indicate that a determination regarding the injurious </w:t>
      </w:r>
      <w:r w:rsidRPr="00272930">
        <w:rPr>
          <w:i/>
          <w:iCs/>
        </w:rPr>
        <w:t>effect of dumping</w:t>
      </w:r>
      <w:r w:rsidRPr="00272930">
        <w:t xml:space="preserve"> under Article</w:t>
      </w:r>
      <w:r w:rsidR="00F2224B" w:rsidRPr="00272930">
        <w:t> </w:t>
      </w:r>
      <w:r w:rsidRPr="00272930">
        <w:t xml:space="preserve">3 cannot be disconnected from the </w:t>
      </w:r>
      <w:r w:rsidRPr="00272930">
        <w:rPr>
          <w:i/>
          <w:iCs/>
        </w:rPr>
        <w:t>existence and degree of such dumping</w:t>
      </w:r>
      <w:r w:rsidRPr="00272930">
        <w:t xml:space="preserve">. In view of this connection, where an authority determines final </w:t>
      </w:r>
      <w:r w:rsidRPr="00272930">
        <w:rPr>
          <w:i/>
          <w:iCs/>
        </w:rPr>
        <w:t>de minimis</w:t>
      </w:r>
      <w:r w:rsidRPr="00272930">
        <w:t xml:space="preserve"> margins for an exporter</w:t>
      </w:r>
      <w:r w:rsidRPr="00272930">
        <w:rPr>
          <w:rStyle w:val="FootnoteReference"/>
        </w:rPr>
        <w:footnoteReference w:id="207"/>
      </w:r>
      <w:r w:rsidRPr="00272930">
        <w:t xml:space="preserve">, the fact that dumping is no longer </w:t>
      </w:r>
      <w:r w:rsidR="00972276" w:rsidRPr="00272930">
        <w:t>"</w:t>
      </w:r>
      <w:r w:rsidRPr="00272930">
        <w:t>legally cognizable</w:t>
      </w:r>
      <w:r w:rsidR="00972276" w:rsidRPr="00272930">
        <w:t>"</w:t>
      </w:r>
      <w:r w:rsidRPr="00272930">
        <w:t xml:space="preserve"> means that imports by that exporter may no longer form part of </w:t>
      </w:r>
      <w:r w:rsidR="00972276" w:rsidRPr="00272930">
        <w:t>"</w:t>
      </w:r>
      <w:r w:rsidRPr="00272930">
        <w:t>dumped imports</w:t>
      </w:r>
      <w:r w:rsidR="00972276" w:rsidRPr="00272930">
        <w:t>"</w:t>
      </w:r>
      <w:r w:rsidRPr="00272930">
        <w:t xml:space="preserve"> for purposes of the final injury determination required for the imposition of duties on imports with dumping margins above </w:t>
      </w:r>
      <w:r w:rsidRPr="00272930">
        <w:rPr>
          <w:i/>
          <w:iCs/>
        </w:rPr>
        <w:t>de minimis</w:t>
      </w:r>
      <w:r w:rsidRPr="00272930">
        <w:t>.</w:t>
      </w:r>
      <w:r w:rsidRPr="00272930">
        <w:rPr>
          <w:rStyle w:val="FootnoteReference"/>
        </w:rPr>
        <w:footnoteReference w:id="208"/>
      </w:r>
      <w:r w:rsidRPr="00272930">
        <w:t xml:space="preserve"> In this sense, we agree with the Panel that </w:t>
      </w:r>
      <w:r w:rsidR="00972276" w:rsidRPr="00272930">
        <w:t>"</w:t>
      </w:r>
      <w:r w:rsidRPr="00272930">
        <w:t>the determination of injury follows – and takes into account – the determination of the existence and degree of any alleged dumping (i.e. the determination of the margin of dumping).</w:t>
      </w:r>
      <w:r w:rsidR="00972276" w:rsidRPr="00272930">
        <w:t>"</w:t>
      </w:r>
      <w:r w:rsidRPr="00272930">
        <w:rPr>
          <w:rStyle w:val="FootnoteReference"/>
        </w:rPr>
        <w:footnoteReference w:id="209"/>
      </w:r>
      <w:r w:rsidRPr="00272930">
        <w:t xml:space="preserve"> Rather than imposing a </w:t>
      </w:r>
      <w:r w:rsidR="00972276" w:rsidRPr="00272930">
        <w:t>"</w:t>
      </w:r>
      <w:r w:rsidRPr="00272930">
        <w:t>sequential</w:t>
      </w:r>
      <w:r w:rsidR="00972276" w:rsidRPr="00272930">
        <w:t>"</w:t>
      </w:r>
      <w:r w:rsidRPr="00272930">
        <w:t xml:space="preserve"> decision-making process on an investigating authority</w:t>
      </w:r>
      <w:r w:rsidRPr="00272930">
        <w:rPr>
          <w:rStyle w:val="FootnoteReference"/>
        </w:rPr>
        <w:footnoteReference w:id="210"/>
      </w:r>
      <w:r w:rsidRPr="00272930">
        <w:t>, the Panel</w:t>
      </w:r>
      <w:r w:rsidR="00972276" w:rsidRPr="00272930">
        <w:t>'</w:t>
      </w:r>
      <w:r w:rsidRPr="00272930">
        <w:t>s statement rightly reflects the interconnected nature of an authority</w:t>
      </w:r>
      <w:r w:rsidR="00972276" w:rsidRPr="00272930">
        <w:t>'</w:t>
      </w:r>
      <w:r w:rsidRPr="00272930">
        <w:t>s final dumping and injury determinations as two prerequisites for imposing a definitive anti-dumping measure.</w:t>
      </w:r>
      <w:r w:rsidRPr="00272930">
        <w:rPr>
          <w:rStyle w:val="FootnoteReference"/>
        </w:rPr>
        <w:footnoteReference w:id="211"/>
      </w:r>
      <w:r w:rsidRPr="00272930">
        <w:t xml:space="preserve"> Reading all of these provisions holistically, we find, as the Panel found, that inclusion in the injury determination of imports by exporters with final </w:t>
      </w:r>
      <w:r w:rsidRPr="00272930">
        <w:rPr>
          <w:i/>
          <w:iCs/>
        </w:rPr>
        <w:t>de minimis</w:t>
      </w:r>
      <w:r w:rsidRPr="00272930">
        <w:t xml:space="preserve"> margins would </w:t>
      </w:r>
      <w:r w:rsidR="00972276" w:rsidRPr="00272930">
        <w:t>"</w:t>
      </w:r>
      <w:r w:rsidRPr="00272930">
        <w:t>render ineffective the requirement</w:t>
      </w:r>
      <w:r w:rsidR="00EC4B22">
        <w:t> </w:t>
      </w:r>
      <w:r w:rsidRPr="00272930">
        <w:t>…</w:t>
      </w:r>
      <w:r w:rsidR="00EC4B22">
        <w:t> </w:t>
      </w:r>
      <w:r w:rsidRPr="00272930">
        <w:t xml:space="preserve">to </w:t>
      </w:r>
      <w:r w:rsidR="00972276" w:rsidRPr="00272930">
        <w:t>'</w:t>
      </w:r>
      <w:r w:rsidRPr="00272930">
        <w:t>immediate[</w:t>
      </w:r>
      <w:proofErr w:type="spellStart"/>
      <w:r w:rsidRPr="00272930">
        <w:t>ly</w:t>
      </w:r>
      <w:proofErr w:type="spellEnd"/>
      <w:r w:rsidRPr="00272930">
        <w:t>] terminate</w:t>
      </w:r>
      <w:r w:rsidR="00972276" w:rsidRPr="00272930">
        <w:t>'</w:t>
      </w:r>
      <w:r w:rsidRPr="00272930">
        <w:t xml:space="preserve"> the investigation</w:t>
      </w:r>
      <w:r w:rsidR="00972276" w:rsidRPr="00272930">
        <w:t>"</w:t>
      </w:r>
      <w:r w:rsidRPr="00272930">
        <w:t xml:space="preserve"> under Article</w:t>
      </w:r>
      <w:r w:rsidR="00F2224B" w:rsidRPr="00272930">
        <w:t> </w:t>
      </w:r>
      <w:r w:rsidRPr="00272930">
        <w:t>5.8.</w:t>
      </w:r>
      <w:r w:rsidRPr="00272930">
        <w:rPr>
          <w:rStyle w:val="FootnoteReference"/>
        </w:rPr>
        <w:footnoteReference w:id="212"/>
      </w:r>
    </w:p>
    <w:p w14:paraId="169D5614" w14:textId="5E943183" w:rsidR="00F572D3" w:rsidRPr="00272930" w:rsidRDefault="00F572D3" w:rsidP="00B709B7">
      <w:pPr>
        <w:pStyle w:val="BodyText"/>
        <w:numPr>
          <w:ilvl w:val="6"/>
          <w:numId w:val="7"/>
        </w:numPr>
      </w:pPr>
      <w:r w:rsidRPr="00272930">
        <w:lastRenderedPageBreak/>
        <w:t xml:space="preserve">Colombia disagrees with the view that interpreting </w:t>
      </w:r>
      <w:r w:rsidR="00972276" w:rsidRPr="00272930">
        <w:t>"</w:t>
      </w:r>
      <w:r w:rsidRPr="00272930">
        <w:t>dumped imports</w:t>
      </w:r>
      <w:r w:rsidR="00972276" w:rsidRPr="00272930">
        <w:t>"</w:t>
      </w:r>
      <w:r w:rsidRPr="00272930">
        <w:t xml:space="preserve"> as including those with a </w:t>
      </w:r>
      <w:r w:rsidRPr="00272930">
        <w:rPr>
          <w:i/>
          <w:iCs/>
        </w:rPr>
        <w:t>de minimis</w:t>
      </w:r>
      <w:r w:rsidRPr="00272930">
        <w:t xml:space="preserve"> dumping margin would render Article</w:t>
      </w:r>
      <w:r w:rsidR="00F2224B" w:rsidRPr="00272930">
        <w:t> </w:t>
      </w:r>
      <w:r w:rsidRPr="00272930">
        <w:t>5.8 ineffective.</w:t>
      </w:r>
      <w:r w:rsidRPr="00272930">
        <w:rPr>
          <w:rStyle w:val="FootnoteReference"/>
        </w:rPr>
        <w:footnoteReference w:id="213"/>
      </w:r>
      <w:r w:rsidRPr="00272930">
        <w:t xml:space="preserve"> To Colombia, </w:t>
      </w:r>
      <w:r w:rsidRPr="00272930">
        <w:rPr>
          <w:szCs w:val="18"/>
        </w:rPr>
        <w:t xml:space="preserve">the final </w:t>
      </w:r>
      <w:r w:rsidR="00972276" w:rsidRPr="00272930">
        <w:rPr>
          <w:szCs w:val="18"/>
        </w:rPr>
        <w:t>"</w:t>
      </w:r>
      <w:r w:rsidRPr="00272930">
        <w:rPr>
          <w:szCs w:val="18"/>
        </w:rPr>
        <w:t>determination</w:t>
      </w:r>
      <w:r w:rsidR="00972276" w:rsidRPr="00272930">
        <w:rPr>
          <w:szCs w:val="18"/>
        </w:rPr>
        <w:t>"</w:t>
      </w:r>
      <w:r w:rsidRPr="00272930">
        <w:rPr>
          <w:szCs w:val="18"/>
        </w:rPr>
        <w:t xml:space="preserve"> in Article</w:t>
      </w:r>
      <w:r w:rsidR="00F2224B" w:rsidRPr="00272930">
        <w:rPr>
          <w:szCs w:val="18"/>
        </w:rPr>
        <w:t> </w:t>
      </w:r>
      <w:r w:rsidRPr="00272930">
        <w:rPr>
          <w:szCs w:val="18"/>
        </w:rPr>
        <w:t xml:space="preserve">5.8, upon which the </w:t>
      </w:r>
      <w:r w:rsidR="00972276" w:rsidRPr="00272930">
        <w:rPr>
          <w:szCs w:val="18"/>
        </w:rPr>
        <w:t>"</w:t>
      </w:r>
      <w:r w:rsidRPr="00272930">
        <w:rPr>
          <w:szCs w:val="18"/>
        </w:rPr>
        <w:t>immediate termination</w:t>
      </w:r>
      <w:r w:rsidR="00972276" w:rsidRPr="00272930">
        <w:rPr>
          <w:szCs w:val="18"/>
        </w:rPr>
        <w:t>"</w:t>
      </w:r>
      <w:r w:rsidRPr="00272930">
        <w:rPr>
          <w:szCs w:val="18"/>
        </w:rPr>
        <w:t xml:space="preserve"> is required, refers to </w:t>
      </w:r>
      <w:r w:rsidR="00972276" w:rsidRPr="00272930">
        <w:rPr>
          <w:szCs w:val="18"/>
        </w:rPr>
        <w:t>"</w:t>
      </w:r>
      <w:r w:rsidRPr="00272930">
        <w:rPr>
          <w:szCs w:val="18"/>
        </w:rPr>
        <w:t>a definitive determination that admits of no further modification</w:t>
      </w:r>
      <w:r w:rsidR="00972276" w:rsidRPr="00272930">
        <w:rPr>
          <w:szCs w:val="18"/>
        </w:rPr>
        <w:t>"</w:t>
      </w:r>
      <w:r w:rsidRPr="00272930">
        <w:rPr>
          <w:szCs w:val="18"/>
        </w:rPr>
        <w:t xml:space="preserve"> at the end of the investigation.</w:t>
      </w:r>
      <w:r w:rsidRPr="00272930">
        <w:rPr>
          <w:rStyle w:val="FootnoteReference"/>
          <w:szCs w:val="18"/>
        </w:rPr>
        <w:footnoteReference w:id="214"/>
      </w:r>
      <w:r w:rsidRPr="00272930">
        <w:rPr>
          <w:szCs w:val="18"/>
        </w:rPr>
        <w:t xml:space="preserve"> Given that, under </w:t>
      </w:r>
      <w:r w:rsidR="008A4ABC" w:rsidRPr="00272930">
        <w:rPr>
          <w:szCs w:val="18"/>
        </w:rPr>
        <w:t xml:space="preserve">Colombia's </w:t>
      </w:r>
      <w:r w:rsidRPr="00272930">
        <w:rPr>
          <w:szCs w:val="18"/>
        </w:rPr>
        <w:t xml:space="preserve">legal system, authorities make the final determinations of dumping and injury </w:t>
      </w:r>
      <w:r w:rsidRPr="00272930">
        <w:rPr>
          <w:i/>
          <w:iCs/>
          <w:szCs w:val="18"/>
        </w:rPr>
        <w:t>at the same time</w:t>
      </w:r>
      <w:r w:rsidRPr="00272930">
        <w:rPr>
          <w:szCs w:val="18"/>
        </w:rPr>
        <w:t xml:space="preserve">, Colombia maintains that the only legal consequence of the </w:t>
      </w:r>
      <w:r w:rsidR="00972276" w:rsidRPr="00272930">
        <w:rPr>
          <w:szCs w:val="18"/>
        </w:rPr>
        <w:t>"</w:t>
      </w:r>
      <w:r w:rsidRPr="00272930">
        <w:rPr>
          <w:szCs w:val="18"/>
        </w:rPr>
        <w:t>immediate termination</w:t>
      </w:r>
      <w:r w:rsidR="00972276" w:rsidRPr="00272930">
        <w:rPr>
          <w:szCs w:val="18"/>
        </w:rPr>
        <w:t>"</w:t>
      </w:r>
      <w:r w:rsidRPr="00272930">
        <w:rPr>
          <w:szCs w:val="18"/>
        </w:rPr>
        <w:t xml:space="preserve"> of the investigation is to exclude the exporters with final </w:t>
      </w:r>
      <w:r w:rsidRPr="00272930">
        <w:rPr>
          <w:i/>
          <w:iCs/>
          <w:szCs w:val="18"/>
        </w:rPr>
        <w:t>de minimis</w:t>
      </w:r>
      <w:r w:rsidRPr="00272930">
        <w:rPr>
          <w:szCs w:val="18"/>
        </w:rPr>
        <w:t xml:space="preserve"> margins from the scope of the anti-dumping duties.</w:t>
      </w:r>
      <w:r w:rsidRPr="00272930">
        <w:rPr>
          <w:rStyle w:val="FootnoteReference"/>
          <w:szCs w:val="18"/>
        </w:rPr>
        <w:footnoteReference w:id="215"/>
      </w:r>
    </w:p>
    <w:p w14:paraId="2CFBE7E7" w14:textId="3A8F5BAB" w:rsidR="00F572D3" w:rsidRPr="00272930" w:rsidRDefault="00F572D3" w:rsidP="00B709B7">
      <w:pPr>
        <w:pStyle w:val="BodyText"/>
        <w:numPr>
          <w:ilvl w:val="6"/>
          <w:numId w:val="7"/>
        </w:numPr>
      </w:pPr>
      <w:r w:rsidRPr="00272930">
        <w:t xml:space="preserve">We recall that, according to Colombia, the term </w:t>
      </w:r>
      <w:r w:rsidR="00972276" w:rsidRPr="00272930">
        <w:t>"</w:t>
      </w:r>
      <w:r w:rsidRPr="00272930">
        <w:t>dumped imports</w:t>
      </w:r>
      <w:r w:rsidR="00972276" w:rsidRPr="00272930">
        <w:t>"</w:t>
      </w:r>
      <w:r w:rsidRPr="00272930">
        <w:t xml:space="preserve"> refers to </w:t>
      </w:r>
      <w:r w:rsidR="004F31C2" w:rsidRPr="00272930">
        <w:t>"</w:t>
      </w:r>
      <w:r w:rsidRPr="00272930">
        <w:t xml:space="preserve">any imports for which an authority calculates a </w:t>
      </w:r>
      <w:r w:rsidRPr="00272930">
        <w:rPr>
          <w:i/>
          <w:iCs/>
        </w:rPr>
        <w:t>positive</w:t>
      </w:r>
      <w:r w:rsidRPr="00272930">
        <w:t xml:space="preserve"> dumping margin regardless of the magnitude of the margin</w:t>
      </w:r>
      <w:r w:rsidR="00972276" w:rsidRPr="00272930">
        <w:t>"</w:t>
      </w:r>
      <w:r w:rsidR="00EC4B22">
        <w:t>.</w:t>
      </w:r>
      <w:r w:rsidRPr="00272930">
        <w:rPr>
          <w:rStyle w:val="FootnoteReference"/>
        </w:rPr>
        <w:footnoteReference w:id="216"/>
      </w:r>
      <w:r w:rsidRPr="00272930">
        <w:t xml:space="preserve"> Yet, as Colombia acknowledges, under its interpretation, imports of those exporters assigned a </w:t>
      </w:r>
      <w:r w:rsidRPr="00272930">
        <w:rPr>
          <w:i/>
          <w:iCs/>
        </w:rPr>
        <w:t>negative</w:t>
      </w:r>
      <w:r w:rsidRPr="00272930">
        <w:t xml:space="preserve"> margin of dumping may not form part of the </w:t>
      </w:r>
      <w:r w:rsidR="00972276" w:rsidRPr="00272930">
        <w:t>"</w:t>
      </w:r>
      <w:r w:rsidRPr="00272930">
        <w:t>dumped imports</w:t>
      </w:r>
      <w:r w:rsidR="00972276" w:rsidRPr="00272930">
        <w:t>"</w:t>
      </w:r>
      <w:r w:rsidRPr="00272930">
        <w:t xml:space="preserve"> for purposes of injury and causation analyses.</w:t>
      </w:r>
      <w:r w:rsidRPr="00272930">
        <w:rPr>
          <w:rStyle w:val="FootnoteReference"/>
        </w:rPr>
        <w:footnoteReference w:id="217"/>
      </w:r>
      <w:r w:rsidRPr="00272930">
        <w:t xml:space="preserve"> Thus, regardless of how the various steps of an investigation are structured, Colombia</w:t>
      </w:r>
      <w:r w:rsidR="00972276" w:rsidRPr="00272930">
        <w:t>'</w:t>
      </w:r>
      <w:r w:rsidRPr="00272930">
        <w:t xml:space="preserve">s authority, acting consistently with its own interpretation, must ensure that imports of exporters determined to have </w:t>
      </w:r>
      <w:r w:rsidRPr="00272930">
        <w:rPr>
          <w:i/>
          <w:iCs/>
        </w:rPr>
        <w:t>final</w:t>
      </w:r>
      <w:r w:rsidRPr="00272930">
        <w:t xml:space="preserve"> </w:t>
      </w:r>
      <w:r w:rsidRPr="00272930">
        <w:rPr>
          <w:i/>
          <w:iCs/>
        </w:rPr>
        <w:t>negative</w:t>
      </w:r>
      <w:r w:rsidRPr="00272930">
        <w:t xml:space="preserve"> dumping margins are excluded from </w:t>
      </w:r>
      <w:r w:rsidR="00972276" w:rsidRPr="00272930">
        <w:t>"</w:t>
      </w:r>
      <w:r w:rsidRPr="00272930">
        <w:t>dumped imports</w:t>
      </w:r>
      <w:r w:rsidR="00972276" w:rsidRPr="00272930">
        <w:t>"</w:t>
      </w:r>
      <w:r w:rsidRPr="00272930">
        <w:t xml:space="preserve"> in its final injury determination.</w:t>
      </w:r>
      <w:r w:rsidRPr="00272930">
        <w:rPr>
          <w:rStyle w:val="FootnoteReference"/>
        </w:rPr>
        <w:footnoteReference w:id="218"/>
      </w:r>
      <w:r w:rsidRPr="00272930">
        <w:t xml:space="preserve"> In other words, the authority must first make a final determination on dumping (albeit not necessarily in a separate, formal decision), next delete certain imports for </w:t>
      </w:r>
      <w:r w:rsidR="004F31C2">
        <w:t xml:space="preserve">the </w:t>
      </w:r>
      <w:r w:rsidRPr="00272930">
        <w:t xml:space="preserve">purpose of analysing injury and, finally, conduct an injury and causation analysis to determine appropriate duties (to be applied only to imports with dumping margins above </w:t>
      </w:r>
      <w:r w:rsidRPr="00272930">
        <w:rPr>
          <w:i/>
          <w:iCs/>
        </w:rPr>
        <w:t>de</w:t>
      </w:r>
      <w:r w:rsidR="00C102E7" w:rsidRPr="00272930">
        <w:rPr>
          <w:i/>
          <w:iCs/>
        </w:rPr>
        <w:t> </w:t>
      </w:r>
      <w:r w:rsidRPr="00272930">
        <w:rPr>
          <w:i/>
          <w:iCs/>
        </w:rPr>
        <w:t>minimis</w:t>
      </w:r>
      <w:r w:rsidRPr="00272930">
        <w:t>). Following this logic, we fail to see why Colombia</w:t>
      </w:r>
      <w:r w:rsidR="00972276" w:rsidRPr="00272930">
        <w:t>'</w:t>
      </w:r>
      <w:r w:rsidRPr="00272930">
        <w:t xml:space="preserve">s investigating authority is prevented from giving effect to the </w:t>
      </w:r>
      <w:r w:rsidR="00972276" w:rsidRPr="00272930">
        <w:t>"</w:t>
      </w:r>
      <w:r w:rsidRPr="00272930">
        <w:t>immediate termination</w:t>
      </w:r>
      <w:r w:rsidR="00972276" w:rsidRPr="00272930">
        <w:t>"</w:t>
      </w:r>
      <w:r w:rsidRPr="00272930">
        <w:t xml:space="preserve"> requirement by excluding imports not only with final negative dumping margins but also with final </w:t>
      </w:r>
      <w:r w:rsidRPr="00272930">
        <w:rPr>
          <w:i/>
          <w:iCs/>
        </w:rPr>
        <w:t>de minimis</w:t>
      </w:r>
      <w:r w:rsidRPr="00272930">
        <w:t xml:space="preserve"> margins from </w:t>
      </w:r>
      <w:r w:rsidR="00972276" w:rsidRPr="00272930">
        <w:t>"</w:t>
      </w:r>
      <w:r w:rsidRPr="00272930">
        <w:t>dumped imports</w:t>
      </w:r>
      <w:r w:rsidR="00972276" w:rsidRPr="00272930">
        <w:t>"</w:t>
      </w:r>
      <w:r w:rsidRPr="00272930">
        <w:t xml:space="preserve"> for the final injury determination.</w:t>
      </w:r>
      <w:r w:rsidRPr="00272930">
        <w:rPr>
          <w:rStyle w:val="FootnoteReference"/>
        </w:rPr>
        <w:footnoteReference w:id="219"/>
      </w:r>
      <w:r w:rsidRPr="00272930">
        <w:t xml:space="preserve"> Colombia</w:t>
      </w:r>
      <w:r w:rsidR="00972276" w:rsidRPr="00272930">
        <w:t>'</w:t>
      </w:r>
      <w:r w:rsidRPr="00272930">
        <w:t xml:space="preserve">s reference to its anti-dumping practice therefore does not support its view that the only </w:t>
      </w:r>
      <w:r w:rsidR="004F31C2" w:rsidRPr="00272930">
        <w:rPr>
          <w:szCs w:val="18"/>
        </w:rPr>
        <w:t xml:space="preserve">legal consequence of the "immediate termination" of the investigation </w:t>
      </w:r>
      <w:r w:rsidR="004F31C2">
        <w:t>under</w:t>
      </w:r>
      <w:r w:rsidRPr="00272930">
        <w:t xml:space="preserve"> Article</w:t>
      </w:r>
      <w:r w:rsidR="00F2224B" w:rsidRPr="00272930">
        <w:t> </w:t>
      </w:r>
      <w:r w:rsidRPr="00272930">
        <w:t xml:space="preserve">5.8 is </w:t>
      </w:r>
      <w:r w:rsidR="004F31C2">
        <w:t>to</w:t>
      </w:r>
      <w:r w:rsidRPr="00272930">
        <w:t xml:space="preserve"> exclud</w:t>
      </w:r>
      <w:r w:rsidR="004F31C2">
        <w:t>e</w:t>
      </w:r>
      <w:r w:rsidRPr="00272930">
        <w:t xml:space="preserve"> exporters with </w:t>
      </w:r>
      <w:r w:rsidRPr="00272930">
        <w:rPr>
          <w:i/>
          <w:iCs/>
        </w:rPr>
        <w:t>de</w:t>
      </w:r>
      <w:r w:rsidR="00C102E7" w:rsidRPr="00272930">
        <w:rPr>
          <w:i/>
          <w:iCs/>
        </w:rPr>
        <w:t> </w:t>
      </w:r>
      <w:r w:rsidRPr="00272930">
        <w:rPr>
          <w:i/>
          <w:iCs/>
        </w:rPr>
        <w:t>minimis</w:t>
      </w:r>
      <w:r w:rsidRPr="00272930">
        <w:t xml:space="preserve"> margins from the </w:t>
      </w:r>
      <w:r w:rsidRPr="00AB5F5B">
        <w:t>application</w:t>
      </w:r>
      <w:r w:rsidRPr="004F31C2">
        <w:t xml:space="preserve"> </w:t>
      </w:r>
      <w:r w:rsidRPr="00272930">
        <w:t>of duties.</w:t>
      </w:r>
      <w:r w:rsidRPr="00272930">
        <w:rPr>
          <w:rStyle w:val="FootnoteReference"/>
        </w:rPr>
        <w:footnoteReference w:id="220"/>
      </w:r>
    </w:p>
    <w:p w14:paraId="56FC49F4" w14:textId="1AE67446" w:rsidR="00F572D3" w:rsidRPr="00272930" w:rsidRDefault="00F572D3" w:rsidP="00B709B7">
      <w:pPr>
        <w:pStyle w:val="BodyText"/>
        <w:numPr>
          <w:ilvl w:val="6"/>
          <w:numId w:val="7"/>
        </w:numPr>
      </w:pPr>
      <w:r w:rsidRPr="00272930">
        <w:t>Similarly, we do not consider that the Appellate</w:t>
      </w:r>
      <w:r w:rsidR="00DA0ACF" w:rsidRPr="00272930">
        <w:t> Body</w:t>
      </w:r>
      <w:r w:rsidR="00972276" w:rsidRPr="00272930">
        <w:t>'</w:t>
      </w:r>
      <w:r w:rsidRPr="00272930">
        <w:t>s findings under Article</w:t>
      </w:r>
      <w:r w:rsidR="00F2224B" w:rsidRPr="00272930">
        <w:t> </w:t>
      </w:r>
      <w:r w:rsidRPr="00272930">
        <w:t xml:space="preserve">5.8 in </w:t>
      </w:r>
      <w:r w:rsidRPr="00272930">
        <w:rPr>
          <w:i/>
          <w:iCs/>
        </w:rPr>
        <w:t>Mexico – Anti-Dumping Measures on Rice</w:t>
      </w:r>
      <w:r w:rsidRPr="00272930">
        <w:t xml:space="preserve"> lend support to Colombia</w:t>
      </w:r>
      <w:r w:rsidR="00972276" w:rsidRPr="00272930">
        <w:t>'</w:t>
      </w:r>
      <w:r w:rsidRPr="00272930">
        <w:t>s view.</w:t>
      </w:r>
      <w:r w:rsidRPr="00272930">
        <w:rPr>
          <w:rStyle w:val="FootnoteReference"/>
        </w:rPr>
        <w:footnoteReference w:id="221"/>
      </w:r>
      <w:r w:rsidRPr="00272930">
        <w:t xml:space="preserve"> The findings in that dispute, including the statement that </w:t>
      </w:r>
      <w:r w:rsidR="00972276" w:rsidRPr="00272930">
        <w:t>"</w:t>
      </w:r>
      <w:r w:rsidRPr="00272930">
        <w:t xml:space="preserve">the only way to terminate </w:t>
      </w:r>
      <w:r w:rsidRPr="00AB5F5B">
        <w:rPr>
          <w:i/>
        </w:rPr>
        <w:t>immediately</w:t>
      </w:r>
      <w:r w:rsidRPr="00272930">
        <w:t xml:space="preserve"> [with respect to those exporters with </w:t>
      </w:r>
      <w:r w:rsidR="004F31C2">
        <w:t>0%</w:t>
      </w:r>
      <w:r w:rsidRPr="00272930">
        <w:t xml:space="preserve"> dumping margins] is to exclude them from the scope of the order</w:t>
      </w:r>
      <w:r w:rsidR="00972276" w:rsidRPr="00272930">
        <w:t>"</w:t>
      </w:r>
      <w:r w:rsidRPr="00272930">
        <w:t>, flow from the Appellate</w:t>
      </w:r>
      <w:r w:rsidR="00DA0ACF" w:rsidRPr="00272930">
        <w:t> Body</w:t>
      </w:r>
      <w:r w:rsidR="00972276" w:rsidRPr="00272930">
        <w:t>'</w:t>
      </w:r>
      <w:r w:rsidRPr="00272930">
        <w:t>s application of Article</w:t>
      </w:r>
      <w:r w:rsidR="00F2224B" w:rsidRPr="00272930">
        <w:t> </w:t>
      </w:r>
      <w:r w:rsidRPr="00272930">
        <w:t xml:space="preserve">5.8 to the particular factual scenario of that dispute, namely, where Mexico did apply duties to imports with </w:t>
      </w:r>
      <w:r w:rsidR="00C102E7" w:rsidRPr="00272930">
        <w:t>0%</w:t>
      </w:r>
      <w:r w:rsidRPr="00272930">
        <w:t xml:space="preserve"> dumping margins.</w:t>
      </w:r>
      <w:r w:rsidRPr="00272930">
        <w:rPr>
          <w:rStyle w:val="FootnoteReference"/>
        </w:rPr>
        <w:footnoteReference w:id="222"/>
      </w:r>
      <w:r w:rsidRPr="00272930">
        <w:t xml:space="preserve"> Those findings do not exhaustively define the way in which an investigation is to be </w:t>
      </w:r>
      <w:r w:rsidR="00972276" w:rsidRPr="00272930">
        <w:t>"</w:t>
      </w:r>
      <w:r w:rsidRPr="00272930">
        <w:t>terminated</w:t>
      </w:r>
      <w:r w:rsidR="00972276" w:rsidRPr="00272930">
        <w:t>"</w:t>
      </w:r>
      <w:r w:rsidRPr="00272930">
        <w:t xml:space="preserve"> under Article</w:t>
      </w:r>
      <w:r w:rsidR="00F2224B" w:rsidRPr="00272930">
        <w:t> </w:t>
      </w:r>
      <w:r w:rsidRPr="00272930">
        <w:t xml:space="preserve">5.8 in case of a </w:t>
      </w:r>
      <w:r w:rsidRPr="00272930">
        <w:rPr>
          <w:i/>
          <w:iCs/>
        </w:rPr>
        <w:t>final</w:t>
      </w:r>
      <w:r w:rsidRPr="00272930">
        <w:t xml:space="preserve"> determination of</w:t>
      </w:r>
      <w:r w:rsidR="00C01231">
        <w:t xml:space="preserve"> a</w:t>
      </w:r>
      <w:r w:rsidRPr="00272930">
        <w:t xml:space="preserve"> </w:t>
      </w:r>
      <w:r w:rsidRPr="00272930">
        <w:rPr>
          <w:i/>
          <w:iCs/>
        </w:rPr>
        <w:t xml:space="preserve">de </w:t>
      </w:r>
      <w:r w:rsidR="00EC4B22">
        <w:rPr>
          <w:i/>
          <w:iCs/>
        </w:rPr>
        <w:t>minimis</w:t>
      </w:r>
      <w:r w:rsidR="00EC4B22" w:rsidRPr="00272930">
        <w:t xml:space="preserve"> </w:t>
      </w:r>
      <w:r w:rsidRPr="00272930">
        <w:t>margin of dumping.</w:t>
      </w:r>
      <w:r w:rsidRPr="00272930">
        <w:rPr>
          <w:rStyle w:val="FootnoteReference"/>
        </w:rPr>
        <w:footnoteReference w:id="223"/>
      </w:r>
    </w:p>
    <w:p w14:paraId="27AE08F5" w14:textId="6BB7E086" w:rsidR="00F572D3" w:rsidRPr="00272930" w:rsidRDefault="00F572D3" w:rsidP="00B709B7">
      <w:pPr>
        <w:pStyle w:val="Heading4"/>
        <w:numPr>
          <w:ilvl w:val="3"/>
          <w:numId w:val="7"/>
        </w:numPr>
        <w:rPr>
          <w:rFonts w:eastAsia="Calibri"/>
        </w:rPr>
      </w:pPr>
      <w:r w:rsidRPr="00272930">
        <w:rPr>
          <w:rFonts w:eastAsia="Calibri"/>
        </w:rPr>
        <w:lastRenderedPageBreak/>
        <w:t xml:space="preserve">Context provided by </w:t>
      </w:r>
      <w:r w:rsidR="000528F6" w:rsidRPr="00272930">
        <w:rPr>
          <w:rFonts w:eastAsia="Calibri"/>
        </w:rPr>
        <w:t>Articles </w:t>
      </w:r>
      <w:r w:rsidRPr="00272930">
        <w:rPr>
          <w:rFonts w:eastAsia="Calibri"/>
        </w:rPr>
        <w:t>3.3, 3.5, and 9.4</w:t>
      </w:r>
    </w:p>
    <w:p w14:paraId="5A9A6762" w14:textId="0511CED7" w:rsidR="00F572D3" w:rsidRPr="00272930" w:rsidRDefault="00F572D3" w:rsidP="00B709B7">
      <w:pPr>
        <w:pStyle w:val="BodyText"/>
        <w:numPr>
          <w:ilvl w:val="6"/>
          <w:numId w:val="7"/>
        </w:numPr>
      </w:pPr>
      <w:r w:rsidRPr="00272930">
        <w:t xml:space="preserve">In addition to the definition of </w:t>
      </w:r>
      <w:r w:rsidR="00972276" w:rsidRPr="00272930">
        <w:t>"</w:t>
      </w:r>
      <w:r w:rsidRPr="00272930">
        <w:t>dumping</w:t>
      </w:r>
      <w:r w:rsidR="00972276" w:rsidRPr="00272930">
        <w:t>"</w:t>
      </w:r>
      <w:r w:rsidRPr="00272930">
        <w:t xml:space="preserve"> in Article</w:t>
      </w:r>
      <w:r w:rsidR="00F2224B" w:rsidRPr="00272930">
        <w:t> </w:t>
      </w:r>
      <w:r w:rsidRPr="00272930">
        <w:t xml:space="preserve">2.1, Colombia relies on several other contextual elements to highlight the </w:t>
      </w:r>
      <w:r w:rsidR="00972276" w:rsidRPr="00272930">
        <w:t>"</w:t>
      </w:r>
      <w:r w:rsidRPr="00272930">
        <w:t>absence of a link</w:t>
      </w:r>
      <w:r w:rsidR="00972276" w:rsidRPr="00272930">
        <w:t>"</w:t>
      </w:r>
      <w:r w:rsidRPr="00272930">
        <w:t xml:space="preserve"> between Article</w:t>
      </w:r>
      <w:r w:rsidR="00F2224B" w:rsidRPr="00272930">
        <w:t> </w:t>
      </w:r>
      <w:r w:rsidRPr="00272930">
        <w:t xml:space="preserve">5.8 and </w:t>
      </w:r>
      <w:r w:rsidR="000528F6" w:rsidRPr="00272930">
        <w:t>Articles </w:t>
      </w:r>
      <w:r w:rsidRPr="00272930">
        <w:t>3.1, 3</w:t>
      </w:r>
      <w:r w:rsidR="00C102E7" w:rsidRPr="00272930">
        <w:t>.</w:t>
      </w:r>
      <w:r w:rsidRPr="00272930">
        <w:t xml:space="preserve">2, 3.4, and 3.5. To Colombia, </w:t>
      </w:r>
      <w:r w:rsidR="00972276" w:rsidRPr="00272930">
        <w:t>"</w:t>
      </w:r>
      <w:r w:rsidRPr="00272930">
        <w:t>nothing in the Anti-Dumping Agreement explicitly states that the legal consequence (or purpose) of immediately terminating an investigation in Article</w:t>
      </w:r>
      <w:r w:rsidR="00F2224B" w:rsidRPr="00272930">
        <w:t> </w:t>
      </w:r>
      <w:r w:rsidRPr="00272930">
        <w:t xml:space="preserve">5.8 is to exclude the imports with </w:t>
      </w:r>
      <w:r w:rsidRPr="00272930">
        <w:rPr>
          <w:i/>
          <w:iCs/>
        </w:rPr>
        <w:t>de minimis</w:t>
      </w:r>
      <w:r w:rsidRPr="00272930">
        <w:t xml:space="preserve"> dumping margins from the injury and causation analysis in Article</w:t>
      </w:r>
      <w:r w:rsidR="00F2224B" w:rsidRPr="00272930">
        <w:t> </w:t>
      </w:r>
      <w:r w:rsidRPr="00272930">
        <w:t>3</w:t>
      </w:r>
      <w:r w:rsidR="00972276" w:rsidRPr="00272930">
        <w:t>"</w:t>
      </w:r>
      <w:r w:rsidRPr="00272930">
        <w:rPr>
          <w:rStyle w:val="FootnoteReference"/>
        </w:rPr>
        <w:footnoteReference w:id="224"/>
      </w:r>
      <w:r w:rsidRPr="00272930">
        <w:t xml:space="preserve">, and this is confirmed by </w:t>
      </w:r>
      <w:r w:rsidR="000528F6" w:rsidRPr="00272930">
        <w:t>Articles </w:t>
      </w:r>
      <w:r w:rsidRPr="00272930">
        <w:t>3.3, 9.4, and 3.5.</w:t>
      </w:r>
    </w:p>
    <w:p w14:paraId="707D0645" w14:textId="16077115" w:rsidR="00F572D3" w:rsidRPr="00272930" w:rsidRDefault="00F572D3" w:rsidP="00B709B7">
      <w:pPr>
        <w:pStyle w:val="BodyText"/>
        <w:numPr>
          <w:ilvl w:val="6"/>
          <w:numId w:val="7"/>
        </w:numPr>
      </w:pPr>
      <w:r w:rsidRPr="00272930">
        <w:t>Beginning with Article</w:t>
      </w:r>
      <w:r w:rsidR="00F2224B" w:rsidRPr="00272930">
        <w:t> </w:t>
      </w:r>
      <w:r w:rsidRPr="00272930">
        <w:t xml:space="preserve">3.5, this provision prohibits an authority from attributing to the </w:t>
      </w:r>
      <w:r w:rsidR="00972276" w:rsidRPr="00272930">
        <w:t>"</w:t>
      </w:r>
      <w:r w:rsidRPr="00272930">
        <w:t>dumped imports</w:t>
      </w:r>
      <w:r w:rsidR="00972276" w:rsidRPr="00272930">
        <w:t>"</w:t>
      </w:r>
      <w:r w:rsidRPr="00272930">
        <w:t xml:space="preserve"> those injuries caused by </w:t>
      </w:r>
      <w:r w:rsidR="00972276" w:rsidRPr="00272930">
        <w:t>"</w:t>
      </w:r>
      <w:r w:rsidRPr="00272930">
        <w:t xml:space="preserve">any known factors </w:t>
      </w:r>
      <w:r w:rsidRPr="00272930">
        <w:rPr>
          <w:i/>
          <w:iCs/>
        </w:rPr>
        <w:t>other than the dumped imports</w:t>
      </w:r>
      <w:r w:rsidR="00972276" w:rsidRPr="00272930">
        <w:t>"</w:t>
      </w:r>
      <w:r w:rsidRPr="00272930">
        <w:t>, including</w:t>
      </w:r>
      <w:r w:rsidRPr="00272930">
        <w:rPr>
          <w:color w:val="000000"/>
        </w:rPr>
        <w:t xml:space="preserve">, </w:t>
      </w:r>
      <w:r w:rsidR="00972276" w:rsidRPr="00272930">
        <w:rPr>
          <w:color w:val="000000"/>
        </w:rPr>
        <w:t>"</w:t>
      </w:r>
      <w:r w:rsidRPr="00272930">
        <w:rPr>
          <w:i/>
          <w:color w:val="000000"/>
        </w:rPr>
        <w:t>inter alia</w:t>
      </w:r>
      <w:r w:rsidRPr="00272930">
        <w:rPr>
          <w:color w:val="000000"/>
        </w:rPr>
        <w:t xml:space="preserve">, the volume and prices of imports </w:t>
      </w:r>
      <w:r w:rsidRPr="00272930">
        <w:rPr>
          <w:i/>
          <w:iCs/>
          <w:color w:val="000000"/>
        </w:rPr>
        <w:t>not sold at dumping prices</w:t>
      </w:r>
      <w:r w:rsidR="00E468E4" w:rsidRPr="00272930">
        <w:rPr>
          <w:shd w:val="clear" w:color="auto" w:fill="FFFFFF"/>
        </w:rPr>
        <w:t>.</w:t>
      </w:r>
      <w:r w:rsidR="00972276" w:rsidRPr="00272930">
        <w:rPr>
          <w:shd w:val="clear" w:color="auto" w:fill="FFFFFF"/>
        </w:rPr>
        <w:t>"</w:t>
      </w:r>
      <w:r w:rsidRPr="00272930">
        <w:rPr>
          <w:rStyle w:val="FootnoteReference"/>
          <w:shd w:val="clear" w:color="auto" w:fill="FFFFFF"/>
        </w:rPr>
        <w:footnoteReference w:id="225"/>
      </w:r>
      <w:r w:rsidRPr="00272930">
        <w:rPr>
          <w:shd w:val="clear" w:color="auto" w:fill="FFFFFF"/>
        </w:rPr>
        <w:t xml:space="preserve"> </w:t>
      </w:r>
      <w:r w:rsidR="00972276" w:rsidRPr="00272930">
        <w:t>"</w:t>
      </w:r>
      <w:r w:rsidRPr="00272930">
        <w:rPr>
          <w:i/>
          <w:iCs/>
        </w:rPr>
        <w:t>Evidently</w:t>
      </w:r>
      <w:r w:rsidR="00972276" w:rsidRPr="00272930">
        <w:t>"</w:t>
      </w:r>
      <w:r w:rsidRPr="00272930">
        <w:t xml:space="preserve">, Colombia argues, </w:t>
      </w:r>
      <w:r w:rsidR="0065679F">
        <w:t>"</w:t>
      </w:r>
      <w:r w:rsidRPr="00272930">
        <w:t xml:space="preserve">imports with </w:t>
      </w:r>
      <w:r w:rsidRPr="00272930">
        <w:rPr>
          <w:i/>
          <w:iCs/>
        </w:rPr>
        <w:t>de minimis</w:t>
      </w:r>
      <w:r w:rsidRPr="00272930">
        <w:t xml:space="preserve"> dumping margins fall </w:t>
      </w:r>
      <w:r w:rsidRPr="00272930">
        <w:rPr>
          <w:i/>
          <w:iCs/>
        </w:rPr>
        <w:t>outside</w:t>
      </w:r>
      <w:r w:rsidRPr="00272930">
        <w:t xml:space="preserve"> of the category of imports not sold at dump[</w:t>
      </w:r>
      <w:proofErr w:type="spellStart"/>
      <w:r w:rsidRPr="00272930">
        <w:t>ing</w:t>
      </w:r>
      <w:proofErr w:type="spellEnd"/>
      <w:r w:rsidRPr="00272930">
        <w:t>] prices</w:t>
      </w:r>
      <w:r w:rsidR="00972276" w:rsidRPr="00272930">
        <w:t>"</w:t>
      </w:r>
      <w:r w:rsidRPr="00272930">
        <w:t xml:space="preserve"> and, </w:t>
      </w:r>
      <w:r w:rsidR="00972276" w:rsidRPr="00272930">
        <w:t>"</w:t>
      </w:r>
      <w:r w:rsidRPr="00272930">
        <w:rPr>
          <w:i/>
          <w:iCs/>
        </w:rPr>
        <w:t>therefore</w:t>
      </w:r>
      <w:r w:rsidR="00972276" w:rsidRPr="00272930">
        <w:t>"</w:t>
      </w:r>
      <w:r w:rsidRPr="00272930">
        <w:t xml:space="preserve">, such </w:t>
      </w:r>
      <w:r w:rsidRPr="00272930">
        <w:rPr>
          <w:i/>
          <w:iCs/>
        </w:rPr>
        <w:t>de minimis</w:t>
      </w:r>
      <w:r w:rsidRPr="00272930">
        <w:t xml:space="preserve"> margin imports </w:t>
      </w:r>
      <w:r w:rsidR="00972276" w:rsidRPr="00272930">
        <w:t>"</w:t>
      </w:r>
      <w:r w:rsidRPr="00272930">
        <w:t xml:space="preserve">form part of the </w:t>
      </w:r>
      <w:r w:rsidR="00972276" w:rsidRPr="00272930">
        <w:t>'</w:t>
      </w:r>
      <w:r w:rsidRPr="00272930">
        <w:t>dumped imports</w:t>
      </w:r>
      <w:r w:rsidR="00972276" w:rsidRPr="00272930">
        <w:t>'"</w:t>
      </w:r>
      <w:r w:rsidRPr="00272930">
        <w:t>.</w:t>
      </w:r>
      <w:r w:rsidRPr="00272930">
        <w:rPr>
          <w:rStyle w:val="FootnoteReference"/>
        </w:rPr>
        <w:footnoteReference w:id="226"/>
      </w:r>
      <w:r w:rsidRPr="00272930">
        <w:t xml:space="preserve"> This argument </w:t>
      </w:r>
      <w:r w:rsidRPr="00272930">
        <w:rPr>
          <w:shd w:val="clear" w:color="auto" w:fill="FFFFFF"/>
        </w:rPr>
        <w:t xml:space="preserve">assumes that all imports that </w:t>
      </w:r>
      <w:r w:rsidRPr="00272930">
        <w:rPr>
          <w:i/>
          <w:iCs/>
          <w:shd w:val="clear" w:color="auto" w:fill="FFFFFF"/>
        </w:rPr>
        <w:t>are</w:t>
      </w:r>
      <w:r w:rsidRPr="00272930">
        <w:rPr>
          <w:shd w:val="clear" w:color="auto" w:fill="FFFFFF"/>
        </w:rPr>
        <w:t xml:space="preserve"> </w:t>
      </w:r>
      <w:r w:rsidR="00972276" w:rsidRPr="00272930">
        <w:rPr>
          <w:shd w:val="clear" w:color="auto" w:fill="FFFFFF"/>
        </w:rPr>
        <w:t>"</w:t>
      </w:r>
      <w:r w:rsidRPr="00272930">
        <w:rPr>
          <w:shd w:val="clear" w:color="auto" w:fill="FFFFFF"/>
        </w:rPr>
        <w:t>sold at dumping prices</w:t>
      </w:r>
      <w:r w:rsidR="00972276" w:rsidRPr="00272930">
        <w:rPr>
          <w:shd w:val="clear" w:color="auto" w:fill="FFFFFF"/>
        </w:rPr>
        <w:t>"</w:t>
      </w:r>
      <w:r w:rsidRPr="00272930">
        <w:rPr>
          <w:shd w:val="clear" w:color="auto" w:fill="FFFFFF"/>
        </w:rPr>
        <w:t xml:space="preserve"> </w:t>
      </w:r>
      <w:r w:rsidRPr="00272930">
        <w:rPr>
          <w:i/>
          <w:iCs/>
          <w:shd w:val="clear" w:color="auto" w:fill="FFFFFF"/>
        </w:rPr>
        <w:t>must necessarily</w:t>
      </w:r>
      <w:r w:rsidRPr="00272930">
        <w:rPr>
          <w:shd w:val="clear" w:color="auto" w:fill="FFFFFF"/>
        </w:rPr>
        <w:t xml:space="preserve"> belong to the group of </w:t>
      </w:r>
      <w:r w:rsidR="00972276" w:rsidRPr="00272930">
        <w:rPr>
          <w:shd w:val="clear" w:color="auto" w:fill="FFFFFF"/>
        </w:rPr>
        <w:t>"</w:t>
      </w:r>
      <w:r w:rsidRPr="00272930">
        <w:rPr>
          <w:shd w:val="clear" w:color="auto" w:fill="FFFFFF"/>
        </w:rPr>
        <w:t>dumped imports</w:t>
      </w:r>
      <w:r w:rsidR="00972276" w:rsidRPr="00272930">
        <w:rPr>
          <w:shd w:val="clear" w:color="auto" w:fill="FFFFFF"/>
        </w:rPr>
        <w:t>"</w:t>
      </w:r>
      <w:r w:rsidRPr="00272930">
        <w:rPr>
          <w:shd w:val="clear" w:color="auto" w:fill="FFFFFF"/>
        </w:rPr>
        <w:t xml:space="preserve">. However, whether this assumption is correct depends on the answer to the very question of what is meant by </w:t>
      </w:r>
      <w:r w:rsidR="00972276" w:rsidRPr="00272930">
        <w:rPr>
          <w:shd w:val="clear" w:color="auto" w:fill="FFFFFF"/>
        </w:rPr>
        <w:t>"</w:t>
      </w:r>
      <w:r w:rsidRPr="00272930">
        <w:rPr>
          <w:shd w:val="clear" w:color="auto" w:fill="FFFFFF"/>
        </w:rPr>
        <w:t>dumped imports</w:t>
      </w:r>
      <w:r w:rsidR="00972276" w:rsidRPr="00272930">
        <w:rPr>
          <w:shd w:val="clear" w:color="auto" w:fill="FFFFFF"/>
        </w:rPr>
        <w:t>"</w:t>
      </w:r>
      <w:r w:rsidRPr="00272930">
        <w:rPr>
          <w:shd w:val="clear" w:color="auto" w:fill="FFFFFF"/>
        </w:rPr>
        <w:t xml:space="preserve">. Relying on this non-attribution factor to interpret </w:t>
      </w:r>
      <w:r w:rsidR="00972276" w:rsidRPr="00272930">
        <w:rPr>
          <w:shd w:val="clear" w:color="auto" w:fill="FFFFFF"/>
        </w:rPr>
        <w:t>"</w:t>
      </w:r>
      <w:r w:rsidRPr="00272930">
        <w:rPr>
          <w:shd w:val="clear" w:color="auto" w:fill="FFFFFF"/>
        </w:rPr>
        <w:t>dumped imports</w:t>
      </w:r>
      <w:r w:rsidR="00972276" w:rsidRPr="00272930">
        <w:rPr>
          <w:shd w:val="clear" w:color="auto" w:fill="FFFFFF"/>
        </w:rPr>
        <w:t>"</w:t>
      </w:r>
      <w:r w:rsidRPr="00272930">
        <w:rPr>
          <w:shd w:val="clear" w:color="auto" w:fill="FFFFFF"/>
        </w:rPr>
        <w:t xml:space="preserve"> is thus </w:t>
      </w:r>
      <w:r w:rsidR="00972276" w:rsidRPr="00272930">
        <w:rPr>
          <w:shd w:val="clear" w:color="auto" w:fill="FFFFFF"/>
        </w:rPr>
        <w:t>"</w:t>
      </w:r>
      <w:r w:rsidRPr="00272930">
        <w:rPr>
          <w:shd w:val="clear" w:color="auto" w:fill="FFFFFF"/>
        </w:rPr>
        <w:t>self-referential</w:t>
      </w:r>
      <w:r w:rsidR="00972276" w:rsidRPr="00272930">
        <w:rPr>
          <w:shd w:val="clear" w:color="auto" w:fill="FFFFFF"/>
        </w:rPr>
        <w:t>"</w:t>
      </w:r>
      <w:r w:rsidRPr="00272930">
        <w:rPr>
          <w:rStyle w:val="FootnoteReference"/>
          <w:shd w:val="clear" w:color="auto" w:fill="FFFFFF"/>
        </w:rPr>
        <w:footnoteReference w:id="227"/>
      </w:r>
      <w:r w:rsidRPr="00272930">
        <w:rPr>
          <w:shd w:val="clear" w:color="auto" w:fill="FFFFFF"/>
        </w:rPr>
        <w:t xml:space="preserve"> and unavailing.</w:t>
      </w:r>
    </w:p>
    <w:p w14:paraId="076685F2" w14:textId="1E78E8FC" w:rsidR="00F572D3" w:rsidRPr="00272930" w:rsidRDefault="00F572D3" w:rsidP="00B709B7">
      <w:pPr>
        <w:pStyle w:val="BodyText"/>
        <w:numPr>
          <w:ilvl w:val="6"/>
          <w:numId w:val="7"/>
        </w:numPr>
      </w:pPr>
      <w:r w:rsidRPr="00272930">
        <w:rPr>
          <w:shd w:val="clear" w:color="auto" w:fill="FFFFFF"/>
        </w:rPr>
        <w:t xml:space="preserve"> Colombia nonetheless considers that the contextual relevance of Article</w:t>
      </w:r>
      <w:r w:rsidR="00F2224B" w:rsidRPr="00272930">
        <w:rPr>
          <w:shd w:val="clear" w:color="auto" w:fill="FFFFFF"/>
        </w:rPr>
        <w:t> </w:t>
      </w:r>
      <w:r w:rsidRPr="00272930">
        <w:rPr>
          <w:shd w:val="clear" w:color="auto" w:fill="FFFFFF"/>
        </w:rPr>
        <w:t xml:space="preserve">3.5 becomes even more apparent when that provision is juxtaposed with </w:t>
      </w:r>
      <w:r w:rsidR="000528F6" w:rsidRPr="00272930">
        <w:rPr>
          <w:shd w:val="clear" w:color="auto" w:fill="FFFFFF"/>
        </w:rPr>
        <w:t>Articles </w:t>
      </w:r>
      <w:r w:rsidRPr="00272930">
        <w:rPr>
          <w:shd w:val="clear" w:color="auto" w:fill="FFFFFF"/>
        </w:rPr>
        <w:t>3.3 and 9.4. Colombia notes that the</w:t>
      </w:r>
      <w:r w:rsidRPr="00272930">
        <w:t xml:space="preserve"> fourth sentence of Article</w:t>
      </w:r>
      <w:r w:rsidR="00F2224B" w:rsidRPr="00272930">
        <w:t> </w:t>
      </w:r>
      <w:r w:rsidRPr="00272930">
        <w:t>3.5 (</w:t>
      </w:r>
      <w:proofErr w:type="gramStart"/>
      <w:r w:rsidRPr="00272930">
        <w:t>i.e.</w:t>
      </w:r>
      <w:proofErr w:type="gramEnd"/>
      <w:r w:rsidRPr="00272930">
        <w:t xml:space="preserve"> the illustrative list of non-attribution factors) was added during the Uruguay Round at the same time as </w:t>
      </w:r>
      <w:r w:rsidR="000528F6" w:rsidRPr="00272930">
        <w:t>Articles </w:t>
      </w:r>
      <w:r w:rsidRPr="00272930">
        <w:t xml:space="preserve">3.3 and 9.4. To Colombia, the absence of any reference to </w:t>
      </w:r>
      <w:r w:rsidRPr="00272930">
        <w:rPr>
          <w:i/>
          <w:iCs/>
        </w:rPr>
        <w:t>de minimis</w:t>
      </w:r>
      <w:r w:rsidRPr="00272930">
        <w:t xml:space="preserve"> dumping margins in Article</w:t>
      </w:r>
      <w:r w:rsidR="00F2224B" w:rsidRPr="00272930">
        <w:t> </w:t>
      </w:r>
      <w:r w:rsidRPr="00272930">
        <w:t xml:space="preserve">3.5, and the express references to such margins in </w:t>
      </w:r>
      <w:r w:rsidR="000528F6" w:rsidRPr="00272930">
        <w:t>Articles </w:t>
      </w:r>
      <w:r w:rsidRPr="00272930">
        <w:t xml:space="preserve">3.3 and 9.4, supports its view that, had the drafters wished to limit the </w:t>
      </w:r>
      <w:r w:rsidR="00972276" w:rsidRPr="00272930">
        <w:t>"</w:t>
      </w:r>
      <w:r w:rsidRPr="00272930">
        <w:t>dumped imports</w:t>
      </w:r>
      <w:r w:rsidR="00972276" w:rsidRPr="00272930">
        <w:t>"</w:t>
      </w:r>
      <w:r w:rsidRPr="00272930">
        <w:t xml:space="preserve"> in </w:t>
      </w:r>
      <w:r w:rsidR="000528F6" w:rsidRPr="00272930">
        <w:t>Articles </w:t>
      </w:r>
      <w:r w:rsidRPr="00272930">
        <w:t>3.1, 3.2, 3.4</w:t>
      </w:r>
      <w:r w:rsidR="00E468E4" w:rsidRPr="00272930">
        <w:t>,</w:t>
      </w:r>
      <w:r w:rsidRPr="00272930">
        <w:t xml:space="preserve"> and 3.5 to dumped imports above </w:t>
      </w:r>
      <w:r w:rsidRPr="00272930">
        <w:rPr>
          <w:i/>
          <w:iCs/>
        </w:rPr>
        <w:t>de minimis</w:t>
      </w:r>
      <w:r w:rsidRPr="00272930">
        <w:t xml:space="preserve"> margins, they could have done so explicitly.</w:t>
      </w:r>
      <w:r w:rsidRPr="00272930">
        <w:rPr>
          <w:rStyle w:val="FootnoteReference"/>
        </w:rPr>
        <w:footnoteReference w:id="228"/>
      </w:r>
    </w:p>
    <w:p w14:paraId="032D5894" w14:textId="63C905EB" w:rsidR="00F572D3" w:rsidRPr="00272930" w:rsidRDefault="00F572D3" w:rsidP="00B709B7">
      <w:pPr>
        <w:pStyle w:val="BodyText"/>
        <w:numPr>
          <w:ilvl w:val="6"/>
          <w:numId w:val="7"/>
        </w:numPr>
      </w:pPr>
      <w:r w:rsidRPr="00272930">
        <w:t xml:space="preserve">Under Article 3.3, investigating authorities may cumulatively assess the effects of imports from more than one country only if they determine, </w:t>
      </w:r>
      <w:r w:rsidRPr="00272930">
        <w:rPr>
          <w:i/>
          <w:iCs/>
        </w:rPr>
        <w:t>inter</w:t>
      </w:r>
      <w:r w:rsidR="00F2224B" w:rsidRPr="00272930">
        <w:rPr>
          <w:i/>
          <w:iCs/>
        </w:rPr>
        <w:t> alia</w:t>
      </w:r>
      <w:r w:rsidRPr="00272930">
        <w:t xml:space="preserve">, that </w:t>
      </w:r>
      <w:r w:rsidR="00972276" w:rsidRPr="00272930">
        <w:t>"</w:t>
      </w:r>
      <w:r w:rsidRPr="00272930">
        <w:t xml:space="preserve">the margin of dumping established </w:t>
      </w:r>
      <w:r w:rsidRPr="00272930">
        <w:rPr>
          <w:i/>
          <w:iCs/>
        </w:rPr>
        <w:t>in relation to the imports from each country</w:t>
      </w:r>
      <w:r w:rsidRPr="00272930">
        <w:t xml:space="preserve"> is more than </w:t>
      </w:r>
      <w:r w:rsidRPr="00272930">
        <w:rPr>
          <w:i/>
          <w:iCs/>
        </w:rPr>
        <w:t>de</w:t>
      </w:r>
      <w:r w:rsidRPr="00272930">
        <w:rPr>
          <w:iCs/>
        </w:rPr>
        <w:t> </w:t>
      </w:r>
      <w:r w:rsidRPr="00272930">
        <w:rPr>
          <w:i/>
          <w:iCs/>
        </w:rPr>
        <w:t>minimis</w:t>
      </w:r>
      <w:r w:rsidRPr="00272930">
        <w:rPr>
          <w:iCs/>
        </w:rPr>
        <w:t xml:space="preserve"> </w:t>
      </w:r>
      <w:r w:rsidRPr="00272930">
        <w:t>as defined in paragraph 8 of Article 5</w:t>
      </w:r>
      <w:r w:rsidR="00E468E4" w:rsidRPr="00272930">
        <w:t>.</w:t>
      </w:r>
      <w:r w:rsidR="00972276" w:rsidRPr="00272930">
        <w:t>"</w:t>
      </w:r>
      <w:r w:rsidRPr="00272930">
        <w:rPr>
          <w:rStyle w:val="FootnoteReference"/>
        </w:rPr>
        <w:footnoteReference w:id="229"/>
      </w:r>
      <w:r w:rsidRPr="00272930">
        <w:t xml:space="preserve"> The reference to </w:t>
      </w:r>
      <w:r w:rsidR="00972276" w:rsidRPr="00272930">
        <w:t>"</w:t>
      </w:r>
      <w:r w:rsidRPr="00272930">
        <w:t>the margin of dumping established in relation to the imports from each country</w:t>
      </w:r>
      <w:r w:rsidR="00972276" w:rsidRPr="00272930">
        <w:t>"</w:t>
      </w:r>
      <w:r w:rsidRPr="00272930">
        <w:t xml:space="preserve"> departs from the general rule</w:t>
      </w:r>
      <w:r w:rsidRPr="00272930">
        <w:rPr>
          <w:rStyle w:val="FootnoteReference"/>
        </w:rPr>
        <w:footnoteReference w:id="230"/>
      </w:r>
      <w:r w:rsidRPr="00272930">
        <w:t xml:space="preserve"> that </w:t>
      </w:r>
      <w:r w:rsidR="00972276" w:rsidRPr="00272930">
        <w:t>"</w:t>
      </w:r>
      <w:r w:rsidR="00FC66F0">
        <w:t>[</w:t>
      </w:r>
      <w:r w:rsidRPr="00272930">
        <w:t>t</w:t>
      </w:r>
      <w:r w:rsidR="00FC66F0">
        <w:t>]</w:t>
      </w:r>
      <w:r w:rsidRPr="00272930">
        <w:t xml:space="preserve">he authorities shall … determine an individual margin of dumping </w:t>
      </w:r>
      <w:r w:rsidRPr="00272930">
        <w:rPr>
          <w:i/>
          <w:iCs/>
        </w:rPr>
        <w:t>for each known exporter or producer</w:t>
      </w:r>
      <w:r w:rsidR="0003361C">
        <w:rPr>
          <w:i/>
          <w:iCs/>
        </w:rPr>
        <w:t xml:space="preserve"> </w:t>
      </w:r>
      <w:r w:rsidR="0003361C" w:rsidRPr="0064648B">
        <w:t>concerned</w:t>
      </w:r>
      <w:r w:rsidR="00E468E4" w:rsidRPr="00272930">
        <w:t>.</w:t>
      </w:r>
      <w:r w:rsidR="00972276" w:rsidRPr="00272930">
        <w:t>"</w:t>
      </w:r>
      <w:r w:rsidRPr="00272930">
        <w:rPr>
          <w:rStyle w:val="FootnoteReference"/>
        </w:rPr>
        <w:footnoteReference w:id="231"/>
      </w:r>
      <w:r w:rsidRPr="00272930">
        <w:t xml:space="preserve"> Similarly, Article</w:t>
      </w:r>
      <w:r w:rsidR="00F2224B" w:rsidRPr="00272930">
        <w:t> </w:t>
      </w:r>
      <w:r w:rsidRPr="00272930">
        <w:t xml:space="preserve">9.4 </w:t>
      </w:r>
      <w:r w:rsidR="00972276" w:rsidRPr="00272930">
        <w:t>"</w:t>
      </w:r>
      <w:r w:rsidRPr="00272930">
        <w:t xml:space="preserve">also has a different scope than </w:t>
      </w:r>
      <w:r w:rsidR="000528F6" w:rsidRPr="00272930">
        <w:t>Articles </w:t>
      </w:r>
      <w:r w:rsidRPr="00272930">
        <w:t>3.1, 3.2, 3.4, and 3.5</w:t>
      </w:r>
      <w:r w:rsidR="00972276" w:rsidRPr="00272930">
        <w:t>"</w:t>
      </w:r>
      <w:r w:rsidRPr="00272930">
        <w:rPr>
          <w:rStyle w:val="FootnoteReference"/>
        </w:rPr>
        <w:footnoteReference w:id="232"/>
      </w:r>
      <w:r w:rsidRPr="00272930">
        <w:t xml:space="preserve">, as it </w:t>
      </w:r>
      <w:r w:rsidR="00972276" w:rsidRPr="00272930">
        <w:t>"</w:t>
      </w:r>
      <w:r w:rsidRPr="00272930">
        <w:t>focuses on the determination of the so</w:t>
      </w:r>
      <w:r w:rsidRPr="00272930">
        <w:noBreakHyphen/>
        <w:t xml:space="preserve">called </w:t>
      </w:r>
      <w:r w:rsidR="00972276" w:rsidRPr="00272930">
        <w:t>'</w:t>
      </w:r>
      <w:r w:rsidRPr="00272930">
        <w:t>all others</w:t>
      </w:r>
      <w:r w:rsidR="00972276" w:rsidRPr="00272930">
        <w:t>'</w:t>
      </w:r>
      <w:r w:rsidRPr="00272930">
        <w:t xml:space="preserve"> rate, i.e.</w:t>
      </w:r>
      <w:r w:rsidR="00C45700" w:rsidRPr="00272930">
        <w:t> </w:t>
      </w:r>
      <w:r w:rsidRPr="00272930">
        <w:t>the anti</w:t>
      </w:r>
      <w:r w:rsidRPr="00272930">
        <w:noBreakHyphen/>
        <w:t xml:space="preserve">dumping duty that is applied to imports from exporters or producers that are </w:t>
      </w:r>
      <w:r w:rsidRPr="00272930">
        <w:rPr>
          <w:i/>
          <w:iCs/>
        </w:rPr>
        <w:t>not</w:t>
      </w:r>
      <w:r w:rsidRPr="00272930">
        <w:rPr>
          <w:iCs/>
        </w:rPr>
        <w:t xml:space="preserve"> </w:t>
      </w:r>
      <w:r w:rsidRPr="00272930">
        <w:rPr>
          <w:i/>
          <w:iCs/>
        </w:rPr>
        <w:t>examined</w:t>
      </w:r>
      <w:r w:rsidRPr="00272930">
        <w:t xml:space="preserve"> by an investigating authority</w:t>
      </w:r>
      <w:r w:rsidR="00972276" w:rsidRPr="00272930">
        <w:t>"</w:t>
      </w:r>
      <w:r w:rsidRPr="00272930">
        <w:t xml:space="preserve">, requiring an authority to </w:t>
      </w:r>
      <w:r w:rsidR="00972276" w:rsidRPr="00272930">
        <w:t>"</w:t>
      </w:r>
      <w:r w:rsidRPr="00272930">
        <w:t>disregard</w:t>
      </w:r>
      <w:r w:rsidR="00E468E4" w:rsidRPr="00272930">
        <w:t> </w:t>
      </w:r>
      <w:r w:rsidRPr="00272930">
        <w:t>…</w:t>
      </w:r>
      <w:r w:rsidR="00E468E4" w:rsidRPr="00272930">
        <w:t> </w:t>
      </w:r>
      <w:r w:rsidRPr="00272930">
        <w:t xml:space="preserve">any zero and </w:t>
      </w:r>
      <w:r w:rsidRPr="00272930">
        <w:rPr>
          <w:i/>
          <w:iCs/>
        </w:rPr>
        <w:t>de</w:t>
      </w:r>
      <w:r w:rsidRPr="00272930">
        <w:rPr>
          <w:iCs/>
        </w:rPr>
        <w:t> </w:t>
      </w:r>
      <w:r w:rsidRPr="00272930">
        <w:rPr>
          <w:i/>
          <w:iCs/>
        </w:rPr>
        <w:t>minimis</w:t>
      </w:r>
      <w:r w:rsidRPr="00272930">
        <w:t xml:space="preserve"> margins</w:t>
      </w:r>
      <w:r w:rsidR="00972276" w:rsidRPr="00272930">
        <w:t>"</w:t>
      </w:r>
      <w:r w:rsidRPr="00272930">
        <w:t xml:space="preserve"> in calculating the </w:t>
      </w:r>
      <w:r w:rsidR="00972276" w:rsidRPr="00272930">
        <w:t>"</w:t>
      </w:r>
      <w:r w:rsidRPr="00272930">
        <w:t>all others</w:t>
      </w:r>
      <w:r w:rsidR="00972276" w:rsidRPr="00272930">
        <w:t>"</w:t>
      </w:r>
      <w:r w:rsidRPr="00272930">
        <w:t xml:space="preserve"> rate.</w:t>
      </w:r>
      <w:r w:rsidRPr="00272930">
        <w:rPr>
          <w:rStyle w:val="FootnoteReference"/>
        </w:rPr>
        <w:footnoteReference w:id="233"/>
      </w:r>
      <w:r w:rsidRPr="00272930">
        <w:t xml:space="preserve"> In contrast, </w:t>
      </w:r>
      <w:r w:rsidR="000528F6" w:rsidRPr="00272930">
        <w:t>Articles </w:t>
      </w:r>
      <w:r w:rsidRPr="00272930">
        <w:t>3.1, 3</w:t>
      </w:r>
      <w:r w:rsidR="00EC1BC6" w:rsidRPr="00272930">
        <w:t>.</w:t>
      </w:r>
      <w:r w:rsidRPr="00272930">
        <w:t>2, 3.4</w:t>
      </w:r>
      <w:r w:rsidR="00EC1BC6" w:rsidRPr="00272930">
        <w:t>,</w:t>
      </w:r>
      <w:r w:rsidRPr="00272930">
        <w:t xml:space="preserve"> and 3.5, at issue in this dispute, </w:t>
      </w:r>
      <w:r w:rsidR="00972276" w:rsidRPr="00272930">
        <w:t>"</w:t>
      </w:r>
      <w:r w:rsidRPr="00272930">
        <w:t>concern an investigating authority</w:t>
      </w:r>
      <w:r w:rsidR="00972276" w:rsidRPr="00272930">
        <w:t>'</w:t>
      </w:r>
      <w:r w:rsidRPr="00272930">
        <w:t xml:space="preserve">s determination of injury caused by </w:t>
      </w:r>
      <w:r w:rsidR="00972276" w:rsidRPr="00272930">
        <w:t>'</w:t>
      </w:r>
      <w:r w:rsidRPr="00272930">
        <w:t>dumped imports</w:t>
      </w:r>
      <w:r w:rsidR="00972276" w:rsidRPr="00272930">
        <w:t>'</w:t>
      </w:r>
      <w:r w:rsidRPr="00272930">
        <w:t xml:space="preserve"> from producers and exporters that are </w:t>
      </w:r>
      <w:r w:rsidRPr="00272930">
        <w:rPr>
          <w:i/>
          <w:iCs/>
        </w:rPr>
        <w:t>examined</w:t>
      </w:r>
      <w:r w:rsidRPr="00272930">
        <w:rPr>
          <w:iCs/>
        </w:rPr>
        <w:t xml:space="preserve"> </w:t>
      </w:r>
      <w:r w:rsidRPr="00272930">
        <w:t>by an investigating authority</w:t>
      </w:r>
      <w:r w:rsidR="00972276" w:rsidRPr="00272930">
        <w:t>"</w:t>
      </w:r>
      <w:r w:rsidR="00EC1BC6" w:rsidRPr="00272930">
        <w:t>.</w:t>
      </w:r>
      <w:r w:rsidRPr="00272930">
        <w:rPr>
          <w:rStyle w:val="FootnoteReference"/>
        </w:rPr>
        <w:footnoteReference w:id="234"/>
      </w:r>
    </w:p>
    <w:p w14:paraId="7DABDA10" w14:textId="20BF860B" w:rsidR="00F572D3" w:rsidRPr="00272930" w:rsidRDefault="00F572D3" w:rsidP="00B709B7">
      <w:pPr>
        <w:pStyle w:val="BodyText"/>
        <w:numPr>
          <w:ilvl w:val="6"/>
          <w:numId w:val="7"/>
        </w:numPr>
      </w:pPr>
      <w:r w:rsidRPr="00272930">
        <w:t xml:space="preserve">In </w:t>
      </w:r>
      <w:r w:rsidR="000528F6" w:rsidRPr="00272930">
        <w:t>Articles </w:t>
      </w:r>
      <w:r w:rsidRPr="00272930">
        <w:t xml:space="preserve">3.3 and 9.4, therefore, the cross-reference to the </w:t>
      </w:r>
      <w:r w:rsidRPr="00272930">
        <w:rPr>
          <w:i/>
          <w:iCs/>
        </w:rPr>
        <w:t>de minimis</w:t>
      </w:r>
      <w:r w:rsidRPr="00272930">
        <w:t xml:space="preserve"> threshold as defined in Article</w:t>
      </w:r>
      <w:r w:rsidR="00F2224B" w:rsidRPr="00272930">
        <w:t> </w:t>
      </w:r>
      <w:r w:rsidRPr="00272930">
        <w:t xml:space="preserve">5.8, which generally </w:t>
      </w:r>
      <w:r w:rsidR="00E97E10" w:rsidRPr="00272930">
        <w:t xml:space="preserve">relates </w:t>
      </w:r>
      <w:r w:rsidRPr="00272930">
        <w:t>to the dumping margin determined for an exporter or producer individually</w:t>
      </w:r>
      <w:r w:rsidRPr="00272930">
        <w:rPr>
          <w:rStyle w:val="FootnoteReference"/>
        </w:rPr>
        <w:footnoteReference w:id="235"/>
      </w:r>
      <w:r w:rsidRPr="00272930">
        <w:t xml:space="preserve">, makes this threshold </w:t>
      </w:r>
      <w:r w:rsidR="00972276" w:rsidRPr="00272930">
        <w:t>"</w:t>
      </w:r>
      <w:r w:rsidRPr="00272930">
        <w:t>operational</w:t>
      </w:r>
      <w:r w:rsidR="00972276" w:rsidRPr="00272930">
        <w:t>"</w:t>
      </w:r>
      <w:r w:rsidRPr="00272930">
        <w:rPr>
          <w:rStyle w:val="FootnoteReference"/>
        </w:rPr>
        <w:footnoteReference w:id="236"/>
      </w:r>
      <w:r w:rsidRPr="00272930">
        <w:t xml:space="preserve"> for the specific situations under these provisions. Thus, the fact that the </w:t>
      </w:r>
      <w:r w:rsidRPr="00272930">
        <w:rPr>
          <w:i/>
          <w:iCs/>
        </w:rPr>
        <w:t>de minimis</w:t>
      </w:r>
      <w:r w:rsidRPr="00272930">
        <w:t xml:space="preserve"> threshold is made operational in specific situations </w:t>
      </w:r>
      <w:r w:rsidRPr="00272930">
        <w:lastRenderedPageBreak/>
        <w:t xml:space="preserve">under </w:t>
      </w:r>
      <w:r w:rsidR="000528F6" w:rsidRPr="00272930">
        <w:t>Articles </w:t>
      </w:r>
      <w:r w:rsidRPr="00272930">
        <w:t>3.3 and 9.4 reinforces, rather than refutes</w:t>
      </w:r>
      <w:r w:rsidRPr="00272930">
        <w:rPr>
          <w:rStyle w:val="FootnoteReference"/>
          <w:rFonts w:eastAsiaTheme="minorHAnsi"/>
        </w:rPr>
        <w:footnoteReference w:id="237"/>
      </w:r>
      <w:r w:rsidRPr="00272930">
        <w:t>, the link between Article</w:t>
      </w:r>
      <w:r w:rsidR="00F2224B" w:rsidRPr="00272930">
        <w:t> </w:t>
      </w:r>
      <w:r w:rsidRPr="00272930">
        <w:t xml:space="preserve">5.8 and Article 3 generally. Given this link, there was no need for the drafters, each time they mentioned </w:t>
      </w:r>
      <w:r w:rsidR="00972276" w:rsidRPr="00272930">
        <w:t>"</w:t>
      </w:r>
      <w:r w:rsidRPr="00272930">
        <w:t>dumped imports</w:t>
      </w:r>
      <w:r w:rsidR="00972276" w:rsidRPr="00272930">
        <w:t>"</w:t>
      </w:r>
      <w:r w:rsidRPr="00272930">
        <w:t>, to cross-reference Article</w:t>
      </w:r>
      <w:r w:rsidR="00F2224B" w:rsidRPr="00272930">
        <w:t> </w:t>
      </w:r>
      <w:r w:rsidRPr="00272930">
        <w:t xml:space="preserve">5.8 in the context of </w:t>
      </w:r>
      <w:r w:rsidR="000528F6" w:rsidRPr="00272930">
        <w:t>Articles </w:t>
      </w:r>
      <w:r w:rsidRPr="00272930">
        <w:t>3.1, 3.2, 3.4</w:t>
      </w:r>
      <w:r w:rsidR="00E468E4" w:rsidRPr="00272930">
        <w:t>,</w:t>
      </w:r>
      <w:r w:rsidRPr="00272930">
        <w:t xml:space="preserve"> and 3.5. In those provisions, the relevance of the </w:t>
      </w:r>
      <w:r w:rsidRPr="00272930">
        <w:rPr>
          <w:i/>
          <w:iCs/>
        </w:rPr>
        <w:t>de minimis</w:t>
      </w:r>
      <w:r w:rsidRPr="00272930">
        <w:t xml:space="preserve"> threshold is implied from a holistic reading of these provisions. We share, in this respect, the European</w:t>
      </w:r>
      <w:r w:rsidR="00DA0ACF" w:rsidRPr="00272930">
        <w:t> Union</w:t>
      </w:r>
      <w:r w:rsidR="00972276" w:rsidRPr="00272930">
        <w:t>'</w:t>
      </w:r>
      <w:r w:rsidRPr="00272930">
        <w:t>s view that, as a matter of treaty drafting, a generally applicable rule need not be repeated in every instance where it is relevant.</w:t>
      </w:r>
      <w:r w:rsidRPr="00272930">
        <w:rPr>
          <w:rStyle w:val="FootnoteReference"/>
        </w:rPr>
        <w:footnoteReference w:id="238"/>
      </w:r>
      <w:r w:rsidRPr="00272930">
        <w:t xml:space="preserve"> Rather, as the Panel stated, </w:t>
      </w:r>
      <w:r w:rsidR="00972276" w:rsidRPr="00272930">
        <w:t>"</w:t>
      </w:r>
      <w:r w:rsidRPr="00272930">
        <w:t xml:space="preserve">the fact that </w:t>
      </w:r>
      <w:r w:rsidR="000528F6" w:rsidRPr="00272930">
        <w:t>Articles </w:t>
      </w:r>
      <w:r w:rsidRPr="00272930">
        <w:t xml:space="preserve">9.4 and 3.3 refer to Article 5.8 and </w:t>
      </w:r>
      <w:r w:rsidR="00972276" w:rsidRPr="00272930">
        <w:t>'</w:t>
      </w:r>
      <w:r w:rsidRPr="00272930">
        <w:rPr>
          <w:i/>
          <w:iCs/>
        </w:rPr>
        <w:t xml:space="preserve">de minimis </w:t>
      </w:r>
      <w:r w:rsidRPr="00272930">
        <w:t>margins</w:t>
      </w:r>
      <w:r w:rsidR="00972276" w:rsidRPr="00272930">
        <w:t>'</w:t>
      </w:r>
      <w:r w:rsidRPr="00272930">
        <w:t xml:space="preserve">, and make Article 5.8 operational in the </w:t>
      </w:r>
      <w:r w:rsidRPr="00272930">
        <w:rPr>
          <w:i/>
          <w:iCs/>
        </w:rPr>
        <w:t>specific</w:t>
      </w:r>
      <w:r w:rsidRPr="00272930">
        <w:rPr>
          <w:iCs/>
        </w:rPr>
        <w:t xml:space="preserve"> </w:t>
      </w:r>
      <w:r w:rsidRPr="00272930">
        <w:t xml:space="preserve">situations contemplated under these provisions highlights … the contextual relevance of Article 5.8 for purposes of the </w:t>
      </w:r>
      <w:r w:rsidRPr="00272930">
        <w:rPr>
          <w:i/>
          <w:iCs/>
        </w:rPr>
        <w:t>general</w:t>
      </w:r>
      <w:r w:rsidRPr="00272930">
        <w:t xml:space="preserve"> injury and causation determinations under Article 3.</w:t>
      </w:r>
      <w:r w:rsidR="00972276" w:rsidRPr="00272930">
        <w:t>"</w:t>
      </w:r>
      <w:r w:rsidRPr="00272930">
        <w:rPr>
          <w:rStyle w:val="FootnoteReference"/>
        </w:rPr>
        <w:footnoteReference w:id="239"/>
      </w:r>
    </w:p>
    <w:p w14:paraId="44D98FC6" w14:textId="66E129B6" w:rsidR="00F572D3" w:rsidRPr="00272930" w:rsidRDefault="00F572D3" w:rsidP="00B709B7">
      <w:pPr>
        <w:pStyle w:val="Heading4"/>
        <w:numPr>
          <w:ilvl w:val="3"/>
          <w:numId w:val="7"/>
        </w:numPr>
      </w:pPr>
      <w:r w:rsidRPr="00272930">
        <w:rPr>
          <w:rFonts w:eastAsia="Calibri"/>
        </w:rPr>
        <w:t>Supplementary</w:t>
      </w:r>
      <w:r w:rsidRPr="00272930">
        <w:t xml:space="preserve"> means of interpretation relied upon by Colombia</w:t>
      </w:r>
    </w:p>
    <w:p w14:paraId="696D885A" w14:textId="31F4F05F" w:rsidR="00F572D3" w:rsidRPr="00272930" w:rsidRDefault="00F572D3" w:rsidP="00B709B7">
      <w:pPr>
        <w:pStyle w:val="BodyText"/>
        <w:numPr>
          <w:ilvl w:val="6"/>
          <w:numId w:val="7"/>
        </w:numPr>
      </w:pPr>
      <w:r w:rsidRPr="00272930">
        <w:t xml:space="preserve"> Colombia submitted to the Panel certain documents regarding the negotiating history related to Article</w:t>
      </w:r>
      <w:r w:rsidR="00F2224B" w:rsidRPr="00272930">
        <w:t> </w:t>
      </w:r>
      <w:r w:rsidRPr="00272930">
        <w:t xml:space="preserve">5.8 of the Anti-Dumping Agreement. This included records of discussion on a provision of the Kennedy Round Anti-Dumping Code that is </w:t>
      </w:r>
      <w:r w:rsidR="00972276" w:rsidRPr="00272930">
        <w:t>"</w:t>
      </w:r>
      <w:r w:rsidRPr="00272930">
        <w:t>almost identical to … Article</w:t>
      </w:r>
      <w:r w:rsidR="00BA4836" w:rsidRPr="00272930">
        <w:t> </w:t>
      </w:r>
      <w:r w:rsidRPr="00272930">
        <w:t>5.8 of the Anti-Dumping Agreement</w:t>
      </w:r>
      <w:r w:rsidR="00972276" w:rsidRPr="00272930">
        <w:t>"</w:t>
      </w:r>
      <w:r w:rsidRPr="00272930">
        <w:t>.</w:t>
      </w:r>
      <w:r w:rsidRPr="00272930">
        <w:rPr>
          <w:rStyle w:val="FootnoteReference"/>
        </w:rPr>
        <w:footnoteReference w:id="240"/>
      </w:r>
      <w:r w:rsidRPr="00272930">
        <w:t xml:space="preserve"> The Panel did not address Colombia</w:t>
      </w:r>
      <w:r w:rsidR="00972276" w:rsidRPr="00272930">
        <w:t>'</w:t>
      </w:r>
      <w:r w:rsidRPr="00272930">
        <w:t xml:space="preserve">s arguments concerning negotiating history, finding, instead, that doing so was unnecessary given its </w:t>
      </w:r>
      <w:r w:rsidR="00972276" w:rsidRPr="00272930">
        <w:t>"</w:t>
      </w:r>
      <w:r w:rsidRPr="00272930">
        <w:t xml:space="preserve">unambiguous conclusion resulting from the interpretative exercise under </w:t>
      </w:r>
      <w:r w:rsidR="002E16A7" w:rsidRPr="00272930">
        <w:t>A</w:t>
      </w:r>
      <w:r w:rsidRPr="00272930">
        <w:t>rticle</w:t>
      </w:r>
      <w:r w:rsidR="00126344">
        <w:t> </w:t>
      </w:r>
      <w:r w:rsidRPr="00272930">
        <w:t>31 of the Vienna</w:t>
      </w:r>
      <w:r w:rsidR="00BA4836" w:rsidRPr="00272930">
        <w:t> Convention</w:t>
      </w:r>
      <w:r w:rsidR="00972276" w:rsidRPr="00272930">
        <w:t>"</w:t>
      </w:r>
      <w:r w:rsidRPr="00272930">
        <w:t>.</w:t>
      </w:r>
      <w:r w:rsidRPr="00272930">
        <w:rPr>
          <w:rStyle w:val="FootnoteReference"/>
        </w:rPr>
        <w:footnoteReference w:id="241"/>
      </w:r>
    </w:p>
    <w:p w14:paraId="2A14D457" w14:textId="729BD428" w:rsidR="00F572D3" w:rsidRPr="00272930" w:rsidRDefault="00F572D3" w:rsidP="00B709B7">
      <w:pPr>
        <w:pStyle w:val="BodyText"/>
        <w:numPr>
          <w:ilvl w:val="6"/>
          <w:numId w:val="7"/>
        </w:numPr>
      </w:pPr>
      <w:r w:rsidRPr="00272930">
        <w:t xml:space="preserve">On appeal, Colombia similarly contends that the negotiating history demonstrates that the GATT Contracting Parties explicitly rejected a proposal to limit the definition of </w:t>
      </w:r>
      <w:r w:rsidR="00972276" w:rsidRPr="00272930">
        <w:t>"</w:t>
      </w:r>
      <w:r w:rsidRPr="00272930">
        <w:t>dumping</w:t>
      </w:r>
      <w:r w:rsidR="00972276" w:rsidRPr="00272930">
        <w:t>"</w:t>
      </w:r>
      <w:r w:rsidRPr="00272930">
        <w:t xml:space="preserve"> to margins above a </w:t>
      </w:r>
      <w:r w:rsidRPr="00272930">
        <w:rPr>
          <w:i/>
          <w:iCs/>
        </w:rPr>
        <w:t>de minimis</w:t>
      </w:r>
      <w:r w:rsidRPr="00272930">
        <w:t xml:space="preserve"> level.</w:t>
      </w:r>
      <w:r w:rsidRPr="00272930">
        <w:rPr>
          <w:rStyle w:val="FootnoteReference"/>
        </w:rPr>
        <w:footnoteReference w:id="242"/>
      </w:r>
      <w:r w:rsidRPr="00272930">
        <w:t xml:space="preserve"> Certain documents cited by Colombia may indeed suggest that the negotiators of the Kennedy Round Anti-Dumping Code chose not to limit the </w:t>
      </w:r>
      <w:r w:rsidRPr="00272930">
        <w:rPr>
          <w:i/>
          <w:iCs/>
        </w:rPr>
        <w:t>definition</w:t>
      </w:r>
      <w:r w:rsidRPr="00272930">
        <w:t xml:space="preserve"> of </w:t>
      </w:r>
      <w:r w:rsidRPr="00272930">
        <w:rPr>
          <w:i/>
          <w:iCs/>
        </w:rPr>
        <w:t>dumping</w:t>
      </w:r>
      <w:r w:rsidRPr="00272930">
        <w:t xml:space="preserve"> to instances in which the price difference between normal value and export price was above a certain minimal percentage.</w:t>
      </w:r>
      <w:r w:rsidRPr="00272930">
        <w:rPr>
          <w:rStyle w:val="FootnoteReference"/>
        </w:rPr>
        <w:footnoteReference w:id="243"/>
      </w:r>
      <w:r w:rsidRPr="00272930">
        <w:t xml:space="preserve"> The significance ascribed by Colombia to such materials, however, is premised on its view that the definition of </w:t>
      </w:r>
      <w:r w:rsidR="00972276" w:rsidRPr="00272930">
        <w:t>"</w:t>
      </w:r>
      <w:r w:rsidRPr="00272930">
        <w:t>dumping</w:t>
      </w:r>
      <w:r w:rsidR="00972276" w:rsidRPr="00272930">
        <w:t>"</w:t>
      </w:r>
      <w:r w:rsidRPr="00272930">
        <w:t xml:space="preserve">, alone, is sufficient for deriving the </w:t>
      </w:r>
      <w:r w:rsidR="00972276" w:rsidRPr="00272930">
        <w:t>"</w:t>
      </w:r>
      <w:r w:rsidRPr="00272930">
        <w:t>ordinary meaning</w:t>
      </w:r>
      <w:r w:rsidR="00972276" w:rsidRPr="00272930">
        <w:t>"</w:t>
      </w:r>
      <w:r w:rsidRPr="00272930">
        <w:t xml:space="preserve"> of the term </w:t>
      </w:r>
      <w:r w:rsidR="00972276" w:rsidRPr="00272930">
        <w:t>"</w:t>
      </w:r>
      <w:r w:rsidRPr="00272930">
        <w:t>dumped imports</w:t>
      </w:r>
      <w:r w:rsidR="00972276" w:rsidRPr="00272930">
        <w:t>"</w:t>
      </w:r>
      <w:r w:rsidRPr="00272930">
        <w:t xml:space="preserve">. In the preceding analysis, we have found that such a reading runs counter to the overall context of the provisions under the Anti-Dumping Agreement regarding the initiation and conduct of investigations. Thus, what the negotiating history may have revealed about the discussions underlying the definition of </w:t>
      </w:r>
      <w:r w:rsidR="00972276" w:rsidRPr="00272930">
        <w:t>"</w:t>
      </w:r>
      <w:r w:rsidRPr="00272930">
        <w:t>dumping</w:t>
      </w:r>
      <w:r w:rsidR="00972276" w:rsidRPr="00272930">
        <w:t>"</w:t>
      </w:r>
      <w:r w:rsidRPr="00272930">
        <w:t xml:space="preserve"> does not elevate Colombia</w:t>
      </w:r>
      <w:r w:rsidR="00972276" w:rsidRPr="00272930">
        <w:t>'</w:t>
      </w:r>
      <w:r w:rsidRPr="00272930">
        <w:t xml:space="preserve">s interpretation as one that is </w:t>
      </w:r>
      <w:r w:rsidR="00972276" w:rsidRPr="00272930">
        <w:t>"</w:t>
      </w:r>
      <w:r w:rsidRPr="00272930">
        <w:t>permissible</w:t>
      </w:r>
      <w:r w:rsidR="00972276" w:rsidRPr="00272930">
        <w:t>"</w:t>
      </w:r>
      <w:r w:rsidRPr="00272930">
        <w:t>.</w:t>
      </w:r>
    </w:p>
    <w:p w14:paraId="7C22D9CE" w14:textId="0D160F1D" w:rsidR="00F572D3" w:rsidRPr="00272930" w:rsidRDefault="00F572D3" w:rsidP="00B709B7">
      <w:pPr>
        <w:pStyle w:val="BodyText"/>
        <w:numPr>
          <w:ilvl w:val="6"/>
          <w:numId w:val="7"/>
        </w:numPr>
      </w:pPr>
      <w:r w:rsidRPr="00272930">
        <w:t>Furthermore, even if documents cited by Colombia</w:t>
      </w:r>
      <w:r w:rsidRPr="00272930">
        <w:rPr>
          <w:rStyle w:val="FootnoteReference"/>
        </w:rPr>
        <w:footnoteReference w:id="244"/>
      </w:r>
      <w:r w:rsidRPr="00272930">
        <w:t xml:space="preserve"> could be read to indicate that the</w:t>
      </w:r>
      <w:r w:rsidR="00E468E4" w:rsidRPr="00272930">
        <w:t> </w:t>
      </w:r>
      <w:r w:rsidRPr="00272930">
        <w:rPr>
          <w:i/>
          <w:iCs/>
        </w:rPr>
        <w:t>de</w:t>
      </w:r>
      <w:r w:rsidR="00E468E4" w:rsidRPr="00272930">
        <w:rPr>
          <w:i/>
          <w:iCs/>
        </w:rPr>
        <w:t> </w:t>
      </w:r>
      <w:r w:rsidRPr="00272930">
        <w:rPr>
          <w:i/>
          <w:iCs/>
        </w:rPr>
        <w:t>minimis</w:t>
      </w:r>
      <w:r w:rsidRPr="00272930">
        <w:t xml:space="preserve"> rule </w:t>
      </w:r>
      <w:r w:rsidR="00FC66F0" w:rsidRPr="00272930">
        <w:t>"</w:t>
      </w:r>
      <w:r w:rsidRPr="00272930">
        <w:t>concern[s] the imposition or the right to take anti-dumping measures</w:t>
      </w:r>
      <w:r w:rsidR="00972276" w:rsidRPr="00272930">
        <w:t>"</w:t>
      </w:r>
      <w:r w:rsidRPr="00272930">
        <w:rPr>
          <w:rStyle w:val="FootnoteReference"/>
        </w:rPr>
        <w:footnoteReference w:id="245"/>
      </w:r>
      <w:r w:rsidRPr="00272930">
        <w:t xml:space="preserve">, this alone does not preclude that the </w:t>
      </w:r>
      <w:r w:rsidRPr="00272930">
        <w:rPr>
          <w:i/>
          <w:iCs/>
        </w:rPr>
        <w:t>de minimis</w:t>
      </w:r>
      <w:r w:rsidRPr="00272930">
        <w:t xml:space="preserve"> rule may </w:t>
      </w:r>
      <w:r w:rsidRPr="00272930">
        <w:rPr>
          <w:i/>
          <w:iCs/>
        </w:rPr>
        <w:t>also</w:t>
      </w:r>
      <w:r w:rsidRPr="00272930">
        <w:t xml:space="preserve"> be relevant for demarcating the scope of </w:t>
      </w:r>
      <w:r w:rsidR="00972276" w:rsidRPr="00272930">
        <w:t>"</w:t>
      </w:r>
      <w:r w:rsidRPr="00272930">
        <w:t>dumped imports</w:t>
      </w:r>
      <w:r w:rsidR="00972276" w:rsidRPr="00272930">
        <w:t>"</w:t>
      </w:r>
      <w:r w:rsidRPr="00272930">
        <w:t xml:space="preserve"> for the purpose</w:t>
      </w:r>
      <w:r w:rsidR="00023E71" w:rsidRPr="00272930">
        <w:t>s</w:t>
      </w:r>
      <w:r w:rsidRPr="00272930">
        <w:t xml:space="preserve"> of the injury determination. As the European</w:t>
      </w:r>
      <w:r w:rsidR="00DA0ACF" w:rsidRPr="00272930">
        <w:t> Union</w:t>
      </w:r>
      <w:r w:rsidRPr="00272930">
        <w:t xml:space="preserve"> notes, the fact that the </w:t>
      </w:r>
      <w:r w:rsidRPr="00272930">
        <w:rPr>
          <w:i/>
          <w:iCs/>
        </w:rPr>
        <w:t>de minimis</w:t>
      </w:r>
      <w:r w:rsidRPr="00272930">
        <w:t xml:space="preserve"> rule is of relevance to the imposition of an anti-dumping measure does not mean that this is the only way in which such rule is relevant.</w:t>
      </w:r>
      <w:r w:rsidRPr="00272930">
        <w:rPr>
          <w:rStyle w:val="FootnoteReference"/>
        </w:rPr>
        <w:footnoteReference w:id="246"/>
      </w:r>
      <w:r w:rsidRPr="00272930">
        <w:t xml:space="preserve"> Finally, Colombia contends that </w:t>
      </w:r>
      <w:r w:rsidR="00972276" w:rsidRPr="00272930">
        <w:t>"</w:t>
      </w:r>
      <w:r w:rsidRPr="00272930">
        <w:t xml:space="preserve">the </w:t>
      </w:r>
      <w:r w:rsidRPr="00272930">
        <w:lastRenderedPageBreak/>
        <w:t xml:space="preserve">negotiators conceived of the </w:t>
      </w:r>
      <w:r w:rsidR="00972276" w:rsidRPr="00272930">
        <w:t>'</w:t>
      </w:r>
      <w:r w:rsidRPr="00272930">
        <w:t>percentage limit</w:t>
      </w:r>
      <w:r w:rsidR="00972276" w:rsidRPr="00272930">
        <w:t>'</w:t>
      </w:r>
      <w:r w:rsidRPr="00272930">
        <w:t xml:space="preserve"> rule as applying even if … imports, </w:t>
      </w:r>
      <w:r w:rsidRPr="00272930">
        <w:rPr>
          <w:i/>
          <w:iCs/>
        </w:rPr>
        <w:t>including those with de minimis dumping margins</w:t>
      </w:r>
      <w:r w:rsidRPr="00272930">
        <w:t>, have been assessed and found to cause injury within the meaning of Article</w:t>
      </w:r>
      <w:r w:rsidR="00F2224B" w:rsidRPr="00272930">
        <w:t> </w:t>
      </w:r>
      <w:r w:rsidRPr="00272930">
        <w:t>VI</w:t>
      </w:r>
      <w:r w:rsidR="00E468E4" w:rsidRPr="00272930">
        <w:t>.</w:t>
      </w:r>
      <w:r w:rsidR="00972276" w:rsidRPr="00272930">
        <w:t>"</w:t>
      </w:r>
      <w:r w:rsidRPr="00272930">
        <w:rPr>
          <w:rStyle w:val="FootnoteReference"/>
        </w:rPr>
        <w:footnoteReference w:id="247"/>
      </w:r>
      <w:r w:rsidRPr="00272930">
        <w:t xml:space="preserve"> However, a review of the materials cited does not show that the relevance of </w:t>
      </w:r>
      <w:r w:rsidRPr="00272930">
        <w:rPr>
          <w:i/>
          <w:iCs/>
        </w:rPr>
        <w:t>de</w:t>
      </w:r>
      <w:r w:rsidR="00E468E4" w:rsidRPr="00272930">
        <w:rPr>
          <w:i/>
          <w:iCs/>
        </w:rPr>
        <w:t> </w:t>
      </w:r>
      <w:r w:rsidRPr="00272930">
        <w:rPr>
          <w:i/>
          <w:iCs/>
        </w:rPr>
        <w:t>minimis</w:t>
      </w:r>
      <w:r w:rsidRPr="00272930">
        <w:t xml:space="preserve"> margins vis-à-vis the injury determination was discussed by the negotiators.</w:t>
      </w:r>
      <w:r w:rsidRPr="00272930">
        <w:rPr>
          <w:rStyle w:val="FootnoteReference"/>
        </w:rPr>
        <w:footnoteReference w:id="248"/>
      </w:r>
      <w:r w:rsidRPr="00272930">
        <w:t xml:space="preserve"> The reference to </w:t>
      </w:r>
      <w:r w:rsidR="00972276" w:rsidRPr="00272930">
        <w:t>"</w:t>
      </w:r>
      <w:r w:rsidRPr="00272930">
        <w:t xml:space="preserve">imports, including those with </w:t>
      </w:r>
      <w:r w:rsidRPr="00272930">
        <w:rPr>
          <w:i/>
          <w:iCs/>
        </w:rPr>
        <w:t>de minimis</w:t>
      </w:r>
      <w:r w:rsidRPr="00272930">
        <w:t xml:space="preserve"> dumping margins</w:t>
      </w:r>
      <w:r w:rsidR="00972276" w:rsidRPr="00272930">
        <w:t>"</w:t>
      </w:r>
      <w:r w:rsidRPr="00272930">
        <w:t xml:space="preserve">, which is not discernible from the materials, is </w:t>
      </w:r>
      <w:r w:rsidR="00E43261">
        <w:t>dependent on</w:t>
      </w:r>
      <w:r w:rsidRPr="00272930">
        <w:t xml:space="preserve"> </w:t>
      </w:r>
      <w:r w:rsidR="00E43261">
        <w:t>Colombia's</w:t>
      </w:r>
      <w:r w:rsidRPr="00272930">
        <w:t xml:space="preserve"> view</w:t>
      </w:r>
      <w:r w:rsidR="00E43261">
        <w:t xml:space="preserve"> </w:t>
      </w:r>
      <w:r w:rsidRPr="00272930">
        <w:t xml:space="preserve">that the term </w:t>
      </w:r>
      <w:r w:rsidR="00972276" w:rsidRPr="00272930">
        <w:t>"</w:t>
      </w:r>
      <w:r w:rsidRPr="00272930">
        <w:t>dumped imports</w:t>
      </w:r>
      <w:r w:rsidR="00972276" w:rsidRPr="00272930">
        <w:t>"</w:t>
      </w:r>
      <w:r w:rsidRPr="00272930">
        <w:t xml:space="preserve"> includes </w:t>
      </w:r>
      <w:r w:rsidRPr="00272930">
        <w:rPr>
          <w:i/>
          <w:iCs/>
        </w:rPr>
        <w:t>de minimis</w:t>
      </w:r>
      <w:r w:rsidRPr="00272930">
        <w:t xml:space="preserve"> margin imports.</w:t>
      </w:r>
      <w:r w:rsidRPr="00272930">
        <w:rPr>
          <w:rStyle w:val="FootnoteReference"/>
        </w:rPr>
        <w:footnoteReference w:id="249"/>
      </w:r>
      <w:r w:rsidRPr="00272930">
        <w:t xml:space="preserve"> In sum, the supplementary means of interpretation relied on by Colombia do not lend credence to its interpretation of </w:t>
      </w:r>
      <w:r w:rsidR="00972276" w:rsidRPr="00272930">
        <w:t>"</w:t>
      </w:r>
      <w:r w:rsidRPr="00272930">
        <w:t>dumped imports</w:t>
      </w:r>
      <w:r w:rsidR="00972276" w:rsidRPr="00272930">
        <w:t>"</w:t>
      </w:r>
      <w:r w:rsidRPr="00272930">
        <w:t xml:space="preserve"> as a </w:t>
      </w:r>
      <w:r w:rsidR="00972276" w:rsidRPr="00272930">
        <w:t>"</w:t>
      </w:r>
      <w:r w:rsidRPr="00272930">
        <w:t>permissible</w:t>
      </w:r>
      <w:r w:rsidR="00972276" w:rsidRPr="00272930">
        <w:t>"</w:t>
      </w:r>
      <w:r w:rsidRPr="00272930">
        <w:t xml:space="preserve"> one.</w:t>
      </w:r>
    </w:p>
    <w:p w14:paraId="600AA99F" w14:textId="77777777" w:rsidR="00F572D3" w:rsidRPr="00272930" w:rsidRDefault="00F572D3" w:rsidP="00B709B7">
      <w:pPr>
        <w:pStyle w:val="Heading3"/>
        <w:numPr>
          <w:ilvl w:val="2"/>
          <w:numId w:val="7"/>
        </w:numPr>
      </w:pPr>
      <w:bookmarkStart w:id="58" w:name="_Toc122339724"/>
      <w:r w:rsidRPr="00272930">
        <w:t>Conclusion</w:t>
      </w:r>
      <w:bookmarkEnd w:id="58"/>
    </w:p>
    <w:p w14:paraId="141A2749" w14:textId="768F2D9F" w:rsidR="00F572D3" w:rsidRPr="00272930" w:rsidRDefault="00F572D3" w:rsidP="00B709B7">
      <w:pPr>
        <w:pStyle w:val="BodyText"/>
        <w:numPr>
          <w:ilvl w:val="6"/>
          <w:numId w:val="7"/>
        </w:numPr>
      </w:pPr>
      <w:r w:rsidRPr="00272930">
        <w:t xml:space="preserve">Our analysis of the textual and contextual arguments advanced by Colombia indicates that its interpretation of the term </w:t>
      </w:r>
      <w:r w:rsidR="00972276" w:rsidRPr="00272930">
        <w:t>"</w:t>
      </w:r>
      <w:r w:rsidRPr="00272930">
        <w:t>dumped imports</w:t>
      </w:r>
      <w:r w:rsidR="00972276" w:rsidRPr="00272930">
        <w:t>"</w:t>
      </w:r>
      <w:r w:rsidRPr="00272930">
        <w:t xml:space="preserve"> as including imports of exporters determined to have final </w:t>
      </w:r>
      <w:r w:rsidRPr="00272930">
        <w:rPr>
          <w:i/>
          <w:iCs/>
        </w:rPr>
        <w:t>de minimis</w:t>
      </w:r>
      <w:r w:rsidRPr="00272930">
        <w:t xml:space="preserve"> dumping margins does not comport with a holistic reading of relevant provisions of the Anti-Dumping </w:t>
      </w:r>
      <w:proofErr w:type="gramStart"/>
      <w:r w:rsidRPr="00272930">
        <w:t>Agreement, and</w:t>
      </w:r>
      <w:proofErr w:type="gramEnd"/>
      <w:r w:rsidRPr="00272930">
        <w:t xml:space="preserve"> renders the requirement of </w:t>
      </w:r>
      <w:r w:rsidR="00972276" w:rsidRPr="00272930">
        <w:t>"</w:t>
      </w:r>
      <w:r w:rsidRPr="00272930">
        <w:t>immediate termination</w:t>
      </w:r>
      <w:r w:rsidR="00972276" w:rsidRPr="00272930">
        <w:t>"</w:t>
      </w:r>
      <w:r w:rsidRPr="00272930">
        <w:t xml:space="preserve"> under Article 5.8 ineffective. Having tested Colombia</w:t>
      </w:r>
      <w:r w:rsidR="00972276" w:rsidRPr="00272930">
        <w:t>'</w:t>
      </w:r>
      <w:r w:rsidRPr="00272930">
        <w:t xml:space="preserve">s interpretation </w:t>
      </w:r>
      <w:proofErr w:type="gramStart"/>
      <w:r w:rsidRPr="00272930">
        <w:t>in light of</w:t>
      </w:r>
      <w:proofErr w:type="gramEnd"/>
      <w:r w:rsidRPr="00272930">
        <w:t xml:space="preserve"> </w:t>
      </w:r>
      <w:r w:rsidR="000528F6" w:rsidRPr="00272930">
        <w:t>Articles </w:t>
      </w:r>
      <w:r w:rsidRPr="00272930">
        <w:t>31 and 32 of the Vienna</w:t>
      </w:r>
      <w:r w:rsidR="00BA4836" w:rsidRPr="00272930">
        <w:t> Convention</w:t>
      </w:r>
      <w:r w:rsidRPr="00272930">
        <w:t xml:space="preserve">, we do not consider that </w:t>
      </w:r>
      <w:r w:rsidRPr="00272930">
        <w:rPr>
          <w:rFonts w:cstheme="minorHAnsi"/>
        </w:rPr>
        <w:t>a treaty interpreter, using the Vienna</w:t>
      </w:r>
      <w:r w:rsidR="00BA4836" w:rsidRPr="00272930">
        <w:rPr>
          <w:rFonts w:cstheme="minorHAnsi"/>
        </w:rPr>
        <w:t> Convention</w:t>
      </w:r>
      <w:r w:rsidRPr="00272930">
        <w:rPr>
          <w:rFonts w:cstheme="minorHAnsi"/>
        </w:rPr>
        <w:t xml:space="preserve"> method for treaty interpretation, </w:t>
      </w:r>
      <w:r w:rsidRPr="00272930">
        <w:t>could have reached Colombia</w:t>
      </w:r>
      <w:r w:rsidR="00972276" w:rsidRPr="00272930">
        <w:t>'</w:t>
      </w:r>
      <w:r w:rsidRPr="00272930">
        <w:t>s interpretation</w:t>
      </w:r>
      <w:r w:rsidRPr="00272930">
        <w:rPr>
          <w:rFonts w:cstheme="minorHAnsi"/>
        </w:rPr>
        <w:t xml:space="preserve">. This interpretation does not have </w:t>
      </w:r>
      <w:r w:rsidRPr="00272930">
        <w:rPr>
          <w:rFonts w:cstheme="minorHAnsi"/>
          <w:szCs w:val="18"/>
        </w:rPr>
        <w:t xml:space="preserve">the required degree of solidness or analytical support for it to be given deference as </w:t>
      </w:r>
      <w:r w:rsidR="00972276" w:rsidRPr="00272930">
        <w:rPr>
          <w:rFonts w:cstheme="minorHAnsi"/>
          <w:szCs w:val="18"/>
        </w:rPr>
        <w:t>"</w:t>
      </w:r>
      <w:r w:rsidRPr="00272930">
        <w:rPr>
          <w:rFonts w:cstheme="minorHAnsi"/>
          <w:szCs w:val="18"/>
        </w:rPr>
        <w:t>permissible</w:t>
      </w:r>
      <w:r w:rsidR="00972276" w:rsidRPr="00272930">
        <w:rPr>
          <w:rFonts w:cstheme="minorHAnsi"/>
          <w:szCs w:val="18"/>
        </w:rPr>
        <w:t>"</w:t>
      </w:r>
      <w:r w:rsidRPr="00272930">
        <w:rPr>
          <w:rFonts w:cstheme="minorHAnsi"/>
          <w:szCs w:val="18"/>
        </w:rPr>
        <w:t xml:space="preserve"> within the bounds of the Vienna</w:t>
      </w:r>
      <w:r w:rsidR="00BA4836" w:rsidRPr="00272930">
        <w:rPr>
          <w:rFonts w:cstheme="minorHAnsi"/>
          <w:szCs w:val="18"/>
        </w:rPr>
        <w:t> Convention</w:t>
      </w:r>
      <w:r w:rsidRPr="00272930">
        <w:rPr>
          <w:rFonts w:cstheme="minorHAnsi"/>
          <w:szCs w:val="18"/>
        </w:rPr>
        <w:t xml:space="preserve"> method for treaty interpretation.</w:t>
      </w:r>
    </w:p>
    <w:p w14:paraId="4A61CBEC" w14:textId="6F496488" w:rsidR="00F572D3" w:rsidRPr="00272930" w:rsidRDefault="00F572D3" w:rsidP="00B709B7">
      <w:pPr>
        <w:pStyle w:val="BodyText"/>
        <w:numPr>
          <w:ilvl w:val="6"/>
          <w:numId w:val="7"/>
        </w:numPr>
      </w:pPr>
      <w:r w:rsidRPr="00272930">
        <w:t xml:space="preserve">On the basis of the above, we </w:t>
      </w:r>
      <w:r w:rsidRPr="00272930">
        <w:rPr>
          <w:u w:val="single"/>
        </w:rPr>
        <w:t>uphold</w:t>
      </w:r>
      <w:r w:rsidRPr="00272930">
        <w:t xml:space="preserve"> the Panel</w:t>
      </w:r>
      <w:r w:rsidR="00972276" w:rsidRPr="00272930">
        <w:t>'</w:t>
      </w:r>
      <w:r w:rsidRPr="00272930">
        <w:t xml:space="preserve">s finding, in </w:t>
      </w:r>
      <w:r w:rsidR="00270F7B" w:rsidRPr="00272930">
        <w:t>paragraphs </w:t>
      </w:r>
      <w:r w:rsidRPr="00272930">
        <w:t>7.303, 7.307, and 8.1.e.i of its Report, that the European</w:t>
      </w:r>
      <w:r w:rsidR="00DA0ACF" w:rsidRPr="00272930">
        <w:t> Union</w:t>
      </w:r>
      <w:r w:rsidRPr="00272930">
        <w:t xml:space="preserve"> had established that Colombia acted inconsistently with its obligations under </w:t>
      </w:r>
      <w:r w:rsidR="000528F6" w:rsidRPr="00272930">
        <w:t>Articles </w:t>
      </w:r>
      <w:r w:rsidRPr="00272930">
        <w:t xml:space="preserve">3.1, 3.2, 3.4, and 3.5 of the Anti-Dumping Agreement because MINCIT included in its final injury and causation determinations imports from the exporters that were determined to have final </w:t>
      </w:r>
      <w:r w:rsidRPr="00272930">
        <w:rPr>
          <w:i/>
          <w:iCs/>
        </w:rPr>
        <w:t>de</w:t>
      </w:r>
      <w:r w:rsidRPr="00272930">
        <w:rPr>
          <w:iCs/>
        </w:rPr>
        <w:t> </w:t>
      </w:r>
      <w:r w:rsidRPr="00272930">
        <w:rPr>
          <w:i/>
          <w:iCs/>
        </w:rPr>
        <w:t>minimis</w:t>
      </w:r>
      <w:r w:rsidRPr="00272930">
        <w:rPr>
          <w:iCs/>
        </w:rPr>
        <w:t xml:space="preserve"> </w:t>
      </w:r>
      <w:r w:rsidRPr="00272930">
        <w:t>margins of dumping.</w:t>
      </w:r>
    </w:p>
    <w:p w14:paraId="24D9039D" w14:textId="1A50035A" w:rsidR="00F572D3" w:rsidRPr="00272930" w:rsidRDefault="00F572D3" w:rsidP="00B709B7">
      <w:pPr>
        <w:pStyle w:val="Heading2"/>
        <w:numPr>
          <w:ilvl w:val="1"/>
          <w:numId w:val="7"/>
        </w:numPr>
        <w:rPr>
          <w:szCs w:val="18"/>
        </w:rPr>
      </w:pPr>
      <w:bookmarkStart w:id="59" w:name="_Toc122339725"/>
      <w:r w:rsidRPr="00272930">
        <w:rPr>
          <w:szCs w:val="18"/>
        </w:rPr>
        <w:t xml:space="preserve">Award </w:t>
      </w:r>
      <w:r w:rsidR="00CF2CBD" w:rsidRPr="00272930">
        <w:rPr>
          <w:szCs w:val="18"/>
        </w:rPr>
        <w:t>f</w:t>
      </w:r>
      <w:r w:rsidRPr="00272930">
        <w:rPr>
          <w:szCs w:val="18"/>
        </w:rPr>
        <w:t>indings</w:t>
      </w:r>
      <w:bookmarkEnd w:id="59"/>
    </w:p>
    <w:p w14:paraId="346C6093" w14:textId="77777777" w:rsidR="00F572D3" w:rsidRPr="00272930" w:rsidRDefault="00F572D3" w:rsidP="00B709B7">
      <w:pPr>
        <w:pStyle w:val="BodyText"/>
        <w:numPr>
          <w:ilvl w:val="6"/>
          <w:numId w:val="7"/>
        </w:numPr>
      </w:pPr>
      <w:bookmarkStart w:id="60" w:name="_Hlk121228830"/>
      <w:r w:rsidRPr="00272930">
        <w:t>In this Award, we have reached the following findings:</w:t>
      </w:r>
    </w:p>
    <w:p w14:paraId="3CC1A645" w14:textId="5C968188" w:rsidR="00F572D3" w:rsidRPr="00272930" w:rsidRDefault="00F572D3" w:rsidP="00B709B7">
      <w:pPr>
        <w:pStyle w:val="BodyText2"/>
        <w:numPr>
          <w:ilvl w:val="7"/>
          <w:numId w:val="7"/>
        </w:numPr>
        <w:tabs>
          <w:tab w:val="clear" w:pos="1134"/>
          <w:tab w:val="num" w:pos="907"/>
        </w:tabs>
        <w:ind w:left="907" w:hanging="340"/>
        <w:rPr>
          <w:szCs w:val="18"/>
        </w:rPr>
      </w:pPr>
      <w:r w:rsidRPr="00272930">
        <w:t xml:space="preserve">we </w:t>
      </w:r>
      <w:r w:rsidRPr="00272930">
        <w:rPr>
          <w:u w:val="single"/>
        </w:rPr>
        <w:t>reverse</w:t>
      </w:r>
      <w:r w:rsidRPr="00272930">
        <w:t xml:space="preserve"> the Panel</w:t>
      </w:r>
      <w:r w:rsidR="00972276" w:rsidRPr="00272930">
        <w:t>'</w:t>
      </w:r>
      <w:r w:rsidRPr="00272930">
        <w:t xml:space="preserve">s finding in </w:t>
      </w:r>
      <w:r w:rsidR="00270F7B" w:rsidRPr="00272930">
        <w:t>paragraphs </w:t>
      </w:r>
      <w:r w:rsidRPr="00272930">
        <w:t xml:space="preserve">7.75, 7.78, 7.79, and 8.1.a.iii of its Report, and </w:t>
      </w:r>
      <w:r w:rsidRPr="00272930">
        <w:rPr>
          <w:u w:val="single"/>
        </w:rPr>
        <w:t>find</w:t>
      </w:r>
      <w:r w:rsidRPr="00272930">
        <w:t xml:space="preserve"> that relevant factual findings by the Panel demonstrate that MINCIT satisfied its duty under </w:t>
      </w:r>
      <w:r w:rsidR="000528F6" w:rsidRPr="00272930">
        <w:t>Articles </w:t>
      </w:r>
      <w:r w:rsidRPr="00272930">
        <w:t xml:space="preserve">5.2(iii) and 5.3 of the Anti-Dumping Agreement, for the </w:t>
      </w:r>
      <w:r w:rsidRPr="003D314A">
        <w:t>purpose</w:t>
      </w:r>
      <w:r w:rsidRPr="00272930">
        <w:t xml:space="preserve"> of initiating an investigation, by examining the </w:t>
      </w:r>
      <w:r w:rsidR="00972276" w:rsidRPr="00272930">
        <w:t>"</w:t>
      </w:r>
      <w:r w:rsidRPr="00272930">
        <w:t>appropriateness</w:t>
      </w:r>
      <w:r w:rsidR="00972276" w:rsidRPr="00272930">
        <w:t>"</w:t>
      </w:r>
      <w:r w:rsidRPr="00272930">
        <w:t xml:space="preserve"> of third-country sales prices consisting of export prices to the United</w:t>
      </w:r>
      <w:r w:rsidR="00F2224B" w:rsidRPr="00272930">
        <w:t> Kingdom</w:t>
      </w:r>
      <w:r w:rsidRPr="00272930">
        <w:t xml:space="preserve">, including, in particular, their sufficiency vis-à-vis domestic sales prices; accordingly, we </w:t>
      </w:r>
      <w:r w:rsidRPr="00272930">
        <w:rPr>
          <w:u w:val="single"/>
        </w:rPr>
        <w:t>find</w:t>
      </w:r>
      <w:r w:rsidRPr="00272930">
        <w:t xml:space="preserve"> that the European</w:t>
      </w:r>
      <w:r w:rsidR="00DA0ACF" w:rsidRPr="00272930">
        <w:t> Union</w:t>
      </w:r>
      <w:r w:rsidRPr="00272930">
        <w:t xml:space="preserve"> has not established that Colombia acted inconsistently with Article</w:t>
      </w:r>
      <w:r w:rsidR="00F2224B" w:rsidRPr="00272930">
        <w:t> </w:t>
      </w:r>
      <w:r w:rsidRPr="00272930">
        <w:t>5.3 of the Anti-Dumping Agreement;</w:t>
      </w:r>
    </w:p>
    <w:p w14:paraId="6C1467C0" w14:textId="668A77DC" w:rsidR="00F572D3" w:rsidRPr="00272930" w:rsidRDefault="00F572D3" w:rsidP="00B709B7">
      <w:pPr>
        <w:pStyle w:val="BodyText2"/>
        <w:numPr>
          <w:ilvl w:val="7"/>
          <w:numId w:val="7"/>
        </w:numPr>
        <w:tabs>
          <w:tab w:val="clear" w:pos="1134"/>
          <w:tab w:val="num" w:pos="907"/>
        </w:tabs>
        <w:ind w:left="907" w:hanging="340"/>
      </w:pPr>
      <w:r w:rsidRPr="00272930">
        <w:t xml:space="preserve">we </w:t>
      </w:r>
      <w:r w:rsidRPr="00272930">
        <w:rPr>
          <w:u w:val="single"/>
        </w:rPr>
        <w:t>uphold</w:t>
      </w:r>
      <w:r w:rsidRPr="00272930">
        <w:t xml:space="preserve"> the Panel</w:t>
      </w:r>
      <w:r w:rsidR="00972276" w:rsidRPr="00272930">
        <w:t>'</w:t>
      </w:r>
      <w:r w:rsidRPr="00272930">
        <w:t xml:space="preserve">s finding, in </w:t>
      </w:r>
      <w:r w:rsidR="00270F7B" w:rsidRPr="00272930">
        <w:t>paragraphs </w:t>
      </w:r>
      <w:r w:rsidRPr="00272930">
        <w:t>7.126, 7.152.a, and 8.1.b.i of its Report, that the European</w:t>
      </w:r>
      <w:r w:rsidR="00DA0ACF" w:rsidRPr="00272930">
        <w:t> Union</w:t>
      </w:r>
      <w:r w:rsidRPr="00272930">
        <w:t xml:space="preserve"> had established that Colombia acted inconsistently with its obligations under Article 6.5 of the Anti-Dumping Agreement with respect to the redacted information in section d(i) of FEDEPAPA</w:t>
      </w:r>
      <w:r w:rsidR="00972276" w:rsidRPr="00272930">
        <w:t>'</w:t>
      </w:r>
      <w:r w:rsidRPr="00272930">
        <w:t xml:space="preserve">s revised application because MINCIT granted confidential treatment to this information without a showing of </w:t>
      </w:r>
      <w:r w:rsidR="00972276" w:rsidRPr="00272930">
        <w:t>"</w:t>
      </w:r>
      <w:r w:rsidRPr="00272930">
        <w:t>good cause</w:t>
      </w:r>
      <w:r w:rsidR="00972276" w:rsidRPr="00272930">
        <w:t>"</w:t>
      </w:r>
      <w:r w:rsidRPr="00272930">
        <w:t xml:space="preserve"> by the </w:t>
      </w:r>
      <w:proofErr w:type="gramStart"/>
      <w:r w:rsidRPr="00272930">
        <w:t>applicant;</w:t>
      </w:r>
      <w:proofErr w:type="gramEnd"/>
    </w:p>
    <w:p w14:paraId="65DD23EA" w14:textId="302F0B3F" w:rsidR="00F572D3" w:rsidRPr="00272930" w:rsidRDefault="00F572D3" w:rsidP="00B709B7">
      <w:pPr>
        <w:pStyle w:val="BodyText2"/>
        <w:numPr>
          <w:ilvl w:val="7"/>
          <w:numId w:val="7"/>
        </w:numPr>
        <w:tabs>
          <w:tab w:val="clear" w:pos="1134"/>
          <w:tab w:val="num" w:pos="907"/>
        </w:tabs>
        <w:ind w:left="907" w:hanging="340"/>
      </w:pPr>
      <w:r w:rsidRPr="00272930">
        <w:t xml:space="preserve">we </w:t>
      </w:r>
      <w:r w:rsidRPr="00272930">
        <w:rPr>
          <w:u w:val="single"/>
        </w:rPr>
        <w:t>uphold</w:t>
      </w:r>
      <w:r w:rsidRPr="00272930">
        <w:t xml:space="preserve"> the Panel</w:t>
      </w:r>
      <w:r w:rsidR="00972276" w:rsidRPr="00272930">
        <w:t>'</w:t>
      </w:r>
      <w:r w:rsidRPr="00272930">
        <w:t xml:space="preserve">s finding, in </w:t>
      </w:r>
      <w:r w:rsidR="00270F7B" w:rsidRPr="00272930">
        <w:t>paragraphs </w:t>
      </w:r>
      <w:r w:rsidRPr="00272930">
        <w:t>7.232, 7.233, 7.244, and 8.1.d.ii of its Report, that the European Union</w:t>
      </w:r>
      <w:r w:rsidR="00972276" w:rsidRPr="00272930">
        <w:t>'</w:t>
      </w:r>
      <w:r w:rsidRPr="00272930">
        <w:t xml:space="preserve">s claim under Article 2.4 of the Anti-Dumping Agreement concerning </w:t>
      </w:r>
      <w:proofErr w:type="spellStart"/>
      <w:r w:rsidRPr="00272930">
        <w:t>Mydibel</w:t>
      </w:r>
      <w:r w:rsidR="00972276" w:rsidRPr="00272930">
        <w:t>'</w:t>
      </w:r>
      <w:r w:rsidRPr="00272930">
        <w:t>s</w:t>
      </w:r>
      <w:proofErr w:type="spellEnd"/>
      <w:r w:rsidRPr="00272930">
        <w:t xml:space="preserve"> packaging cost-related adjustment request fell within the </w:t>
      </w:r>
      <w:r w:rsidRPr="00272930">
        <w:lastRenderedPageBreak/>
        <w:t>Panel</w:t>
      </w:r>
      <w:r w:rsidR="00972276" w:rsidRPr="00272930">
        <w:t>'</w:t>
      </w:r>
      <w:r w:rsidRPr="00272930">
        <w:t xml:space="preserve">s terms of reference; we also </w:t>
      </w:r>
      <w:r w:rsidRPr="00272930">
        <w:rPr>
          <w:u w:val="single"/>
        </w:rPr>
        <w:t>decline</w:t>
      </w:r>
      <w:r w:rsidRPr="00272930">
        <w:t xml:space="preserve"> Colombia</w:t>
      </w:r>
      <w:r w:rsidR="00972276" w:rsidRPr="00272930">
        <w:t>'</w:t>
      </w:r>
      <w:r w:rsidRPr="00272930">
        <w:t xml:space="preserve">s request to </w:t>
      </w:r>
      <w:r w:rsidR="00972276" w:rsidRPr="00272930">
        <w:t>"</w:t>
      </w:r>
      <w:r w:rsidRPr="00272930">
        <w:t>declare moot and of no legal effect</w:t>
      </w:r>
      <w:r w:rsidR="00972276" w:rsidRPr="00272930">
        <w:t>"</w:t>
      </w:r>
      <w:r w:rsidRPr="00272930">
        <w:t xml:space="preserve"> the Panel</w:t>
      </w:r>
      <w:r w:rsidR="00972276" w:rsidRPr="00272930">
        <w:t>'</w:t>
      </w:r>
      <w:r w:rsidRPr="00272930">
        <w:t>s substantive findings under Article</w:t>
      </w:r>
      <w:r w:rsidR="00F2224B" w:rsidRPr="00272930">
        <w:t> </w:t>
      </w:r>
      <w:r w:rsidRPr="00272930">
        <w:t>2.4; and</w:t>
      </w:r>
    </w:p>
    <w:p w14:paraId="6FB7A8E3" w14:textId="2A181DF4" w:rsidR="00F572D3" w:rsidRPr="00272930" w:rsidRDefault="00F572D3" w:rsidP="00B709B7">
      <w:pPr>
        <w:pStyle w:val="BodyText2"/>
        <w:numPr>
          <w:ilvl w:val="7"/>
          <w:numId w:val="7"/>
        </w:numPr>
        <w:tabs>
          <w:tab w:val="clear" w:pos="1134"/>
          <w:tab w:val="num" w:pos="907"/>
        </w:tabs>
        <w:ind w:left="907" w:hanging="340"/>
      </w:pPr>
      <w:r w:rsidRPr="00272930">
        <w:t xml:space="preserve">we </w:t>
      </w:r>
      <w:r w:rsidRPr="00272930">
        <w:rPr>
          <w:u w:val="single"/>
        </w:rPr>
        <w:t>uphold</w:t>
      </w:r>
      <w:r w:rsidRPr="00272930">
        <w:t xml:space="preserve"> the Panel</w:t>
      </w:r>
      <w:r w:rsidR="00972276" w:rsidRPr="00272930">
        <w:t>'</w:t>
      </w:r>
      <w:r w:rsidRPr="00272930">
        <w:t xml:space="preserve">s finding, in </w:t>
      </w:r>
      <w:r w:rsidR="00270F7B" w:rsidRPr="00272930">
        <w:t>paragraphs </w:t>
      </w:r>
      <w:r w:rsidRPr="00272930">
        <w:t>7.303, 7.307, and 8.1.e.i of its Report, that the European</w:t>
      </w:r>
      <w:r w:rsidR="00DA0ACF" w:rsidRPr="00272930">
        <w:t> Union</w:t>
      </w:r>
      <w:r w:rsidRPr="00272930">
        <w:t xml:space="preserve"> had established that Colombia acted inconsistently with its obligations under </w:t>
      </w:r>
      <w:r w:rsidR="000528F6" w:rsidRPr="00272930">
        <w:t>Articles </w:t>
      </w:r>
      <w:r w:rsidRPr="00272930">
        <w:t xml:space="preserve">3.1, 3.2, 3.4, and 3.5 of the Anti-Dumping Agreement because MINCIT included in its final injury and causation determinations imports from the exporters that were determined to have final </w:t>
      </w:r>
      <w:r w:rsidRPr="00272930">
        <w:rPr>
          <w:i/>
          <w:iCs/>
        </w:rPr>
        <w:t>de</w:t>
      </w:r>
      <w:r w:rsidRPr="00272930">
        <w:rPr>
          <w:iCs/>
        </w:rPr>
        <w:t> </w:t>
      </w:r>
      <w:r w:rsidRPr="00272930">
        <w:rPr>
          <w:i/>
          <w:iCs/>
        </w:rPr>
        <w:t>minimis</w:t>
      </w:r>
      <w:r w:rsidRPr="00272930">
        <w:rPr>
          <w:iCs/>
        </w:rPr>
        <w:t xml:space="preserve"> </w:t>
      </w:r>
      <w:r w:rsidRPr="00272930">
        <w:t>margins of dumping.</w:t>
      </w:r>
    </w:p>
    <w:p w14:paraId="73D70758" w14:textId="25BDDA84" w:rsidR="00F572D3" w:rsidRPr="00272930" w:rsidRDefault="00F572D3" w:rsidP="00B709B7">
      <w:pPr>
        <w:pStyle w:val="BodyText"/>
        <w:numPr>
          <w:ilvl w:val="6"/>
          <w:numId w:val="7"/>
        </w:numPr>
      </w:pPr>
      <w:r w:rsidRPr="00272930">
        <w:t>Paragraph 9 of the Agreed Procedures provides that the findings of the Panel that have not been appealed in this Arbitration shall be deemed to form an integral part of this Award together with our own findings, and that the Award shall include recommendations where applicable. Accordingly, we recommend</w:t>
      </w:r>
      <w:r w:rsidR="002870C1">
        <w:t xml:space="preserve"> that Colombia bring into conformity with the Anti-Dumping Agreement</w:t>
      </w:r>
      <w:r w:rsidRPr="00272930">
        <w:t xml:space="preserve"> those</w:t>
      </w:r>
      <w:r w:rsidR="002870C1" w:rsidRPr="00272930">
        <w:t xml:space="preserve"> measures found</w:t>
      </w:r>
      <w:r w:rsidR="002870C1">
        <w:t xml:space="preserve"> </w:t>
      </w:r>
      <w:r w:rsidR="002870C1" w:rsidRPr="00272930">
        <w:t>in this Award</w:t>
      </w:r>
      <w:r w:rsidR="002870C1">
        <w:t>,</w:t>
      </w:r>
      <w:r w:rsidR="002870C1" w:rsidRPr="00272930">
        <w:t xml:space="preserve"> and in the </w:t>
      </w:r>
      <w:proofErr w:type="gramStart"/>
      <w:r w:rsidR="002870C1" w:rsidRPr="00272930">
        <w:t>Panel</w:t>
      </w:r>
      <w:proofErr w:type="gramEnd"/>
      <w:r w:rsidR="002870C1" w:rsidRPr="00272930">
        <w:t> Report as modified by this Award</w:t>
      </w:r>
      <w:r w:rsidR="002870C1">
        <w:t>,</w:t>
      </w:r>
      <w:r w:rsidR="002870C1" w:rsidRPr="00272930">
        <w:t xml:space="preserve"> </w:t>
      </w:r>
      <w:r w:rsidRPr="00272930">
        <w:t xml:space="preserve">to be inconsistent with that Agreement. </w:t>
      </w:r>
    </w:p>
    <w:bookmarkEnd w:id="60"/>
    <w:p w14:paraId="13BFD724" w14:textId="61DAD483" w:rsidR="000171D6" w:rsidRDefault="000171D6" w:rsidP="000171D6"/>
    <w:p w14:paraId="2000184A" w14:textId="3EB09A43" w:rsidR="0097396C" w:rsidRDefault="0097396C" w:rsidP="000171D6"/>
    <w:p w14:paraId="181ACBD7" w14:textId="77777777" w:rsidR="0097396C" w:rsidRPr="00272930" w:rsidRDefault="0097396C" w:rsidP="000171D6"/>
    <w:p w14:paraId="41AC3749" w14:textId="604B0CD5" w:rsidR="000171D6" w:rsidRPr="00272930" w:rsidRDefault="006A10B8" w:rsidP="0097396C">
      <w:pPr>
        <w:pStyle w:val="BodyText"/>
        <w:numPr>
          <w:ilvl w:val="0"/>
          <w:numId w:val="0"/>
        </w:numPr>
        <w:spacing w:after="0"/>
        <w:rPr>
          <w:szCs w:val="18"/>
        </w:rPr>
      </w:pPr>
      <w:r>
        <w:rPr>
          <w:szCs w:val="18"/>
        </w:rPr>
        <w:tab/>
      </w:r>
      <w:r>
        <w:rPr>
          <w:szCs w:val="18"/>
        </w:rPr>
        <w:tab/>
      </w:r>
      <w:r>
        <w:rPr>
          <w:szCs w:val="18"/>
        </w:rPr>
        <w:tab/>
      </w:r>
      <w:r>
        <w:rPr>
          <w:szCs w:val="18"/>
        </w:rPr>
        <w:tab/>
      </w:r>
      <w:r>
        <w:rPr>
          <w:szCs w:val="18"/>
        </w:rPr>
        <w:tab/>
      </w:r>
    </w:p>
    <w:p w14:paraId="34BA8CD3" w14:textId="77777777" w:rsidR="000171D6" w:rsidRPr="008C22FB" w:rsidRDefault="000171D6" w:rsidP="000171D6">
      <w:pPr>
        <w:tabs>
          <w:tab w:val="center" w:pos="4253"/>
          <w:tab w:val="center" w:pos="6804"/>
        </w:tabs>
        <w:rPr>
          <w:lang w:val="es-ES"/>
        </w:rPr>
      </w:pPr>
      <w:r w:rsidRPr="008C22FB">
        <w:rPr>
          <w:b/>
          <w:lang w:val="es-ES"/>
        </w:rPr>
        <w:t>______________</w:t>
      </w:r>
      <w:r w:rsidRPr="008C22FB">
        <w:rPr>
          <w:lang w:val="es-ES"/>
        </w:rPr>
        <w:tab/>
      </w:r>
      <w:r w:rsidRPr="008C22FB">
        <w:rPr>
          <w:b/>
          <w:lang w:val="es-ES"/>
        </w:rPr>
        <w:t>____________________</w:t>
      </w:r>
      <w:r w:rsidRPr="008C22FB">
        <w:rPr>
          <w:b/>
          <w:lang w:val="es-ES"/>
        </w:rPr>
        <w:tab/>
      </w:r>
      <w:r w:rsidRPr="008C22FB">
        <w:rPr>
          <w:b/>
          <w:lang w:val="es-ES"/>
        </w:rPr>
        <w:tab/>
        <w:t>______________</w:t>
      </w:r>
    </w:p>
    <w:p w14:paraId="73B95B28" w14:textId="77777777" w:rsidR="000171D6" w:rsidRPr="008C22FB" w:rsidRDefault="000171D6" w:rsidP="000171D6">
      <w:pPr>
        <w:tabs>
          <w:tab w:val="left" w:pos="284"/>
          <w:tab w:val="left" w:pos="2410"/>
          <w:tab w:val="center" w:pos="4253"/>
          <w:tab w:val="left" w:pos="6946"/>
        </w:tabs>
        <w:rPr>
          <w:lang w:val="es-ES"/>
        </w:rPr>
      </w:pPr>
      <w:r w:rsidRPr="008C22FB">
        <w:rPr>
          <w:lang w:val="es-ES"/>
        </w:rPr>
        <w:tab/>
        <w:t>Alejandro JARA</w:t>
      </w:r>
      <w:r w:rsidRPr="008C22FB">
        <w:rPr>
          <w:lang w:val="es-ES"/>
        </w:rPr>
        <w:tab/>
      </w:r>
      <w:r w:rsidRPr="008C22FB">
        <w:rPr>
          <w:lang w:val="es-ES"/>
        </w:rPr>
        <w:tab/>
        <w:t>José Alfredo GRAÇA LIMA</w:t>
      </w:r>
      <w:r w:rsidRPr="008C22FB">
        <w:rPr>
          <w:lang w:val="es-ES"/>
        </w:rPr>
        <w:tab/>
        <w:t>Joost PAUWELYN</w:t>
      </w:r>
    </w:p>
    <w:p w14:paraId="28EB0BF0" w14:textId="77777777" w:rsidR="000171D6" w:rsidRPr="00272930" w:rsidRDefault="000171D6" w:rsidP="000171D6">
      <w:pPr>
        <w:tabs>
          <w:tab w:val="left" w:pos="426"/>
          <w:tab w:val="center" w:pos="2268"/>
          <w:tab w:val="center" w:pos="4253"/>
          <w:tab w:val="left" w:pos="7371"/>
        </w:tabs>
      </w:pPr>
      <w:r w:rsidRPr="008C22FB">
        <w:rPr>
          <w:lang w:val="es-ES"/>
        </w:rPr>
        <w:tab/>
      </w:r>
      <w:r w:rsidRPr="00272930">
        <w:t>Arbitrator</w:t>
      </w:r>
      <w:r w:rsidRPr="00272930">
        <w:tab/>
      </w:r>
      <w:r w:rsidRPr="00272930">
        <w:tab/>
        <w:t>Chairperson</w:t>
      </w:r>
      <w:r w:rsidRPr="00272930">
        <w:tab/>
        <w:t>Arbitrator</w:t>
      </w:r>
    </w:p>
    <w:sectPr w:rsidR="000171D6" w:rsidRPr="00272930" w:rsidSect="009264D9">
      <w:headerReference w:type="even" r:id="rId37"/>
      <w:headerReference w:type="default" r:id="rId38"/>
      <w:footerReference w:type="even" r:id="rId39"/>
      <w:footerReference w:type="default" r:id="rId40"/>
      <w:headerReference w:type="first" r:id="rId41"/>
      <w:footerReference w:type="first" r:id="rId42"/>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2BD97" w14:textId="77777777" w:rsidR="00C144C1" w:rsidRDefault="00C144C1" w:rsidP="00ED54E0">
      <w:r>
        <w:separator/>
      </w:r>
    </w:p>
  </w:endnote>
  <w:endnote w:type="continuationSeparator" w:id="0">
    <w:p w14:paraId="61AE62F8" w14:textId="77777777" w:rsidR="00C144C1" w:rsidRDefault="00C144C1" w:rsidP="00ED54E0">
      <w:r>
        <w:continuationSeparator/>
      </w:r>
    </w:p>
  </w:endnote>
  <w:endnote w:type="continuationNotice" w:id="1">
    <w:p w14:paraId="7B4B7ADE" w14:textId="77777777" w:rsidR="00C144C1" w:rsidRDefault="00C144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6345B" w14:textId="77777777" w:rsidR="001437DD" w:rsidRPr="00D66402" w:rsidRDefault="00D66402" w:rsidP="00D6640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DBA4C" w14:textId="77777777" w:rsidR="001437DD" w:rsidRPr="00D66402" w:rsidRDefault="00D66402" w:rsidP="00D6640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5FD2C" w14:textId="77777777" w:rsidR="00491CB7" w:rsidRDefault="00491C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E7C15" w14:textId="77777777" w:rsidR="00C144C1" w:rsidRDefault="00C144C1" w:rsidP="00ED54E0">
      <w:r>
        <w:separator/>
      </w:r>
    </w:p>
  </w:footnote>
  <w:footnote w:type="continuationSeparator" w:id="0">
    <w:p w14:paraId="4DC3E112" w14:textId="77777777" w:rsidR="00C144C1" w:rsidRDefault="00C144C1" w:rsidP="00ED54E0">
      <w:r>
        <w:continuationSeparator/>
      </w:r>
    </w:p>
  </w:footnote>
  <w:footnote w:type="continuationNotice" w:id="1">
    <w:p w14:paraId="4A12D8AB" w14:textId="77777777" w:rsidR="00C144C1" w:rsidRDefault="00C144C1"/>
  </w:footnote>
  <w:footnote w:id="2">
    <w:p w14:paraId="035F1AB0" w14:textId="267E03E4" w:rsidR="006E46DC" w:rsidRPr="00784DCC" w:rsidRDefault="006E46DC">
      <w:pPr>
        <w:pStyle w:val="FootnoteText"/>
        <w:rPr>
          <w:szCs w:val="16"/>
        </w:rPr>
      </w:pPr>
      <w:r w:rsidRPr="00784DCC">
        <w:rPr>
          <w:rStyle w:val="FootnoteReference"/>
          <w:szCs w:val="16"/>
        </w:rPr>
        <w:footnoteRef/>
      </w:r>
      <w:r w:rsidRPr="00784DCC">
        <w:rPr>
          <w:szCs w:val="16"/>
        </w:rPr>
        <w:t xml:space="preserve"> </w:t>
      </w:r>
      <w:r w:rsidR="00976E4F" w:rsidRPr="00784DCC">
        <w:t xml:space="preserve">In accordance with </w:t>
      </w:r>
      <w:r w:rsidR="00270F7B">
        <w:t>paragraph </w:t>
      </w:r>
      <w:r w:rsidR="00976E4F" w:rsidRPr="00784DCC">
        <w:t>5 of the Agreed Procedures for Arbitration under Article</w:t>
      </w:r>
      <w:r w:rsidR="007E1811" w:rsidRPr="00784DCC">
        <w:t> </w:t>
      </w:r>
      <w:r w:rsidR="00976E4F" w:rsidRPr="00784DCC">
        <w:t>25 of the DSU (Agreed Procedures), the Panel</w:t>
      </w:r>
      <w:r w:rsidR="00F2224B" w:rsidRPr="00784DCC">
        <w:t> Report</w:t>
      </w:r>
      <w:r w:rsidR="00976E4F" w:rsidRPr="00784DCC">
        <w:t xml:space="preserve"> in the three working languages of the WTO was </w:t>
      </w:r>
      <w:r w:rsidR="00097B9C">
        <w:t>attached to</w:t>
      </w:r>
      <w:r w:rsidR="00976E4F" w:rsidRPr="00784DCC">
        <w:t xml:space="preserve"> </w:t>
      </w:r>
      <w:r w:rsidR="00BE6720" w:rsidRPr="00784DCC">
        <w:t xml:space="preserve">the </w:t>
      </w:r>
      <w:r w:rsidR="00155434" w:rsidRPr="00784DCC">
        <w:t>Notification of an Appeal</w:t>
      </w:r>
      <w:r w:rsidR="00BE6720" w:rsidRPr="00784DCC">
        <w:t xml:space="preserve"> by Colombia</w:t>
      </w:r>
      <w:r w:rsidR="00155434" w:rsidRPr="00784DCC">
        <w:t xml:space="preserve"> </w:t>
      </w:r>
      <w:r w:rsidR="00BE6720" w:rsidRPr="00784DCC">
        <w:t>under</w:t>
      </w:r>
      <w:r w:rsidR="00155434" w:rsidRPr="00784DCC">
        <w:t xml:space="preserve"> Article 25 of the DSU, </w:t>
      </w:r>
      <w:r w:rsidR="00270F7B">
        <w:t>paragraph </w:t>
      </w:r>
      <w:r w:rsidR="00155434" w:rsidRPr="00784DCC">
        <w:t xml:space="preserve">5 of the Agreed Procedures, and Rule 20 of the Working Procedures for Appellate Review </w:t>
      </w:r>
      <w:r w:rsidR="00BE6720" w:rsidRPr="00784DCC">
        <w:t xml:space="preserve">circulated to Members </w:t>
      </w:r>
      <w:r w:rsidR="00976E4F" w:rsidRPr="00784DCC">
        <w:t>when</w:t>
      </w:r>
      <w:r w:rsidR="00155434" w:rsidRPr="00784DCC">
        <w:t xml:space="preserve"> Colombia</w:t>
      </w:r>
      <w:r w:rsidR="00976E4F" w:rsidRPr="00784DCC">
        <w:t xml:space="preserve"> initiated these Arbitration proceedings. </w:t>
      </w:r>
      <w:r w:rsidR="00A20F16" w:rsidRPr="00784DCC">
        <w:rPr>
          <w:szCs w:val="16"/>
        </w:rPr>
        <w:t>(WT/DS591/7 and WT/DS591/7/Add.1)</w:t>
      </w:r>
      <w:r w:rsidR="000F0FB5" w:rsidRPr="00784DCC">
        <w:rPr>
          <w:szCs w:val="16"/>
        </w:rPr>
        <w:t xml:space="preserve"> </w:t>
      </w:r>
      <w:r w:rsidR="000F0FB5" w:rsidRPr="00EF4A27">
        <w:rPr>
          <w:szCs w:val="16"/>
        </w:rPr>
        <w:t xml:space="preserve">(See </w:t>
      </w:r>
      <w:r w:rsidR="00385356" w:rsidRPr="00EF4A27">
        <w:rPr>
          <w:szCs w:val="16"/>
        </w:rPr>
        <w:t>para.</w:t>
      </w:r>
      <w:r w:rsidR="000F0D20" w:rsidRPr="00EF4A27">
        <w:rPr>
          <w:szCs w:val="16"/>
        </w:rPr>
        <w:t> </w:t>
      </w:r>
      <w:r w:rsidR="00B16FFD" w:rsidRPr="00A92A75">
        <w:rPr>
          <w:szCs w:val="16"/>
        </w:rPr>
        <w:fldChar w:fldCharType="begin" w:fldLock="1"/>
      </w:r>
      <w:r w:rsidR="00B16FFD" w:rsidRPr="00EF4A27">
        <w:rPr>
          <w:szCs w:val="16"/>
        </w:rPr>
        <w:instrText xml:space="preserve"> REF _Ref119246556 \r \h </w:instrText>
      </w:r>
      <w:r w:rsidR="00B16FFD" w:rsidRPr="00A92A75">
        <w:rPr>
          <w:szCs w:val="16"/>
        </w:rPr>
        <w:instrText xml:space="preserve"> \* MERGEFORMAT </w:instrText>
      </w:r>
      <w:r w:rsidR="00B16FFD" w:rsidRPr="00A92A75">
        <w:rPr>
          <w:szCs w:val="16"/>
        </w:rPr>
      </w:r>
      <w:r w:rsidR="00B16FFD" w:rsidRPr="00A92A75">
        <w:rPr>
          <w:szCs w:val="16"/>
        </w:rPr>
        <w:fldChar w:fldCharType="separate"/>
      </w:r>
      <w:r w:rsidR="006A23AB">
        <w:rPr>
          <w:szCs w:val="16"/>
        </w:rPr>
        <w:t>1.7</w:t>
      </w:r>
      <w:r w:rsidR="00B16FFD" w:rsidRPr="00A92A75">
        <w:rPr>
          <w:szCs w:val="16"/>
        </w:rPr>
        <w:fldChar w:fldCharType="end"/>
      </w:r>
      <w:r w:rsidR="00385356" w:rsidRPr="00EF4A27">
        <w:rPr>
          <w:szCs w:val="16"/>
        </w:rPr>
        <w:t xml:space="preserve"> and </w:t>
      </w:r>
      <w:r w:rsidR="000F0FB5" w:rsidRPr="00A92A75">
        <w:rPr>
          <w:i/>
          <w:iCs/>
          <w:szCs w:val="16"/>
        </w:rPr>
        <w:t>infra</w:t>
      </w:r>
      <w:r w:rsidR="000F0FB5" w:rsidRPr="00EF4A27">
        <w:rPr>
          <w:szCs w:val="16"/>
        </w:rPr>
        <w:t xml:space="preserve"> fn</w:t>
      </w:r>
      <w:r w:rsidR="00385356" w:rsidRPr="00EF4A27">
        <w:rPr>
          <w:szCs w:val="16"/>
        </w:rPr>
        <w:t>s</w:t>
      </w:r>
      <w:r w:rsidR="000F0D20" w:rsidRPr="004123E7">
        <w:rPr>
          <w:szCs w:val="16"/>
        </w:rPr>
        <w:t> </w:t>
      </w:r>
      <w:r w:rsidR="00A92A75">
        <w:rPr>
          <w:szCs w:val="16"/>
        </w:rPr>
        <w:fldChar w:fldCharType="begin"/>
      </w:r>
      <w:r w:rsidR="00A92A75">
        <w:rPr>
          <w:szCs w:val="16"/>
        </w:rPr>
        <w:instrText xml:space="preserve"> NOTEREF _Ref121122665 \h </w:instrText>
      </w:r>
      <w:r w:rsidR="00A92A75">
        <w:rPr>
          <w:szCs w:val="16"/>
        </w:rPr>
      </w:r>
      <w:r w:rsidR="00A92A75">
        <w:rPr>
          <w:szCs w:val="16"/>
        </w:rPr>
        <w:fldChar w:fldCharType="separate"/>
      </w:r>
      <w:r w:rsidR="009A117C">
        <w:rPr>
          <w:szCs w:val="16"/>
        </w:rPr>
        <w:t>16</w:t>
      </w:r>
      <w:r w:rsidR="00A92A75">
        <w:rPr>
          <w:szCs w:val="16"/>
        </w:rPr>
        <w:fldChar w:fldCharType="end"/>
      </w:r>
      <w:r w:rsidR="000F0D20" w:rsidRPr="00A92A75">
        <w:rPr>
          <w:szCs w:val="16"/>
        </w:rPr>
        <w:t xml:space="preserve"> </w:t>
      </w:r>
      <w:r w:rsidR="00405119" w:rsidRPr="00A92A75">
        <w:rPr>
          <w:szCs w:val="16"/>
        </w:rPr>
        <w:t xml:space="preserve">and </w:t>
      </w:r>
      <w:r w:rsidR="00073552">
        <w:rPr>
          <w:szCs w:val="16"/>
        </w:rPr>
        <w:fldChar w:fldCharType="begin"/>
      </w:r>
      <w:r w:rsidR="00073552">
        <w:rPr>
          <w:szCs w:val="16"/>
        </w:rPr>
        <w:instrText xml:space="preserve"> NOTEREF _Ref119246612 \h </w:instrText>
      </w:r>
      <w:r w:rsidR="00073552">
        <w:rPr>
          <w:szCs w:val="16"/>
        </w:rPr>
      </w:r>
      <w:r w:rsidR="00073552">
        <w:rPr>
          <w:szCs w:val="16"/>
        </w:rPr>
        <w:fldChar w:fldCharType="separate"/>
      </w:r>
      <w:r w:rsidR="009A117C">
        <w:rPr>
          <w:szCs w:val="16"/>
        </w:rPr>
        <w:t>17</w:t>
      </w:r>
      <w:r w:rsidR="00073552">
        <w:rPr>
          <w:szCs w:val="16"/>
        </w:rPr>
        <w:fldChar w:fldCharType="end"/>
      </w:r>
      <w:r w:rsidR="00405119" w:rsidRPr="00EF4A27">
        <w:rPr>
          <w:szCs w:val="16"/>
        </w:rPr>
        <w:t>)</w:t>
      </w:r>
      <w:r w:rsidR="000F0FB5" w:rsidRPr="00784DCC">
        <w:rPr>
          <w:szCs w:val="16"/>
        </w:rPr>
        <w:t xml:space="preserve"> </w:t>
      </w:r>
    </w:p>
  </w:footnote>
  <w:footnote w:id="3">
    <w:p w14:paraId="3EDD0F66" w14:textId="54CE50A5" w:rsidR="00B20785" w:rsidRPr="00784DCC" w:rsidRDefault="00B20785" w:rsidP="00B20785">
      <w:pPr>
        <w:pStyle w:val="FootnoteText"/>
        <w:rPr>
          <w:szCs w:val="16"/>
        </w:rPr>
      </w:pPr>
      <w:r w:rsidRPr="00784DCC">
        <w:rPr>
          <w:rStyle w:val="FootnoteReference"/>
          <w:szCs w:val="16"/>
        </w:rPr>
        <w:footnoteRef/>
      </w:r>
      <w:r w:rsidRPr="00784DCC">
        <w:rPr>
          <w:szCs w:val="16"/>
        </w:rPr>
        <w:t xml:space="preserve"> Request for the establishment of a panel by the European</w:t>
      </w:r>
      <w:r w:rsidR="000F0D20" w:rsidRPr="00784DCC">
        <w:rPr>
          <w:szCs w:val="16"/>
        </w:rPr>
        <w:t> Union</w:t>
      </w:r>
      <w:r w:rsidRPr="00784DCC">
        <w:rPr>
          <w:szCs w:val="16"/>
        </w:rPr>
        <w:t>, WT/DS591/2 (European</w:t>
      </w:r>
      <w:r w:rsidR="000F0D20" w:rsidRPr="00784DCC">
        <w:rPr>
          <w:szCs w:val="16"/>
        </w:rPr>
        <w:t> Union</w:t>
      </w:r>
      <w:r w:rsidRPr="00784DCC">
        <w:rPr>
          <w:szCs w:val="16"/>
        </w:rPr>
        <w:t>'s panel request).</w:t>
      </w:r>
    </w:p>
  </w:footnote>
  <w:footnote w:id="4">
    <w:p w14:paraId="061CAD7D" w14:textId="0325E0BC" w:rsidR="00835FED" w:rsidRPr="00784DCC" w:rsidRDefault="00835FED">
      <w:pPr>
        <w:pStyle w:val="FootnoteText"/>
        <w:rPr>
          <w:szCs w:val="16"/>
        </w:rPr>
      </w:pPr>
      <w:r w:rsidRPr="00784DCC">
        <w:rPr>
          <w:rStyle w:val="FootnoteReference"/>
          <w:szCs w:val="16"/>
        </w:rPr>
        <w:footnoteRef/>
      </w:r>
      <w:r w:rsidRPr="00784DCC">
        <w:rPr>
          <w:szCs w:val="16"/>
        </w:rPr>
        <w:t xml:space="preserve"> WT/DS591/3.</w:t>
      </w:r>
    </w:p>
  </w:footnote>
  <w:footnote w:id="5">
    <w:p w14:paraId="31F2D872" w14:textId="5BC22CE1" w:rsidR="004D1C53" w:rsidRPr="00784DCC" w:rsidRDefault="004D1C53" w:rsidP="004D1C53">
      <w:pPr>
        <w:pStyle w:val="FootnoteText"/>
        <w:rPr>
          <w:szCs w:val="16"/>
        </w:rPr>
      </w:pPr>
      <w:r w:rsidRPr="00784DCC">
        <w:rPr>
          <w:rStyle w:val="FootnoteReference"/>
          <w:szCs w:val="16"/>
        </w:rPr>
        <w:footnoteRef/>
      </w:r>
      <w:r w:rsidRPr="00784DCC">
        <w:rPr>
          <w:szCs w:val="16"/>
        </w:rPr>
        <w:t xml:space="preserve"> WT/DS591/3/Rev.1</w:t>
      </w:r>
      <w:r w:rsidR="00B7711C">
        <w:rPr>
          <w:szCs w:val="16"/>
        </w:rPr>
        <w:t>, para. 1</w:t>
      </w:r>
      <w:r w:rsidR="006D0BA8" w:rsidRPr="00784DCC">
        <w:rPr>
          <w:szCs w:val="16"/>
        </w:rPr>
        <w:t xml:space="preserve">. </w:t>
      </w:r>
      <w:r w:rsidR="001B66E3">
        <w:rPr>
          <w:szCs w:val="16"/>
        </w:rPr>
        <w:t>(fn</w:t>
      </w:r>
      <w:r w:rsidR="00126344">
        <w:rPr>
          <w:szCs w:val="16"/>
        </w:rPr>
        <w:t> </w:t>
      </w:r>
      <w:r w:rsidR="001B66E3">
        <w:rPr>
          <w:szCs w:val="16"/>
        </w:rPr>
        <w:t xml:space="preserve">omitted) </w:t>
      </w:r>
      <w:r w:rsidR="006D0BA8" w:rsidRPr="00784DCC">
        <w:rPr>
          <w:szCs w:val="16"/>
        </w:rPr>
        <w:t>(See</w:t>
      </w:r>
      <w:r w:rsidR="0000469F" w:rsidRPr="00784DCC">
        <w:rPr>
          <w:szCs w:val="16"/>
        </w:rPr>
        <w:t xml:space="preserve"> Annex</w:t>
      </w:r>
      <w:r w:rsidR="000F0D20" w:rsidRPr="00784DCC">
        <w:rPr>
          <w:szCs w:val="16"/>
        </w:rPr>
        <w:t> </w:t>
      </w:r>
      <w:r w:rsidR="0000469F" w:rsidRPr="00784DCC">
        <w:rPr>
          <w:szCs w:val="16"/>
        </w:rPr>
        <w:t>A-1 of the Addendum to this Award</w:t>
      </w:r>
      <w:r w:rsidR="00B10525" w:rsidRPr="00784DCC">
        <w:rPr>
          <w:szCs w:val="16"/>
        </w:rPr>
        <w:t xml:space="preserve"> </w:t>
      </w:r>
      <w:r w:rsidR="0000469F" w:rsidRPr="00784DCC">
        <w:rPr>
          <w:szCs w:val="16"/>
        </w:rPr>
        <w:t>(WT/DS591/ARB25/Add.1)</w:t>
      </w:r>
      <w:r w:rsidR="006D0BA8" w:rsidRPr="00784DCC">
        <w:rPr>
          <w:szCs w:val="16"/>
        </w:rPr>
        <w:t>)</w:t>
      </w:r>
    </w:p>
  </w:footnote>
  <w:footnote w:id="6">
    <w:p w14:paraId="5B07C8AB" w14:textId="31128297" w:rsidR="00A91550" w:rsidRPr="00784DCC" w:rsidRDefault="00A91550">
      <w:pPr>
        <w:pStyle w:val="FootnoteText"/>
        <w:rPr>
          <w:szCs w:val="16"/>
        </w:rPr>
      </w:pPr>
      <w:r w:rsidRPr="00784DCC">
        <w:rPr>
          <w:rStyle w:val="FootnoteReference"/>
          <w:szCs w:val="16"/>
        </w:rPr>
        <w:footnoteRef/>
      </w:r>
      <w:r w:rsidR="00660CAF" w:rsidRPr="00784DCC">
        <w:rPr>
          <w:szCs w:val="16"/>
        </w:rPr>
        <w:t xml:space="preserve"> </w:t>
      </w:r>
      <w:r w:rsidR="00E57B65" w:rsidRPr="00784DCC">
        <w:rPr>
          <w:szCs w:val="16"/>
        </w:rPr>
        <w:t xml:space="preserve">See Communication from the Panel, </w:t>
      </w:r>
      <w:r w:rsidR="006F32C2" w:rsidRPr="00784DCC">
        <w:rPr>
          <w:szCs w:val="16"/>
        </w:rPr>
        <w:t>WT/DS591/6</w:t>
      </w:r>
      <w:r w:rsidR="003553DA" w:rsidRPr="00784DCC">
        <w:rPr>
          <w:szCs w:val="16"/>
        </w:rPr>
        <w:t>, p.</w:t>
      </w:r>
      <w:r w:rsidR="00077A17">
        <w:rPr>
          <w:szCs w:val="16"/>
        </w:rPr>
        <w:t> </w:t>
      </w:r>
      <w:r w:rsidR="003553DA" w:rsidRPr="00784DCC">
        <w:rPr>
          <w:szCs w:val="16"/>
        </w:rPr>
        <w:t>1.</w:t>
      </w:r>
    </w:p>
  </w:footnote>
  <w:footnote w:id="7">
    <w:p w14:paraId="7B2EEBA1" w14:textId="0F97E2B4" w:rsidR="006C6EA5" w:rsidRPr="00784DCC" w:rsidRDefault="006C6EA5" w:rsidP="006C6EA5">
      <w:pPr>
        <w:pStyle w:val="FootnoteText"/>
        <w:rPr>
          <w:szCs w:val="16"/>
        </w:rPr>
      </w:pPr>
      <w:r w:rsidRPr="00784DCC">
        <w:rPr>
          <w:rStyle w:val="FootnoteReference"/>
          <w:szCs w:val="16"/>
        </w:rPr>
        <w:footnoteRef/>
      </w:r>
      <w:r w:rsidR="00660CAF" w:rsidRPr="00784DCC">
        <w:rPr>
          <w:szCs w:val="16"/>
        </w:rPr>
        <w:t xml:space="preserve"> </w:t>
      </w:r>
      <w:r w:rsidRPr="00784DCC">
        <w:rPr>
          <w:szCs w:val="16"/>
        </w:rPr>
        <w:t>WT/DS591/6, p.</w:t>
      </w:r>
      <w:r w:rsidR="00B86D50" w:rsidRPr="00784DCC">
        <w:rPr>
          <w:szCs w:val="16"/>
        </w:rPr>
        <w:t> </w:t>
      </w:r>
      <w:r w:rsidRPr="00784DCC">
        <w:rPr>
          <w:szCs w:val="16"/>
        </w:rPr>
        <w:t>2.</w:t>
      </w:r>
      <w:r w:rsidR="0073335A" w:rsidRPr="00784DCC">
        <w:rPr>
          <w:szCs w:val="16"/>
        </w:rPr>
        <w:t xml:space="preserve"> The Panel noted in its communication that "</w:t>
      </w:r>
      <w:r w:rsidR="00B86D50" w:rsidRPr="00784DCC">
        <w:rPr>
          <w:szCs w:val="16"/>
        </w:rPr>
        <w:t>[a]</w:t>
      </w:r>
      <w:r w:rsidR="0073335A" w:rsidRPr="00784DCC">
        <w:rPr>
          <w:szCs w:val="16"/>
        </w:rPr>
        <w:t xml:space="preserve">ccording to </w:t>
      </w:r>
      <w:r w:rsidR="00270F7B">
        <w:rPr>
          <w:szCs w:val="16"/>
        </w:rPr>
        <w:t>paragraph </w:t>
      </w:r>
      <w:r w:rsidR="0073335A" w:rsidRPr="00784DCC">
        <w:rPr>
          <w:szCs w:val="16"/>
        </w:rPr>
        <w:t xml:space="preserve">4 of the Agreed </w:t>
      </w:r>
      <w:r w:rsidR="000B0641" w:rsidRPr="00784DCC">
        <w:rPr>
          <w:szCs w:val="16"/>
        </w:rPr>
        <w:t xml:space="preserve">Arbitration </w:t>
      </w:r>
      <w:r w:rsidR="0073335A" w:rsidRPr="00784DCC">
        <w:rPr>
          <w:szCs w:val="16"/>
        </w:rPr>
        <w:t xml:space="preserve">Procedures </w:t>
      </w:r>
      <w:r w:rsidR="008A2CD8" w:rsidRPr="00784DCC">
        <w:rPr>
          <w:szCs w:val="16"/>
        </w:rPr>
        <w:t>'</w:t>
      </w:r>
      <w:r w:rsidR="0073335A" w:rsidRPr="00784DCC">
        <w:rPr>
          <w:szCs w:val="16"/>
        </w:rPr>
        <w:t>such request by any party is deemed to constitute a joint request by the parties for suspension of the panel proceedings for 12 months pursuant to Article</w:t>
      </w:r>
      <w:r w:rsidR="000F0D20" w:rsidRPr="00784DCC">
        <w:rPr>
          <w:szCs w:val="16"/>
        </w:rPr>
        <w:t> </w:t>
      </w:r>
      <w:r w:rsidR="0073335A" w:rsidRPr="00784DCC">
        <w:rPr>
          <w:szCs w:val="16"/>
        </w:rPr>
        <w:t>12.12 of the DSU</w:t>
      </w:r>
      <w:r w:rsidR="008A2CD8" w:rsidRPr="00784DCC">
        <w:rPr>
          <w:szCs w:val="16"/>
        </w:rPr>
        <w:t>'</w:t>
      </w:r>
      <w:r w:rsidR="0073335A" w:rsidRPr="00784DCC">
        <w:rPr>
          <w:szCs w:val="16"/>
        </w:rPr>
        <w:t>.</w:t>
      </w:r>
      <w:r w:rsidR="00041A89" w:rsidRPr="00784DCC">
        <w:rPr>
          <w:szCs w:val="16"/>
        </w:rPr>
        <w:t>"</w:t>
      </w:r>
      <w:r w:rsidR="000B0641" w:rsidRPr="00784DCC">
        <w:rPr>
          <w:szCs w:val="16"/>
        </w:rPr>
        <w:t xml:space="preserve"> </w:t>
      </w:r>
      <w:r w:rsidR="00097B9C">
        <w:rPr>
          <w:szCs w:val="16"/>
        </w:rPr>
        <w:t>(Ibid.)</w:t>
      </w:r>
    </w:p>
  </w:footnote>
  <w:footnote w:id="8">
    <w:p w14:paraId="73A43F0E" w14:textId="16069A8E" w:rsidR="00E16A31" w:rsidRPr="00784DCC" w:rsidRDefault="00E16A31" w:rsidP="00E16A31">
      <w:pPr>
        <w:pStyle w:val="FootnoteText"/>
        <w:rPr>
          <w:szCs w:val="16"/>
        </w:rPr>
      </w:pPr>
      <w:r w:rsidRPr="00784DCC">
        <w:rPr>
          <w:rStyle w:val="FootnoteReference"/>
          <w:szCs w:val="16"/>
        </w:rPr>
        <w:footnoteRef/>
      </w:r>
      <w:r w:rsidRPr="00784DCC">
        <w:rPr>
          <w:szCs w:val="16"/>
        </w:rPr>
        <w:t xml:space="preserve"> WT/DS591/6, p.</w:t>
      </w:r>
      <w:r w:rsidR="004C597D" w:rsidRPr="00784DCC">
        <w:rPr>
          <w:szCs w:val="16"/>
        </w:rPr>
        <w:t> </w:t>
      </w:r>
      <w:r w:rsidRPr="00784DCC">
        <w:rPr>
          <w:szCs w:val="16"/>
        </w:rPr>
        <w:t>2.</w:t>
      </w:r>
    </w:p>
  </w:footnote>
  <w:footnote w:id="9">
    <w:p w14:paraId="49C7238E" w14:textId="032C9839" w:rsidR="00417B6F" w:rsidRPr="00784DCC" w:rsidRDefault="00417B6F" w:rsidP="00417B6F">
      <w:pPr>
        <w:pStyle w:val="FootnoteText"/>
        <w:rPr>
          <w:szCs w:val="16"/>
        </w:rPr>
      </w:pPr>
      <w:r w:rsidRPr="00784DCC">
        <w:rPr>
          <w:rStyle w:val="FootnoteReference"/>
          <w:szCs w:val="16"/>
        </w:rPr>
        <w:footnoteRef/>
      </w:r>
      <w:r w:rsidRPr="00784DCC">
        <w:rPr>
          <w:szCs w:val="16"/>
        </w:rPr>
        <w:t xml:space="preserve"> Additional Working Procedures of the Panel to facilitate arbitration under Article</w:t>
      </w:r>
      <w:r w:rsidR="000F0D20" w:rsidRPr="00784DCC">
        <w:rPr>
          <w:szCs w:val="16"/>
        </w:rPr>
        <w:t> </w:t>
      </w:r>
      <w:r w:rsidRPr="00784DCC">
        <w:rPr>
          <w:szCs w:val="16"/>
        </w:rPr>
        <w:t>25 of the DSU, WT/DS591/7/Add.1, Annex</w:t>
      </w:r>
      <w:r w:rsidR="000F0D20" w:rsidRPr="00784DCC">
        <w:rPr>
          <w:szCs w:val="16"/>
        </w:rPr>
        <w:t> </w:t>
      </w:r>
      <w:r w:rsidRPr="00784DCC">
        <w:rPr>
          <w:szCs w:val="16"/>
        </w:rPr>
        <w:t>A-5.</w:t>
      </w:r>
    </w:p>
  </w:footnote>
  <w:footnote w:id="10">
    <w:p w14:paraId="6716CCDB" w14:textId="24447D1D" w:rsidR="00B828EE" w:rsidRPr="00784DCC" w:rsidRDefault="00B828EE">
      <w:pPr>
        <w:pStyle w:val="FootnoteText"/>
        <w:rPr>
          <w:szCs w:val="16"/>
        </w:rPr>
      </w:pPr>
      <w:r w:rsidRPr="00784DCC">
        <w:rPr>
          <w:rStyle w:val="FootnoteReference"/>
          <w:szCs w:val="16"/>
        </w:rPr>
        <w:footnoteRef/>
      </w:r>
      <w:r w:rsidRPr="00784DCC">
        <w:rPr>
          <w:szCs w:val="16"/>
        </w:rPr>
        <w:t xml:space="preserve"> WT/DS591/6, p.</w:t>
      </w:r>
      <w:r w:rsidR="004C597D" w:rsidRPr="00784DCC">
        <w:rPr>
          <w:szCs w:val="16"/>
        </w:rPr>
        <w:t> </w:t>
      </w:r>
      <w:r w:rsidRPr="00784DCC">
        <w:rPr>
          <w:szCs w:val="16"/>
        </w:rPr>
        <w:t>2.</w:t>
      </w:r>
    </w:p>
  </w:footnote>
  <w:footnote w:id="11">
    <w:p w14:paraId="4F307688" w14:textId="2B0F0ACD" w:rsidR="00251720" w:rsidRPr="00784DCC" w:rsidRDefault="00251720">
      <w:pPr>
        <w:pStyle w:val="FootnoteText"/>
        <w:rPr>
          <w:szCs w:val="16"/>
        </w:rPr>
      </w:pPr>
      <w:r w:rsidRPr="00784DCC">
        <w:rPr>
          <w:rStyle w:val="FootnoteReference"/>
          <w:szCs w:val="16"/>
        </w:rPr>
        <w:footnoteRef/>
      </w:r>
      <w:r w:rsidRPr="00784DCC">
        <w:rPr>
          <w:szCs w:val="16"/>
        </w:rPr>
        <w:t xml:space="preserve"> Panel</w:t>
      </w:r>
      <w:r w:rsidR="000F0D20" w:rsidRPr="00784DCC">
        <w:rPr>
          <w:szCs w:val="16"/>
        </w:rPr>
        <w:t> Report</w:t>
      </w:r>
      <w:r w:rsidRPr="00784DCC">
        <w:rPr>
          <w:szCs w:val="16"/>
        </w:rPr>
        <w:t>, para.</w:t>
      </w:r>
      <w:r w:rsidR="000F0D20" w:rsidRPr="00784DCC">
        <w:rPr>
          <w:szCs w:val="16"/>
        </w:rPr>
        <w:t> </w:t>
      </w:r>
      <w:r w:rsidR="00AE27FA" w:rsidRPr="00784DCC">
        <w:rPr>
          <w:szCs w:val="16"/>
        </w:rPr>
        <w:t>8.1.a.</w:t>
      </w:r>
    </w:p>
  </w:footnote>
  <w:footnote w:id="12">
    <w:p w14:paraId="617CC27D" w14:textId="262B791E" w:rsidR="00AE27FA" w:rsidRPr="00784DCC" w:rsidRDefault="00AE27FA">
      <w:pPr>
        <w:pStyle w:val="FootnoteText"/>
        <w:rPr>
          <w:szCs w:val="16"/>
        </w:rPr>
      </w:pPr>
      <w:r w:rsidRPr="00784DCC">
        <w:rPr>
          <w:rStyle w:val="FootnoteReference"/>
          <w:szCs w:val="16"/>
        </w:rPr>
        <w:footnoteRef/>
      </w:r>
      <w:r w:rsidRPr="00784DCC">
        <w:rPr>
          <w:szCs w:val="16"/>
        </w:rPr>
        <w:t xml:space="preserve"> Panel</w:t>
      </w:r>
      <w:r w:rsidR="000F0D20" w:rsidRPr="00784DCC">
        <w:rPr>
          <w:szCs w:val="16"/>
        </w:rPr>
        <w:t> Report</w:t>
      </w:r>
      <w:r w:rsidRPr="00784DCC">
        <w:rPr>
          <w:szCs w:val="16"/>
        </w:rPr>
        <w:t>, para.</w:t>
      </w:r>
      <w:r w:rsidR="000F0D20" w:rsidRPr="00784DCC">
        <w:rPr>
          <w:szCs w:val="16"/>
        </w:rPr>
        <w:t> </w:t>
      </w:r>
      <w:r w:rsidRPr="00784DCC">
        <w:rPr>
          <w:szCs w:val="16"/>
        </w:rPr>
        <w:t>8.1.b.</w:t>
      </w:r>
    </w:p>
  </w:footnote>
  <w:footnote w:id="13">
    <w:p w14:paraId="7071D25A" w14:textId="59B530E7" w:rsidR="00AE27FA" w:rsidRPr="00784DCC" w:rsidRDefault="00AE27FA">
      <w:pPr>
        <w:pStyle w:val="FootnoteText"/>
        <w:rPr>
          <w:szCs w:val="16"/>
        </w:rPr>
      </w:pPr>
      <w:r w:rsidRPr="00784DCC">
        <w:rPr>
          <w:rStyle w:val="FootnoteReference"/>
          <w:szCs w:val="16"/>
        </w:rPr>
        <w:footnoteRef/>
      </w:r>
      <w:r w:rsidRPr="00784DCC">
        <w:rPr>
          <w:szCs w:val="16"/>
        </w:rPr>
        <w:t xml:space="preserve"> Panel</w:t>
      </w:r>
      <w:r w:rsidR="000F0D20" w:rsidRPr="00784DCC">
        <w:rPr>
          <w:szCs w:val="16"/>
        </w:rPr>
        <w:t> Report</w:t>
      </w:r>
      <w:r w:rsidRPr="00784DCC">
        <w:rPr>
          <w:szCs w:val="16"/>
        </w:rPr>
        <w:t>, para.</w:t>
      </w:r>
      <w:r w:rsidR="000F0D20" w:rsidRPr="00784DCC">
        <w:rPr>
          <w:szCs w:val="16"/>
        </w:rPr>
        <w:t> </w:t>
      </w:r>
      <w:r w:rsidRPr="00784DCC">
        <w:rPr>
          <w:szCs w:val="16"/>
        </w:rPr>
        <w:t>8.1.c.</w:t>
      </w:r>
    </w:p>
  </w:footnote>
  <w:footnote w:id="14">
    <w:p w14:paraId="13E8FA98" w14:textId="5E2358E0" w:rsidR="00AE27FA" w:rsidRPr="00784DCC" w:rsidRDefault="00AE27FA">
      <w:pPr>
        <w:pStyle w:val="FootnoteText"/>
        <w:rPr>
          <w:szCs w:val="16"/>
        </w:rPr>
      </w:pPr>
      <w:r w:rsidRPr="00784DCC">
        <w:rPr>
          <w:rStyle w:val="FootnoteReference"/>
          <w:szCs w:val="16"/>
        </w:rPr>
        <w:footnoteRef/>
      </w:r>
      <w:r w:rsidRPr="00784DCC">
        <w:rPr>
          <w:szCs w:val="16"/>
        </w:rPr>
        <w:t xml:space="preserve"> Panel</w:t>
      </w:r>
      <w:r w:rsidR="000F0D20" w:rsidRPr="00784DCC">
        <w:rPr>
          <w:szCs w:val="16"/>
        </w:rPr>
        <w:t> Report</w:t>
      </w:r>
      <w:r w:rsidRPr="00784DCC">
        <w:rPr>
          <w:szCs w:val="16"/>
        </w:rPr>
        <w:t>, para.</w:t>
      </w:r>
      <w:r w:rsidR="000F0D20" w:rsidRPr="00784DCC">
        <w:rPr>
          <w:szCs w:val="16"/>
        </w:rPr>
        <w:t> </w:t>
      </w:r>
      <w:r w:rsidRPr="00784DCC">
        <w:rPr>
          <w:szCs w:val="16"/>
        </w:rPr>
        <w:t>8.1.d.</w:t>
      </w:r>
    </w:p>
  </w:footnote>
  <w:footnote w:id="15">
    <w:p w14:paraId="692D1D9A" w14:textId="4ED46663" w:rsidR="00AE27FA" w:rsidRPr="00784DCC" w:rsidRDefault="00AE27FA">
      <w:pPr>
        <w:pStyle w:val="FootnoteText"/>
        <w:rPr>
          <w:szCs w:val="16"/>
        </w:rPr>
      </w:pPr>
      <w:r w:rsidRPr="00784DCC">
        <w:rPr>
          <w:rStyle w:val="FootnoteReference"/>
          <w:szCs w:val="16"/>
        </w:rPr>
        <w:footnoteRef/>
      </w:r>
      <w:r w:rsidRPr="00784DCC">
        <w:rPr>
          <w:szCs w:val="16"/>
        </w:rPr>
        <w:t xml:space="preserve"> Panel</w:t>
      </w:r>
      <w:r w:rsidR="000F0D20" w:rsidRPr="00784DCC">
        <w:rPr>
          <w:szCs w:val="16"/>
        </w:rPr>
        <w:t> Report</w:t>
      </w:r>
      <w:r w:rsidRPr="00784DCC">
        <w:rPr>
          <w:szCs w:val="16"/>
        </w:rPr>
        <w:t>, para.</w:t>
      </w:r>
      <w:r w:rsidR="000F0D20" w:rsidRPr="00784DCC">
        <w:rPr>
          <w:szCs w:val="16"/>
        </w:rPr>
        <w:t> </w:t>
      </w:r>
      <w:r w:rsidRPr="00784DCC">
        <w:rPr>
          <w:szCs w:val="16"/>
        </w:rPr>
        <w:t>8.1.e.</w:t>
      </w:r>
    </w:p>
  </w:footnote>
  <w:footnote w:id="16">
    <w:p w14:paraId="6AEB183F" w14:textId="63912621" w:rsidR="00EB7322" w:rsidRPr="00784DCC" w:rsidRDefault="00EB7322">
      <w:pPr>
        <w:pStyle w:val="FootnoteText"/>
        <w:rPr>
          <w:szCs w:val="16"/>
        </w:rPr>
      </w:pPr>
      <w:r w:rsidRPr="00784DCC">
        <w:rPr>
          <w:rStyle w:val="FootnoteReference"/>
          <w:szCs w:val="16"/>
        </w:rPr>
        <w:footnoteRef/>
      </w:r>
      <w:r w:rsidRPr="00784DCC">
        <w:rPr>
          <w:szCs w:val="16"/>
        </w:rPr>
        <w:t xml:space="preserve"> </w:t>
      </w:r>
      <w:r w:rsidR="00F97A3E" w:rsidRPr="00784DCC">
        <w:rPr>
          <w:szCs w:val="16"/>
        </w:rPr>
        <w:t>Panel</w:t>
      </w:r>
      <w:r w:rsidR="000F0D20" w:rsidRPr="00784DCC">
        <w:rPr>
          <w:szCs w:val="16"/>
        </w:rPr>
        <w:t> Report</w:t>
      </w:r>
      <w:r w:rsidR="00F97A3E" w:rsidRPr="00784DCC">
        <w:rPr>
          <w:szCs w:val="16"/>
        </w:rPr>
        <w:t>, para.</w:t>
      </w:r>
      <w:r w:rsidR="000F0D20" w:rsidRPr="00784DCC">
        <w:rPr>
          <w:szCs w:val="16"/>
        </w:rPr>
        <w:t> </w:t>
      </w:r>
      <w:r w:rsidR="00F97A3E" w:rsidRPr="00784DCC">
        <w:rPr>
          <w:szCs w:val="16"/>
        </w:rPr>
        <w:t>8.2.</w:t>
      </w:r>
    </w:p>
  </w:footnote>
  <w:footnote w:id="17">
    <w:p w14:paraId="543238C2" w14:textId="77D1B82B" w:rsidR="00242DD3" w:rsidRPr="00784DCC" w:rsidRDefault="00242DD3">
      <w:pPr>
        <w:pStyle w:val="FootnoteText"/>
        <w:rPr>
          <w:szCs w:val="16"/>
        </w:rPr>
      </w:pPr>
      <w:r w:rsidRPr="00784DCC">
        <w:rPr>
          <w:rStyle w:val="FootnoteReference"/>
          <w:szCs w:val="16"/>
        </w:rPr>
        <w:footnoteRef/>
      </w:r>
      <w:r w:rsidRPr="00784DCC">
        <w:rPr>
          <w:szCs w:val="16"/>
        </w:rPr>
        <w:t xml:space="preserve"> Hereafter referred to as "Colombia's </w:t>
      </w:r>
      <w:r w:rsidR="00976E4F" w:rsidRPr="00784DCC">
        <w:rPr>
          <w:szCs w:val="16"/>
        </w:rPr>
        <w:t xml:space="preserve">Notice </w:t>
      </w:r>
      <w:r w:rsidRPr="00784DCC">
        <w:rPr>
          <w:szCs w:val="16"/>
        </w:rPr>
        <w:t xml:space="preserve">of </w:t>
      </w:r>
      <w:r w:rsidR="00976E4F" w:rsidRPr="00784DCC">
        <w:rPr>
          <w:szCs w:val="16"/>
        </w:rPr>
        <w:t>A</w:t>
      </w:r>
      <w:r w:rsidRPr="00784DCC">
        <w:rPr>
          <w:szCs w:val="16"/>
        </w:rPr>
        <w:t>ppeal".</w:t>
      </w:r>
    </w:p>
  </w:footnote>
  <w:footnote w:id="18">
    <w:p w14:paraId="2D40E2C2" w14:textId="190805F8" w:rsidR="00804F54" w:rsidRPr="00784DCC" w:rsidRDefault="00804F54">
      <w:pPr>
        <w:pStyle w:val="FootnoteText"/>
        <w:rPr>
          <w:szCs w:val="16"/>
        </w:rPr>
      </w:pPr>
      <w:r w:rsidRPr="00784DCC">
        <w:rPr>
          <w:rStyle w:val="FootnoteReference"/>
          <w:szCs w:val="16"/>
        </w:rPr>
        <w:footnoteRef/>
      </w:r>
      <w:r w:rsidRPr="00784DCC">
        <w:rPr>
          <w:szCs w:val="16"/>
        </w:rPr>
        <w:t xml:space="preserve"> </w:t>
      </w:r>
      <w:r w:rsidR="00A24D22" w:rsidRPr="00784DCC">
        <w:rPr>
          <w:szCs w:val="16"/>
        </w:rPr>
        <w:t>WT/DS591/7 and WT/DS591/7/Add.1</w:t>
      </w:r>
      <w:r w:rsidR="00B766E3" w:rsidRPr="00784DCC">
        <w:rPr>
          <w:szCs w:val="16"/>
        </w:rPr>
        <w:t>.</w:t>
      </w:r>
    </w:p>
  </w:footnote>
  <w:footnote w:id="19">
    <w:p w14:paraId="5D5B7EF5" w14:textId="0AE05D6F" w:rsidR="007B03B1" w:rsidRPr="00784DCC" w:rsidRDefault="007B03B1">
      <w:pPr>
        <w:pStyle w:val="FootnoteText"/>
        <w:rPr>
          <w:szCs w:val="16"/>
        </w:rPr>
      </w:pPr>
      <w:r w:rsidRPr="00784DCC">
        <w:rPr>
          <w:rStyle w:val="FootnoteReference"/>
          <w:szCs w:val="16"/>
        </w:rPr>
        <w:footnoteRef/>
      </w:r>
      <w:r w:rsidRPr="00784DCC">
        <w:rPr>
          <w:szCs w:val="16"/>
        </w:rPr>
        <w:t xml:space="preserve"> </w:t>
      </w:r>
      <w:r w:rsidR="00270F7B">
        <w:rPr>
          <w:szCs w:val="16"/>
        </w:rPr>
        <w:t>Paragraph </w:t>
      </w:r>
      <w:r w:rsidRPr="00784DCC">
        <w:rPr>
          <w:szCs w:val="16"/>
        </w:rPr>
        <w:t xml:space="preserve">7 of the Agreed Procedures provides, </w:t>
      </w:r>
      <w:r w:rsidRPr="00784DCC">
        <w:rPr>
          <w:i/>
          <w:szCs w:val="16"/>
        </w:rPr>
        <w:t>inter</w:t>
      </w:r>
      <w:r w:rsidR="00F2224B" w:rsidRPr="00784DCC">
        <w:rPr>
          <w:i/>
          <w:szCs w:val="16"/>
        </w:rPr>
        <w:t> alia</w:t>
      </w:r>
      <w:r w:rsidR="007C6DC9" w:rsidRPr="00784DCC">
        <w:rPr>
          <w:szCs w:val="16"/>
        </w:rPr>
        <w:t>, that</w:t>
      </w:r>
      <w:r w:rsidRPr="00784DCC">
        <w:rPr>
          <w:szCs w:val="16"/>
        </w:rPr>
        <w:t xml:space="preserve"> "[t]he arbitrators shall be three</w:t>
      </w:r>
      <w:r w:rsidR="004C0F28" w:rsidRPr="00784DCC">
        <w:rPr>
          <w:szCs w:val="16"/>
        </w:rPr>
        <w:t> </w:t>
      </w:r>
      <w:r w:rsidRPr="00784DCC">
        <w:rPr>
          <w:szCs w:val="16"/>
        </w:rPr>
        <w:t xml:space="preserve">persons selected from the pool of 10 standing appeal arbitrators composed in accordance with </w:t>
      </w:r>
      <w:r w:rsidR="00270F7B">
        <w:rPr>
          <w:szCs w:val="16"/>
        </w:rPr>
        <w:t>paragraph </w:t>
      </w:r>
      <w:r w:rsidRPr="00784DCC">
        <w:rPr>
          <w:szCs w:val="16"/>
        </w:rPr>
        <w:t>4 of communication JOB/DSB/1/Add.12"</w:t>
      </w:r>
      <w:r w:rsidR="007C6DC9" w:rsidRPr="00784DCC">
        <w:rPr>
          <w:szCs w:val="16"/>
        </w:rPr>
        <w:t>,</w:t>
      </w:r>
      <w:r w:rsidR="000401F5" w:rsidRPr="00784DCC">
        <w:rPr>
          <w:szCs w:val="16"/>
        </w:rPr>
        <w:t xml:space="preserve"> that the selection "will be done on the basis of the same principles and methods that apply to form a division of the Appellate</w:t>
      </w:r>
      <w:r w:rsidR="000F0D20" w:rsidRPr="00784DCC">
        <w:rPr>
          <w:szCs w:val="16"/>
        </w:rPr>
        <w:t> Body</w:t>
      </w:r>
      <w:r w:rsidR="000401F5" w:rsidRPr="00784DCC">
        <w:rPr>
          <w:szCs w:val="16"/>
        </w:rPr>
        <w:t xml:space="preserve"> under Article</w:t>
      </w:r>
      <w:r w:rsidR="000F0D20" w:rsidRPr="00784DCC">
        <w:rPr>
          <w:szCs w:val="16"/>
        </w:rPr>
        <w:t> </w:t>
      </w:r>
      <w:r w:rsidR="000401F5" w:rsidRPr="00784DCC">
        <w:rPr>
          <w:szCs w:val="16"/>
        </w:rPr>
        <w:t>17.1 of the DSU and Rule 6(2) of the Working Procedures for Appellate Review, including the principle of rotation</w:t>
      </w:r>
      <w:r w:rsidR="007C6DC9" w:rsidRPr="00784DCC">
        <w:rPr>
          <w:szCs w:val="16"/>
        </w:rPr>
        <w:t xml:space="preserve">", </w:t>
      </w:r>
      <w:r w:rsidRPr="00784DCC">
        <w:rPr>
          <w:szCs w:val="16"/>
        </w:rPr>
        <w:t>and</w:t>
      </w:r>
      <w:r w:rsidR="007C6DC9" w:rsidRPr="00784DCC">
        <w:rPr>
          <w:szCs w:val="16"/>
        </w:rPr>
        <w:t xml:space="preserve"> that</w:t>
      </w:r>
      <w:r w:rsidRPr="00784DCC">
        <w:rPr>
          <w:szCs w:val="16"/>
        </w:rPr>
        <w:t xml:space="preserve"> "[t]he arbitrators shall elect a Chairperson."</w:t>
      </w:r>
    </w:p>
  </w:footnote>
  <w:footnote w:id="20">
    <w:p w14:paraId="0A1782AB" w14:textId="1F68E379" w:rsidR="002664EA" w:rsidRPr="00784DCC" w:rsidRDefault="002664EA">
      <w:pPr>
        <w:pStyle w:val="FootnoteText"/>
        <w:rPr>
          <w:szCs w:val="16"/>
        </w:rPr>
      </w:pPr>
      <w:r w:rsidRPr="00784DCC">
        <w:rPr>
          <w:rStyle w:val="FootnoteReference"/>
          <w:szCs w:val="16"/>
        </w:rPr>
        <w:footnoteRef/>
      </w:r>
      <w:r w:rsidRPr="00784DCC">
        <w:rPr>
          <w:szCs w:val="16"/>
        </w:rPr>
        <w:t xml:space="preserve"> WT/DS591/8</w:t>
      </w:r>
      <w:r w:rsidR="00B766E3" w:rsidRPr="00784DCC">
        <w:rPr>
          <w:szCs w:val="16"/>
        </w:rPr>
        <w:t>.</w:t>
      </w:r>
    </w:p>
  </w:footnote>
  <w:footnote w:id="21">
    <w:p w14:paraId="1F908B92" w14:textId="326937A2" w:rsidR="00872CE7" w:rsidRPr="00784DCC" w:rsidRDefault="00872CE7">
      <w:pPr>
        <w:pStyle w:val="FootnoteText"/>
        <w:rPr>
          <w:szCs w:val="16"/>
        </w:rPr>
      </w:pPr>
      <w:r w:rsidRPr="00784DCC">
        <w:rPr>
          <w:rStyle w:val="FootnoteReference"/>
          <w:szCs w:val="16"/>
        </w:rPr>
        <w:footnoteRef/>
      </w:r>
      <w:r w:rsidRPr="00784DCC">
        <w:rPr>
          <w:szCs w:val="16"/>
        </w:rPr>
        <w:t xml:space="preserve"> </w:t>
      </w:r>
      <w:r w:rsidR="009411FD" w:rsidRPr="00784DCC">
        <w:rPr>
          <w:szCs w:val="16"/>
        </w:rPr>
        <w:t>Annex</w:t>
      </w:r>
      <w:r w:rsidR="000F0D20" w:rsidRPr="00784DCC">
        <w:rPr>
          <w:szCs w:val="16"/>
        </w:rPr>
        <w:t> </w:t>
      </w:r>
      <w:r w:rsidR="009411FD" w:rsidRPr="00784DCC">
        <w:rPr>
          <w:szCs w:val="16"/>
        </w:rPr>
        <w:t xml:space="preserve">A-2 of the Addendum to this Award </w:t>
      </w:r>
      <w:r w:rsidR="002910BE" w:rsidRPr="00784DCC">
        <w:rPr>
          <w:szCs w:val="16"/>
        </w:rPr>
        <w:t>(</w:t>
      </w:r>
      <w:r w:rsidR="009411FD" w:rsidRPr="00784DCC">
        <w:rPr>
          <w:szCs w:val="16"/>
        </w:rPr>
        <w:t>WT/DS591/ARB25/Add.1</w:t>
      </w:r>
      <w:r w:rsidR="00B712D0" w:rsidRPr="00784DCC">
        <w:rPr>
          <w:szCs w:val="16"/>
        </w:rPr>
        <w:t>)</w:t>
      </w:r>
      <w:r w:rsidR="00B766E3" w:rsidRPr="00784DCC">
        <w:rPr>
          <w:szCs w:val="16"/>
        </w:rPr>
        <w:t>.</w:t>
      </w:r>
    </w:p>
  </w:footnote>
  <w:footnote w:id="22">
    <w:p w14:paraId="492C631C" w14:textId="667E4BA7" w:rsidR="00F93C0B" w:rsidRPr="00784DCC" w:rsidRDefault="00F93C0B" w:rsidP="00F93C0B">
      <w:pPr>
        <w:pStyle w:val="FootnoteText"/>
        <w:rPr>
          <w:szCs w:val="16"/>
        </w:rPr>
      </w:pPr>
      <w:r w:rsidRPr="00784DCC">
        <w:rPr>
          <w:rStyle w:val="FootnoteReference"/>
          <w:szCs w:val="16"/>
        </w:rPr>
        <w:footnoteRef/>
      </w:r>
      <w:r w:rsidRPr="00784DCC">
        <w:rPr>
          <w:szCs w:val="16"/>
        </w:rPr>
        <w:t xml:space="preserve"> Annex</w:t>
      </w:r>
      <w:r w:rsidR="000F0D20" w:rsidRPr="00784DCC">
        <w:rPr>
          <w:szCs w:val="16"/>
        </w:rPr>
        <w:t> </w:t>
      </w:r>
      <w:r w:rsidRPr="00784DCC">
        <w:rPr>
          <w:szCs w:val="16"/>
        </w:rPr>
        <w:t>A-3 of the Addendum to this Award (WT/DS591/ARB25/Add.1)</w:t>
      </w:r>
      <w:r w:rsidR="0000469F" w:rsidRPr="00784DCC">
        <w:rPr>
          <w:szCs w:val="16"/>
        </w:rPr>
        <w:t>.</w:t>
      </w:r>
    </w:p>
  </w:footnote>
  <w:footnote w:id="23">
    <w:p w14:paraId="37D68DD8" w14:textId="67CA2F4F" w:rsidR="004D6CE0" w:rsidRPr="00784DCC" w:rsidRDefault="004D6CE0">
      <w:pPr>
        <w:pStyle w:val="FootnoteText"/>
      </w:pPr>
      <w:r w:rsidRPr="00784DCC">
        <w:rPr>
          <w:rStyle w:val="FootnoteReference"/>
          <w:szCs w:val="16"/>
        </w:rPr>
        <w:footnoteRef/>
      </w:r>
      <w:r w:rsidRPr="00784DCC">
        <w:rPr>
          <w:szCs w:val="16"/>
        </w:rPr>
        <w:t xml:space="preserve"> </w:t>
      </w:r>
      <w:r w:rsidR="0058639B" w:rsidRPr="00784DCC">
        <w:rPr>
          <w:szCs w:val="16"/>
        </w:rPr>
        <w:t xml:space="preserve">See Working Schedule, Additional Procedures for Arbitration. </w:t>
      </w:r>
      <w:r w:rsidR="00CC26D3" w:rsidRPr="00784DCC">
        <w:rPr>
          <w:szCs w:val="16"/>
        </w:rPr>
        <w:t xml:space="preserve">See also </w:t>
      </w:r>
      <w:r w:rsidR="00270F7B">
        <w:rPr>
          <w:szCs w:val="16"/>
        </w:rPr>
        <w:t>paragraphs </w:t>
      </w:r>
      <w:r w:rsidR="00CC26D3" w:rsidRPr="00784DCC">
        <w:rPr>
          <w:szCs w:val="16"/>
        </w:rPr>
        <w:t>11 and</w:t>
      </w:r>
      <w:r w:rsidR="00F23395" w:rsidRPr="00784DCC">
        <w:rPr>
          <w:szCs w:val="16"/>
        </w:rPr>
        <w:t xml:space="preserve"> 16 of the Agreed Procedures</w:t>
      </w:r>
      <w:r w:rsidR="00AC6370" w:rsidRPr="00784DCC">
        <w:rPr>
          <w:szCs w:val="16"/>
        </w:rPr>
        <w:t>.</w:t>
      </w:r>
    </w:p>
  </w:footnote>
  <w:footnote w:id="24">
    <w:p w14:paraId="119F9E0C" w14:textId="53AEC36F" w:rsidR="00E81054" w:rsidRPr="00784DCC" w:rsidRDefault="00E81054">
      <w:pPr>
        <w:pStyle w:val="FootnoteText"/>
      </w:pPr>
      <w:r w:rsidRPr="00784DCC">
        <w:rPr>
          <w:rStyle w:val="FootnoteReference"/>
        </w:rPr>
        <w:footnoteRef/>
      </w:r>
      <w:r w:rsidRPr="00784DCC">
        <w:t xml:space="preserve"> These third parties were Brazil, China, Japan, the Russian</w:t>
      </w:r>
      <w:r w:rsidR="007E1811" w:rsidRPr="00784DCC">
        <w:t> Federation</w:t>
      </w:r>
      <w:r w:rsidRPr="00784DCC">
        <w:t>, and the United</w:t>
      </w:r>
      <w:r w:rsidR="007E1811" w:rsidRPr="00784DCC">
        <w:t> States</w:t>
      </w:r>
      <w:r w:rsidRPr="00784DCC">
        <w:t>.</w:t>
      </w:r>
    </w:p>
  </w:footnote>
  <w:footnote w:id="25">
    <w:p w14:paraId="5F9D5FDD" w14:textId="74F6F3AC" w:rsidR="0032597A" w:rsidRPr="00784DCC" w:rsidRDefault="0032597A">
      <w:pPr>
        <w:pStyle w:val="FootnoteText"/>
      </w:pPr>
      <w:r w:rsidRPr="00784DCC">
        <w:rPr>
          <w:rStyle w:val="FootnoteReference"/>
        </w:rPr>
        <w:footnoteRef/>
      </w:r>
      <w:r w:rsidRPr="00784DCC">
        <w:t xml:space="preserve"> </w:t>
      </w:r>
      <w:r w:rsidR="00553865" w:rsidRPr="00784DCC">
        <w:t>The</w:t>
      </w:r>
      <w:r w:rsidRPr="00784DCC">
        <w:t xml:space="preserve"> video recording is available </w:t>
      </w:r>
      <w:r w:rsidR="004571A4" w:rsidRPr="00784DCC">
        <w:t>at</w:t>
      </w:r>
      <w:r w:rsidR="00E935E1" w:rsidRPr="00784DCC">
        <w:t xml:space="preserve"> </w:t>
      </w:r>
      <w:hyperlink r:id="rId1" w:history="1">
        <w:r w:rsidR="00E165F9" w:rsidRPr="00E165F9">
          <w:rPr>
            <w:rStyle w:val="Hyperlink"/>
          </w:rPr>
          <w:t>https://www.wto.org/english/tratop_e/dispu_e/cases_e/ds591_e.htm</w:t>
        </w:r>
      </w:hyperlink>
      <w:r w:rsidR="00E935E1" w:rsidRPr="00784DCC">
        <w:t>.</w:t>
      </w:r>
    </w:p>
  </w:footnote>
  <w:footnote w:id="26">
    <w:p w14:paraId="406E6EB4" w14:textId="3DC1A0F4" w:rsidR="0032597A" w:rsidRPr="00784DCC" w:rsidRDefault="0032597A">
      <w:pPr>
        <w:pStyle w:val="FootnoteText"/>
      </w:pPr>
      <w:r w:rsidRPr="00784DCC">
        <w:rPr>
          <w:rStyle w:val="FootnoteReference"/>
        </w:rPr>
        <w:footnoteRef/>
      </w:r>
      <w:r w:rsidRPr="00784DCC">
        <w:t xml:space="preserve"> JOB/DSB/1/Add.12 and WT/DS591/3/Rev.1, respectively. </w:t>
      </w:r>
    </w:p>
  </w:footnote>
  <w:footnote w:id="27">
    <w:p w14:paraId="1B41B6FA" w14:textId="215DD696" w:rsidR="00F572D3" w:rsidRPr="00784DCC" w:rsidRDefault="00F572D3" w:rsidP="00F572D3">
      <w:pPr>
        <w:pStyle w:val="FootnoteText"/>
      </w:pPr>
      <w:r w:rsidRPr="00784DCC">
        <w:rPr>
          <w:rStyle w:val="FootnoteReference"/>
        </w:rPr>
        <w:footnoteRef/>
      </w:r>
      <w:r w:rsidRPr="00784DCC">
        <w:t xml:space="preserve"> Colombia's Notice of Appeal, Annex</w:t>
      </w:r>
      <w:r w:rsidR="00F2224B" w:rsidRPr="00784DCC">
        <w:t> </w:t>
      </w:r>
      <w:r w:rsidRPr="00784DCC">
        <w:t>B-1.</w:t>
      </w:r>
      <w:r w:rsidRPr="00784DCC">
        <w:rPr>
          <w:rFonts w:cs="Segoe UI"/>
          <w:szCs w:val="16"/>
          <w:shd w:val="clear" w:color="auto" w:fill="FFFFFF"/>
        </w:rPr>
        <w:t xml:space="preserve"> </w:t>
      </w:r>
    </w:p>
  </w:footnote>
  <w:footnote w:id="28">
    <w:p w14:paraId="59003A5B" w14:textId="006EA7F5" w:rsidR="001A21F6" w:rsidRPr="00784DCC" w:rsidRDefault="001A21F6">
      <w:pPr>
        <w:pStyle w:val="FootnoteText"/>
      </w:pPr>
      <w:r w:rsidRPr="00784DCC">
        <w:rPr>
          <w:rStyle w:val="FootnoteReference"/>
        </w:rPr>
        <w:footnoteRef/>
      </w:r>
      <w:r w:rsidRPr="00784DCC">
        <w:t xml:space="preserve"> </w:t>
      </w:r>
      <w:r w:rsidR="0095295F">
        <w:t xml:space="preserve">See </w:t>
      </w:r>
      <w:r w:rsidR="009D6487" w:rsidRPr="00784DCC">
        <w:t>Additional Procedures for Arbitration</w:t>
      </w:r>
      <w:r w:rsidR="0095295F">
        <w:t>,</w:t>
      </w:r>
      <w:r w:rsidR="009D6487" w:rsidRPr="00784DCC">
        <w:t xml:space="preserve"> </w:t>
      </w:r>
      <w:r w:rsidR="0095295F" w:rsidRPr="00784DCC">
        <w:t xml:space="preserve">Annex 2 </w:t>
      </w:r>
      <w:r w:rsidR="009D6487" w:rsidRPr="00784DCC">
        <w:t>(</w:t>
      </w:r>
      <w:r w:rsidR="009D6487" w:rsidRPr="00784DCC">
        <w:rPr>
          <w:szCs w:val="16"/>
        </w:rPr>
        <w:t>Annex A-2 of the Addendum to this Award (WT/DS591/ARB25/Add.1)).</w:t>
      </w:r>
    </w:p>
  </w:footnote>
  <w:footnote w:id="29">
    <w:p w14:paraId="260FB46B" w14:textId="7445727B" w:rsidR="00F572D3" w:rsidRPr="00784DCC" w:rsidRDefault="00F572D3" w:rsidP="00F572D3">
      <w:pPr>
        <w:pStyle w:val="FootnoteText"/>
      </w:pPr>
      <w:r w:rsidRPr="00784DCC">
        <w:rPr>
          <w:rStyle w:val="FootnoteReference"/>
        </w:rPr>
        <w:footnoteRef/>
      </w:r>
      <w:r w:rsidRPr="00784DCC">
        <w:t xml:space="preserve"> See Colombia's Notice of Appeal</w:t>
      </w:r>
      <w:r w:rsidR="0095295F">
        <w:t>, para. 1</w:t>
      </w:r>
      <w:r w:rsidRPr="00784DCC">
        <w:t xml:space="preserve"> (referring to Panel</w:t>
      </w:r>
      <w:r w:rsidR="00F2224B" w:rsidRPr="00784DCC">
        <w:t> Report</w:t>
      </w:r>
      <w:r w:rsidRPr="00784DCC">
        <w:t>, paras.</w:t>
      </w:r>
      <w:r w:rsidR="00DA0ACF" w:rsidRPr="00784DCC">
        <w:t> </w:t>
      </w:r>
      <w:r w:rsidRPr="00784DCC">
        <w:t>7.75, 7.78, 7.79, and 8.1.a.iii).</w:t>
      </w:r>
    </w:p>
  </w:footnote>
  <w:footnote w:id="30">
    <w:p w14:paraId="438921FF" w14:textId="4480B237" w:rsidR="00F572D3" w:rsidRPr="00784DCC" w:rsidRDefault="00F572D3" w:rsidP="00F572D3">
      <w:pPr>
        <w:pStyle w:val="FootnoteText"/>
      </w:pPr>
      <w:r w:rsidRPr="00784DCC">
        <w:rPr>
          <w:rStyle w:val="FootnoteReference"/>
        </w:rPr>
        <w:footnoteRef/>
      </w:r>
      <w:r w:rsidRPr="00784DCC">
        <w:t xml:space="preserve"> </w:t>
      </w:r>
      <w:r w:rsidRPr="00784DCC">
        <w:rPr>
          <w:rFonts w:cs="Segoe UI"/>
          <w:szCs w:val="16"/>
          <w:shd w:val="clear" w:color="auto" w:fill="FFFFFF"/>
        </w:rPr>
        <w:t xml:space="preserve">Unless otherwise specified, all stand-alone references to provisions in this Award refer to </w:t>
      </w:r>
      <w:r w:rsidR="000528F6">
        <w:rPr>
          <w:rFonts w:cs="Segoe UI"/>
          <w:szCs w:val="16"/>
          <w:shd w:val="clear" w:color="auto" w:fill="FFFFFF"/>
        </w:rPr>
        <w:t>Articles </w:t>
      </w:r>
      <w:r w:rsidRPr="00784DCC">
        <w:rPr>
          <w:rFonts w:cs="Segoe UI"/>
          <w:szCs w:val="16"/>
          <w:shd w:val="clear" w:color="auto" w:fill="FFFFFF"/>
        </w:rPr>
        <w:t>of the Anti</w:t>
      </w:r>
      <w:r w:rsidR="000528F6">
        <w:rPr>
          <w:rFonts w:cs="Segoe UI"/>
          <w:szCs w:val="16"/>
          <w:shd w:val="clear" w:color="auto" w:fill="FFFFFF"/>
        </w:rPr>
        <w:noBreakHyphen/>
      </w:r>
      <w:r w:rsidRPr="00784DCC">
        <w:rPr>
          <w:rFonts w:cs="Segoe UI"/>
          <w:szCs w:val="16"/>
          <w:shd w:val="clear" w:color="auto" w:fill="FFFFFF"/>
        </w:rPr>
        <w:t>Dumping Agreement.</w:t>
      </w:r>
    </w:p>
  </w:footnote>
  <w:footnote w:id="31">
    <w:p w14:paraId="7EEA0528" w14:textId="6B2A7442" w:rsidR="00F572D3" w:rsidRPr="00784DCC" w:rsidRDefault="00F572D3" w:rsidP="00F572D3">
      <w:pPr>
        <w:pStyle w:val="FootnoteText"/>
      </w:pPr>
      <w:r w:rsidRPr="00784DCC">
        <w:rPr>
          <w:rStyle w:val="FootnoteReference"/>
        </w:rPr>
        <w:footnoteRef/>
      </w:r>
      <w:r w:rsidRPr="00784DCC">
        <w:t xml:space="preserve"> Panel</w:t>
      </w:r>
      <w:r w:rsidR="00F2224B" w:rsidRPr="00784DCC">
        <w:t> Report</w:t>
      </w:r>
      <w:r w:rsidRPr="00784DCC">
        <w:t>, para.</w:t>
      </w:r>
      <w:r w:rsidR="00F2224B" w:rsidRPr="00784DCC">
        <w:t> </w:t>
      </w:r>
      <w:r w:rsidRPr="00784DCC">
        <w:t>7.63.</w:t>
      </w:r>
    </w:p>
  </w:footnote>
  <w:footnote w:id="32">
    <w:p w14:paraId="72D4C158" w14:textId="0B7FDDAC" w:rsidR="00F572D3" w:rsidRPr="00784DCC" w:rsidRDefault="00F572D3" w:rsidP="00F572D3">
      <w:pPr>
        <w:pStyle w:val="FootnoteText"/>
      </w:pPr>
      <w:r w:rsidRPr="00784DCC">
        <w:rPr>
          <w:rStyle w:val="FootnoteReference"/>
        </w:rPr>
        <w:footnoteRef/>
      </w:r>
      <w:r w:rsidRPr="00784DCC">
        <w:t xml:space="preserve"> Panel</w:t>
      </w:r>
      <w:r w:rsidR="00F2224B" w:rsidRPr="00784DCC">
        <w:t> Report</w:t>
      </w:r>
      <w:r w:rsidRPr="00784DCC">
        <w:t>, para.</w:t>
      </w:r>
      <w:r w:rsidR="00F2224B" w:rsidRPr="00784DCC">
        <w:t> </w:t>
      </w:r>
      <w:r w:rsidRPr="00784DCC">
        <w:t>7.65</w:t>
      </w:r>
      <w:r w:rsidR="00216296" w:rsidRPr="00784DCC">
        <w:t>.</w:t>
      </w:r>
      <w:r w:rsidRPr="00784DCC">
        <w:t xml:space="preserve"> (emphasis original)</w:t>
      </w:r>
    </w:p>
  </w:footnote>
  <w:footnote w:id="33">
    <w:p w14:paraId="670A49DF" w14:textId="4367C402" w:rsidR="00F572D3" w:rsidRPr="00784DCC" w:rsidRDefault="00F572D3" w:rsidP="00F572D3">
      <w:pPr>
        <w:pStyle w:val="FootnoteText"/>
      </w:pPr>
      <w:r w:rsidRPr="00784DCC">
        <w:rPr>
          <w:rStyle w:val="FootnoteReference"/>
        </w:rPr>
        <w:footnoteRef/>
      </w:r>
      <w:r w:rsidRPr="00784DCC">
        <w:t xml:space="preserve"> Panel</w:t>
      </w:r>
      <w:r w:rsidR="00F2224B" w:rsidRPr="00784DCC">
        <w:t> Report</w:t>
      </w:r>
      <w:r w:rsidRPr="00784DCC">
        <w:t>, para.</w:t>
      </w:r>
      <w:r w:rsidR="00F2224B" w:rsidRPr="00784DCC">
        <w:t> </w:t>
      </w:r>
      <w:r w:rsidRPr="00784DCC">
        <w:t>7.69</w:t>
      </w:r>
      <w:r w:rsidR="00216296" w:rsidRPr="00784DCC">
        <w:t>.</w:t>
      </w:r>
      <w:r w:rsidRPr="00784DCC">
        <w:t xml:space="preserve"> (emphasis original)</w:t>
      </w:r>
    </w:p>
  </w:footnote>
  <w:footnote w:id="34">
    <w:p w14:paraId="53A14D1A" w14:textId="4120367D" w:rsidR="00F572D3" w:rsidRPr="00784DCC" w:rsidRDefault="00F572D3" w:rsidP="00F572D3">
      <w:pPr>
        <w:pStyle w:val="FootnoteText"/>
      </w:pPr>
      <w:r w:rsidRPr="00784DCC">
        <w:rPr>
          <w:rStyle w:val="FootnoteReference"/>
        </w:rPr>
        <w:footnoteRef/>
      </w:r>
      <w:r w:rsidRPr="00784DCC">
        <w:t xml:space="preserve"> Panel</w:t>
      </w:r>
      <w:r w:rsidR="00F2224B" w:rsidRPr="00784DCC">
        <w:t> Report</w:t>
      </w:r>
      <w:r w:rsidRPr="00784DCC">
        <w:t>, para.</w:t>
      </w:r>
      <w:r w:rsidR="00F2224B" w:rsidRPr="00784DCC">
        <w:t> </w:t>
      </w:r>
      <w:r w:rsidRPr="00784DCC">
        <w:t>7.70.</w:t>
      </w:r>
    </w:p>
  </w:footnote>
  <w:footnote w:id="35">
    <w:p w14:paraId="6E17BE6D" w14:textId="0EF302B5" w:rsidR="00F572D3" w:rsidRPr="00784DCC" w:rsidRDefault="00F572D3" w:rsidP="00F572D3">
      <w:pPr>
        <w:pStyle w:val="FootnoteText"/>
      </w:pPr>
      <w:r w:rsidRPr="00784DCC">
        <w:rPr>
          <w:rStyle w:val="FootnoteReference"/>
        </w:rPr>
        <w:footnoteRef/>
      </w:r>
      <w:r w:rsidRPr="00784DCC">
        <w:t xml:space="preserve"> Panel</w:t>
      </w:r>
      <w:r w:rsidR="00F2224B" w:rsidRPr="00784DCC">
        <w:t> Report</w:t>
      </w:r>
      <w:r w:rsidRPr="00784DCC">
        <w:t>, para.</w:t>
      </w:r>
      <w:r w:rsidR="00F2224B" w:rsidRPr="00784DCC">
        <w:t> </w:t>
      </w:r>
      <w:r w:rsidRPr="00784DCC">
        <w:t>7.73.</w:t>
      </w:r>
    </w:p>
  </w:footnote>
  <w:footnote w:id="36">
    <w:p w14:paraId="1FF14F97" w14:textId="2C3F09C9" w:rsidR="00F572D3" w:rsidRPr="00784DCC" w:rsidRDefault="00F572D3" w:rsidP="00F572D3">
      <w:pPr>
        <w:pStyle w:val="FootnoteText"/>
      </w:pPr>
      <w:r w:rsidRPr="00784DCC">
        <w:rPr>
          <w:rStyle w:val="FootnoteReference"/>
        </w:rPr>
        <w:footnoteRef/>
      </w:r>
      <w:r w:rsidRPr="00784DCC">
        <w:t xml:space="preserve"> Panel</w:t>
      </w:r>
      <w:r w:rsidR="00F2224B" w:rsidRPr="00784DCC">
        <w:t> Report</w:t>
      </w:r>
      <w:r w:rsidRPr="00784DCC">
        <w:t>, para.</w:t>
      </w:r>
      <w:r w:rsidR="00F2224B" w:rsidRPr="00784DCC">
        <w:t> </w:t>
      </w:r>
      <w:r w:rsidRPr="00784DCC">
        <w:t>7.73.</w:t>
      </w:r>
    </w:p>
  </w:footnote>
  <w:footnote w:id="37">
    <w:p w14:paraId="07870E3A" w14:textId="1BBB8630" w:rsidR="00F572D3" w:rsidRPr="00784DCC" w:rsidRDefault="00F572D3" w:rsidP="00F572D3">
      <w:pPr>
        <w:pStyle w:val="FootnoteText"/>
      </w:pPr>
      <w:r w:rsidRPr="00784DCC">
        <w:rPr>
          <w:rStyle w:val="FootnoteReference"/>
        </w:rPr>
        <w:footnoteRef/>
      </w:r>
      <w:r w:rsidRPr="00784DCC">
        <w:t xml:space="preserve"> Panel</w:t>
      </w:r>
      <w:r w:rsidR="00F2224B" w:rsidRPr="00784DCC">
        <w:t> Report</w:t>
      </w:r>
      <w:r w:rsidRPr="00784DCC">
        <w:t>, para.</w:t>
      </w:r>
      <w:r w:rsidR="00F2224B" w:rsidRPr="00784DCC">
        <w:t> </w:t>
      </w:r>
      <w:r w:rsidRPr="00784DCC">
        <w:t xml:space="preserve">7.75 (emphasis added by the Panel). Colombia argued that MINCIT relied upon third-country sales prices in the same way as in an anti-dumping proceeding relating to </w:t>
      </w:r>
      <w:r w:rsidRPr="00784DCC">
        <w:rPr>
          <w:szCs w:val="16"/>
        </w:rPr>
        <w:t xml:space="preserve">imports of the same product to Brazil wherein the Brazilian authority had also </w:t>
      </w:r>
      <w:r w:rsidR="00AD4B27">
        <w:rPr>
          <w:szCs w:val="16"/>
        </w:rPr>
        <w:t>provided reasons</w:t>
      </w:r>
      <w:r w:rsidR="00AD4B27" w:rsidRPr="00784DCC">
        <w:rPr>
          <w:szCs w:val="16"/>
        </w:rPr>
        <w:t xml:space="preserve"> </w:t>
      </w:r>
      <w:r w:rsidRPr="00784DCC">
        <w:rPr>
          <w:szCs w:val="16"/>
        </w:rPr>
        <w:t>why the applicant in that investigation unsuccessfully attempted to obtain domestic sales prices. The Panel, however, rejected Colombia's argument, noting that there was nothing on the record, as there had been in the Brazilian investigation, indicating that FEDEPAPA attempted to obtain, or otherwise faced difficulties in obtaining, domestic sales prices. (Panel</w:t>
      </w:r>
      <w:r w:rsidR="00F2224B" w:rsidRPr="00784DCC">
        <w:rPr>
          <w:szCs w:val="16"/>
        </w:rPr>
        <w:t> Report</w:t>
      </w:r>
      <w:r w:rsidRPr="00784DCC">
        <w:rPr>
          <w:szCs w:val="16"/>
        </w:rPr>
        <w:t>, para.</w:t>
      </w:r>
      <w:r w:rsidR="00F2224B" w:rsidRPr="00784DCC">
        <w:rPr>
          <w:szCs w:val="16"/>
        </w:rPr>
        <w:t> </w:t>
      </w:r>
      <w:r w:rsidRPr="00784DCC">
        <w:rPr>
          <w:szCs w:val="16"/>
        </w:rPr>
        <w:t xml:space="preserve">7.77) </w:t>
      </w:r>
    </w:p>
  </w:footnote>
  <w:footnote w:id="38">
    <w:p w14:paraId="63398DA7" w14:textId="57C5710E" w:rsidR="00F572D3" w:rsidRPr="00784DCC" w:rsidRDefault="00F572D3" w:rsidP="00F572D3">
      <w:pPr>
        <w:pStyle w:val="FootnoteText"/>
      </w:pPr>
      <w:r w:rsidRPr="00784DCC">
        <w:rPr>
          <w:rStyle w:val="FootnoteReference"/>
        </w:rPr>
        <w:footnoteRef/>
      </w:r>
      <w:r w:rsidRPr="00784DCC">
        <w:t xml:space="preserve"> Panel</w:t>
      </w:r>
      <w:r w:rsidR="00F2224B" w:rsidRPr="00784DCC">
        <w:t> Report</w:t>
      </w:r>
      <w:r w:rsidRPr="00784DCC">
        <w:t>, para.</w:t>
      </w:r>
      <w:r w:rsidR="00F2224B" w:rsidRPr="00784DCC">
        <w:t> </w:t>
      </w:r>
      <w:r w:rsidRPr="00784DCC">
        <w:t>7.78.</w:t>
      </w:r>
    </w:p>
  </w:footnote>
  <w:footnote w:id="39">
    <w:p w14:paraId="550F42B0" w14:textId="07EC1031" w:rsidR="00DE1DB4" w:rsidRDefault="00DE1DB4">
      <w:pPr>
        <w:pStyle w:val="FootnoteText"/>
      </w:pPr>
      <w:r>
        <w:rPr>
          <w:rStyle w:val="FootnoteReference"/>
        </w:rPr>
        <w:footnoteRef/>
      </w:r>
      <w:r>
        <w:t xml:space="preserve"> </w:t>
      </w:r>
      <w:r w:rsidR="00AD4B27">
        <w:t>Parties' responses to questioning at the hearing.</w:t>
      </w:r>
    </w:p>
  </w:footnote>
  <w:footnote w:id="40">
    <w:p w14:paraId="31FC1D8E" w14:textId="682A269B" w:rsidR="00F572D3" w:rsidRPr="00784DCC" w:rsidRDefault="00F572D3" w:rsidP="00F572D3">
      <w:pPr>
        <w:pStyle w:val="FootnoteText"/>
      </w:pPr>
      <w:r w:rsidRPr="00784DCC">
        <w:rPr>
          <w:rStyle w:val="FootnoteReference"/>
        </w:rPr>
        <w:footnoteRef/>
      </w:r>
      <w:r w:rsidRPr="00784DCC">
        <w:t xml:space="preserve"> Panel</w:t>
      </w:r>
      <w:r w:rsidR="00F2224B" w:rsidRPr="00784DCC">
        <w:t> Report</w:t>
      </w:r>
      <w:r w:rsidRPr="00784DCC">
        <w:t>, para.</w:t>
      </w:r>
      <w:r w:rsidR="00F2224B" w:rsidRPr="00784DCC">
        <w:t> </w:t>
      </w:r>
      <w:r w:rsidRPr="00784DCC">
        <w:t>7.4.</w:t>
      </w:r>
    </w:p>
  </w:footnote>
  <w:footnote w:id="41">
    <w:p w14:paraId="30069AEB" w14:textId="57C305C0" w:rsidR="00F572D3" w:rsidRPr="00784DCC" w:rsidRDefault="00F572D3" w:rsidP="00F572D3">
      <w:pPr>
        <w:pStyle w:val="FootnoteText"/>
      </w:pPr>
      <w:r w:rsidRPr="00784DCC">
        <w:rPr>
          <w:rStyle w:val="FootnoteReference"/>
        </w:rPr>
        <w:footnoteRef/>
      </w:r>
      <w:r w:rsidRPr="00784DCC">
        <w:t xml:space="preserve"> Panel</w:t>
      </w:r>
      <w:r w:rsidR="00F2224B" w:rsidRPr="00784DCC">
        <w:t> Report</w:t>
      </w:r>
      <w:r w:rsidRPr="00784DCC">
        <w:t>, para.</w:t>
      </w:r>
      <w:r w:rsidR="00F2224B" w:rsidRPr="00784DCC">
        <w:t> </w:t>
      </w:r>
      <w:r w:rsidRPr="00784DCC">
        <w:t>7.14 (referring to Panel</w:t>
      </w:r>
      <w:r w:rsidR="00F2224B" w:rsidRPr="00784DCC">
        <w:t> Report</w:t>
      </w:r>
      <w:r w:rsidRPr="00784DCC">
        <w:t xml:space="preserve">s, </w:t>
      </w:r>
      <w:r w:rsidRPr="00784DCC">
        <w:rPr>
          <w:i/>
          <w:iCs/>
        </w:rPr>
        <w:t>Argentina – Poultry Anti-Dumping Duties</w:t>
      </w:r>
      <w:r w:rsidRPr="00784DCC">
        <w:t xml:space="preserve">, para. 7.60; </w:t>
      </w:r>
      <w:r w:rsidRPr="00784DCC">
        <w:rPr>
          <w:i/>
          <w:iCs/>
        </w:rPr>
        <w:t>Mexico – Steel Pipes and Tubes</w:t>
      </w:r>
      <w:r w:rsidRPr="00784DCC">
        <w:t>, paras.</w:t>
      </w:r>
      <w:r w:rsidR="00DA0ACF" w:rsidRPr="00784DCC">
        <w:t> </w:t>
      </w:r>
      <w:r w:rsidRPr="00784DCC">
        <w:t xml:space="preserve">7.26 and 7.32; </w:t>
      </w:r>
      <w:r w:rsidRPr="00784DCC">
        <w:rPr>
          <w:i/>
          <w:iCs/>
        </w:rPr>
        <w:t>US – Softwood Lumber V</w:t>
      </w:r>
      <w:r w:rsidRPr="00784DCC">
        <w:t xml:space="preserve">, para. 7.79; and </w:t>
      </w:r>
      <w:r w:rsidRPr="00784DCC">
        <w:rPr>
          <w:i/>
          <w:iCs/>
        </w:rPr>
        <w:t>Guatemala – Cement II</w:t>
      </w:r>
      <w:r w:rsidRPr="00784DCC">
        <w:t>, para. 8.31).</w:t>
      </w:r>
    </w:p>
  </w:footnote>
  <w:footnote w:id="42">
    <w:p w14:paraId="666608A8" w14:textId="77777777" w:rsidR="00BE75D2" w:rsidRPr="00784DCC" w:rsidRDefault="00BE75D2" w:rsidP="00BE75D2">
      <w:pPr>
        <w:pStyle w:val="FootnoteText"/>
      </w:pPr>
      <w:r w:rsidRPr="00784DCC">
        <w:rPr>
          <w:rStyle w:val="FootnoteReference"/>
        </w:rPr>
        <w:footnoteRef/>
      </w:r>
      <w:r w:rsidRPr="00784DCC">
        <w:t xml:space="preserve"> Panel Report, para. 7.286.</w:t>
      </w:r>
    </w:p>
  </w:footnote>
  <w:footnote w:id="43">
    <w:p w14:paraId="14463617" w14:textId="5CC8A2B1" w:rsidR="00F572D3" w:rsidRPr="00784DCC" w:rsidRDefault="00F572D3" w:rsidP="00F572D3">
      <w:pPr>
        <w:pStyle w:val="FootnoteText"/>
        <w:rPr>
          <w:szCs w:val="16"/>
        </w:rPr>
      </w:pPr>
      <w:r w:rsidRPr="00784DCC">
        <w:rPr>
          <w:rStyle w:val="FootnoteReference"/>
        </w:rPr>
        <w:footnoteRef/>
      </w:r>
      <w:r w:rsidRPr="00784DCC">
        <w:t xml:space="preserve"> </w:t>
      </w:r>
      <w:r w:rsidRPr="00784DCC">
        <w:rPr>
          <w:rFonts w:cstheme="minorHAnsi"/>
        </w:rPr>
        <w:t>To do otherwise would correspond to a standard interpretative exercise applicable to any WTO</w:t>
      </w:r>
      <w:r w:rsidR="00F2224B" w:rsidRPr="00784DCC">
        <w:rPr>
          <w:rFonts w:cstheme="minorHAnsi"/>
        </w:rPr>
        <w:t> Agreement</w:t>
      </w:r>
      <w:r w:rsidRPr="00784DCC">
        <w:rPr>
          <w:rFonts w:cstheme="minorHAnsi"/>
        </w:rPr>
        <w:t xml:space="preserve"> and would fail to give </w:t>
      </w:r>
      <w:r w:rsidRPr="00784DCC">
        <w:rPr>
          <w:rFonts w:cstheme="minorHAnsi"/>
          <w:szCs w:val="16"/>
        </w:rPr>
        <w:t>effect to the unique character of Article</w:t>
      </w:r>
      <w:r w:rsidR="00F2224B" w:rsidRPr="00784DCC">
        <w:rPr>
          <w:rFonts w:cstheme="minorHAnsi"/>
          <w:szCs w:val="16"/>
        </w:rPr>
        <w:t> </w:t>
      </w:r>
      <w:r w:rsidRPr="00784DCC">
        <w:rPr>
          <w:rFonts w:cstheme="minorHAnsi"/>
          <w:szCs w:val="16"/>
        </w:rPr>
        <w:t>17.6 as it applies to the Anti</w:t>
      </w:r>
      <w:r w:rsidR="009B0B56" w:rsidRPr="00784DCC">
        <w:rPr>
          <w:rFonts w:cstheme="minorHAnsi"/>
          <w:szCs w:val="16"/>
        </w:rPr>
        <w:noBreakHyphen/>
      </w:r>
      <w:r w:rsidRPr="00784DCC">
        <w:rPr>
          <w:rFonts w:cstheme="minorHAnsi"/>
          <w:szCs w:val="16"/>
        </w:rPr>
        <w:t>Dumping Agreement. Had the drafters considered that Article</w:t>
      </w:r>
      <w:r w:rsidR="00F2224B" w:rsidRPr="00784DCC">
        <w:rPr>
          <w:rFonts w:cstheme="minorHAnsi"/>
          <w:szCs w:val="16"/>
        </w:rPr>
        <w:t> </w:t>
      </w:r>
      <w:r w:rsidRPr="00784DCC">
        <w:rPr>
          <w:rFonts w:cstheme="minorHAnsi"/>
          <w:szCs w:val="16"/>
        </w:rPr>
        <w:t>17.6 was simply reflective of a conventional approach to Vienna</w:t>
      </w:r>
      <w:r w:rsidR="00BA4836">
        <w:rPr>
          <w:rFonts w:cstheme="minorHAnsi"/>
          <w:szCs w:val="16"/>
        </w:rPr>
        <w:t> </w:t>
      </w:r>
      <w:r w:rsidR="00BA4836" w:rsidRPr="00423405">
        <w:rPr>
          <w:rFonts w:cstheme="minorHAnsi"/>
          <w:szCs w:val="16"/>
        </w:rPr>
        <w:t>Convention</w:t>
      </w:r>
      <w:r w:rsidR="00484EF9" w:rsidRPr="00423405">
        <w:rPr>
          <w:rFonts w:cstheme="minorHAnsi"/>
          <w:szCs w:val="16"/>
        </w:rPr>
        <w:t xml:space="preserve"> </w:t>
      </w:r>
      <w:r w:rsidRPr="00423405">
        <w:rPr>
          <w:rFonts w:cstheme="minorHAnsi"/>
          <w:szCs w:val="16"/>
        </w:rPr>
        <w:t xml:space="preserve">treaty interpretation, it is hard to see why they would have added the provision and why, in a separate </w:t>
      </w:r>
      <w:r w:rsidR="00294E73" w:rsidRPr="00423405">
        <w:rPr>
          <w:rFonts w:cstheme="minorHAnsi"/>
          <w:szCs w:val="16"/>
        </w:rPr>
        <w:t>decision</w:t>
      </w:r>
      <w:r w:rsidRPr="00423405">
        <w:rPr>
          <w:rFonts w:cstheme="minorHAnsi"/>
          <w:szCs w:val="16"/>
        </w:rPr>
        <w:t>, they</w:t>
      </w:r>
      <w:r w:rsidRPr="00784DCC">
        <w:rPr>
          <w:rFonts w:cstheme="minorHAnsi"/>
          <w:szCs w:val="16"/>
        </w:rPr>
        <w:t xml:space="preserve"> mandated that the "</w:t>
      </w:r>
      <w:r w:rsidRPr="00784DCC">
        <w:rPr>
          <w:rFonts w:cstheme="minorHAnsi"/>
          <w:color w:val="000000"/>
          <w:szCs w:val="16"/>
          <w:shd w:val="clear" w:color="auto" w:fill="FFFFFF"/>
        </w:rPr>
        <w:t xml:space="preserve">standard of review in </w:t>
      </w:r>
      <w:r w:rsidR="00270F7B">
        <w:rPr>
          <w:rFonts w:cstheme="minorHAnsi"/>
          <w:color w:val="000000"/>
          <w:szCs w:val="16"/>
          <w:shd w:val="clear" w:color="auto" w:fill="FFFFFF"/>
        </w:rPr>
        <w:t>paragraph </w:t>
      </w:r>
      <w:r w:rsidRPr="00784DCC">
        <w:rPr>
          <w:rFonts w:cstheme="minorHAnsi"/>
          <w:color w:val="000000"/>
          <w:szCs w:val="16"/>
          <w:shd w:val="clear" w:color="auto" w:fill="FFFFFF"/>
        </w:rPr>
        <w:t>6 of Article</w:t>
      </w:r>
      <w:r w:rsidR="00F2224B" w:rsidRPr="00784DCC">
        <w:rPr>
          <w:rFonts w:cstheme="minorHAnsi"/>
          <w:color w:val="000000"/>
          <w:szCs w:val="16"/>
          <w:shd w:val="clear" w:color="auto" w:fill="FFFFFF"/>
        </w:rPr>
        <w:t> </w:t>
      </w:r>
      <w:r w:rsidRPr="00784DCC">
        <w:rPr>
          <w:rFonts w:cstheme="minorHAnsi"/>
          <w:color w:val="000000"/>
          <w:szCs w:val="16"/>
          <w:shd w:val="clear" w:color="auto" w:fill="FFFFFF"/>
        </w:rPr>
        <w:t>17</w:t>
      </w:r>
      <w:r w:rsidR="009B0B56" w:rsidRPr="00784DCC">
        <w:rPr>
          <w:rFonts w:cstheme="minorHAnsi"/>
          <w:color w:val="000000"/>
          <w:szCs w:val="16"/>
          <w:shd w:val="clear" w:color="auto" w:fill="FFFFFF"/>
        </w:rPr>
        <w:t> </w:t>
      </w:r>
      <w:r w:rsidRPr="00784DCC">
        <w:rPr>
          <w:rFonts w:cstheme="minorHAnsi"/>
          <w:color w:val="000000"/>
          <w:szCs w:val="16"/>
          <w:shd w:val="clear" w:color="auto" w:fill="FFFFFF"/>
        </w:rPr>
        <w:t>… shall be reviewed after a period of three years with a view to considering the question of whether it is capable of general application." (Decision on Review of Article</w:t>
      </w:r>
      <w:r w:rsidR="00F2224B" w:rsidRPr="00784DCC">
        <w:rPr>
          <w:rFonts w:cstheme="minorHAnsi"/>
          <w:color w:val="000000"/>
          <w:szCs w:val="16"/>
          <w:shd w:val="clear" w:color="auto" w:fill="FFFFFF"/>
        </w:rPr>
        <w:t> </w:t>
      </w:r>
      <w:r w:rsidRPr="00784DCC">
        <w:rPr>
          <w:rFonts w:cstheme="minorHAnsi"/>
          <w:color w:val="000000"/>
          <w:szCs w:val="16"/>
          <w:shd w:val="clear" w:color="auto" w:fill="FFFFFF"/>
        </w:rPr>
        <w:t>17.6 of the Agreement on Implementation of Article</w:t>
      </w:r>
      <w:r w:rsidR="00F2224B" w:rsidRPr="00784DCC">
        <w:rPr>
          <w:rFonts w:cstheme="minorHAnsi"/>
          <w:color w:val="000000"/>
          <w:szCs w:val="16"/>
          <w:shd w:val="clear" w:color="auto" w:fill="FFFFFF"/>
        </w:rPr>
        <w:t> </w:t>
      </w:r>
      <w:r w:rsidRPr="00784DCC">
        <w:rPr>
          <w:rFonts w:cstheme="minorHAnsi"/>
          <w:color w:val="000000"/>
          <w:szCs w:val="16"/>
          <w:shd w:val="clear" w:color="auto" w:fill="FFFFFF"/>
        </w:rPr>
        <w:t>VI of the General Agreement on Tariffs and Trade 1994)</w:t>
      </w:r>
    </w:p>
  </w:footnote>
  <w:footnote w:id="44">
    <w:p w14:paraId="6495DDC1" w14:textId="1816442F" w:rsidR="00F572D3" w:rsidRPr="00784DCC" w:rsidRDefault="00F572D3" w:rsidP="00F572D3">
      <w:pPr>
        <w:pStyle w:val="FootnoteText"/>
        <w:rPr>
          <w:szCs w:val="16"/>
        </w:rPr>
      </w:pPr>
      <w:r w:rsidRPr="00784DCC">
        <w:rPr>
          <w:rStyle w:val="FootnoteReference"/>
          <w:szCs w:val="16"/>
        </w:rPr>
        <w:footnoteRef/>
      </w:r>
      <w:r w:rsidRPr="00784DCC">
        <w:rPr>
          <w:szCs w:val="16"/>
        </w:rPr>
        <w:t xml:space="preserve"> </w:t>
      </w:r>
      <w:r w:rsidRPr="00784DCC">
        <w:rPr>
          <w:rFonts w:cstheme="minorHAnsi"/>
          <w:szCs w:val="16"/>
        </w:rPr>
        <w:t xml:space="preserve">See Ian Sinclair, </w:t>
      </w:r>
      <w:r w:rsidRPr="00784DCC">
        <w:rPr>
          <w:rFonts w:cstheme="minorHAnsi"/>
          <w:i/>
          <w:iCs/>
          <w:szCs w:val="16"/>
        </w:rPr>
        <w:t>The Vienna</w:t>
      </w:r>
      <w:r w:rsidR="00BA4836">
        <w:rPr>
          <w:rFonts w:cstheme="minorHAnsi"/>
          <w:i/>
          <w:iCs/>
          <w:szCs w:val="16"/>
        </w:rPr>
        <w:t> Convention</w:t>
      </w:r>
      <w:r w:rsidRPr="00784DCC">
        <w:rPr>
          <w:rFonts w:cstheme="minorHAnsi"/>
          <w:i/>
          <w:iCs/>
          <w:szCs w:val="16"/>
        </w:rPr>
        <w:t xml:space="preserve"> on the Law of Treaties</w:t>
      </w:r>
      <w:r w:rsidRPr="00784DCC">
        <w:rPr>
          <w:rFonts w:cstheme="minorHAnsi"/>
          <w:szCs w:val="16"/>
        </w:rPr>
        <w:t xml:space="preserve">, 2nd edn (Manchester Press, 1984), </w:t>
      </w:r>
      <w:r w:rsidRPr="00916B88">
        <w:rPr>
          <w:rFonts w:cstheme="minorHAnsi"/>
          <w:szCs w:val="16"/>
        </w:rPr>
        <w:t>p.</w:t>
      </w:r>
      <w:r w:rsidR="009B0B56" w:rsidRPr="00916B88">
        <w:rPr>
          <w:rFonts w:cstheme="minorHAnsi"/>
          <w:szCs w:val="16"/>
        </w:rPr>
        <w:t> </w:t>
      </w:r>
      <w:r w:rsidR="00AD4B27" w:rsidRPr="00916B88">
        <w:rPr>
          <w:rFonts w:cstheme="minorHAnsi"/>
          <w:szCs w:val="16"/>
        </w:rPr>
        <w:t>153</w:t>
      </w:r>
      <w:r w:rsidR="00AD4B27" w:rsidRPr="00784DCC">
        <w:rPr>
          <w:rFonts w:cstheme="minorHAnsi"/>
          <w:szCs w:val="16"/>
        </w:rPr>
        <w:t xml:space="preserve"> </w:t>
      </w:r>
      <w:r w:rsidRPr="00784DCC">
        <w:rPr>
          <w:rFonts w:cstheme="minorHAnsi"/>
          <w:szCs w:val="16"/>
        </w:rPr>
        <w:t xml:space="preserve">("review of recent international case law on treaty interpretation reveals only too clearly that widely differing results can still be achieved even if a conscious effort is being made to apply the Convention rules"); and </w:t>
      </w:r>
      <w:r w:rsidRPr="00784DCC">
        <w:rPr>
          <w:rFonts w:cs="Segoe UI"/>
          <w:color w:val="242424"/>
          <w:szCs w:val="16"/>
          <w:shd w:val="clear" w:color="auto" w:fill="FFFFFF"/>
        </w:rPr>
        <w:t>D. McRae, "Treaty Interpretation by the WTO Appellate</w:t>
      </w:r>
      <w:r w:rsidR="00DA0ACF" w:rsidRPr="00784DCC">
        <w:rPr>
          <w:rFonts w:cs="Segoe UI"/>
          <w:color w:val="242424"/>
          <w:szCs w:val="16"/>
          <w:shd w:val="clear" w:color="auto" w:fill="FFFFFF"/>
        </w:rPr>
        <w:t> Body</w:t>
      </w:r>
      <w:r w:rsidRPr="00784DCC">
        <w:rPr>
          <w:rFonts w:cs="Segoe UI"/>
          <w:color w:val="242424"/>
          <w:szCs w:val="16"/>
          <w:shd w:val="clear" w:color="auto" w:fill="FFFFFF"/>
        </w:rPr>
        <w:t>: The Conundrum of Article</w:t>
      </w:r>
      <w:r w:rsidR="00F2224B" w:rsidRPr="00784DCC">
        <w:rPr>
          <w:rFonts w:cs="Segoe UI"/>
          <w:color w:val="242424"/>
          <w:szCs w:val="16"/>
          <w:shd w:val="clear" w:color="auto" w:fill="FFFFFF"/>
        </w:rPr>
        <w:t> </w:t>
      </w:r>
      <w:r w:rsidRPr="00784DCC">
        <w:rPr>
          <w:rFonts w:cs="Segoe UI"/>
          <w:color w:val="242424"/>
          <w:szCs w:val="16"/>
          <w:shd w:val="clear" w:color="auto" w:fill="FFFFFF"/>
        </w:rPr>
        <w:t>17(6) of the Anti</w:t>
      </w:r>
      <w:r w:rsidR="009B0B56" w:rsidRPr="00784DCC">
        <w:rPr>
          <w:rFonts w:cs="Segoe UI"/>
          <w:color w:val="242424"/>
          <w:szCs w:val="16"/>
          <w:shd w:val="clear" w:color="auto" w:fill="FFFFFF"/>
        </w:rPr>
        <w:noBreakHyphen/>
      </w:r>
      <w:r w:rsidRPr="00784DCC">
        <w:rPr>
          <w:rFonts w:cs="Segoe UI"/>
          <w:color w:val="242424"/>
          <w:szCs w:val="16"/>
          <w:shd w:val="clear" w:color="auto" w:fill="FFFFFF"/>
        </w:rPr>
        <w:t>Dumping Agreement", in E. Cannizzaro (ed.), </w:t>
      </w:r>
      <w:r w:rsidRPr="00784DCC">
        <w:rPr>
          <w:rFonts w:cs="Segoe UI"/>
          <w:i/>
          <w:iCs/>
          <w:color w:val="242424"/>
          <w:szCs w:val="16"/>
          <w:shd w:val="clear" w:color="auto" w:fill="FFFFFF"/>
        </w:rPr>
        <w:t>The Law of Treaties Beyond the Vienna</w:t>
      </w:r>
      <w:r w:rsidR="00BA4836">
        <w:rPr>
          <w:rFonts w:cs="Segoe UI"/>
          <w:i/>
          <w:iCs/>
          <w:color w:val="242424"/>
          <w:szCs w:val="16"/>
          <w:shd w:val="clear" w:color="auto" w:fill="FFFFFF"/>
        </w:rPr>
        <w:t> Convention</w:t>
      </w:r>
      <w:r w:rsidRPr="00784DCC">
        <w:rPr>
          <w:rFonts w:cs="Segoe UI"/>
          <w:color w:val="242424"/>
          <w:szCs w:val="16"/>
          <w:shd w:val="clear" w:color="auto" w:fill="FFFFFF"/>
        </w:rPr>
        <w:t xml:space="preserve"> (Oxford University Press, 2011), Chapter 10, </w:t>
      </w:r>
      <w:r w:rsidR="00270F7B">
        <w:rPr>
          <w:rFonts w:cs="Segoe UI"/>
          <w:color w:val="242424"/>
          <w:szCs w:val="16"/>
          <w:shd w:val="clear" w:color="auto" w:fill="FFFFFF"/>
        </w:rPr>
        <w:t>p. </w:t>
      </w:r>
      <w:r w:rsidRPr="00784DCC">
        <w:rPr>
          <w:rFonts w:cs="Segoe UI"/>
          <w:color w:val="242424"/>
          <w:szCs w:val="16"/>
          <w:shd w:val="clear" w:color="auto" w:fill="FFFFFF"/>
        </w:rPr>
        <w:t>179</w:t>
      </w:r>
      <w:r w:rsidRPr="00784DCC">
        <w:rPr>
          <w:rFonts w:cstheme="minorHAnsi"/>
          <w:szCs w:val="16"/>
        </w:rPr>
        <w:t xml:space="preserve"> ("the Vienna</w:t>
      </w:r>
      <w:r w:rsidR="00BA4836">
        <w:rPr>
          <w:rFonts w:cstheme="minorHAnsi"/>
          <w:szCs w:val="16"/>
        </w:rPr>
        <w:t> Convention</w:t>
      </w:r>
      <w:r w:rsidRPr="00784DCC">
        <w:rPr>
          <w:rFonts w:cstheme="minorHAnsi"/>
          <w:szCs w:val="16"/>
        </w:rPr>
        <w:t xml:space="preserve"> rules are not primary rules of obligation; they are secondary rules telling states and adjudicators how to go about the process of interpretation. They do contain obligations within them, for example, not to resort to preparatory work unless the result is ambiguous or manifestly absurd. They do not, however, dictate any particular result. They are facilitative not disciplinary and do not 'instruct the treaty interpreter to find a single meaning of the treaty' as a former Appellate</w:t>
      </w:r>
      <w:r w:rsidR="00DA0ACF" w:rsidRPr="00784DCC">
        <w:rPr>
          <w:rFonts w:cstheme="minorHAnsi"/>
          <w:szCs w:val="16"/>
        </w:rPr>
        <w:t> Body</w:t>
      </w:r>
      <w:r w:rsidRPr="00784DCC">
        <w:rPr>
          <w:rFonts w:cstheme="minorHAnsi"/>
          <w:szCs w:val="16"/>
        </w:rPr>
        <w:t xml:space="preserve"> member has written … Under this view, an interpretation is authoritative not because of the application of the Vienna</w:t>
      </w:r>
      <w:r w:rsidR="00BA4836">
        <w:rPr>
          <w:rFonts w:cstheme="minorHAnsi"/>
          <w:szCs w:val="16"/>
        </w:rPr>
        <w:t> Convention</w:t>
      </w:r>
      <w:r w:rsidRPr="00784DCC">
        <w:rPr>
          <w:rFonts w:cstheme="minorHAnsi"/>
          <w:szCs w:val="16"/>
        </w:rPr>
        <w:t>, but rather because of the authority of the tribunal that made the choice amongst the various possible interpretations. In this light, the existence of one or more permissible interpretations in any interpretative exercise is the norm rather than the exception. It is based on the view that the core of interpretation is choice."). (</w:t>
      </w:r>
      <w:r w:rsidR="0046003C" w:rsidRPr="00784DCC">
        <w:rPr>
          <w:rFonts w:cstheme="minorHAnsi"/>
          <w:szCs w:val="16"/>
        </w:rPr>
        <w:t>fns</w:t>
      </w:r>
      <w:r w:rsidR="00F2224B" w:rsidRPr="00784DCC">
        <w:rPr>
          <w:rFonts w:cstheme="minorHAnsi"/>
          <w:szCs w:val="16"/>
        </w:rPr>
        <w:t> </w:t>
      </w:r>
      <w:r w:rsidRPr="00784DCC">
        <w:rPr>
          <w:rFonts w:cstheme="minorHAnsi"/>
          <w:szCs w:val="16"/>
        </w:rPr>
        <w:t>omitted)</w:t>
      </w:r>
    </w:p>
  </w:footnote>
  <w:footnote w:id="45">
    <w:p w14:paraId="6469274D" w14:textId="2E0A1A92" w:rsidR="00F572D3" w:rsidRPr="00784DCC" w:rsidRDefault="00F572D3" w:rsidP="00F572D3">
      <w:pPr>
        <w:pStyle w:val="FootnoteText"/>
      </w:pPr>
      <w:r w:rsidRPr="00784DCC">
        <w:rPr>
          <w:rStyle w:val="FootnoteReference"/>
          <w:szCs w:val="16"/>
        </w:rPr>
        <w:footnoteRef/>
      </w:r>
      <w:r w:rsidRPr="00784DCC">
        <w:rPr>
          <w:szCs w:val="16"/>
        </w:rPr>
        <w:t xml:space="preserve"> </w:t>
      </w:r>
      <w:r w:rsidR="0035258F" w:rsidRPr="00784DCC">
        <w:rPr>
          <w:color w:val="212121"/>
        </w:rPr>
        <w:t xml:space="preserve">According to the Oxford English Dictionary online, </w:t>
      </w:r>
      <w:hyperlink r:id="rId2" w:anchor="eid" w:history="1">
        <w:r w:rsidR="0035258F" w:rsidRPr="00784DCC">
          <w:rPr>
            <w:rStyle w:val="Hyperlink"/>
          </w:rPr>
          <w:t>https://www.oed.com/view/Entry/141213?redirectedFrom=permissible - eid</w:t>
        </w:r>
      </w:hyperlink>
      <w:r w:rsidR="0035258F" w:rsidRPr="00784DCC">
        <w:rPr>
          <w:color w:val="212121"/>
        </w:rPr>
        <w:t xml:space="preserve">, "permissible" means "[t]hat can or ought to be permitted; allowable". The French version of the Anti-Dumping Agreement uses the term "interprétation admissible"; in the </w:t>
      </w:r>
      <w:r w:rsidR="0035258F" w:rsidRPr="00784DCC">
        <w:rPr>
          <w:i/>
          <w:iCs/>
        </w:rPr>
        <w:t>Dictionnaires Le Robert</w:t>
      </w:r>
      <w:r w:rsidR="0035258F" w:rsidRPr="00784DCC">
        <w:t xml:space="preserve"> </w:t>
      </w:r>
      <w:r w:rsidR="0035258F" w:rsidRPr="00784DCC">
        <w:rPr>
          <w:color w:val="212121"/>
        </w:rPr>
        <w:t xml:space="preserve">online, </w:t>
      </w:r>
      <w:hyperlink r:id="rId3" w:history="1">
        <w:r w:rsidR="0035258F" w:rsidRPr="00784DCC">
          <w:rPr>
            <w:rStyle w:val="Hyperlink"/>
          </w:rPr>
          <w:t>https://dictionnaire.lerobert.com/definition/admissible</w:t>
        </w:r>
      </w:hyperlink>
      <w:r w:rsidR="0035258F" w:rsidRPr="00784DCC">
        <w:t xml:space="preserve">, </w:t>
      </w:r>
      <w:r w:rsidR="0035258F" w:rsidRPr="00784DCC">
        <w:rPr>
          <w:color w:val="212121"/>
        </w:rPr>
        <w:t>"admissible" means "</w:t>
      </w:r>
      <w:r w:rsidR="0035258F" w:rsidRPr="00784DCC">
        <w:t>[q]</w:t>
      </w:r>
      <w:r w:rsidR="0035258F" w:rsidRPr="00784DCC">
        <w:rPr>
          <w:color w:val="212121"/>
        </w:rPr>
        <w:t xml:space="preserve">u'on peut admettre". The Spanish version of the Anti-Dumping Agreement uses the term "interpretaciones admisibles"; in the </w:t>
      </w:r>
      <w:r w:rsidR="0035258F" w:rsidRPr="00784DCC">
        <w:rPr>
          <w:i/>
          <w:iCs/>
        </w:rPr>
        <w:t xml:space="preserve">Diccionario de la lengua española, Real Academia Española </w:t>
      </w:r>
      <w:r w:rsidR="0035258F" w:rsidRPr="00784DCC">
        <w:t xml:space="preserve">online, </w:t>
      </w:r>
      <w:hyperlink r:id="rId4" w:history="1">
        <w:r w:rsidR="0035258F" w:rsidRPr="00784DCC">
          <w:rPr>
            <w:rStyle w:val="Hyperlink"/>
          </w:rPr>
          <w:t>https://dle.rae.es/admisible?m=form</w:t>
        </w:r>
      </w:hyperlink>
      <w:r w:rsidR="0035258F" w:rsidRPr="00784DCC">
        <w:t xml:space="preserve">, </w:t>
      </w:r>
      <w:r w:rsidR="0035258F" w:rsidRPr="00784DCC">
        <w:rPr>
          <w:color w:val="212121"/>
        </w:rPr>
        <w:t xml:space="preserve">"admisible" means "[q]ue puede admitirse". In the Oxford French to English Dictionary online, </w:t>
      </w:r>
      <w:hyperlink r:id="rId5" w:history="1">
        <w:r w:rsidR="0035258F" w:rsidRPr="00784DCC">
          <w:rPr>
            <w:rStyle w:val="Hyperlink"/>
          </w:rPr>
          <w:t>https://premium.oxforddictionaries.com/translate/french-english/admissible</w:t>
        </w:r>
      </w:hyperlink>
      <w:r w:rsidR="0035258F" w:rsidRPr="00784DCC">
        <w:rPr>
          <w:color w:val="212121"/>
        </w:rPr>
        <w:t xml:space="preserve">, "admissible" means "acceptable" and "admissible". Similarly, in the Oxford Spanish to English Dictionary online, </w:t>
      </w:r>
      <w:hyperlink r:id="rId6" w:history="1">
        <w:r w:rsidR="0035258F" w:rsidRPr="00784DCC">
          <w:rPr>
            <w:rStyle w:val="Hyperlink"/>
          </w:rPr>
          <w:t>https://premium.oxforddictionaries.com/translate/spanish-english/admisible</w:t>
        </w:r>
      </w:hyperlink>
      <w:r w:rsidR="0035258F" w:rsidRPr="00784DCC">
        <w:rPr>
          <w:color w:val="212121"/>
        </w:rPr>
        <w:t>, "admisible" means "acceptable" (all definitions accessed on 2</w:t>
      </w:r>
      <w:r w:rsidR="00BA4836">
        <w:rPr>
          <w:color w:val="212121"/>
        </w:rPr>
        <w:t> </w:t>
      </w:r>
      <w:r w:rsidR="0035258F" w:rsidRPr="00784DCC">
        <w:rPr>
          <w:color w:val="212121"/>
        </w:rPr>
        <w:t>December</w:t>
      </w:r>
      <w:r w:rsidR="00BA4836">
        <w:rPr>
          <w:color w:val="212121"/>
        </w:rPr>
        <w:t> </w:t>
      </w:r>
      <w:r w:rsidR="0035258F" w:rsidRPr="00784DCC">
        <w:rPr>
          <w:color w:val="212121"/>
        </w:rPr>
        <w:t>2022)</w:t>
      </w:r>
      <w:r w:rsidR="00CB14C8" w:rsidRPr="00784DCC">
        <w:rPr>
          <w:color w:val="212121"/>
        </w:rPr>
        <w:t>.</w:t>
      </w:r>
    </w:p>
  </w:footnote>
  <w:footnote w:id="46">
    <w:p w14:paraId="3115AE48" w14:textId="41C71111" w:rsidR="00F572D3" w:rsidRPr="00784DCC" w:rsidRDefault="00F572D3" w:rsidP="00F572D3">
      <w:pPr>
        <w:pStyle w:val="FootnoteText"/>
      </w:pPr>
      <w:r w:rsidRPr="00784DCC">
        <w:rPr>
          <w:rStyle w:val="FootnoteReference"/>
        </w:rPr>
        <w:footnoteRef/>
      </w:r>
      <w:r w:rsidRPr="00784DCC">
        <w:t xml:space="preserve"> Colombia's </w:t>
      </w:r>
      <w:r w:rsidR="00DA744F">
        <w:t xml:space="preserve">written </w:t>
      </w:r>
      <w:r w:rsidRPr="00784DCC">
        <w:t>submission, para.</w:t>
      </w:r>
      <w:r w:rsidR="00F2224B" w:rsidRPr="00784DCC">
        <w:t> </w:t>
      </w:r>
      <w:r w:rsidRPr="00784DCC">
        <w:t>4.23.</w:t>
      </w:r>
    </w:p>
  </w:footnote>
  <w:footnote w:id="47">
    <w:p w14:paraId="27CBDCEB" w14:textId="2942776C" w:rsidR="00F572D3" w:rsidRPr="00784DCC" w:rsidRDefault="00F572D3" w:rsidP="00F572D3">
      <w:pPr>
        <w:pStyle w:val="FootnoteText"/>
      </w:pPr>
      <w:r w:rsidRPr="00784DCC">
        <w:rPr>
          <w:rStyle w:val="FootnoteReference"/>
        </w:rPr>
        <w:footnoteRef/>
      </w:r>
      <w:r w:rsidRPr="00784DCC">
        <w:t xml:space="preserve"> Colombia's </w:t>
      </w:r>
      <w:r w:rsidR="00DA744F">
        <w:t xml:space="preserve">written </w:t>
      </w:r>
      <w:r w:rsidRPr="00784DCC">
        <w:t>submission, para.</w:t>
      </w:r>
      <w:r w:rsidR="00F2224B" w:rsidRPr="00784DCC">
        <w:t> </w:t>
      </w:r>
      <w:r w:rsidRPr="00784DCC">
        <w:t>4.42. See also ibid., para.</w:t>
      </w:r>
      <w:r w:rsidR="00F2224B" w:rsidRPr="00784DCC">
        <w:t> </w:t>
      </w:r>
      <w:r w:rsidRPr="00784DCC">
        <w:t>4.</w:t>
      </w:r>
      <w:r w:rsidR="00BE432C" w:rsidRPr="00784DCC">
        <w:t xml:space="preserve">19 </w:t>
      </w:r>
      <w:r w:rsidRPr="00784DCC">
        <w:t>(</w:t>
      </w:r>
      <w:r w:rsidR="00BE75D2">
        <w:t xml:space="preserve">stating that </w:t>
      </w:r>
      <w:r w:rsidRPr="00784DCC">
        <w:t>"</w:t>
      </w:r>
      <w:r w:rsidR="00BE75D2">
        <w:t>[t]</w:t>
      </w:r>
      <w:r w:rsidRPr="00784DCC">
        <w:t>he applicant may thus freely decide whether to rely on domestic sales price, third-country sales prices, or constructed normal value.").</w:t>
      </w:r>
    </w:p>
  </w:footnote>
  <w:footnote w:id="48">
    <w:p w14:paraId="52E6F844" w14:textId="658C994C" w:rsidR="00F572D3" w:rsidRPr="00784DCC" w:rsidRDefault="00F572D3" w:rsidP="00F572D3">
      <w:pPr>
        <w:pStyle w:val="FootnoteText"/>
      </w:pPr>
      <w:r w:rsidRPr="00784DCC">
        <w:rPr>
          <w:rStyle w:val="FootnoteReference"/>
        </w:rPr>
        <w:footnoteRef/>
      </w:r>
      <w:r w:rsidRPr="00784DCC">
        <w:t xml:space="preserve"> Colombia's </w:t>
      </w:r>
      <w:r w:rsidR="00DA744F">
        <w:t xml:space="preserve">written </w:t>
      </w:r>
      <w:r w:rsidRPr="00784DCC">
        <w:t>submission, paras.</w:t>
      </w:r>
      <w:r w:rsidR="00DA0ACF" w:rsidRPr="00784DCC">
        <w:t> </w:t>
      </w:r>
      <w:r w:rsidR="00442957" w:rsidRPr="00784DCC">
        <w:t>4.18-</w:t>
      </w:r>
      <w:r w:rsidRPr="00784DCC">
        <w:t>4.19 and 4.24.</w:t>
      </w:r>
    </w:p>
  </w:footnote>
  <w:footnote w:id="49">
    <w:p w14:paraId="01CF1AD4" w14:textId="5DE1F5D0" w:rsidR="00F572D3" w:rsidRPr="00784DCC" w:rsidRDefault="00F572D3" w:rsidP="00F572D3">
      <w:pPr>
        <w:pStyle w:val="FootnoteText"/>
      </w:pPr>
      <w:r w:rsidRPr="00784DCC">
        <w:rPr>
          <w:rStyle w:val="FootnoteReference"/>
        </w:rPr>
        <w:footnoteRef/>
      </w:r>
      <w:r w:rsidRPr="00784DCC">
        <w:t xml:space="preserve"> Colombia's </w:t>
      </w:r>
      <w:r w:rsidR="00DA744F">
        <w:t xml:space="preserve">written </w:t>
      </w:r>
      <w:r w:rsidRPr="00784DCC">
        <w:t>submission, paras.</w:t>
      </w:r>
      <w:r w:rsidR="00DA0ACF" w:rsidRPr="00784DCC">
        <w:t> </w:t>
      </w:r>
      <w:r w:rsidRPr="00784DCC">
        <w:t>4.19</w:t>
      </w:r>
      <w:r w:rsidR="00377D59" w:rsidRPr="00784DCC">
        <w:t>,</w:t>
      </w:r>
      <w:r w:rsidRPr="00784DCC">
        <w:t xml:space="preserve"> 4.43-4.44</w:t>
      </w:r>
      <w:r w:rsidR="00377D59" w:rsidRPr="00784DCC">
        <w:t>, and 4.70-4.77</w:t>
      </w:r>
      <w:r w:rsidRPr="00784DCC">
        <w:t>.</w:t>
      </w:r>
    </w:p>
  </w:footnote>
  <w:footnote w:id="50">
    <w:p w14:paraId="0144ED7E" w14:textId="54AA2D54" w:rsidR="00F572D3" w:rsidRPr="00784DCC" w:rsidRDefault="00F572D3" w:rsidP="00F572D3">
      <w:pPr>
        <w:pStyle w:val="FootnoteText"/>
      </w:pPr>
      <w:r w:rsidRPr="00784DCC">
        <w:rPr>
          <w:rStyle w:val="FootnoteReference"/>
        </w:rPr>
        <w:footnoteRef/>
      </w:r>
      <w:r w:rsidRPr="00784DCC">
        <w:t xml:space="preserve"> European</w:t>
      </w:r>
      <w:r w:rsidR="00DA0ACF" w:rsidRPr="00784DCC">
        <w:t> Union</w:t>
      </w:r>
      <w:r w:rsidRPr="00784DCC">
        <w:t xml:space="preserve">'s </w:t>
      </w:r>
      <w:r w:rsidR="00DA744F">
        <w:t>written</w:t>
      </w:r>
      <w:r w:rsidRPr="00784DCC">
        <w:t xml:space="preserve"> submission, para.</w:t>
      </w:r>
      <w:r w:rsidR="00F2224B" w:rsidRPr="00784DCC">
        <w:t> </w:t>
      </w:r>
      <w:r w:rsidRPr="00784DCC">
        <w:t>30.</w:t>
      </w:r>
    </w:p>
  </w:footnote>
  <w:footnote w:id="51">
    <w:p w14:paraId="4C57B046" w14:textId="1F99C4A3" w:rsidR="00F572D3" w:rsidRPr="00784DCC" w:rsidRDefault="00F572D3" w:rsidP="00F572D3">
      <w:pPr>
        <w:pStyle w:val="FootnoteText"/>
      </w:pPr>
      <w:r w:rsidRPr="00784DCC">
        <w:rPr>
          <w:rStyle w:val="FootnoteReference"/>
        </w:rPr>
        <w:footnoteRef/>
      </w:r>
      <w:r w:rsidRPr="00784DCC">
        <w:t xml:space="preserve"> European</w:t>
      </w:r>
      <w:r w:rsidR="00DA0ACF" w:rsidRPr="00784DCC">
        <w:t> Union</w:t>
      </w:r>
      <w:r w:rsidRPr="00784DCC">
        <w:t xml:space="preserve">'s </w:t>
      </w:r>
      <w:r w:rsidR="00DA744F">
        <w:t>written</w:t>
      </w:r>
      <w:r w:rsidRPr="00784DCC">
        <w:t xml:space="preserve"> submission, paras.</w:t>
      </w:r>
      <w:r w:rsidR="00DA0ACF" w:rsidRPr="00784DCC">
        <w:t> </w:t>
      </w:r>
      <w:r w:rsidRPr="00784DCC">
        <w:t>36 and 40.</w:t>
      </w:r>
    </w:p>
  </w:footnote>
  <w:footnote w:id="52">
    <w:p w14:paraId="5B12526D" w14:textId="691961E0" w:rsidR="00F572D3" w:rsidRPr="00784DCC" w:rsidRDefault="00F572D3" w:rsidP="00F572D3">
      <w:pPr>
        <w:pStyle w:val="FootnoteText"/>
      </w:pPr>
      <w:r w:rsidRPr="00784DCC">
        <w:rPr>
          <w:rStyle w:val="FootnoteReference"/>
        </w:rPr>
        <w:footnoteRef/>
      </w:r>
      <w:r w:rsidRPr="00784DCC">
        <w:t xml:space="preserve"> European</w:t>
      </w:r>
      <w:r w:rsidR="00DA0ACF" w:rsidRPr="00784DCC">
        <w:t> Union</w:t>
      </w:r>
      <w:r w:rsidRPr="00784DCC">
        <w:t xml:space="preserve">'s </w:t>
      </w:r>
      <w:r w:rsidR="00DA744F">
        <w:t>written</w:t>
      </w:r>
      <w:r w:rsidRPr="00784DCC">
        <w:t xml:space="preserve"> submission, paras.</w:t>
      </w:r>
      <w:r w:rsidR="00DA0ACF" w:rsidRPr="00784DCC">
        <w:t> </w:t>
      </w:r>
      <w:r w:rsidRPr="00784DCC">
        <w:t>43-48.</w:t>
      </w:r>
    </w:p>
  </w:footnote>
  <w:footnote w:id="53">
    <w:p w14:paraId="68F106FF" w14:textId="75EC347C" w:rsidR="00F572D3" w:rsidRPr="00784DCC" w:rsidRDefault="00F572D3" w:rsidP="00F572D3">
      <w:pPr>
        <w:pStyle w:val="FootnoteText"/>
      </w:pPr>
      <w:r w:rsidRPr="00784DCC">
        <w:rPr>
          <w:rStyle w:val="FootnoteReference"/>
        </w:rPr>
        <w:footnoteRef/>
      </w:r>
      <w:r w:rsidRPr="00784DCC">
        <w:t xml:space="preserve"> European</w:t>
      </w:r>
      <w:r w:rsidR="00DA0ACF" w:rsidRPr="00784DCC">
        <w:t> Union</w:t>
      </w:r>
      <w:r w:rsidRPr="00784DCC">
        <w:t xml:space="preserve">'s </w:t>
      </w:r>
      <w:r w:rsidR="00DA744F">
        <w:t>written</w:t>
      </w:r>
      <w:r w:rsidRPr="00784DCC">
        <w:t xml:space="preserve"> submission, paras.</w:t>
      </w:r>
      <w:r w:rsidR="00DA0ACF" w:rsidRPr="00784DCC">
        <w:t> </w:t>
      </w:r>
      <w:r w:rsidRPr="00784DCC">
        <w:t>49-50</w:t>
      </w:r>
      <w:r w:rsidR="00531513">
        <w:t xml:space="preserve"> (referring to Colombia's written submission, paras. 4.84-4.87)</w:t>
      </w:r>
      <w:r w:rsidRPr="00784DCC">
        <w:t>.</w:t>
      </w:r>
    </w:p>
  </w:footnote>
  <w:footnote w:id="54">
    <w:p w14:paraId="01A657F5" w14:textId="03B6859B" w:rsidR="00F572D3" w:rsidRPr="00784DCC" w:rsidRDefault="00F572D3" w:rsidP="00F572D3">
      <w:pPr>
        <w:pStyle w:val="FootnoteText"/>
      </w:pPr>
      <w:r w:rsidRPr="00784DCC">
        <w:rPr>
          <w:rStyle w:val="FootnoteReference"/>
        </w:rPr>
        <w:footnoteRef/>
      </w:r>
      <w:r w:rsidRPr="00784DCC">
        <w:t xml:space="preserve"> Colombia's </w:t>
      </w:r>
      <w:r w:rsidR="00DA744F">
        <w:t xml:space="preserve">written </w:t>
      </w:r>
      <w:r w:rsidRPr="00784DCC">
        <w:t>submission, paras.</w:t>
      </w:r>
      <w:r w:rsidR="00DA0ACF" w:rsidRPr="00784DCC">
        <w:t> </w:t>
      </w:r>
      <w:r w:rsidRPr="00784DCC">
        <w:t>4.19 and 4.43-4.44; Brazil's third party</w:t>
      </w:r>
      <w:r w:rsidR="0029676B">
        <w:t>'s</w:t>
      </w:r>
      <w:r w:rsidRPr="00784DCC">
        <w:t xml:space="preserve"> </w:t>
      </w:r>
      <w:r w:rsidR="00DA744F">
        <w:t xml:space="preserve">written </w:t>
      </w:r>
      <w:r w:rsidRPr="00784DCC">
        <w:t>submission, paras.</w:t>
      </w:r>
      <w:r w:rsidR="00DA0ACF" w:rsidRPr="00784DCC">
        <w:t> </w:t>
      </w:r>
      <w:r w:rsidRPr="00784DCC">
        <w:t>3</w:t>
      </w:r>
      <w:r w:rsidR="00A030F9">
        <w:noBreakHyphen/>
      </w:r>
      <w:r w:rsidRPr="00784DCC">
        <w:t>6; Japan's third party</w:t>
      </w:r>
      <w:r w:rsidR="0029676B">
        <w:t>'s</w:t>
      </w:r>
      <w:r w:rsidRPr="00784DCC">
        <w:t xml:space="preserve"> </w:t>
      </w:r>
      <w:r w:rsidR="00DA744F">
        <w:t xml:space="preserve">written </w:t>
      </w:r>
      <w:r w:rsidRPr="00784DCC">
        <w:t>submission, para.</w:t>
      </w:r>
      <w:r w:rsidR="00F2224B" w:rsidRPr="00784DCC">
        <w:t> </w:t>
      </w:r>
      <w:r w:rsidRPr="00784DCC">
        <w:t>21; United</w:t>
      </w:r>
      <w:r w:rsidR="00DA0ACF" w:rsidRPr="00784DCC">
        <w:t> States</w:t>
      </w:r>
      <w:r w:rsidRPr="00784DCC">
        <w:t>' third party</w:t>
      </w:r>
      <w:r w:rsidR="0029676B">
        <w:t>'s</w:t>
      </w:r>
      <w:r w:rsidRPr="00784DCC">
        <w:t xml:space="preserve"> </w:t>
      </w:r>
      <w:r w:rsidR="00DA744F">
        <w:t xml:space="preserve">written </w:t>
      </w:r>
      <w:r w:rsidRPr="00784DCC">
        <w:t>submission, paras.</w:t>
      </w:r>
      <w:r w:rsidR="00DA0ACF" w:rsidRPr="00784DCC">
        <w:t> </w:t>
      </w:r>
      <w:r w:rsidRPr="00784DCC">
        <w:t>6 and 8. See also Panel</w:t>
      </w:r>
      <w:r w:rsidR="00F2224B" w:rsidRPr="00784DCC">
        <w:t> Report</w:t>
      </w:r>
      <w:r w:rsidRPr="00784DCC">
        <w:t xml:space="preserve">, </w:t>
      </w:r>
      <w:r w:rsidRPr="00784DCC">
        <w:rPr>
          <w:i/>
          <w:iCs/>
        </w:rPr>
        <w:t>Guatemala – Cement</w:t>
      </w:r>
      <w:r w:rsidR="00990F05" w:rsidRPr="00784DCC">
        <w:rPr>
          <w:i/>
          <w:iCs/>
        </w:rPr>
        <w:t xml:space="preserve"> II</w:t>
      </w:r>
      <w:r w:rsidRPr="00784DCC">
        <w:t>, para.</w:t>
      </w:r>
      <w:r w:rsidR="00F2224B" w:rsidRPr="00784DCC">
        <w:t> </w:t>
      </w:r>
      <w:r w:rsidRPr="00784DCC">
        <w:t>8.35.</w:t>
      </w:r>
    </w:p>
  </w:footnote>
  <w:footnote w:id="55">
    <w:p w14:paraId="6588F405" w14:textId="0CE9BCCC" w:rsidR="00F572D3" w:rsidRPr="00784DCC" w:rsidRDefault="00F572D3" w:rsidP="00F572D3">
      <w:pPr>
        <w:pStyle w:val="FootnoteText"/>
        <w:rPr>
          <w:i/>
          <w:iCs/>
        </w:rPr>
      </w:pPr>
      <w:r w:rsidRPr="00784DCC">
        <w:rPr>
          <w:rStyle w:val="FootnoteReference"/>
        </w:rPr>
        <w:footnoteRef/>
      </w:r>
      <w:r w:rsidRPr="00784DCC">
        <w:t xml:space="preserve"> Panel</w:t>
      </w:r>
      <w:r w:rsidR="00F2224B" w:rsidRPr="00784DCC">
        <w:t> Report</w:t>
      </w:r>
      <w:r w:rsidRPr="00784DCC">
        <w:t xml:space="preserve">, </w:t>
      </w:r>
      <w:r w:rsidRPr="00784DCC">
        <w:rPr>
          <w:i/>
          <w:iCs/>
        </w:rPr>
        <w:t>EC – Bed Linen</w:t>
      </w:r>
      <w:r w:rsidRPr="00784DCC">
        <w:t>, para.</w:t>
      </w:r>
      <w:r w:rsidR="00F2224B" w:rsidRPr="00784DCC">
        <w:t> </w:t>
      </w:r>
      <w:r w:rsidRPr="00784DCC">
        <w:t>6.198.</w:t>
      </w:r>
    </w:p>
  </w:footnote>
  <w:footnote w:id="56">
    <w:p w14:paraId="52064F7D" w14:textId="01A6797A" w:rsidR="00F572D3" w:rsidRPr="00784DCC" w:rsidRDefault="00F572D3" w:rsidP="00F572D3">
      <w:pPr>
        <w:pStyle w:val="FootnoteText"/>
      </w:pPr>
      <w:r w:rsidRPr="00784DCC">
        <w:rPr>
          <w:rStyle w:val="FootnoteReference"/>
        </w:rPr>
        <w:footnoteRef/>
      </w:r>
      <w:r w:rsidRPr="00784DCC">
        <w:t xml:space="preserve"> Colombia's</w:t>
      </w:r>
      <w:r w:rsidR="0046762C">
        <w:t xml:space="preserve"> </w:t>
      </w:r>
      <w:r w:rsidR="00DA744F">
        <w:t xml:space="preserve">written </w:t>
      </w:r>
      <w:r w:rsidRPr="00784DCC">
        <w:t>submission, para.</w:t>
      </w:r>
      <w:r w:rsidR="00F2224B" w:rsidRPr="00784DCC">
        <w:t> </w:t>
      </w:r>
      <w:r w:rsidRPr="00784DCC">
        <w:t>4.23 (quoting Panel</w:t>
      </w:r>
      <w:r w:rsidR="00F2224B" w:rsidRPr="00784DCC">
        <w:t> Report</w:t>
      </w:r>
      <w:r w:rsidRPr="00784DCC">
        <w:t>, para.</w:t>
      </w:r>
      <w:r w:rsidR="00F2224B" w:rsidRPr="00784DCC">
        <w:t> </w:t>
      </w:r>
      <w:r w:rsidRPr="00784DCC">
        <w:t xml:space="preserve">7.69). Colombia maintains the same meaning is conveyed by the French phrase "le cas </w:t>
      </w:r>
      <w:r w:rsidR="0003361C">
        <w:t>é</w:t>
      </w:r>
      <w:r w:rsidRPr="00784DCC">
        <w:t>chéant</w:t>
      </w:r>
      <w:r w:rsidR="00DF17F5" w:rsidRPr="00784DCC">
        <w:t>"</w:t>
      </w:r>
      <w:r w:rsidRPr="00784DCC">
        <w:t xml:space="preserve"> and the Spanish phrase "cuando proceda". (Ibid.)</w:t>
      </w:r>
    </w:p>
  </w:footnote>
  <w:footnote w:id="57">
    <w:p w14:paraId="57245463" w14:textId="53EDDC5B" w:rsidR="00F572D3" w:rsidRPr="00784DCC" w:rsidRDefault="00F572D3" w:rsidP="00F572D3">
      <w:pPr>
        <w:pStyle w:val="FootnoteText"/>
      </w:pPr>
      <w:r w:rsidRPr="00784DCC">
        <w:rPr>
          <w:rStyle w:val="FootnoteReference"/>
        </w:rPr>
        <w:footnoteRef/>
      </w:r>
      <w:r w:rsidRPr="00784DCC">
        <w:t xml:space="preserve"> Colombia's </w:t>
      </w:r>
      <w:r w:rsidR="00DA744F">
        <w:t xml:space="preserve">written </w:t>
      </w:r>
      <w:r w:rsidRPr="00784DCC">
        <w:t>submission, paras.</w:t>
      </w:r>
      <w:r w:rsidR="00DA0ACF" w:rsidRPr="00784DCC">
        <w:t> </w:t>
      </w:r>
      <w:r w:rsidRPr="00784DCC">
        <w:t>4.20, 4.52, and 4.79.</w:t>
      </w:r>
    </w:p>
  </w:footnote>
  <w:footnote w:id="58">
    <w:p w14:paraId="27C63BF9" w14:textId="6A8EFDAE" w:rsidR="00F572D3" w:rsidRPr="00784DCC" w:rsidRDefault="00F572D3" w:rsidP="00F572D3">
      <w:pPr>
        <w:pStyle w:val="FootnoteText"/>
      </w:pPr>
      <w:r w:rsidRPr="00784DCC">
        <w:rPr>
          <w:rStyle w:val="FootnoteReference"/>
        </w:rPr>
        <w:footnoteRef/>
      </w:r>
      <w:r w:rsidRPr="00784DCC">
        <w:t xml:space="preserve"> Similarly, </w:t>
      </w:r>
      <w:r w:rsidRPr="00784DCC">
        <w:rPr>
          <w:rFonts w:cs="Segoe UI"/>
          <w:color w:val="242424"/>
          <w:szCs w:val="16"/>
          <w:shd w:val="clear" w:color="auto" w:fill="FFFFFF"/>
        </w:rPr>
        <w:t>the appearance in Article</w:t>
      </w:r>
      <w:r w:rsidR="00F2224B" w:rsidRPr="00784DCC">
        <w:rPr>
          <w:rFonts w:cs="Segoe UI"/>
          <w:color w:val="242424"/>
          <w:szCs w:val="16"/>
          <w:shd w:val="clear" w:color="auto" w:fill="FFFFFF"/>
        </w:rPr>
        <w:t> </w:t>
      </w:r>
      <w:r w:rsidRPr="00784DCC">
        <w:rPr>
          <w:rFonts w:cs="Segoe UI"/>
          <w:color w:val="242424"/>
          <w:szCs w:val="16"/>
          <w:shd w:val="clear" w:color="auto" w:fill="FFFFFF"/>
        </w:rPr>
        <w:t xml:space="preserve">5.2(iii) of the phrase "where appropriate" before the reference to "prices at which the product is first resold to an independent buyer" in the importing Member suggests that </w:t>
      </w:r>
      <w:r w:rsidRPr="00784DCC">
        <w:t xml:space="preserve">greater evidentiary value </w:t>
      </w:r>
      <w:r w:rsidRPr="00784DCC">
        <w:rPr>
          <w:rFonts w:cs="Segoe UI"/>
          <w:color w:val="242424"/>
          <w:szCs w:val="16"/>
          <w:shd w:val="clear" w:color="auto" w:fill="FFFFFF"/>
        </w:rPr>
        <w:t>attaches to "information on export prices". Although, like Colombia, we see no reason to import the strict hierarchy from Article</w:t>
      </w:r>
      <w:r w:rsidR="00F2224B" w:rsidRPr="00784DCC">
        <w:rPr>
          <w:rFonts w:cs="Segoe UI"/>
          <w:color w:val="242424"/>
          <w:szCs w:val="16"/>
          <w:shd w:val="clear" w:color="auto" w:fill="FFFFFF"/>
        </w:rPr>
        <w:t> </w:t>
      </w:r>
      <w:r w:rsidRPr="00784DCC">
        <w:rPr>
          <w:rFonts w:cs="Segoe UI"/>
          <w:color w:val="242424"/>
          <w:szCs w:val="16"/>
          <w:shd w:val="clear" w:color="auto" w:fill="FFFFFF"/>
        </w:rPr>
        <w:t>2 into the selection of pricing information at the initiation stage under Article</w:t>
      </w:r>
      <w:r w:rsidR="00F2224B" w:rsidRPr="00784DCC">
        <w:rPr>
          <w:rFonts w:cs="Segoe UI"/>
          <w:color w:val="242424"/>
          <w:szCs w:val="16"/>
          <w:shd w:val="clear" w:color="auto" w:fill="FFFFFF"/>
        </w:rPr>
        <w:t> </w:t>
      </w:r>
      <w:r w:rsidRPr="00784DCC">
        <w:rPr>
          <w:rFonts w:cs="Segoe UI"/>
          <w:color w:val="242424"/>
          <w:szCs w:val="16"/>
          <w:shd w:val="clear" w:color="auto" w:fill="FFFFFF"/>
        </w:rPr>
        <w:t>5.2(iii), we disagree with Colombia that Article</w:t>
      </w:r>
      <w:r w:rsidR="00F2224B" w:rsidRPr="00784DCC">
        <w:rPr>
          <w:rFonts w:cs="Segoe UI"/>
          <w:color w:val="242424"/>
          <w:szCs w:val="16"/>
          <w:shd w:val="clear" w:color="auto" w:fill="FFFFFF"/>
        </w:rPr>
        <w:t> </w:t>
      </w:r>
      <w:r w:rsidRPr="00784DCC">
        <w:rPr>
          <w:rFonts w:cs="Segoe UI"/>
          <w:color w:val="242424"/>
          <w:szCs w:val="16"/>
          <w:shd w:val="clear" w:color="auto" w:fill="FFFFFF"/>
        </w:rPr>
        <w:t>2.3 grants the authority discretion in its use of constructed export price</w:t>
      </w:r>
      <w:r w:rsidR="00FF0E19" w:rsidRPr="00784DCC">
        <w:rPr>
          <w:rFonts w:cs="Segoe UI"/>
          <w:color w:val="242424"/>
          <w:szCs w:val="16"/>
          <w:shd w:val="clear" w:color="auto" w:fill="FFFFFF"/>
        </w:rPr>
        <w:t>s</w:t>
      </w:r>
      <w:r w:rsidRPr="00784DCC">
        <w:rPr>
          <w:rFonts w:cs="Segoe UI"/>
          <w:color w:val="242424"/>
          <w:szCs w:val="16"/>
          <w:shd w:val="clear" w:color="auto" w:fill="FFFFFF"/>
        </w:rPr>
        <w:t xml:space="preserve">, since such reliance is conditioned on there being no export price or an export price that is unreliable. (Colombia's </w:t>
      </w:r>
      <w:r w:rsidR="00DA744F">
        <w:t xml:space="preserve">written </w:t>
      </w:r>
      <w:r w:rsidRPr="00784DCC">
        <w:rPr>
          <w:rFonts w:cs="Segoe UI"/>
          <w:color w:val="242424"/>
          <w:szCs w:val="16"/>
          <w:shd w:val="clear" w:color="auto" w:fill="FFFFFF"/>
        </w:rPr>
        <w:t>submission, para.</w:t>
      </w:r>
      <w:r w:rsidR="00F2224B" w:rsidRPr="00784DCC">
        <w:rPr>
          <w:rFonts w:cs="Segoe UI"/>
          <w:color w:val="242424"/>
          <w:szCs w:val="16"/>
          <w:shd w:val="clear" w:color="auto" w:fill="FFFFFF"/>
        </w:rPr>
        <w:t> </w:t>
      </w:r>
      <w:r w:rsidRPr="00784DCC">
        <w:rPr>
          <w:rFonts w:cs="Segoe UI"/>
          <w:color w:val="242424"/>
          <w:szCs w:val="16"/>
          <w:shd w:val="clear" w:color="auto" w:fill="FFFFFF"/>
        </w:rPr>
        <w:t>4.48)</w:t>
      </w:r>
    </w:p>
  </w:footnote>
  <w:footnote w:id="59">
    <w:p w14:paraId="7AF78968" w14:textId="3449BB25" w:rsidR="00F572D3" w:rsidRPr="00784DCC" w:rsidRDefault="00F572D3" w:rsidP="00F572D3">
      <w:pPr>
        <w:pStyle w:val="FootnoteText"/>
      </w:pPr>
      <w:r w:rsidRPr="00784DCC">
        <w:rPr>
          <w:rStyle w:val="FootnoteReference"/>
        </w:rPr>
        <w:footnoteRef/>
      </w:r>
      <w:r w:rsidRPr="00784DCC">
        <w:t xml:space="preserve"> Colombia's </w:t>
      </w:r>
      <w:r w:rsidR="00DA744F">
        <w:t xml:space="preserve">written </w:t>
      </w:r>
      <w:r w:rsidRPr="00784DCC">
        <w:t>submission, paras.</w:t>
      </w:r>
      <w:r w:rsidR="00DA0ACF" w:rsidRPr="00784DCC">
        <w:t> </w:t>
      </w:r>
      <w:r w:rsidRPr="00784DCC">
        <w:t>4.43</w:t>
      </w:r>
      <w:r w:rsidR="00DF17F5" w:rsidRPr="00784DCC">
        <w:noBreakHyphen/>
      </w:r>
      <w:r w:rsidRPr="00784DCC">
        <w:t>4.44.</w:t>
      </w:r>
    </w:p>
  </w:footnote>
  <w:footnote w:id="60">
    <w:p w14:paraId="055F65B4" w14:textId="166DA165" w:rsidR="00F572D3" w:rsidRPr="00784DCC" w:rsidRDefault="00F572D3" w:rsidP="00F572D3">
      <w:pPr>
        <w:pStyle w:val="FootnoteText"/>
      </w:pPr>
      <w:r w:rsidRPr="00784DCC">
        <w:rPr>
          <w:rStyle w:val="FootnoteReference"/>
        </w:rPr>
        <w:footnoteRef/>
      </w:r>
      <w:r w:rsidRPr="00784DCC">
        <w:t xml:space="preserve"> Brazil's third</w:t>
      </w:r>
      <w:r w:rsidR="00DF17F5" w:rsidRPr="00784DCC">
        <w:t xml:space="preserve"> </w:t>
      </w:r>
      <w:r w:rsidRPr="00784DCC">
        <w:t>party</w:t>
      </w:r>
      <w:r w:rsidR="00DF17F5" w:rsidRPr="00784DCC">
        <w:t>'s</w:t>
      </w:r>
      <w:r w:rsidRPr="00784DCC">
        <w:t xml:space="preserve"> </w:t>
      </w:r>
      <w:r w:rsidR="00DA744F">
        <w:t xml:space="preserve">written </w:t>
      </w:r>
      <w:r w:rsidRPr="00784DCC">
        <w:t>submission, para.</w:t>
      </w:r>
      <w:r w:rsidR="00F2224B" w:rsidRPr="00784DCC">
        <w:t> </w:t>
      </w:r>
      <w:r w:rsidRPr="00784DCC">
        <w:t>7. See also Japan's third</w:t>
      </w:r>
      <w:r w:rsidR="00DF17F5" w:rsidRPr="00784DCC">
        <w:t xml:space="preserve"> </w:t>
      </w:r>
      <w:r w:rsidRPr="00784DCC">
        <w:t>party</w:t>
      </w:r>
      <w:r w:rsidR="00DF17F5" w:rsidRPr="00784DCC">
        <w:t>'s</w:t>
      </w:r>
      <w:r w:rsidRPr="00784DCC">
        <w:t xml:space="preserve"> </w:t>
      </w:r>
      <w:r w:rsidR="00DA744F">
        <w:t xml:space="preserve">written </w:t>
      </w:r>
      <w:r w:rsidRPr="00784DCC">
        <w:t>submission, para.</w:t>
      </w:r>
      <w:r w:rsidR="00F2224B" w:rsidRPr="00784DCC">
        <w:t> </w:t>
      </w:r>
      <w:r w:rsidRPr="00784DCC">
        <w:t>19; and United</w:t>
      </w:r>
      <w:r w:rsidR="00DA0ACF" w:rsidRPr="00784DCC">
        <w:t> States</w:t>
      </w:r>
      <w:r w:rsidRPr="00784DCC">
        <w:t>' third</w:t>
      </w:r>
      <w:r w:rsidR="00DF17F5" w:rsidRPr="00784DCC">
        <w:t xml:space="preserve"> </w:t>
      </w:r>
      <w:r w:rsidRPr="00784DCC">
        <w:t>party</w:t>
      </w:r>
      <w:r w:rsidR="00DF17F5" w:rsidRPr="00784DCC">
        <w:t>'s</w:t>
      </w:r>
      <w:r w:rsidRPr="00784DCC">
        <w:t xml:space="preserve"> </w:t>
      </w:r>
      <w:r w:rsidR="00DA744F">
        <w:t xml:space="preserve">written </w:t>
      </w:r>
      <w:r w:rsidRPr="00784DCC">
        <w:t>submission, paras.</w:t>
      </w:r>
      <w:r w:rsidR="00DA0ACF" w:rsidRPr="00784DCC">
        <w:t> </w:t>
      </w:r>
      <w:r w:rsidRPr="00784DCC">
        <w:t>6-7.</w:t>
      </w:r>
    </w:p>
  </w:footnote>
  <w:footnote w:id="61">
    <w:p w14:paraId="37CD54E0" w14:textId="3A8E5E98" w:rsidR="00F572D3" w:rsidRPr="00784DCC" w:rsidRDefault="00F572D3" w:rsidP="00F572D3">
      <w:pPr>
        <w:pStyle w:val="FootnoteText"/>
      </w:pPr>
      <w:r w:rsidRPr="00784DCC">
        <w:rPr>
          <w:rStyle w:val="FootnoteReference"/>
        </w:rPr>
        <w:footnoteRef/>
      </w:r>
      <w:r w:rsidRPr="00784DCC">
        <w:t xml:space="preserve"> Panel</w:t>
      </w:r>
      <w:r w:rsidR="00F2224B" w:rsidRPr="00784DCC">
        <w:t> Report</w:t>
      </w:r>
      <w:r w:rsidRPr="00784DCC">
        <w:t>, para.</w:t>
      </w:r>
      <w:r w:rsidR="00F2224B" w:rsidRPr="00784DCC">
        <w:t> </w:t>
      </w:r>
      <w:r w:rsidRPr="00784DCC">
        <w:t>7.70.</w:t>
      </w:r>
    </w:p>
  </w:footnote>
  <w:footnote w:id="62">
    <w:p w14:paraId="7200834C" w14:textId="1AFDF38A" w:rsidR="00F572D3" w:rsidRPr="00784DCC" w:rsidRDefault="00F572D3" w:rsidP="00F572D3">
      <w:pPr>
        <w:pStyle w:val="FootnoteText"/>
      </w:pPr>
      <w:r w:rsidRPr="00784DCC">
        <w:rPr>
          <w:rStyle w:val="FootnoteReference"/>
        </w:rPr>
        <w:footnoteRef/>
      </w:r>
      <w:r w:rsidRPr="00784DCC">
        <w:t xml:space="preserve"> Colombia's </w:t>
      </w:r>
      <w:r w:rsidR="00DA744F">
        <w:t xml:space="preserve">written </w:t>
      </w:r>
      <w:r w:rsidRPr="00784DCC">
        <w:t>submission, paras.</w:t>
      </w:r>
      <w:r w:rsidR="00DA0ACF" w:rsidRPr="00784DCC">
        <w:t> </w:t>
      </w:r>
      <w:r w:rsidRPr="00784DCC">
        <w:t>4.45-4.46.</w:t>
      </w:r>
    </w:p>
  </w:footnote>
  <w:footnote w:id="63">
    <w:p w14:paraId="2F1D4EA9" w14:textId="1B031496" w:rsidR="00F572D3" w:rsidRPr="00784DCC" w:rsidRDefault="00F572D3" w:rsidP="00F572D3">
      <w:pPr>
        <w:pStyle w:val="FootnoteText"/>
      </w:pPr>
      <w:r w:rsidRPr="00784DCC">
        <w:rPr>
          <w:rStyle w:val="FootnoteReference"/>
        </w:rPr>
        <w:footnoteRef/>
      </w:r>
      <w:r w:rsidRPr="00784DCC">
        <w:t xml:space="preserve"> Panel</w:t>
      </w:r>
      <w:r w:rsidR="00F2224B" w:rsidRPr="00784DCC">
        <w:t> Report</w:t>
      </w:r>
      <w:r w:rsidRPr="00784DCC">
        <w:t>, para.</w:t>
      </w:r>
      <w:r w:rsidR="00F2224B" w:rsidRPr="00784DCC">
        <w:t> </w:t>
      </w:r>
      <w:r w:rsidRPr="00784DCC">
        <w:t>7.70.</w:t>
      </w:r>
    </w:p>
  </w:footnote>
  <w:footnote w:id="64">
    <w:p w14:paraId="125F86C2" w14:textId="1B74C861" w:rsidR="00F572D3" w:rsidRPr="00784DCC" w:rsidRDefault="00F572D3" w:rsidP="00F572D3">
      <w:pPr>
        <w:pStyle w:val="FootnoteText"/>
      </w:pPr>
      <w:r w:rsidRPr="00784DCC">
        <w:rPr>
          <w:rStyle w:val="FootnoteReference"/>
        </w:rPr>
        <w:footnoteRef/>
      </w:r>
      <w:r w:rsidRPr="00784DCC">
        <w:t xml:space="preserve"> Colombia's </w:t>
      </w:r>
      <w:r w:rsidR="00DA744F">
        <w:t xml:space="preserve">written </w:t>
      </w:r>
      <w:r w:rsidRPr="00784DCC">
        <w:t>submission, paras.</w:t>
      </w:r>
      <w:r w:rsidR="00DA0ACF" w:rsidRPr="00784DCC">
        <w:t> </w:t>
      </w:r>
      <w:r w:rsidRPr="00784DCC">
        <w:t>4.18</w:t>
      </w:r>
      <w:r w:rsidR="00442957" w:rsidRPr="00784DCC">
        <w:t>-4.19</w:t>
      </w:r>
      <w:r w:rsidRPr="00784DCC">
        <w:t xml:space="preserve"> and 4.24.</w:t>
      </w:r>
    </w:p>
  </w:footnote>
  <w:footnote w:id="65">
    <w:p w14:paraId="75C18063" w14:textId="6A380382" w:rsidR="00F572D3" w:rsidRPr="00784DCC" w:rsidRDefault="00F572D3" w:rsidP="00F572D3">
      <w:pPr>
        <w:pStyle w:val="FootnoteText"/>
      </w:pPr>
      <w:r w:rsidRPr="00784DCC">
        <w:rPr>
          <w:rStyle w:val="FootnoteReference"/>
        </w:rPr>
        <w:footnoteRef/>
      </w:r>
      <w:r w:rsidRPr="00784DCC">
        <w:t xml:space="preserve"> Colombia's </w:t>
      </w:r>
      <w:r w:rsidR="00DA744F">
        <w:t xml:space="preserve">written </w:t>
      </w:r>
      <w:r w:rsidRPr="00784DCC">
        <w:t>submission, paras.</w:t>
      </w:r>
      <w:r w:rsidR="00DA0ACF" w:rsidRPr="00784DCC">
        <w:t> </w:t>
      </w:r>
      <w:r w:rsidR="002E06A7" w:rsidRPr="00784DCC">
        <w:t xml:space="preserve">4.50-4.65 and </w:t>
      </w:r>
      <w:r w:rsidRPr="00784DCC">
        <w:t>4.84</w:t>
      </w:r>
      <w:r w:rsidR="002E06A7" w:rsidRPr="00784DCC">
        <w:t>-</w:t>
      </w:r>
      <w:r w:rsidRPr="00784DCC">
        <w:t>4.89.</w:t>
      </w:r>
    </w:p>
  </w:footnote>
  <w:footnote w:id="66">
    <w:p w14:paraId="1B6753D9" w14:textId="423D5AC6" w:rsidR="00F572D3" w:rsidRPr="00784DCC" w:rsidRDefault="00F572D3" w:rsidP="00F572D3">
      <w:pPr>
        <w:pStyle w:val="FootnoteText"/>
      </w:pPr>
      <w:r w:rsidRPr="00784DCC">
        <w:rPr>
          <w:rStyle w:val="FootnoteReference"/>
        </w:rPr>
        <w:footnoteRef/>
      </w:r>
      <w:r w:rsidRPr="00784DCC">
        <w:t xml:space="preserve"> European</w:t>
      </w:r>
      <w:r w:rsidR="00DA0ACF" w:rsidRPr="00784DCC">
        <w:t> Union</w:t>
      </w:r>
      <w:r w:rsidRPr="00784DCC">
        <w:t xml:space="preserve">'s </w:t>
      </w:r>
      <w:r w:rsidR="00DA744F">
        <w:t>written</w:t>
      </w:r>
      <w:r w:rsidRPr="00784DCC">
        <w:t xml:space="preserve"> submission, paras.</w:t>
      </w:r>
      <w:r w:rsidR="00DA0ACF" w:rsidRPr="00784DCC">
        <w:t> </w:t>
      </w:r>
      <w:r w:rsidRPr="00784DCC">
        <w:t>24-28.</w:t>
      </w:r>
    </w:p>
  </w:footnote>
  <w:footnote w:id="67">
    <w:p w14:paraId="6608654D" w14:textId="435969B4" w:rsidR="00F572D3" w:rsidRPr="00784DCC" w:rsidRDefault="00F572D3" w:rsidP="00F572D3">
      <w:pPr>
        <w:pStyle w:val="FootnoteText"/>
      </w:pPr>
      <w:r w:rsidRPr="00784DCC">
        <w:rPr>
          <w:rStyle w:val="FootnoteReference"/>
        </w:rPr>
        <w:footnoteRef/>
      </w:r>
      <w:r w:rsidRPr="00784DCC">
        <w:t xml:space="preserve"> Panel</w:t>
      </w:r>
      <w:r w:rsidR="00F2224B" w:rsidRPr="00784DCC">
        <w:t> Report</w:t>
      </w:r>
      <w:r w:rsidRPr="00784DCC">
        <w:t>, para.</w:t>
      </w:r>
      <w:r w:rsidR="00F2224B" w:rsidRPr="00784DCC">
        <w:t> </w:t>
      </w:r>
      <w:r w:rsidRPr="00784DCC">
        <w:t>7.72 (quoting</w:t>
      </w:r>
      <w:r w:rsidR="00D77BBC">
        <w:t xml:space="preserve"> </w:t>
      </w:r>
      <w:r w:rsidRPr="00784DCC">
        <w:t>MINCIT's deficiency letter to FEDEPAPA</w:t>
      </w:r>
      <w:r w:rsidR="00D77BBC" w:rsidRPr="00D77BBC">
        <w:t xml:space="preserve"> </w:t>
      </w:r>
      <w:r w:rsidR="00D77BBC">
        <w:t>(</w:t>
      </w:r>
      <w:r w:rsidR="00D77BBC" w:rsidRPr="00784DCC">
        <w:t>Panel Exhibit EU-9a</w:t>
      </w:r>
      <w:r w:rsidR="00D77BBC">
        <w:t>)</w:t>
      </w:r>
      <w:r w:rsidRPr="00784DCC">
        <w:t>).</w:t>
      </w:r>
    </w:p>
  </w:footnote>
  <w:footnote w:id="68">
    <w:p w14:paraId="6B232106" w14:textId="5838FEAC" w:rsidR="00F572D3" w:rsidRPr="00784DCC" w:rsidRDefault="00F572D3" w:rsidP="00F572D3">
      <w:pPr>
        <w:pStyle w:val="FootnoteText"/>
      </w:pPr>
      <w:r w:rsidRPr="00784DCC">
        <w:rPr>
          <w:rStyle w:val="FootnoteReference"/>
        </w:rPr>
        <w:footnoteRef/>
      </w:r>
      <w:r w:rsidRPr="00784DCC">
        <w:t xml:space="preserve"> Panel</w:t>
      </w:r>
      <w:r w:rsidR="00F2224B" w:rsidRPr="00784DCC">
        <w:t> Report</w:t>
      </w:r>
      <w:r w:rsidRPr="00784DCC">
        <w:t>, para.</w:t>
      </w:r>
      <w:r w:rsidR="00F2224B" w:rsidRPr="00784DCC">
        <w:t> </w:t>
      </w:r>
      <w:r w:rsidRPr="00784DCC">
        <w:t xml:space="preserve">7.73 (quoting </w:t>
      </w:r>
      <w:r w:rsidR="00D77BBC" w:rsidRPr="00784DCC">
        <w:t xml:space="preserve">revised application </w:t>
      </w:r>
      <w:r w:rsidR="00D77BBC">
        <w:t>(</w:t>
      </w:r>
      <w:r w:rsidRPr="00784DCC">
        <w:t>Panel Exhibit EU-10</w:t>
      </w:r>
      <w:r w:rsidR="00D77BBC">
        <w:t>)</w:t>
      </w:r>
      <w:r w:rsidRPr="00784DCC">
        <w:t>).</w:t>
      </w:r>
    </w:p>
  </w:footnote>
  <w:footnote w:id="69">
    <w:p w14:paraId="3DB6CC28" w14:textId="107F94CC" w:rsidR="00F572D3" w:rsidRPr="00784DCC" w:rsidRDefault="00F572D3" w:rsidP="00F572D3">
      <w:pPr>
        <w:pStyle w:val="FootnoteText"/>
      </w:pPr>
      <w:r w:rsidRPr="00784DCC">
        <w:rPr>
          <w:rStyle w:val="FootnoteReference"/>
        </w:rPr>
        <w:footnoteRef/>
      </w:r>
      <w:r w:rsidRPr="00784DCC">
        <w:t xml:space="preserve"> Panel</w:t>
      </w:r>
      <w:r w:rsidR="00F2224B" w:rsidRPr="00784DCC">
        <w:t> Report</w:t>
      </w:r>
      <w:r w:rsidRPr="00784DCC">
        <w:t>, para.</w:t>
      </w:r>
      <w:r w:rsidR="00F2224B" w:rsidRPr="00784DCC">
        <w:t> </w:t>
      </w:r>
      <w:r w:rsidRPr="00784DCC">
        <w:t>7.74 (</w:t>
      </w:r>
      <w:r w:rsidR="007B5C2D">
        <w:t>referring to</w:t>
      </w:r>
      <w:r w:rsidR="007B5C2D" w:rsidRPr="00784DCC">
        <w:t xml:space="preserve"> </w:t>
      </w:r>
      <w:r w:rsidR="00D77BBC" w:rsidRPr="00784DCC">
        <w:t xml:space="preserve">notice of initiation </w:t>
      </w:r>
      <w:r w:rsidR="00D77BBC">
        <w:t>(</w:t>
      </w:r>
      <w:r w:rsidRPr="00784DCC">
        <w:t>Panel Exhibit EU-1a</w:t>
      </w:r>
      <w:r w:rsidR="00D77BBC">
        <w:t>)</w:t>
      </w:r>
      <w:r w:rsidRPr="00784DCC">
        <w:t>).</w:t>
      </w:r>
    </w:p>
  </w:footnote>
  <w:footnote w:id="70">
    <w:p w14:paraId="28C2E071" w14:textId="46D03B84" w:rsidR="00F572D3" w:rsidRPr="00784DCC" w:rsidRDefault="00F572D3" w:rsidP="00F572D3">
      <w:pPr>
        <w:pStyle w:val="FootnoteText"/>
      </w:pPr>
      <w:r w:rsidRPr="00784DCC">
        <w:rPr>
          <w:rStyle w:val="FootnoteReference"/>
        </w:rPr>
        <w:footnoteRef/>
      </w:r>
      <w:r w:rsidRPr="00784DCC">
        <w:t xml:space="preserve"> Panel</w:t>
      </w:r>
      <w:r w:rsidR="00F2224B" w:rsidRPr="00784DCC">
        <w:t> Report</w:t>
      </w:r>
      <w:r w:rsidRPr="00784DCC">
        <w:t>, para.</w:t>
      </w:r>
      <w:r w:rsidR="00F2224B" w:rsidRPr="00784DCC">
        <w:t> </w:t>
      </w:r>
      <w:r w:rsidRPr="00784DCC">
        <w:t>7.75</w:t>
      </w:r>
      <w:r w:rsidR="00216296" w:rsidRPr="00784DCC">
        <w:t>.</w:t>
      </w:r>
      <w:r w:rsidRPr="00784DCC">
        <w:t xml:space="preserve"> (emphasis original)</w:t>
      </w:r>
    </w:p>
  </w:footnote>
  <w:footnote w:id="71">
    <w:p w14:paraId="57291495" w14:textId="1F05974C" w:rsidR="00F572D3" w:rsidRPr="00784DCC" w:rsidRDefault="00F572D3" w:rsidP="00F572D3">
      <w:pPr>
        <w:pStyle w:val="FootnoteText"/>
      </w:pPr>
      <w:r w:rsidRPr="00784DCC">
        <w:rPr>
          <w:rStyle w:val="FootnoteReference"/>
        </w:rPr>
        <w:footnoteRef/>
      </w:r>
      <w:r w:rsidRPr="00784DCC">
        <w:t xml:space="preserve"> </w:t>
      </w:r>
      <w:r w:rsidR="001F0135">
        <w:t xml:space="preserve">See </w:t>
      </w:r>
      <w:r w:rsidRPr="00784DCC">
        <w:t>Panel</w:t>
      </w:r>
      <w:r w:rsidR="00F2224B" w:rsidRPr="00784DCC">
        <w:t> Report</w:t>
      </w:r>
      <w:r w:rsidRPr="00784DCC">
        <w:t>, para.</w:t>
      </w:r>
      <w:r w:rsidR="00F2224B" w:rsidRPr="00784DCC">
        <w:t> </w:t>
      </w:r>
      <w:r w:rsidRPr="00784DCC">
        <w:t>7.14 (referring to Panel</w:t>
      </w:r>
      <w:r w:rsidR="00F2224B" w:rsidRPr="00784DCC">
        <w:t> Report</w:t>
      </w:r>
      <w:r w:rsidRPr="00784DCC">
        <w:t xml:space="preserve">s, </w:t>
      </w:r>
      <w:r w:rsidRPr="00784DCC">
        <w:rPr>
          <w:i/>
          <w:iCs/>
        </w:rPr>
        <w:t>Argentina – Poultry Anti-Dumping Duties</w:t>
      </w:r>
      <w:r w:rsidRPr="00784DCC">
        <w:t xml:space="preserve">, para. 7.60; </w:t>
      </w:r>
      <w:r w:rsidRPr="00784DCC">
        <w:rPr>
          <w:i/>
          <w:iCs/>
        </w:rPr>
        <w:t>Mexico – Steel Pipes and Tubes</w:t>
      </w:r>
      <w:r w:rsidRPr="00784DCC">
        <w:t>, paras.</w:t>
      </w:r>
      <w:r w:rsidR="00DA0ACF" w:rsidRPr="00784DCC">
        <w:t> </w:t>
      </w:r>
      <w:r w:rsidRPr="00784DCC">
        <w:t xml:space="preserve">7.26 and 7.32; </w:t>
      </w:r>
      <w:r w:rsidRPr="00784DCC">
        <w:rPr>
          <w:i/>
          <w:iCs/>
        </w:rPr>
        <w:t>US – Softwood Lumber V</w:t>
      </w:r>
      <w:r w:rsidRPr="00784DCC">
        <w:t xml:space="preserve">, para. 7.79; and </w:t>
      </w:r>
      <w:r w:rsidRPr="00784DCC">
        <w:rPr>
          <w:i/>
          <w:iCs/>
        </w:rPr>
        <w:t>Guatemala – Cement II</w:t>
      </w:r>
      <w:r w:rsidRPr="00784DCC">
        <w:t>, para. 8.31).</w:t>
      </w:r>
    </w:p>
  </w:footnote>
  <w:footnote w:id="72">
    <w:p w14:paraId="5E07878C" w14:textId="3D880BC6" w:rsidR="00F572D3" w:rsidRPr="00784DCC" w:rsidRDefault="00F572D3" w:rsidP="00F572D3">
      <w:pPr>
        <w:pStyle w:val="FootnoteText"/>
      </w:pPr>
      <w:r w:rsidRPr="00784DCC">
        <w:rPr>
          <w:rStyle w:val="FootnoteReference"/>
        </w:rPr>
        <w:footnoteRef/>
      </w:r>
      <w:r w:rsidRPr="00784DCC">
        <w:t xml:space="preserve"> Arguably, sales to the United</w:t>
      </w:r>
      <w:r w:rsidR="00F2224B" w:rsidRPr="00784DCC">
        <w:t> Kingdom</w:t>
      </w:r>
      <w:r w:rsidRPr="00784DCC">
        <w:t xml:space="preserve"> did not, at the time, constitute sales to a distinct market since the United</w:t>
      </w:r>
      <w:r w:rsidR="00F2224B" w:rsidRPr="00784DCC">
        <w:t> Kingdom</w:t>
      </w:r>
      <w:r w:rsidRPr="00784DCC">
        <w:t xml:space="preserve"> was part of the customs union of the European</w:t>
      </w:r>
      <w:r w:rsidR="00DA0ACF" w:rsidRPr="00784DCC">
        <w:t> Union</w:t>
      </w:r>
      <w:r w:rsidRPr="00784DCC">
        <w:t>. The Anti-Dumping Agreement does not clarify how the concept of a "third country" is to be understood where multiple countr</w:t>
      </w:r>
      <w:r w:rsidR="007A487F" w:rsidRPr="00784DCC">
        <w:t>ies</w:t>
      </w:r>
      <w:r w:rsidRPr="00784DCC">
        <w:t xml:space="preserve"> comprise a customs territory or single market. In any event, this interpretative question is not before us. </w:t>
      </w:r>
    </w:p>
  </w:footnote>
  <w:footnote w:id="73">
    <w:p w14:paraId="6261E408" w14:textId="3CEB65B9" w:rsidR="00107FEE" w:rsidRPr="00784DCC" w:rsidRDefault="00107FEE">
      <w:pPr>
        <w:pStyle w:val="FootnoteText"/>
      </w:pPr>
      <w:r w:rsidRPr="00784DCC">
        <w:rPr>
          <w:rStyle w:val="FootnoteReference"/>
        </w:rPr>
        <w:footnoteRef/>
      </w:r>
      <w:r w:rsidRPr="00784DCC">
        <w:t xml:space="preserve"> See </w:t>
      </w:r>
      <w:r w:rsidR="000D2EB4" w:rsidRPr="00784DCC">
        <w:t>paras.</w:t>
      </w:r>
      <w:r w:rsidR="005514B4">
        <w:t> </w:t>
      </w:r>
      <w:r w:rsidR="00C45700">
        <w:rPr>
          <w:highlight w:val="yellow"/>
        </w:rPr>
        <w:fldChar w:fldCharType="begin" w:fldLock="1"/>
      </w:r>
      <w:r w:rsidR="00C45700">
        <w:instrText xml:space="preserve"> REF _Ref120989927 \r \h </w:instrText>
      </w:r>
      <w:r w:rsidR="00C45700">
        <w:rPr>
          <w:highlight w:val="yellow"/>
        </w:rPr>
      </w:r>
      <w:r w:rsidR="00C45700">
        <w:rPr>
          <w:highlight w:val="yellow"/>
        </w:rPr>
        <w:fldChar w:fldCharType="separate"/>
      </w:r>
      <w:r w:rsidR="006A23AB">
        <w:t>4.19</w:t>
      </w:r>
      <w:r w:rsidR="00C45700">
        <w:rPr>
          <w:highlight w:val="yellow"/>
        </w:rPr>
        <w:fldChar w:fldCharType="end"/>
      </w:r>
      <w:r w:rsidR="000D2EB4" w:rsidRPr="00A92A75">
        <w:t>-</w:t>
      </w:r>
      <w:r w:rsidR="00C45700" w:rsidRPr="00A92A75">
        <w:fldChar w:fldCharType="begin" w:fldLock="1"/>
      </w:r>
      <w:r w:rsidR="00C45700" w:rsidRPr="00A92A75">
        <w:instrText xml:space="preserve"> REF _Ref120989942 \r \h </w:instrText>
      </w:r>
      <w:r w:rsidR="00200584">
        <w:instrText xml:space="preserve"> \* MERGEFORMAT </w:instrText>
      </w:r>
      <w:r w:rsidR="00C45700" w:rsidRPr="00A92A75">
        <w:fldChar w:fldCharType="separate"/>
      </w:r>
      <w:r w:rsidR="006A23AB">
        <w:t>4.21</w:t>
      </w:r>
      <w:r w:rsidR="00C45700" w:rsidRPr="00A92A75">
        <w:fldChar w:fldCharType="end"/>
      </w:r>
      <w:r w:rsidR="00410888">
        <w:t xml:space="preserve"> above</w:t>
      </w:r>
      <w:r w:rsidR="000D2EB4" w:rsidRPr="00784DCC">
        <w:t>; and Panel</w:t>
      </w:r>
      <w:r w:rsidR="00BA4836">
        <w:t> Report</w:t>
      </w:r>
      <w:r w:rsidR="000D2EB4" w:rsidRPr="00784DCC">
        <w:t xml:space="preserve">, </w:t>
      </w:r>
      <w:r w:rsidR="000D2EB4" w:rsidRPr="00784DCC">
        <w:rPr>
          <w:i/>
          <w:iCs/>
        </w:rPr>
        <w:t>Morocco – Definitive AD Measures on Exercise Books (Tunisia)</w:t>
      </w:r>
      <w:r w:rsidR="000D2EB4" w:rsidRPr="00784DCC">
        <w:t>, para.</w:t>
      </w:r>
      <w:r w:rsidR="00BA4836">
        <w:t> </w:t>
      </w:r>
      <w:r w:rsidR="000D2EB4" w:rsidRPr="00784DCC">
        <w:t>7.353 ("[A] number of panels have recognized that the quantity and quality of evidence provided at the complaint stage would necessarily be lower than the evidence required to impose anti</w:t>
      </w:r>
      <w:r w:rsidR="000D2EB4" w:rsidRPr="00784DCC">
        <w:noBreakHyphen/>
        <w:t>dumping measures.").</w:t>
      </w:r>
      <w:r w:rsidRPr="00784DCC">
        <w:t xml:space="preserve"> See also Colombia's </w:t>
      </w:r>
      <w:r w:rsidR="00DA744F">
        <w:t xml:space="preserve">written </w:t>
      </w:r>
      <w:r w:rsidRPr="00784DCC">
        <w:t>submission, paras.</w:t>
      </w:r>
      <w:r w:rsidR="00DA0ACF" w:rsidRPr="00784DCC">
        <w:t> </w:t>
      </w:r>
      <w:r w:rsidRPr="00784DCC">
        <w:t>4.66-4.69 and 4.78-4.80.</w:t>
      </w:r>
    </w:p>
  </w:footnote>
  <w:footnote w:id="74">
    <w:p w14:paraId="61E7E385" w14:textId="6A12F957" w:rsidR="00F572D3" w:rsidRPr="00784DCC" w:rsidRDefault="00F572D3" w:rsidP="00F572D3">
      <w:pPr>
        <w:pStyle w:val="FootnoteText"/>
      </w:pPr>
      <w:r w:rsidRPr="00784DCC">
        <w:rPr>
          <w:rStyle w:val="FootnoteReference"/>
        </w:rPr>
        <w:footnoteRef/>
      </w:r>
      <w:r w:rsidRPr="00784DCC">
        <w:t xml:space="preserve"> Colombia's </w:t>
      </w:r>
      <w:r w:rsidR="00DA744F">
        <w:t xml:space="preserve">written </w:t>
      </w:r>
      <w:r w:rsidRPr="00784DCC">
        <w:t>submission, para.</w:t>
      </w:r>
      <w:r w:rsidR="00F2224B" w:rsidRPr="00784DCC">
        <w:t> </w:t>
      </w:r>
      <w:r w:rsidRPr="00784DCC">
        <w:t>4.8.</w:t>
      </w:r>
    </w:p>
  </w:footnote>
  <w:footnote w:id="75">
    <w:p w14:paraId="1810411B" w14:textId="097C1E32" w:rsidR="00F572D3" w:rsidRPr="00784DCC" w:rsidRDefault="00F572D3" w:rsidP="00F572D3">
      <w:pPr>
        <w:pStyle w:val="FootnoteText"/>
      </w:pPr>
      <w:r w:rsidRPr="00784DCC">
        <w:rPr>
          <w:rStyle w:val="FootnoteReference"/>
        </w:rPr>
        <w:footnoteRef/>
      </w:r>
      <w:r w:rsidRPr="00784DCC">
        <w:t xml:space="preserve"> Panel</w:t>
      </w:r>
      <w:r w:rsidR="00F2224B" w:rsidRPr="00784DCC">
        <w:t> Report</w:t>
      </w:r>
      <w:r w:rsidRPr="00784DCC">
        <w:t xml:space="preserve">, </w:t>
      </w:r>
      <w:r w:rsidR="0046003C" w:rsidRPr="00784DCC">
        <w:t>fn</w:t>
      </w:r>
      <w:r w:rsidR="00F2224B" w:rsidRPr="00784DCC">
        <w:t> </w:t>
      </w:r>
      <w:r w:rsidR="00987D41">
        <w:t>176</w:t>
      </w:r>
      <w:r w:rsidRPr="00784DCC">
        <w:t xml:space="preserve"> to para.</w:t>
      </w:r>
      <w:r w:rsidR="00F2224B" w:rsidRPr="00784DCC">
        <w:t> </w:t>
      </w:r>
      <w:r w:rsidRPr="00784DCC">
        <w:t>7.76.</w:t>
      </w:r>
    </w:p>
  </w:footnote>
  <w:footnote w:id="76">
    <w:p w14:paraId="429E6FD7" w14:textId="7A4C3FF9" w:rsidR="00F572D3" w:rsidRPr="00784DCC" w:rsidRDefault="00F572D3" w:rsidP="00F572D3">
      <w:pPr>
        <w:pStyle w:val="FootnoteText"/>
      </w:pPr>
      <w:r w:rsidRPr="00784DCC">
        <w:rPr>
          <w:rStyle w:val="FootnoteReference"/>
        </w:rPr>
        <w:footnoteRef/>
      </w:r>
      <w:r w:rsidRPr="00784DCC">
        <w:t xml:space="preserve"> Panel</w:t>
      </w:r>
      <w:r w:rsidR="00F2224B" w:rsidRPr="00784DCC">
        <w:t> Report</w:t>
      </w:r>
      <w:r w:rsidRPr="00784DCC">
        <w:t>, para.</w:t>
      </w:r>
      <w:r w:rsidR="00F2224B" w:rsidRPr="00784DCC">
        <w:t> </w:t>
      </w:r>
      <w:r w:rsidRPr="00784DCC">
        <w:t>7.70.</w:t>
      </w:r>
    </w:p>
  </w:footnote>
  <w:footnote w:id="77">
    <w:p w14:paraId="53356C70" w14:textId="65D99194" w:rsidR="00F572D3" w:rsidRPr="00784DCC" w:rsidRDefault="00F572D3" w:rsidP="00F572D3">
      <w:pPr>
        <w:pStyle w:val="FootnoteText"/>
      </w:pPr>
      <w:r w:rsidRPr="00784DCC">
        <w:rPr>
          <w:rStyle w:val="FootnoteReference"/>
        </w:rPr>
        <w:footnoteRef/>
      </w:r>
      <w:r w:rsidRPr="00784DCC">
        <w:t xml:space="preserve"> </w:t>
      </w:r>
      <w:r w:rsidRPr="00423405">
        <w:t>See Colombia's Notice of Appeal</w:t>
      </w:r>
      <w:r w:rsidR="00294E73" w:rsidRPr="00423405">
        <w:t>, para. 2</w:t>
      </w:r>
      <w:r w:rsidRPr="00423405">
        <w:t xml:space="preserve"> (referring</w:t>
      </w:r>
      <w:r w:rsidRPr="00784DCC">
        <w:t xml:space="preserve"> to Panel</w:t>
      </w:r>
      <w:r w:rsidR="00F2224B" w:rsidRPr="00784DCC">
        <w:t> Report</w:t>
      </w:r>
      <w:r w:rsidRPr="00784DCC">
        <w:t>, paras.</w:t>
      </w:r>
      <w:r w:rsidR="00DA0ACF" w:rsidRPr="00784DCC">
        <w:t> </w:t>
      </w:r>
      <w:r w:rsidRPr="00784DCC">
        <w:t>7.126, 7.152.a, and 8.1.b.i).</w:t>
      </w:r>
    </w:p>
  </w:footnote>
  <w:footnote w:id="78">
    <w:p w14:paraId="438DDCA7" w14:textId="243BB5AC" w:rsidR="00F572D3" w:rsidRPr="00784DCC" w:rsidRDefault="00F572D3" w:rsidP="00F572D3">
      <w:pPr>
        <w:pStyle w:val="FootnoteText"/>
      </w:pPr>
      <w:r w:rsidRPr="00784DCC">
        <w:rPr>
          <w:rStyle w:val="FootnoteReference"/>
        </w:rPr>
        <w:footnoteRef/>
      </w:r>
      <w:r w:rsidRPr="00784DCC">
        <w:t xml:space="preserve"> Panel</w:t>
      </w:r>
      <w:r w:rsidR="00F2224B" w:rsidRPr="00784DCC">
        <w:t> Report</w:t>
      </w:r>
      <w:r w:rsidRPr="00784DCC">
        <w:t>, para.</w:t>
      </w:r>
      <w:r w:rsidR="00F2224B" w:rsidRPr="00784DCC">
        <w:t> </w:t>
      </w:r>
      <w:r w:rsidRPr="00784DCC">
        <w:t xml:space="preserve">7.115 (quoting Appellate Body Report, </w:t>
      </w:r>
      <w:r w:rsidRPr="00784DCC">
        <w:rPr>
          <w:i/>
          <w:iCs/>
        </w:rPr>
        <w:t>EC</w:t>
      </w:r>
      <w:r w:rsidRPr="00784DCC">
        <w:rPr>
          <w:iCs/>
        </w:rPr>
        <w:t xml:space="preserve"> </w:t>
      </w:r>
      <w:r w:rsidRPr="00784DCC">
        <w:rPr>
          <w:i/>
          <w:iCs/>
        </w:rPr>
        <w:t>–</w:t>
      </w:r>
      <w:r w:rsidRPr="00784DCC">
        <w:rPr>
          <w:iCs/>
        </w:rPr>
        <w:t xml:space="preserve"> </w:t>
      </w:r>
      <w:r w:rsidRPr="00784DCC">
        <w:rPr>
          <w:i/>
          <w:iCs/>
        </w:rPr>
        <w:t>Fasteners</w:t>
      </w:r>
      <w:r w:rsidRPr="00784DCC">
        <w:rPr>
          <w:iCs/>
        </w:rPr>
        <w:t xml:space="preserve"> </w:t>
      </w:r>
      <w:r w:rsidRPr="00784DCC">
        <w:rPr>
          <w:i/>
          <w:iCs/>
        </w:rPr>
        <w:t>(China) (Article 21</w:t>
      </w:r>
      <w:r w:rsidRPr="00784DCC">
        <w:rPr>
          <w:iCs/>
        </w:rPr>
        <w:t xml:space="preserve">.5 </w:t>
      </w:r>
      <w:r w:rsidRPr="00784DCC">
        <w:rPr>
          <w:i/>
          <w:iCs/>
        </w:rPr>
        <w:t>–</w:t>
      </w:r>
      <w:r w:rsidRPr="00784DCC">
        <w:rPr>
          <w:iCs/>
        </w:rPr>
        <w:t xml:space="preserve"> </w:t>
      </w:r>
      <w:r w:rsidRPr="00784DCC">
        <w:rPr>
          <w:i/>
          <w:iCs/>
        </w:rPr>
        <w:t>China)</w:t>
      </w:r>
      <w:r w:rsidRPr="00784DCC">
        <w:t xml:space="preserve">, para. 5.38). </w:t>
      </w:r>
    </w:p>
  </w:footnote>
  <w:footnote w:id="79">
    <w:p w14:paraId="3456D5F3" w14:textId="59716A07" w:rsidR="00F572D3" w:rsidRPr="00784DCC" w:rsidRDefault="00F572D3" w:rsidP="00F572D3">
      <w:pPr>
        <w:pStyle w:val="FootnoteText"/>
      </w:pPr>
      <w:r w:rsidRPr="00784DCC">
        <w:rPr>
          <w:rStyle w:val="FootnoteReference"/>
        </w:rPr>
        <w:footnoteRef/>
      </w:r>
      <w:r w:rsidRPr="00784DCC">
        <w:t xml:space="preserve"> Panel</w:t>
      </w:r>
      <w:r w:rsidR="00F2224B" w:rsidRPr="00784DCC">
        <w:t> Report</w:t>
      </w:r>
      <w:r w:rsidRPr="00784DCC">
        <w:t>, para.</w:t>
      </w:r>
      <w:r w:rsidR="00F2224B" w:rsidRPr="00784DCC">
        <w:t> </w:t>
      </w:r>
      <w:r w:rsidRPr="00784DCC">
        <w:t xml:space="preserve">7.115 (referring to Appellate Body Report, </w:t>
      </w:r>
      <w:r w:rsidRPr="00784DCC">
        <w:rPr>
          <w:i/>
          <w:iCs/>
        </w:rPr>
        <w:t>EC</w:t>
      </w:r>
      <w:r w:rsidRPr="00784DCC">
        <w:rPr>
          <w:iCs/>
        </w:rPr>
        <w:t xml:space="preserve"> </w:t>
      </w:r>
      <w:r w:rsidRPr="00784DCC">
        <w:rPr>
          <w:i/>
          <w:iCs/>
        </w:rPr>
        <w:t>–</w:t>
      </w:r>
      <w:r w:rsidRPr="00784DCC">
        <w:rPr>
          <w:iCs/>
        </w:rPr>
        <w:t xml:space="preserve"> </w:t>
      </w:r>
      <w:r w:rsidRPr="00784DCC">
        <w:rPr>
          <w:i/>
          <w:iCs/>
        </w:rPr>
        <w:t>Fasteners</w:t>
      </w:r>
      <w:r w:rsidRPr="00784DCC">
        <w:rPr>
          <w:iCs/>
        </w:rPr>
        <w:t xml:space="preserve"> </w:t>
      </w:r>
      <w:r w:rsidRPr="00784DCC">
        <w:rPr>
          <w:i/>
          <w:iCs/>
        </w:rPr>
        <w:t>(China)</w:t>
      </w:r>
      <w:r w:rsidRPr="00784DCC">
        <w:t>, para. 537; and Panel</w:t>
      </w:r>
      <w:r w:rsidR="00F2224B" w:rsidRPr="00784DCC">
        <w:t> Report</w:t>
      </w:r>
      <w:r w:rsidRPr="00784DCC">
        <w:t xml:space="preserve">, </w:t>
      </w:r>
      <w:r w:rsidRPr="00784DCC">
        <w:rPr>
          <w:i/>
          <w:iCs/>
        </w:rPr>
        <w:t>Guatemala – Cement II</w:t>
      </w:r>
      <w:r w:rsidRPr="00784DCC">
        <w:t xml:space="preserve">, para. 8.219). </w:t>
      </w:r>
    </w:p>
  </w:footnote>
  <w:footnote w:id="80">
    <w:p w14:paraId="025A989C" w14:textId="6E1CD727" w:rsidR="00F572D3" w:rsidRPr="00784DCC" w:rsidRDefault="00F572D3" w:rsidP="00F572D3">
      <w:pPr>
        <w:pStyle w:val="FootnoteText"/>
      </w:pPr>
      <w:r w:rsidRPr="00784DCC">
        <w:rPr>
          <w:rStyle w:val="FootnoteReference"/>
        </w:rPr>
        <w:footnoteRef/>
      </w:r>
      <w:r w:rsidRPr="00784DCC">
        <w:t xml:space="preserve"> Panel</w:t>
      </w:r>
      <w:r w:rsidR="00F2224B" w:rsidRPr="00784DCC">
        <w:t> Report</w:t>
      </w:r>
      <w:r w:rsidRPr="00784DCC">
        <w:t>, para.</w:t>
      </w:r>
      <w:r w:rsidR="00F2224B" w:rsidRPr="00784DCC">
        <w:t> </w:t>
      </w:r>
      <w:r w:rsidRPr="00784DCC">
        <w:t xml:space="preserve">7.117 (referring to Appellate Body Report, </w:t>
      </w:r>
      <w:r w:rsidRPr="00784DCC">
        <w:rPr>
          <w:i/>
          <w:iCs/>
        </w:rPr>
        <w:t>EC</w:t>
      </w:r>
      <w:r w:rsidRPr="00784DCC">
        <w:rPr>
          <w:iCs/>
        </w:rPr>
        <w:t xml:space="preserve"> </w:t>
      </w:r>
      <w:r w:rsidRPr="00784DCC">
        <w:rPr>
          <w:i/>
          <w:iCs/>
        </w:rPr>
        <w:t>–</w:t>
      </w:r>
      <w:r w:rsidRPr="00784DCC">
        <w:rPr>
          <w:iCs/>
        </w:rPr>
        <w:t xml:space="preserve"> </w:t>
      </w:r>
      <w:r w:rsidRPr="00784DCC">
        <w:rPr>
          <w:i/>
          <w:iCs/>
        </w:rPr>
        <w:t>Fasteners</w:t>
      </w:r>
      <w:r w:rsidRPr="00784DCC">
        <w:rPr>
          <w:iCs/>
        </w:rPr>
        <w:t xml:space="preserve"> </w:t>
      </w:r>
      <w:r w:rsidRPr="00784DCC">
        <w:rPr>
          <w:i/>
          <w:iCs/>
        </w:rPr>
        <w:t>(China) (Article 21</w:t>
      </w:r>
      <w:r w:rsidRPr="00784DCC">
        <w:rPr>
          <w:iCs/>
        </w:rPr>
        <w:t xml:space="preserve">.5 </w:t>
      </w:r>
      <w:r w:rsidRPr="00784DCC">
        <w:rPr>
          <w:i/>
          <w:iCs/>
        </w:rPr>
        <w:t>–</w:t>
      </w:r>
      <w:r w:rsidRPr="00784DCC">
        <w:rPr>
          <w:iCs/>
        </w:rPr>
        <w:t xml:space="preserve"> </w:t>
      </w:r>
      <w:r w:rsidRPr="00784DCC">
        <w:rPr>
          <w:i/>
          <w:iCs/>
        </w:rPr>
        <w:t>China)</w:t>
      </w:r>
      <w:r w:rsidRPr="00784DCC">
        <w:t>, paras. 5.39-5.40; and Panel</w:t>
      </w:r>
      <w:r w:rsidR="00F2224B" w:rsidRPr="00784DCC">
        <w:t> Report</w:t>
      </w:r>
      <w:r w:rsidRPr="00784DCC">
        <w:t xml:space="preserve">, </w:t>
      </w:r>
      <w:r w:rsidRPr="00784DCC">
        <w:rPr>
          <w:i/>
          <w:iCs/>
        </w:rPr>
        <w:t>Korea – Pneumatic Valves (Japan)</w:t>
      </w:r>
      <w:r w:rsidRPr="00784DCC">
        <w:t>, paras.</w:t>
      </w:r>
      <w:r w:rsidR="00DA0ACF" w:rsidRPr="00784DCC">
        <w:t> </w:t>
      </w:r>
      <w:r w:rsidRPr="00784DCC">
        <w:t>7.427 and 7.440).</w:t>
      </w:r>
    </w:p>
  </w:footnote>
  <w:footnote w:id="81">
    <w:p w14:paraId="689D372A" w14:textId="7D8AC83D" w:rsidR="00F572D3" w:rsidRPr="00784DCC" w:rsidRDefault="00F572D3" w:rsidP="00F572D3">
      <w:pPr>
        <w:pStyle w:val="FootnoteText"/>
      </w:pPr>
      <w:r w:rsidRPr="00784DCC">
        <w:rPr>
          <w:rStyle w:val="FootnoteReference"/>
        </w:rPr>
        <w:footnoteRef/>
      </w:r>
      <w:r w:rsidRPr="00784DCC">
        <w:t xml:space="preserve"> Panel</w:t>
      </w:r>
      <w:r w:rsidR="00F2224B" w:rsidRPr="00784DCC">
        <w:t> Report</w:t>
      </w:r>
      <w:r w:rsidRPr="00784DCC">
        <w:t>, para.</w:t>
      </w:r>
      <w:r w:rsidR="00F2224B" w:rsidRPr="00784DCC">
        <w:t> </w:t>
      </w:r>
      <w:r w:rsidRPr="00784DCC">
        <w:t>7.120.</w:t>
      </w:r>
    </w:p>
  </w:footnote>
  <w:footnote w:id="82">
    <w:p w14:paraId="725A43B0" w14:textId="31695C42" w:rsidR="00F572D3" w:rsidRPr="00784DCC" w:rsidRDefault="00F572D3" w:rsidP="00F572D3">
      <w:pPr>
        <w:pStyle w:val="FootnoteText"/>
      </w:pPr>
      <w:r w:rsidRPr="00784DCC">
        <w:rPr>
          <w:rStyle w:val="FootnoteReference"/>
        </w:rPr>
        <w:footnoteRef/>
      </w:r>
      <w:r w:rsidRPr="00784DCC">
        <w:t xml:space="preserve"> Panel</w:t>
      </w:r>
      <w:r w:rsidR="00F2224B" w:rsidRPr="00784DCC">
        <w:t> Report</w:t>
      </w:r>
      <w:r w:rsidRPr="00784DCC">
        <w:t>, para.</w:t>
      </w:r>
      <w:r w:rsidR="00F2224B" w:rsidRPr="00784DCC">
        <w:t> </w:t>
      </w:r>
      <w:r w:rsidRPr="00784DCC">
        <w:t>7.120.</w:t>
      </w:r>
    </w:p>
  </w:footnote>
  <w:footnote w:id="83">
    <w:p w14:paraId="0BE3AA55" w14:textId="18174D3A" w:rsidR="00F572D3" w:rsidRPr="00784DCC" w:rsidRDefault="00F572D3" w:rsidP="00F572D3">
      <w:pPr>
        <w:pStyle w:val="FootnoteText"/>
      </w:pPr>
      <w:r w:rsidRPr="00784DCC">
        <w:rPr>
          <w:rStyle w:val="FootnoteReference"/>
        </w:rPr>
        <w:footnoteRef/>
      </w:r>
      <w:r w:rsidRPr="00784DCC">
        <w:t xml:space="preserve"> Panel</w:t>
      </w:r>
      <w:r w:rsidR="00F2224B" w:rsidRPr="00784DCC">
        <w:t> Report</w:t>
      </w:r>
      <w:r w:rsidRPr="00784DCC">
        <w:t>, para.</w:t>
      </w:r>
      <w:r w:rsidR="00F2224B" w:rsidRPr="00784DCC">
        <w:t> </w:t>
      </w:r>
      <w:r w:rsidRPr="00784DCC">
        <w:t>7.122.</w:t>
      </w:r>
    </w:p>
  </w:footnote>
  <w:footnote w:id="84">
    <w:p w14:paraId="380A27DE" w14:textId="72FAD6A1" w:rsidR="00F572D3" w:rsidRPr="00784DCC" w:rsidRDefault="00F572D3" w:rsidP="00F572D3">
      <w:pPr>
        <w:pStyle w:val="FootnoteText"/>
      </w:pPr>
      <w:r w:rsidRPr="00784DCC">
        <w:rPr>
          <w:rStyle w:val="FootnoteReference"/>
        </w:rPr>
        <w:footnoteRef/>
      </w:r>
      <w:r w:rsidRPr="00784DCC">
        <w:t xml:space="preserve"> Panel</w:t>
      </w:r>
      <w:r w:rsidR="00F2224B" w:rsidRPr="00784DCC">
        <w:t> Report</w:t>
      </w:r>
      <w:r w:rsidRPr="00784DCC">
        <w:t>, para.</w:t>
      </w:r>
      <w:r w:rsidR="00DA0ACF" w:rsidRPr="00784DCC">
        <w:t> </w:t>
      </w:r>
      <w:r w:rsidRPr="00784DCC">
        <w:t>7.122.</w:t>
      </w:r>
    </w:p>
  </w:footnote>
  <w:footnote w:id="85">
    <w:p w14:paraId="78A830D5" w14:textId="1D0CA581" w:rsidR="00F572D3" w:rsidRPr="00784DCC" w:rsidRDefault="00F572D3" w:rsidP="00F572D3">
      <w:pPr>
        <w:pStyle w:val="FootnoteText"/>
      </w:pPr>
      <w:r w:rsidRPr="00784DCC">
        <w:rPr>
          <w:rStyle w:val="FootnoteReference"/>
        </w:rPr>
        <w:footnoteRef/>
      </w:r>
      <w:r w:rsidRPr="00784DCC">
        <w:t xml:space="preserve"> Panel</w:t>
      </w:r>
      <w:r w:rsidR="00F2224B" w:rsidRPr="00784DCC">
        <w:t> Report</w:t>
      </w:r>
      <w:r w:rsidRPr="00784DCC">
        <w:t>, para.</w:t>
      </w:r>
      <w:r w:rsidR="00F2224B" w:rsidRPr="00784DCC">
        <w:t> </w:t>
      </w:r>
      <w:r w:rsidRPr="00784DCC">
        <w:t>7.126.</w:t>
      </w:r>
    </w:p>
  </w:footnote>
  <w:footnote w:id="86">
    <w:p w14:paraId="67665CA1" w14:textId="24F9A2F3" w:rsidR="00F572D3" w:rsidRPr="00784DCC" w:rsidRDefault="00F572D3" w:rsidP="00F572D3">
      <w:pPr>
        <w:pStyle w:val="FootnoteText"/>
      </w:pPr>
      <w:r w:rsidRPr="00784DCC">
        <w:rPr>
          <w:rStyle w:val="FootnoteReference"/>
        </w:rPr>
        <w:footnoteRef/>
      </w:r>
      <w:r w:rsidRPr="00784DCC">
        <w:t xml:space="preserve"> Panel</w:t>
      </w:r>
      <w:r w:rsidR="00F2224B" w:rsidRPr="00784DCC">
        <w:t> Report</w:t>
      </w:r>
      <w:r w:rsidRPr="00784DCC">
        <w:t>, para.</w:t>
      </w:r>
      <w:r w:rsidR="00F2224B" w:rsidRPr="00784DCC">
        <w:t> </w:t>
      </w:r>
      <w:r w:rsidRPr="00784DCC">
        <w:t>7.125</w:t>
      </w:r>
      <w:r w:rsidR="00216296" w:rsidRPr="00784DCC">
        <w:t>.</w:t>
      </w:r>
      <w:r w:rsidRPr="00784DCC">
        <w:t xml:space="preserve"> (emphasis original)</w:t>
      </w:r>
    </w:p>
  </w:footnote>
  <w:footnote w:id="87">
    <w:p w14:paraId="5CFC7310" w14:textId="74F469E6" w:rsidR="00F572D3" w:rsidRPr="00784DCC" w:rsidRDefault="00F572D3" w:rsidP="00F572D3">
      <w:pPr>
        <w:pStyle w:val="FootnoteText"/>
      </w:pPr>
      <w:r w:rsidRPr="00784DCC">
        <w:rPr>
          <w:rStyle w:val="FootnoteReference"/>
        </w:rPr>
        <w:footnoteRef/>
      </w:r>
      <w:r w:rsidRPr="00784DCC">
        <w:t xml:space="preserve"> Colombia's </w:t>
      </w:r>
      <w:r w:rsidR="00DA744F">
        <w:t xml:space="preserve">written </w:t>
      </w:r>
      <w:r w:rsidRPr="00784DCC">
        <w:t>submission, paras.</w:t>
      </w:r>
      <w:r w:rsidR="00DA0ACF" w:rsidRPr="00784DCC">
        <w:t> </w:t>
      </w:r>
      <w:r w:rsidRPr="00784DCC">
        <w:t>5.12-5.13.</w:t>
      </w:r>
    </w:p>
  </w:footnote>
  <w:footnote w:id="88">
    <w:p w14:paraId="5BD72033" w14:textId="5F8FA0F4" w:rsidR="00F572D3" w:rsidRPr="00784DCC" w:rsidRDefault="00F572D3" w:rsidP="00F572D3">
      <w:pPr>
        <w:pStyle w:val="FootnoteText"/>
      </w:pPr>
      <w:r w:rsidRPr="00784DCC">
        <w:rPr>
          <w:rStyle w:val="FootnoteReference"/>
        </w:rPr>
        <w:footnoteRef/>
      </w:r>
      <w:r w:rsidRPr="00784DCC">
        <w:t xml:space="preserve"> Colombia's </w:t>
      </w:r>
      <w:r w:rsidR="00DA744F">
        <w:t xml:space="preserve">written </w:t>
      </w:r>
      <w:r w:rsidRPr="00784DCC">
        <w:t>submission, paras.</w:t>
      </w:r>
      <w:r w:rsidR="00DA0ACF" w:rsidRPr="00784DCC">
        <w:t> </w:t>
      </w:r>
      <w:r w:rsidRPr="00784DCC">
        <w:t>5</w:t>
      </w:r>
      <w:r w:rsidR="00216296" w:rsidRPr="00784DCC">
        <w:t>.</w:t>
      </w:r>
      <w:r w:rsidRPr="00784DCC">
        <w:t>16-5.23.</w:t>
      </w:r>
    </w:p>
  </w:footnote>
  <w:footnote w:id="89">
    <w:p w14:paraId="66FB3A3D" w14:textId="241E88FC" w:rsidR="00F572D3" w:rsidRPr="00784DCC" w:rsidRDefault="00F572D3" w:rsidP="00F572D3">
      <w:pPr>
        <w:pStyle w:val="FootnoteText"/>
      </w:pPr>
      <w:r w:rsidRPr="00784DCC">
        <w:rPr>
          <w:rStyle w:val="FootnoteReference"/>
        </w:rPr>
        <w:footnoteRef/>
      </w:r>
      <w:r w:rsidRPr="00784DCC">
        <w:t xml:space="preserve"> Colombia's </w:t>
      </w:r>
      <w:r w:rsidR="00DA744F">
        <w:t xml:space="preserve">written </w:t>
      </w:r>
      <w:r w:rsidRPr="00784DCC">
        <w:t>submission, paras.</w:t>
      </w:r>
      <w:r w:rsidR="00DA0ACF" w:rsidRPr="00784DCC">
        <w:t> </w:t>
      </w:r>
      <w:r w:rsidRPr="00784DCC">
        <w:t>5.26-5.28.</w:t>
      </w:r>
    </w:p>
  </w:footnote>
  <w:footnote w:id="90">
    <w:p w14:paraId="4EF61DB6" w14:textId="17ED0C23" w:rsidR="00F572D3" w:rsidRPr="00784DCC" w:rsidRDefault="00F572D3" w:rsidP="00F572D3">
      <w:pPr>
        <w:pStyle w:val="FootnoteText"/>
      </w:pPr>
      <w:r w:rsidRPr="00784DCC">
        <w:rPr>
          <w:rStyle w:val="FootnoteReference"/>
        </w:rPr>
        <w:footnoteRef/>
      </w:r>
      <w:r w:rsidRPr="00784DCC">
        <w:t xml:space="preserve"> European</w:t>
      </w:r>
      <w:r w:rsidR="00DA0ACF" w:rsidRPr="00784DCC">
        <w:t> Union</w:t>
      </w:r>
      <w:r w:rsidRPr="00784DCC">
        <w:t xml:space="preserve">'s </w:t>
      </w:r>
      <w:r w:rsidR="00DA744F">
        <w:t>written</w:t>
      </w:r>
      <w:r w:rsidRPr="00784DCC">
        <w:t xml:space="preserve"> submission, paras.</w:t>
      </w:r>
      <w:r w:rsidR="00DA0ACF" w:rsidRPr="00784DCC">
        <w:t> </w:t>
      </w:r>
      <w:r w:rsidRPr="00784DCC">
        <w:t>61-63.</w:t>
      </w:r>
    </w:p>
  </w:footnote>
  <w:footnote w:id="91">
    <w:p w14:paraId="52DEAA01" w14:textId="7BF7559B" w:rsidR="00F572D3" w:rsidRPr="00784DCC" w:rsidRDefault="00F572D3" w:rsidP="00F572D3">
      <w:pPr>
        <w:pStyle w:val="FootnoteText"/>
      </w:pPr>
      <w:r w:rsidRPr="00784DCC">
        <w:rPr>
          <w:rStyle w:val="FootnoteReference"/>
        </w:rPr>
        <w:footnoteRef/>
      </w:r>
      <w:r w:rsidRPr="00784DCC">
        <w:t xml:space="preserve"> Colombia's responses to questions at the hearing.</w:t>
      </w:r>
    </w:p>
  </w:footnote>
  <w:footnote w:id="92">
    <w:p w14:paraId="432CCEDE" w14:textId="7C05A8E5" w:rsidR="00F572D3" w:rsidRPr="00784DCC" w:rsidRDefault="00F572D3" w:rsidP="00F572D3">
      <w:pPr>
        <w:pStyle w:val="FootnoteText"/>
      </w:pPr>
      <w:r w:rsidRPr="00784DCC">
        <w:rPr>
          <w:rStyle w:val="FootnoteReference"/>
        </w:rPr>
        <w:footnoteRef/>
      </w:r>
      <w:r w:rsidRPr="00784DCC">
        <w:t xml:space="preserve"> Panel</w:t>
      </w:r>
      <w:r w:rsidR="00F2224B" w:rsidRPr="00784DCC">
        <w:t> Report</w:t>
      </w:r>
      <w:r w:rsidRPr="00784DCC">
        <w:t>, para.</w:t>
      </w:r>
      <w:r w:rsidR="00F2224B" w:rsidRPr="00784DCC">
        <w:t> </w:t>
      </w:r>
      <w:r w:rsidRPr="00784DCC">
        <w:t xml:space="preserve">7.110 (quoting </w:t>
      </w:r>
      <w:r w:rsidRPr="00BD610B">
        <w:t>MINCIT's deficiency letter to FEDEPAPA</w:t>
      </w:r>
      <w:r w:rsidRPr="00784DCC">
        <w:t xml:space="preserve"> (</w:t>
      </w:r>
      <w:r w:rsidR="00CB14C8" w:rsidRPr="00784DCC">
        <w:t xml:space="preserve">Panel </w:t>
      </w:r>
      <w:r w:rsidRPr="00784DCC">
        <w:t>Exhibit EU</w:t>
      </w:r>
      <w:r w:rsidRPr="00784DCC">
        <w:noBreakHyphen/>
        <w:t>9a), numeral</w:t>
      </w:r>
      <w:r w:rsidR="00233513" w:rsidRPr="00784DCC">
        <w:t> </w:t>
      </w:r>
      <w:r w:rsidRPr="00784DCC">
        <w:t>5).</w:t>
      </w:r>
    </w:p>
  </w:footnote>
  <w:footnote w:id="93">
    <w:p w14:paraId="2908E0B5" w14:textId="44E9041E" w:rsidR="00F572D3" w:rsidRPr="00784DCC" w:rsidRDefault="00F572D3" w:rsidP="00F572D3">
      <w:pPr>
        <w:pStyle w:val="FootnoteText"/>
      </w:pPr>
      <w:r w:rsidRPr="00784DCC">
        <w:rPr>
          <w:rStyle w:val="FootnoteReference"/>
        </w:rPr>
        <w:footnoteRef/>
      </w:r>
      <w:r w:rsidRPr="00784DCC">
        <w:t xml:space="preserve"> Panel</w:t>
      </w:r>
      <w:r w:rsidR="00F2224B" w:rsidRPr="00784DCC">
        <w:t> Report</w:t>
      </w:r>
      <w:r w:rsidRPr="00784DCC">
        <w:t>, para.</w:t>
      </w:r>
      <w:r w:rsidR="00F2224B" w:rsidRPr="00784DCC">
        <w:t> </w:t>
      </w:r>
      <w:r w:rsidRPr="00784DCC">
        <w:t>7.110 (quoting revised application (</w:t>
      </w:r>
      <w:r w:rsidR="00CB14C8" w:rsidRPr="00784DCC">
        <w:t xml:space="preserve">Panel </w:t>
      </w:r>
      <w:r w:rsidRPr="00784DCC">
        <w:t>Exhibit EU</w:t>
      </w:r>
      <w:r w:rsidRPr="00784DCC">
        <w:noBreakHyphen/>
        <w:t>10), section 11).</w:t>
      </w:r>
    </w:p>
  </w:footnote>
  <w:footnote w:id="94">
    <w:p w14:paraId="54A15339" w14:textId="1C08DC25" w:rsidR="00F572D3" w:rsidRPr="00784DCC" w:rsidRDefault="00F572D3" w:rsidP="00F572D3">
      <w:pPr>
        <w:pStyle w:val="FootnoteText"/>
      </w:pPr>
      <w:r w:rsidRPr="00784DCC">
        <w:rPr>
          <w:rStyle w:val="FootnoteReference"/>
        </w:rPr>
        <w:footnoteRef/>
      </w:r>
      <w:r w:rsidRPr="00784DCC">
        <w:t xml:space="preserve"> Panel</w:t>
      </w:r>
      <w:r w:rsidR="00F2224B" w:rsidRPr="00784DCC">
        <w:t> Report</w:t>
      </w:r>
      <w:r w:rsidRPr="00784DCC">
        <w:t>, para.</w:t>
      </w:r>
      <w:r w:rsidR="00F2224B" w:rsidRPr="00784DCC">
        <w:t> </w:t>
      </w:r>
      <w:r w:rsidRPr="00784DCC">
        <w:t xml:space="preserve">7.110 and </w:t>
      </w:r>
      <w:r w:rsidR="0046003C" w:rsidRPr="00784DCC">
        <w:t>fn</w:t>
      </w:r>
      <w:r w:rsidR="00F2224B" w:rsidRPr="00784DCC">
        <w:t> </w:t>
      </w:r>
      <w:r w:rsidR="00987D41">
        <w:t>241</w:t>
      </w:r>
      <w:r w:rsidRPr="00784DCC">
        <w:t xml:space="preserve"> thereto (referring to Colombia's response to Panel question No. 1.1, para. 3; and quoting revised application (</w:t>
      </w:r>
      <w:r w:rsidR="00CB14C8" w:rsidRPr="00784DCC">
        <w:t xml:space="preserve">Panel </w:t>
      </w:r>
      <w:r w:rsidRPr="00784DCC">
        <w:t>Exhibit EU</w:t>
      </w:r>
      <w:r w:rsidRPr="00784DCC">
        <w:noBreakHyphen/>
        <w:t xml:space="preserve">10), </w:t>
      </w:r>
      <w:r w:rsidRPr="00784DCC" w:rsidDel="000926CE">
        <w:t>section 10 d(i)</w:t>
      </w:r>
      <w:r w:rsidRPr="00784DCC">
        <w:t xml:space="preserve">). </w:t>
      </w:r>
    </w:p>
  </w:footnote>
  <w:footnote w:id="95">
    <w:p w14:paraId="4C0298E2" w14:textId="5F1FB851" w:rsidR="00F572D3" w:rsidRPr="00784DCC" w:rsidRDefault="00F572D3" w:rsidP="00F572D3">
      <w:pPr>
        <w:pStyle w:val="FootnoteText"/>
      </w:pPr>
      <w:r w:rsidRPr="00784DCC">
        <w:rPr>
          <w:rStyle w:val="FootnoteReference"/>
        </w:rPr>
        <w:footnoteRef/>
      </w:r>
      <w:r w:rsidRPr="00784DCC">
        <w:t xml:space="preserve"> Panel</w:t>
      </w:r>
      <w:r w:rsidR="00F2224B" w:rsidRPr="00784DCC">
        <w:t> Report</w:t>
      </w:r>
      <w:r w:rsidRPr="00784DCC">
        <w:t>, para.</w:t>
      </w:r>
      <w:r w:rsidR="00F2224B" w:rsidRPr="00784DCC">
        <w:t> </w:t>
      </w:r>
      <w:r w:rsidRPr="00784DCC">
        <w:t>7.110 (quoting notice of initiation (</w:t>
      </w:r>
      <w:r w:rsidR="00CB14C8" w:rsidRPr="00784DCC">
        <w:t xml:space="preserve">Panel </w:t>
      </w:r>
      <w:r w:rsidRPr="00784DCC">
        <w:t>Exhibit EU</w:t>
      </w:r>
      <w:r w:rsidRPr="00784DCC">
        <w:noBreakHyphen/>
        <w:t>1a), section 1.5).</w:t>
      </w:r>
    </w:p>
  </w:footnote>
  <w:footnote w:id="96">
    <w:p w14:paraId="1AAFF484" w14:textId="1AF24272" w:rsidR="00F572D3" w:rsidRPr="00784DCC" w:rsidRDefault="00F572D3" w:rsidP="00F572D3">
      <w:pPr>
        <w:pStyle w:val="FootnoteText"/>
      </w:pPr>
      <w:r w:rsidRPr="00784DCC">
        <w:rPr>
          <w:rStyle w:val="FootnoteReference"/>
        </w:rPr>
        <w:footnoteRef/>
      </w:r>
      <w:r w:rsidRPr="00784DCC">
        <w:t xml:space="preserve"> Panel</w:t>
      </w:r>
      <w:r w:rsidR="00F2224B" w:rsidRPr="00784DCC">
        <w:t> Report</w:t>
      </w:r>
      <w:r w:rsidRPr="00784DCC">
        <w:t>, paras.</w:t>
      </w:r>
      <w:r w:rsidR="00DA0ACF" w:rsidRPr="00784DCC">
        <w:t> </w:t>
      </w:r>
      <w:r w:rsidRPr="00784DCC">
        <w:t>7.122 and 7.126. See also Panel</w:t>
      </w:r>
      <w:r w:rsidR="00F2224B" w:rsidRPr="00784DCC">
        <w:t> Report</w:t>
      </w:r>
      <w:r w:rsidRPr="00784DCC">
        <w:t xml:space="preserve">, </w:t>
      </w:r>
      <w:r w:rsidR="0046003C" w:rsidRPr="00784DCC">
        <w:t>fn</w:t>
      </w:r>
      <w:r w:rsidR="00F2224B" w:rsidRPr="00784DCC">
        <w:t> </w:t>
      </w:r>
      <w:r w:rsidR="00DF4156">
        <w:t>261</w:t>
      </w:r>
      <w:r w:rsidRPr="00784DCC">
        <w:t xml:space="preserve"> to para.</w:t>
      </w:r>
      <w:r w:rsidR="00F2224B" w:rsidRPr="00784DCC">
        <w:t> </w:t>
      </w:r>
      <w:r w:rsidRPr="00784DCC">
        <w:t>7.120 (referring to the redacted and non-redacted versions of the revised application in Panel Exhibits EU-10 and COL-67).</w:t>
      </w:r>
    </w:p>
  </w:footnote>
  <w:footnote w:id="97">
    <w:p w14:paraId="6B441A55" w14:textId="77777777" w:rsidR="00F572D3" w:rsidRPr="00784DCC" w:rsidRDefault="00F572D3" w:rsidP="00F572D3">
      <w:pPr>
        <w:pStyle w:val="FootnoteText"/>
      </w:pPr>
      <w:r w:rsidRPr="00784DCC">
        <w:rPr>
          <w:rStyle w:val="FootnoteReference"/>
        </w:rPr>
        <w:footnoteRef/>
      </w:r>
      <w:r w:rsidRPr="00784DCC">
        <w:t xml:space="preserve"> Panel Exhibits EU-10 and COL-67, respectively.</w:t>
      </w:r>
    </w:p>
  </w:footnote>
  <w:footnote w:id="98">
    <w:p w14:paraId="2EB3196E" w14:textId="0B760F6C" w:rsidR="00F572D3" w:rsidRPr="00784DCC" w:rsidRDefault="00F572D3" w:rsidP="00F572D3">
      <w:pPr>
        <w:pStyle w:val="FootnoteText"/>
      </w:pPr>
      <w:r w:rsidRPr="00784DCC">
        <w:rPr>
          <w:rStyle w:val="FootnoteReference"/>
        </w:rPr>
        <w:footnoteRef/>
      </w:r>
      <w:r w:rsidRPr="00784DCC">
        <w:t xml:space="preserve"> Panel</w:t>
      </w:r>
      <w:r w:rsidR="00F2224B" w:rsidRPr="00784DCC">
        <w:t> Report</w:t>
      </w:r>
      <w:r w:rsidRPr="00784DCC">
        <w:t>, para</w:t>
      </w:r>
      <w:r w:rsidR="00DA0ACF" w:rsidRPr="00784DCC">
        <w:t>.</w:t>
      </w:r>
      <w:r w:rsidR="0046762C" w:rsidRPr="00784DCC">
        <w:t> </w:t>
      </w:r>
      <w:r w:rsidRPr="00784DCC">
        <w:t xml:space="preserve">7.110 and </w:t>
      </w:r>
      <w:r w:rsidR="0046003C" w:rsidRPr="00784DCC">
        <w:t>fn</w:t>
      </w:r>
      <w:r w:rsidR="00F2224B" w:rsidRPr="00784DCC">
        <w:t> </w:t>
      </w:r>
      <w:r w:rsidR="00987D41">
        <w:t>241</w:t>
      </w:r>
      <w:r w:rsidRPr="00784DCC">
        <w:t xml:space="preserve"> thereto. The Panel explained that, although the confidential information of the domestic companies was set out in </w:t>
      </w:r>
      <w:r w:rsidR="00CF2CBD" w:rsidRPr="00784DCC">
        <w:t>A</w:t>
      </w:r>
      <w:r w:rsidRPr="00784DCC">
        <w:t>nnexes 10-12 of the revised application, it would refer to these three annexes as "</w:t>
      </w:r>
      <w:r w:rsidR="00CF2CBD" w:rsidRPr="00784DCC">
        <w:t>A</w:t>
      </w:r>
      <w:r w:rsidRPr="00784DCC">
        <w:t>nnex</w:t>
      </w:r>
      <w:r w:rsidR="00126344">
        <w:t> </w:t>
      </w:r>
      <w:r w:rsidRPr="00784DCC">
        <w:t>10" for ease of reference. (Ibid.</w:t>
      </w:r>
      <w:r w:rsidR="00A325E8">
        <w:t>,</w:t>
      </w:r>
      <w:r w:rsidRPr="00784DCC">
        <w:t xml:space="preserve"> </w:t>
      </w:r>
      <w:r w:rsidR="0046003C" w:rsidRPr="00784DCC">
        <w:t>fn</w:t>
      </w:r>
      <w:r w:rsidR="00F2224B" w:rsidRPr="00784DCC">
        <w:t> </w:t>
      </w:r>
      <w:r w:rsidR="00DF4156">
        <w:t>241</w:t>
      </w:r>
      <w:r w:rsidRPr="00784DCC">
        <w:t xml:space="preserve"> to para.</w:t>
      </w:r>
      <w:r w:rsidR="00F2224B" w:rsidRPr="00784DCC">
        <w:t> </w:t>
      </w:r>
      <w:r w:rsidRPr="00784DCC">
        <w:t>7.110)</w:t>
      </w:r>
    </w:p>
  </w:footnote>
  <w:footnote w:id="99">
    <w:p w14:paraId="27E34FD4" w14:textId="4B3A5543" w:rsidR="00F572D3" w:rsidRPr="00784DCC" w:rsidRDefault="00F572D3" w:rsidP="00F572D3">
      <w:pPr>
        <w:pStyle w:val="FootnoteText"/>
      </w:pPr>
      <w:r w:rsidRPr="00784DCC">
        <w:rPr>
          <w:rStyle w:val="FootnoteReference"/>
        </w:rPr>
        <w:footnoteRef/>
      </w:r>
      <w:r w:rsidRPr="00784DCC">
        <w:t xml:space="preserve"> Panel</w:t>
      </w:r>
      <w:r w:rsidR="00F2224B" w:rsidRPr="00784DCC">
        <w:t> Report</w:t>
      </w:r>
      <w:r w:rsidRPr="00784DCC">
        <w:t>, paras.</w:t>
      </w:r>
      <w:r w:rsidR="00DA0ACF" w:rsidRPr="00784DCC">
        <w:t> </w:t>
      </w:r>
      <w:r w:rsidRPr="00784DCC">
        <w:t xml:space="preserve">7.120 and 7.122 and </w:t>
      </w:r>
      <w:r w:rsidR="0046003C" w:rsidRPr="00784DCC">
        <w:t>fn</w:t>
      </w:r>
      <w:r w:rsidR="00F2224B" w:rsidRPr="00784DCC">
        <w:t> </w:t>
      </w:r>
      <w:r w:rsidR="00987D41">
        <w:t>267</w:t>
      </w:r>
      <w:r w:rsidRPr="00784DCC">
        <w:t xml:space="preserve"> thereto (referring to Colombia's response to Panel question No.</w:t>
      </w:r>
      <w:r w:rsidR="00F2224B" w:rsidRPr="00784DCC">
        <w:t> </w:t>
      </w:r>
      <w:r w:rsidRPr="00784DCC">
        <w:t>13.2, para.</w:t>
      </w:r>
      <w:r w:rsidR="00F2224B" w:rsidRPr="00784DCC">
        <w:t> </w:t>
      </w:r>
      <w:r w:rsidRPr="00784DCC">
        <w:t>67).</w:t>
      </w:r>
    </w:p>
  </w:footnote>
  <w:footnote w:id="100">
    <w:p w14:paraId="567A3AB3" w14:textId="630CBB6D" w:rsidR="00F572D3" w:rsidRPr="00784DCC" w:rsidRDefault="00F572D3" w:rsidP="00F572D3">
      <w:pPr>
        <w:pStyle w:val="FootnoteText"/>
      </w:pPr>
      <w:r w:rsidRPr="00784DCC">
        <w:rPr>
          <w:rStyle w:val="FootnoteReference"/>
        </w:rPr>
        <w:footnoteRef/>
      </w:r>
      <w:r w:rsidRPr="00784DCC">
        <w:t xml:space="preserve"> Panel</w:t>
      </w:r>
      <w:r w:rsidR="00F2224B" w:rsidRPr="00784DCC">
        <w:t> Report</w:t>
      </w:r>
      <w:r w:rsidRPr="00784DCC">
        <w:t>, para.</w:t>
      </w:r>
      <w:r w:rsidR="00F2224B" w:rsidRPr="00784DCC">
        <w:t> </w:t>
      </w:r>
      <w:r w:rsidRPr="00784DCC">
        <w:t>7.122 (</w:t>
      </w:r>
      <w:r w:rsidR="008815FF">
        <w:t xml:space="preserve">stating that </w:t>
      </w:r>
      <w:r w:rsidRPr="00784DCC">
        <w:t>"</w:t>
      </w:r>
      <w:r w:rsidR="008815FF">
        <w:t>[t]</w:t>
      </w:r>
      <w:r w:rsidRPr="00784DCC">
        <w:t>he parties thus do not dispute that the applicant did not attempt to show 'good cause' for the confidential treatment of this information.")</w:t>
      </w:r>
      <w:r w:rsidR="00A325E8">
        <w:t>.</w:t>
      </w:r>
    </w:p>
  </w:footnote>
  <w:footnote w:id="101">
    <w:p w14:paraId="2A2AD832" w14:textId="7A7F36EF" w:rsidR="00F572D3" w:rsidRPr="00784DCC" w:rsidRDefault="00F572D3" w:rsidP="00F572D3">
      <w:pPr>
        <w:pStyle w:val="FootnoteText"/>
      </w:pPr>
      <w:r w:rsidRPr="00784DCC">
        <w:rPr>
          <w:rStyle w:val="FootnoteReference"/>
        </w:rPr>
        <w:footnoteRef/>
      </w:r>
      <w:r w:rsidRPr="00784DCC">
        <w:t xml:space="preserve"> The European</w:t>
      </w:r>
      <w:r w:rsidR="00DA0ACF" w:rsidRPr="00784DCC">
        <w:t> Union</w:t>
      </w:r>
      <w:r w:rsidRPr="00784DCC">
        <w:t xml:space="preserve"> noted at the hearing that the first time it was able to see the information that had been redacted was when the non-redacted version had been provided to the Panel in these proceedings. (European</w:t>
      </w:r>
      <w:r w:rsidR="00DA0ACF" w:rsidRPr="00784DCC">
        <w:t> Union</w:t>
      </w:r>
      <w:r w:rsidRPr="00784DCC">
        <w:t>'s responses to questions at the hearing; see also Panel</w:t>
      </w:r>
      <w:r w:rsidR="00F2224B" w:rsidRPr="00784DCC">
        <w:t> Report</w:t>
      </w:r>
      <w:r w:rsidRPr="00784DCC">
        <w:t xml:space="preserve">, </w:t>
      </w:r>
      <w:r w:rsidR="0046003C" w:rsidRPr="00784DCC">
        <w:t>fn</w:t>
      </w:r>
      <w:r w:rsidR="00F2224B" w:rsidRPr="00784DCC">
        <w:t> </w:t>
      </w:r>
      <w:r w:rsidR="00987D41">
        <w:t>261</w:t>
      </w:r>
      <w:r w:rsidRPr="00784DCC">
        <w:t xml:space="preserve"> to para.</w:t>
      </w:r>
      <w:r w:rsidR="00F2224B" w:rsidRPr="00784DCC">
        <w:t> </w:t>
      </w:r>
      <w:r w:rsidRPr="00784DCC">
        <w:t>7.120 (referring to</w:t>
      </w:r>
      <w:r w:rsidR="006B44B3">
        <w:t xml:space="preserve"> section d(</w:t>
      </w:r>
      <w:r w:rsidR="006B44B3" w:rsidRPr="00423405">
        <w:t>i)</w:t>
      </w:r>
      <w:r w:rsidR="00294E73" w:rsidRPr="00423405">
        <w:t xml:space="preserve"> of</w:t>
      </w:r>
      <w:r w:rsidRPr="00423405">
        <w:t xml:space="preserve"> the</w:t>
      </w:r>
      <w:r w:rsidRPr="00784DCC">
        <w:t xml:space="preserve"> redacted and non-redacted versions of the revised application in Panel Exhibits EU-10 and COL-67))</w:t>
      </w:r>
    </w:p>
  </w:footnote>
  <w:footnote w:id="102">
    <w:p w14:paraId="48B4B09C" w14:textId="7D6B7611" w:rsidR="00F572D3" w:rsidRPr="00784DCC" w:rsidRDefault="00F572D3" w:rsidP="00F572D3">
      <w:pPr>
        <w:pStyle w:val="FootnoteText"/>
      </w:pPr>
      <w:r w:rsidRPr="00784DCC">
        <w:rPr>
          <w:rStyle w:val="FootnoteReference"/>
        </w:rPr>
        <w:footnoteRef/>
      </w:r>
      <w:r w:rsidRPr="00784DCC">
        <w:t xml:space="preserve"> For this reason, our consideration of this matter is not coloured by Colombia's contention that the European</w:t>
      </w:r>
      <w:r w:rsidR="00DA0ACF" w:rsidRPr="00784DCC">
        <w:t> Union</w:t>
      </w:r>
      <w:r w:rsidRPr="00784DCC">
        <w:t xml:space="preserve"> should have instead brought a claim under Article</w:t>
      </w:r>
      <w:r w:rsidR="00F2224B" w:rsidRPr="00784DCC">
        <w:t> </w:t>
      </w:r>
      <w:r w:rsidRPr="00784DCC">
        <w:t>6.4 of the Anti-Dumping Agreement, which relates to the requirement of an authority to provide timely opportunities to interested parties to see non</w:t>
      </w:r>
      <w:r w:rsidR="00C2678E" w:rsidRPr="00784DCC">
        <w:noBreakHyphen/>
      </w:r>
      <w:r w:rsidRPr="00784DCC">
        <w:t xml:space="preserve">confidential information relevant to the presentation of their cases. (Colombia's responses to questions at the hearing; see also Colombia's </w:t>
      </w:r>
      <w:r w:rsidR="00DA744F">
        <w:t xml:space="preserve">written </w:t>
      </w:r>
      <w:r w:rsidRPr="00784DCC">
        <w:t>submission, para.</w:t>
      </w:r>
      <w:r w:rsidR="00F2224B" w:rsidRPr="00784DCC">
        <w:t> </w:t>
      </w:r>
      <w:r w:rsidRPr="00784DCC">
        <w:t xml:space="preserve">5.23 and </w:t>
      </w:r>
      <w:r w:rsidR="0046003C" w:rsidRPr="00784DCC">
        <w:t>fn</w:t>
      </w:r>
      <w:r w:rsidR="00F2224B" w:rsidRPr="00784DCC">
        <w:t> </w:t>
      </w:r>
      <w:r w:rsidRPr="00784DCC">
        <w:t>86 thereto) Because we deem that information in section d(i) of the revised application was accorded confidential treatment by MINCIT, Article</w:t>
      </w:r>
      <w:r w:rsidR="00F2224B" w:rsidRPr="00784DCC">
        <w:t> </w:t>
      </w:r>
      <w:r w:rsidRPr="00784DCC">
        <w:t>6.4 is not applicable to that information.</w:t>
      </w:r>
    </w:p>
  </w:footnote>
  <w:footnote w:id="103">
    <w:p w14:paraId="56E81E39" w14:textId="774A06BC" w:rsidR="00F572D3" w:rsidRPr="00784DCC" w:rsidRDefault="00F572D3" w:rsidP="00F572D3">
      <w:pPr>
        <w:pStyle w:val="FootnoteText"/>
      </w:pPr>
      <w:r w:rsidRPr="00784DCC">
        <w:rPr>
          <w:rStyle w:val="FootnoteReference"/>
        </w:rPr>
        <w:footnoteRef/>
      </w:r>
      <w:r w:rsidRPr="00784DCC">
        <w:t xml:space="preserve"> Colombia's </w:t>
      </w:r>
      <w:r w:rsidR="00DA744F">
        <w:t xml:space="preserve">written </w:t>
      </w:r>
      <w:r w:rsidRPr="00784DCC">
        <w:t>submission, para</w:t>
      </w:r>
      <w:r w:rsidR="00DA0ACF" w:rsidRPr="00784DCC">
        <w:t>.</w:t>
      </w:r>
      <w:r w:rsidR="0046762C" w:rsidRPr="00784DCC">
        <w:t> </w:t>
      </w:r>
      <w:r w:rsidRPr="00784DCC">
        <w:t>5.27.</w:t>
      </w:r>
    </w:p>
  </w:footnote>
  <w:footnote w:id="104">
    <w:p w14:paraId="21DC4A79" w14:textId="6DF142BF" w:rsidR="00F572D3" w:rsidRPr="00784DCC" w:rsidRDefault="00F572D3" w:rsidP="00F572D3">
      <w:pPr>
        <w:pStyle w:val="FootnoteText"/>
      </w:pPr>
      <w:r w:rsidRPr="00784DCC">
        <w:rPr>
          <w:rStyle w:val="FootnoteReference"/>
        </w:rPr>
        <w:footnoteRef/>
      </w:r>
      <w:r w:rsidRPr="00784DCC">
        <w:t xml:space="preserve"> Colombia's </w:t>
      </w:r>
      <w:r w:rsidR="00DA744F">
        <w:t xml:space="preserve">written </w:t>
      </w:r>
      <w:r w:rsidRPr="00784DCC">
        <w:t>submission, para.</w:t>
      </w:r>
      <w:r w:rsidR="00F2224B" w:rsidRPr="00784DCC">
        <w:t> </w:t>
      </w:r>
      <w:r w:rsidRPr="00784DCC">
        <w:t>5.26 (quoting Panel</w:t>
      </w:r>
      <w:r w:rsidR="00F2224B" w:rsidRPr="00784DCC">
        <w:t> Report</w:t>
      </w:r>
      <w:r w:rsidRPr="00784DCC">
        <w:t>, para.</w:t>
      </w:r>
      <w:r w:rsidR="00F2224B" w:rsidRPr="00784DCC">
        <w:t> </w:t>
      </w:r>
      <w:r w:rsidRPr="00784DCC">
        <w:t xml:space="preserve">7.125). </w:t>
      </w:r>
    </w:p>
  </w:footnote>
  <w:footnote w:id="105">
    <w:p w14:paraId="1B21CEAA" w14:textId="63CE75F4" w:rsidR="00F572D3" w:rsidRPr="00784DCC" w:rsidRDefault="00F572D3" w:rsidP="00F572D3">
      <w:pPr>
        <w:pStyle w:val="FootnoteText"/>
      </w:pPr>
      <w:r w:rsidRPr="00784DCC">
        <w:rPr>
          <w:rStyle w:val="FootnoteReference"/>
        </w:rPr>
        <w:footnoteRef/>
      </w:r>
      <w:r w:rsidRPr="00784DCC">
        <w:t xml:space="preserve"> Panel</w:t>
      </w:r>
      <w:r w:rsidR="00F2224B" w:rsidRPr="00784DCC">
        <w:t> Report</w:t>
      </w:r>
      <w:r w:rsidRPr="00784DCC">
        <w:t>, para.</w:t>
      </w:r>
      <w:r w:rsidR="00F2224B" w:rsidRPr="00784DCC">
        <w:t> </w:t>
      </w:r>
      <w:r w:rsidRPr="00784DCC">
        <w:t>7.125. (emphasis original)</w:t>
      </w:r>
    </w:p>
  </w:footnote>
  <w:footnote w:id="106">
    <w:p w14:paraId="7B0206E7" w14:textId="2B613BF1" w:rsidR="00F572D3" w:rsidRPr="00784DCC" w:rsidRDefault="00F572D3" w:rsidP="00F572D3">
      <w:pPr>
        <w:pStyle w:val="FootnoteText"/>
      </w:pPr>
      <w:r w:rsidRPr="00784DCC">
        <w:rPr>
          <w:rStyle w:val="FootnoteReference"/>
        </w:rPr>
        <w:footnoteRef/>
      </w:r>
      <w:r w:rsidRPr="00784DCC">
        <w:t xml:space="preserve"> Panel</w:t>
      </w:r>
      <w:r w:rsidR="00F2224B" w:rsidRPr="00784DCC">
        <w:t> Report</w:t>
      </w:r>
      <w:r w:rsidRPr="00784DCC">
        <w:t>, para.</w:t>
      </w:r>
      <w:r w:rsidR="00F2224B" w:rsidRPr="00784DCC">
        <w:t> </w:t>
      </w:r>
      <w:r w:rsidRPr="00784DCC">
        <w:t>7.125. (emphasis original)</w:t>
      </w:r>
    </w:p>
  </w:footnote>
  <w:footnote w:id="107">
    <w:p w14:paraId="17CFC022" w14:textId="1E9D6523" w:rsidR="00F572D3" w:rsidRPr="00784DCC" w:rsidRDefault="00F572D3" w:rsidP="00F572D3">
      <w:pPr>
        <w:pStyle w:val="FootnoteText"/>
      </w:pPr>
      <w:r w:rsidRPr="00784DCC">
        <w:rPr>
          <w:rStyle w:val="FootnoteReference"/>
        </w:rPr>
        <w:footnoteRef/>
      </w:r>
      <w:r w:rsidRPr="00784DCC">
        <w:t xml:space="preserve"> Panel</w:t>
      </w:r>
      <w:r w:rsidR="00F2224B" w:rsidRPr="00784DCC">
        <w:t> Report</w:t>
      </w:r>
      <w:r w:rsidRPr="00784DCC">
        <w:t>, para.</w:t>
      </w:r>
      <w:r w:rsidR="00F2224B" w:rsidRPr="00784DCC">
        <w:t> </w:t>
      </w:r>
      <w:r w:rsidRPr="00784DCC">
        <w:t>7.125.</w:t>
      </w:r>
    </w:p>
  </w:footnote>
  <w:footnote w:id="108">
    <w:p w14:paraId="180AA7B4" w14:textId="5B9A7B51" w:rsidR="00F572D3" w:rsidRPr="00784DCC" w:rsidRDefault="00F572D3" w:rsidP="00F572D3">
      <w:pPr>
        <w:pStyle w:val="FootnoteText"/>
      </w:pPr>
      <w:r w:rsidRPr="00784DCC">
        <w:rPr>
          <w:rStyle w:val="FootnoteReference"/>
        </w:rPr>
        <w:footnoteRef/>
      </w:r>
      <w:r w:rsidRPr="00784DCC">
        <w:t xml:space="preserve"> Colombia argues that the information in footnote 3 to section d(i) of the revised application was not treated as confidential because it was ultimately disclosed by MINCIT in its notice of initiation. (Colombia's </w:t>
      </w:r>
      <w:r w:rsidR="00DA744F">
        <w:t xml:space="preserve">written </w:t>
      </w:r>
      <w:r w:rsidRPr="00784DCC">
        <w:t>submission, paras.</w:t>
      </w:r>
      <w:r w:rsidR="00DA0ACF" w:rsidRPr="00784DCC">
        <w:t> </w:t>
      </w:r>
      <w:r w:rsidRPr="00784DCC">
        <w:t>5.24-5.25) However, we do not see that this alters the Panel's and our consideration that the information contained in the main text of section d(i), which remained on the public record in its redacted form, was</w:t>
      </w:r>
      <w:r w:rsidRPr="00784DCC">
        <w:rPr>
          <w:color w:val="000000"/>
        </w:rPr>
        <w:t xml:space="preserve"> properly regarded as having been granted confidential treatment by MINCIT.</w:t>
      </w:r>
    </w:p>
  </w:footnote>
  <w:footnote w:id="109">
    <w:p w14:paraId="6BD06593" w14:textId="3EE77C2F" w:rsidR="00F572D3" w:rsidRPr="00784DCC" w:rsidRDefault="00F572D3" w:rsidP="00F572D3">
      <w:pPr>
        <w:pStyle w:val="FootnoteText"/>
      </w:pPr>
      <w:r w:rsidRPr="00784DCC">
        <w:rPr>
          <w:rStyle w:val="FootnoteReference"/>
        </w:rPr>
        <w:footnoteRef/>
      </w:r>
      <w:r w:rsidRPr="00784DCC">
        <w:t xml:space="preserve"> See Colombia's Notice of Appeal</w:t>
      </w:r>
      <w:r w:rsidR="00215B56">
        <w:t>, para. 3</w:t>
      </w:r>
      <w:r w:rsidRPr="00784DCC">
        <w:t xml:space="preserve"> (referring to Panel</w:t>
      </w:r>
      <w:r w:rsidR="00F2224B" w:rsidRPr="00784DCC">
        <w:t> Report</w:t>
      </w:r>
      <w:r w:rsidRPr="00784DCC">
        <w:t>, paras.</w:t>
      </w:r>
      <w:r w:rsidR="00DA0ACF" w:rsidRPr="00784DCC">
        <w:t> </w:t>
      </w:r>
      <w:r w:rsidRPr="00784DCC">
        <w:t>7.232</w:t>
      </w:r>
      <w:r w:rsidR="003D6649" w:rsidRPr="00784DCC">
        <w:noBreakHyphen/>
      </w:r>
      <w:r w:rsidRPr="00784DCC">
        <w:t>7.233, 7.244, and 8.1.d.ii).</w:t>
      </w:r>
    </w:p>
  </w:footnote>
  <w:footnote w:id="110">
    <w:p w14:paraId="34D5B9A8" w14:textId="7C3607B1" w:rsidR="00F572D3" w:rsidRPr="00784DCC" w:rsidRDefault="00F572D3" w:rsidP="00F572D3">
      <w:pPr>
        <w:pStyle w:val="FootnoteText"/>
      </w:pPr>
      <w:r w:rsidRPr="00784DCC">
        <w:rPr>
          <w:rStyle w:val="FootnoteReference"/>
        </w:rPr>
        <w:footnoteRef/>
      </w:r>
      <w:r w:rsidRPr="00784DCC">
        <w:t xml:space="preserve"> Panel</w:t>
      </w:r>
      <w:r w:rsidR="00F2224B" w:rsidRPr="00784DCC">
        <w:t> Report</w:t>
      </w:r>
      <w:r w:rsidRPr="00784DCC">
        <w:t>, para.</w:t>
      </w:r>
      <w:r w:rsidR="00F2224B" w:rsidRPr="00784DCC">
        <w:t> </w:t>
      </w:r>
      <w:r w:rsidRPr="00784DCC">
        <w:t>7.218.</w:t>
      </w:r>
      <w:r w:rsidR="00D60804">
        <w:t xml:space="preserve"> (fn</w:t>
      </w:r>
      <w:r w:rsidR="00126344">
        <w:t> </w:t>
      </w:r>
      <w:r w:rsidR="00D60804">
        <w:t>omitted)</w:t>
      </w:r>
    </w:p>
  </w:footnote>
  <w:footnote w:id="111">
    <w:p w14:paraId="06402240" w14:textId="1CDC3416" w:rsidR="00F572D3" w:rsidRPr="00784DCC" w:rsidRDefault="00F572D3" w:rsidP="00F572D3">
      <w:pPr>
        <w:pStyle w:val="FootnoteText"/>
      </w:pPr>
      <w:r w:rsidRPr="00784DCC">
        <w:rPr>
          <w:rStyle w:val="FootnoteReference"/>
        </w:rPr>
        <w:footnoteRef/>
      </w:r>
      <w:r w:rsidRPr="00784DCC">
        <w:t xml:space="preserve"> Colombia's </w:t>
      </w:r>
      <w:r w:rsidR="00DA744F">
        <w:t xml:space="preserve">written </w:t>
      </w:r>
      <w:r w:rsidRPr="00784DCC">
        <w:t>submission, para.</w:t>
      </w:r>
      <w:r w:rsidR="00F2224B" w:rsidRPr="00784DCC">
        <w:t> </w:t>
      </w:r>
      <w:r w:rsidRPr="00784DCC">
        <w:t>6.1. See also Panel</w:t>
      </w:r>
      <w:r w:rsidR="00F2224B" w:rsidRPr="00784DCC">
        <w:t> Report</w:t>
      </w:r>
      <w:r w:rsidRPr="00784DCC">
        <w:t>, paras.</w:t>
      </w:r>
      <w:r w:rsidR="00DA0ACF" w:rsidRPr="00784DCC">
        <w:t> </w:t>
      </w:r>
      <w:r w:rsidRPr="00784DCC">
        <w:t>7.219 and 7.223.</w:t>
      </w:r>
      <w:r w:rsidR="00235784">
        <w:t xml:space="preserve"> Colombia requests that we declare "moot and of no legal effect" the Panel's substantive finding under Article 2.4 should we accept Colombia's appeal under Article 6.2 of the DSU. (Colombia's written submission, paras. 6.35 and 6.38)</w:t>
      </w:r>
    </w:p>
  </w:footnote>
  <w:footnote w:id="112">
    <w:p w14:paraId="656E97E9" w14:textId="5529B815" w:rsidR="00F572D3" w:rsidRPr="00784DCC" w:rsidRDefault="00F572D3" w:rsidP="00F572D3">
      <w:pPr>
        <w:pStyle w:val="FootnoteText"/>
      </w:pPr>
      <w:r w:rsidRPr="00784DCC">
        <w:rPr>
          <w:rStyle w:val="FootnoteReference"/>
        </w:rPr>
        <w:footnoteRef/>
      </w:r>
      <w:r w:rsidRPr="00784DCC">
        <w:t xml:space="preserve"> WT/DS591/2, pp.</w:t>
      </w:r>
      <w:r w:rsidR="00270F7B">
        <w:t> </w:t>
      </w:r>
      <w:r w:rsidRPr="00784DCC">
        <w:t>2-3</w:t>
      </w:r>
      <w:r w:rsidR="009D58C2" w:rsidRPr="00784DCC">
        <w:t>.</w:t>
      </w:r>
      <w:r w:rsidRPr="00784DCC">
        <w:t xml:space="preserve"> (emphasis added)</w:t>
      </w:r>
    </w:p>
  </w:footnote>
  <w:footnote w:id="113">
    <w:p w14:paraId="5EC6BB5B" w14:textId="77777777" w:rsidR="00F572D3" w:rsidRPr="00784DCC" w:rsidRDefault="00F572D3" w:rsidP="00F572D3">
      <w:pPr>
        <w:pStyle w:val="FootnoteText"/>
      </w:pPr>
      <w:r w:rsidRPr="00784DCC">
        <w:rPr>
          <w:rStyle w:val="FootnoteReference"/>
        </w:rPr>
        <w:footnoteRef/>
      </w:r>
      <w:r w:rsidRPr="00784DCC">
        <w:t xml:space="preserve"> Our brief description of these facts is based on the Panel's factual findings not subject to appeal.</w:t>
      </w:r>
    </w:p>
  </w:footnote>
  <w:footnote w:id="114">
    <w:p w14:paraId="090E799D" w14:textId="7458CA91" w:rsidR="00F572D3" w:rsidRPr="00784DCC" w:rsidRDefault="00F572D3" w:rsidP="00F572D3">
      <w:pPr>
        <w:pStyle w:val="FootnoteText"/>
      </w:pPr>
      <w:r w:rsidRPr="00784DCC">
        <w:rPr>
          <w:rStyle w:val="FootnoteReference"/>
        </w:rPr>
        <w:footnoteRef/>
      </w:r>
      <w:r w:rsidRPr="00784DCC">
        <w:t xml:space="preserve"> Panel</w:t>
      </w:r>
      <w:r w:rsidR="00F2224B" w:rsidRPr="00784DCC">
        <w:t> Report</w:t>
      </w:r>
      <w:r w:rsidRPr="00784DCC">
        <w:t>, paras.</w:t>
      </w:r>
      <w:r w:rsidR="00DA0ACF" w:rsidRPr="00784DCC">
        <w:t> </w:t>
      </w:r>
      <w:r w:rsidRPr="00784DCC">
        <w:t>7.217 and 7.234 (referring to Mydibel's questionnaire response (</w:t>
      </w:r>
      <w:r w:rsidR="00CB14C8" w:rsidRPr="00784DCC">
        <w:t xml:space="preserve">Panel </w:t>
      </w:r>
      <w:r w:rsidRPr="00784DCC">
        <w:t>Exhibit EU</w:t>
      </w:r>
      <w:r w:rsidRPr="00784DCC">
        <w:noBreakHyphen/>
        <w:t>30a (BCI)), section 5; Mydibel's comments on the essential facts technical report (</w:t>
      </w:r>
      <w:r w:rsidR="00CB14C8" w:rsidRPr="00784DCC">
        <w:t xml:space="preserve">Panel </w:t>
      </w:r>
      <w:r w:rsidRPr="00784DCC">
        <w:t>Exhibit COL</w:t>
      </w:r>
      <w:r w:rsidRPr="00784DCC">
        <w:noBreakHyphen/>
        <w:t>1 (BCI)), pp. 10-11 and 21).</w:t>
      </w:r>
    </w:p>
  </w:footnote>
  <w:footnote w:id="115">
    <w:p w14:paraId="0B5C3090" w14:textId="540A9F9C" w:rsidR="00F572D3" w:rsidRPr="00784DCC" w:rsidRDefault="00F572D3" w:rsidP="00F572D3">
      <w:pPr>
        <w:pStyle w:val="FootnoteText"/>
      </w:pPr>
      <w:r w:rsidRPr="00784DCC">
        <w:rPr>
          <w:rStyle w:val="FootnoteReference"/>
        </w:rPr>
        <w:footnoteRef/>
      </w:r>
      <w:r w:rsidRPr="00784DCC">
        <w:t xml:space="preserve"> Panel</w:t>
      </w:r>
      <w:r w:rsidR="00F2224B" w:rsidRPr="00784DCC">
        <w:t> Report</w:t>
      </w:r>
      <w:r w:rsidRPr="00784DCC">
        <w:t>, para.</w:t>
      </w:r>
      <w:r w:rsidR="00F2224B" w:rsidRPr="00784DCC">
        <w:t> </w:t>
      </w:r>
      <w:r w:rsidRPr="00784DCC">
        <w:t>7.234 (referring to Mydibel's comments on the essential facts technical report (</w:t>
      </w:r>
      <w:r w:rsidR="00CB14C8" w:rsidRPr="00784DCC">
        <w:t xml:space="preserve">Panel </w:t>
      </w:r>
      <w:r w:rsidRPr="00784DCC">
        <w:t>Exhibit COL</w:t>
      </w:r>
      <w:r w:rsidRPr="00784DCC">
        <w:noBreakHyphen/>
        <w:t>1 (BCI)), p. 21).</w:t>
      </w:r>
    </w:p>
  </w:footnote>
  <w:footnote w:id="116">
    <w:p w14:paraId="6ABFC473" w14:textId="553920B9" w:rsidR="00F572D3" w:rsidRPr="009A1F30" w:rsidRDefault="00F572D3" w:rsidP="00F572D3">
      <w:pPr>
        <w:pStyle w:val="FootnoteText"/>
        <w:rPr>
          <w:lang w:val="fr-CH"/>
        </w:rPr>
      </w:pPr>
      <w:r w:rsidRPr="00784DCC">
        <w:rPr>
          <w:rStyle w:val="FootnoteReference"/>
        </w:rPr>
        <w:footnoteRef/>
      </w:r>
      <w:r w:rsidRPr="00784DCC">
        <w:t xml:space="preserve"> Panel</w:t>
      </w:r>
      <w:r w:rsidR="00F2224B" w:rsidRPr="00784DCC">
        <w:t> Report</w:t>
      </w:r>
      <w:r w:rsidRPr="00784DCC">
        <w:t>, para.</w:t>
      </w:r>
      <w:r w:rsidR="00F2224B" w:rsidRPr="00784DCC">
        <w:t> </w:t>
      </w:r>
      <w:r w:rsidRPr="00784DCC">
        <w:t>7.217 (referring to European Union's first written submission</w:t>
      </w:r>
      <w:r w:rsidR="00A030F9">
        <w:t xml:space="preserve"> to the Panel</w:t>
      </w:r>
      <w:r w:rsidRPr="00784DCC">
        <w:t>, paras. </w:t>
      </w:r>
      <w:r w:rsidRPr="009A1F30">
        <w:rPr>
          <w:lang w:val="fr-CH"/>
        </w:rPr>
        <w:t>182</w:t>
      </w:r>
      <w:r w:rsidRPr="009A1F30">
        <w:rPr>
          <w:lang w:val="fr-CH"/>
        </w:rPr>
        <w:noBreakHyphen/>
        <w:t>183; Mydibel's questionnaire response (</w:t>
      </w:r>
      <w:r w:rsidR="00CB14C8" w:rsidRPr="009A1F30">
        <w:rPr>
          <w:lang w:val="fr-CH"/>
        </w:rPr>
        <w:t xml:space="preserve">Panel </w:t>
      </w:r>
      <w:r w:rsidRPr="009A1F30">
        <w:rPr>
          <w:lang w:val="fr-CH"/>
        </w:rPr>
        <w:t>Exhibit EU</w:t>
      </w:r>
      <w:r w:rsidRPr="009A1F30">
        <w:rPr>
          <w:lang w:val="fr-CH"/>
        </w:rPr>
        <w:noBreakHyphen/>
        <w:t>30a (BCI)), section 5).</w:t>
      </w:r>
    </w:p>
  </w:footnote>
  <w:footnote w:id="117">
    <w:p w14:paraId="59E05C33" w14:textId="0F04869C" w:rsidR="00F572D3" w:rsidRPr="009A1F30" w:rsidRDefault="00F572D3" w:rsidP="00F572D3">
      <w:pPr>
        <w:pStyle w:val="FootnoteText"/>
        <w:rPr>
          <w:lang w:val="fr-CH"/>
        </w:rPr>
      </w:pPr>
      <w:r w:rsidRPr="00784DCC">
        <w:rPr>
          <w:rStyle w:val="FootnoteReference"/>
        </w:rPr>
        <w:footnoteRef/>
      </w:r>
      <w:r w:rsidRPr="009A1F30">
        <w:rPr>
          <w:lang w:val="fr-CH"/>
        </w:rPr>
        <w:t xml:space="preserve"> Panel</w:t>
      </w:r>
      <w:r w:rsidR="00F2224B" w:rsidRPr="009A1F30">
        <w:rPr>
          <w:lang w:val="fr-CH"/>
        </w:rPr>
        <w:t> Report</w:t>
      </w:r>
      <w:r w:rsidRPr="009A1F30">
        <w:rPr>
          <w:lang w:val="fr-CH"/>
        </w:rPr>
        <w:t>, para.</w:t>
      </w:r>
      <w:r w:rsidR="00F2224B" w:rsidRPr="009A1F30">
        <w:rPr>
          <w:lang w:val="fr-CH"/>
        </w:rPr>
        <w:t> </w:t>
      </w:r>
      <w:r w:rsidRPr="009A1F30">
        <w:rPr>
          <w:lang w:val="fr-CH"/>
        </w:rPr>
        <w:t>7.238 (referring to Mydibel's questionnaire response (</w:t>
      </w:r>
      <w:r w:rsidR="00CB14C8" w:rsidRPr="009A1F30">
        <w:rPr>
          <w:lang w:val="fr-CH"/>
        </w:rPr>
        <w:t xml:space="preserve">Panel </w:t>
      </w:r>
      <w:r w:rsidRPr="009A1F30">
        <w:rPr>
          <w:lang w:val="fr-CH"/>
        </w:rPr>
        <w:t>Exhibit EU</w:t>
      </w:r>
      <w:r w:rsidRPr="009A1F30">
        <w:rPr>
          <w:lang w:val="fr-CH"/>
        </w:rPr>
        <w:noBreakHyphen/>
        <w:t xml:space="preserve">30a (BCI)), section 5; Mydibel's questionnaire response, </w:t>
      </w:r>
      <w:r w:rsidR="00CF2CBD" w:rsidRPr="009A1F30">
        <w:rPr>
          <w:lang w:val="fr-CH"/>
        </w:rPr>
        <w:t>A</w:t>
      </w:r>
      <w:r w:rsidRPr="009A1F30">
        <w:rPr>
          <w:lang w:val="fr-CH"/>
        </w:rPr>
        <w:t>nnex 3.2.1.2, 3</w:t>
      </w:r>
      <w:r w:rsidRPr="009A1F30">
        <w:rPr>
          <w:vertAlign w:val="superscript"/>
          <w:lang w:val="fr-CH"/>
        </w:rPr>
        <w:t>rd</w:t>
      </w:r>
      <w:r w:rsidRPr="009A1F30">
        <w:rPr>
          <w:lang w:val="fr-CH"/>
        </w:rPr>
        <w:t xml:space="preserve"> workbook "costes de manufactura" (</w:t>
      </w:r>
      <w:r w:rsidR="00CB14C8" w:rsidRPr="009A1F30">
        <w:rPr>
          <w:lang w:val="fr-CH"/>
        </w:rPr>
        <w:t xml:space="preserve">Panel </w:t>
      </w:r>
      <w:r w:rsidRPr="009A1F30">
        <w:rPr>
          <w:lang w:val="fr-CH"/>
        </w:rPr>
        <w:t>Exhibit EU</w:t>
      </w:r>
      <w:r w:rsidRPr="009A1F30">
        <w:rPr>
          <w:lang w:val="fr-CH"/>
        </w:rPr>
        <w:noBreakHyphen/>
        <w:t>30.1 (BCI)).</w:t>
      </w:r>
    </w:p>
  </w:footnote>
  <w:footnote w:id="118">
    <w:p w14:paraId="0F3DE400" w14:textId="0F619033" w:rsidR="00F572D3" w:rsidRPr="00784DCC" w:rsidRDefault="00F572D3" w:rsidP="00F572D3">
      <w:pPr>
        <w:pStyle w:val="FootnoteText"/>
      </w:pPr>
      <w:r w:rsidRPr="00784DCC">
        <w:rPr>
          <w:rStyle w:val="FootnoteReference"/>
        </w:rPr>
        <w:footnoteRef/>
      </w:r>
      <w:r w:rsidRPr="00784DCC">
        <w:t xml:space="preserve"> Panel</w:t>
      </w:r>
      <w:r w:rsidR="00F2224B" w:rsidRPr="00784DCC">
        <w:t> Report</w:t>
      </w:r>
      <w:r w:rsidRPr="00784DCC">
        <w:t>, para.</w:t>
      </w:r>
      <w:r w:rsidR="00F2224B" w:rsidRPr="00784DCC">
        <w:t> </w:t>
      </w:r>
      <w:r w:rsidRPr="00784DCC">
        <w:t>7.217.</w:t>
      </w:r>
    </w:p>
  </w:footnote>
  <w:footnote w:id="119">
    <w:p w14:paraId="546094D0" w14:textId="2BB79331" w:rsidR="00F572D3" w:rsidRPr="00784DCC" w:rsidRDefault="00F572D3" w:rsidP="00F572D3">
      <w:pPr>
        <w:pStyle w:val="FootnoteText"/>
      </w:pPr>
      <w:r w:rsidRPr="00784DCC">
        <w:rPr>
          <w:rStyle w:val="FootnoteReference"/>
        </w:rPr>
        <w:footnoteRef/>
      </w:r>
      <w:r w:rsidRPr="00784DCC">
        <w:t xml:space="preserve"> See Panel</w:t>
      </w:r>
      <w:r w:rsidR="00F2224B" w:rsidRPr="00784DCC">
        <w:t> Report</w:t>
      </w:r>
      <w:r w:rsidRPr="00784DCC">
        <w:t>, fn</w:t>
      </w:r>
      <w:r w:rsidR="00F2224B" w:rsidRPr="00784DCC">
        <w:t> </w:t>
      </w:r>
      <w:r w:rsidRPr="00784DCC">
        <w:t>468 to para.</w:t>
      </w:r>
      <w:r w:rsidR="00F2224B" w:rsidRPr="00784DCC">
        <w:t> </w:t>
      </w:r>
      <w:r w:rsidRPr="00784DCC">
        <w:t>7.242 (referring to European</w:t>
      </w:r>
      <w:r w:rsidR="00DA0ACF" w:rsidRPr="00784DCC">
        <w:t> Union</w:t>
      </w:r>
      <w:r w:rsidRPr="00784DCC">
        <w:t>'s second written submission</w:t>
      </w:r>
      <w:r w:rsidR="00A030F9">
        <w:t xml:space="preserve"> to the Panel</w:t>
      </w:r>
      <w:r w:rsidRPr="00784DCC">
        <w:t>, para.</w:t>
      </w:r>
      <w:r w:rsidR="00F2224B" w:rsidRPr="00784DCC">
        <w:t> </w:t>
      </w:r>
      <w:r w:rsidRPr="00784DCC">
        <w:t>74 (</w:t>
      </w:r>
      <w:r w:rsidR="008C22FB">
        <w:t>arguing</w:t>
      </w:r>
      <w:r w:rsidRPr="00784DCC">
        <w:t xml:space="preserve"> that "the amount that MINCIT deducted from the export price … corresponds to what Mydibel indicated as regular full packaging costs" and "is roughly the same amount as what was included as full packaging costs on the normal value side")). The Panel noted that "Colombia neither substantiated its assertions concerning the existence of export … packaging costs, nor attempted to rebut the European Union's arguments to the contrary</w:t>
      </w:r>
      <w:r w:rsidR="004B07A5">
        <w:t>.</w:t>
      </w:r>
      <w:r w:rsidRPr="00784DCC">
        <w:t>" (</w:t>
      </w:r>
      <w:r w:rsidR="00DC6E93">
        <w:t>Ibid.</w:t>
      </w:r>
      <w:r w:rsidRPr="00784DCC">
        <w:t>, para.</w:t>
      </w:r>
      <w:r w:rsidR="00F2224B" w:rsidRPr="00784DCC">
        <w:t> </w:t>
      </w:r>
      <w:r w:rsidRPr="00784DCC">
        <w:t>7.242)</w:t>
      </w:r>
    </w:p>
  </w:footnote>
  <w:footnote w:id="120">
    <w:p w14:paraId="1839CDFA" w14:textId="70F996EF" w:rsidR="00F572D3" w:rsidRPr="00784DCC" w:rsidRDefault="00F572D3" w:rsidP="00F572D3">
      <w:pPr>
        <w:pStyle w:val="FootnoteText"/>
      </w:pPr>
      <w:r w:rsidRPr="00784DCC">
        <w:rPr>
          <w:rStyle w:val="FootnoteReference"/>
        </w:rPr>
        <w:footnoteRef/>
      </w:r>
      <w:r w:rsidRPr="00784DCC">
        <w:t xml:space="preserve"> Panel</w:t>
      </w:r>
      <w:r w:rsidR="00F2224B" w:rsidRPr="00784DCC">
        <w:t> Report</w:t>
      </w:r>
      <w:r w:rsidRPr="00784DCC">
        <w:t>, para.</w:t>
      </w:r>
      <w:r w:rsidR="00DA0ACF" w:rsidRPr="00784DCC">
        <w:t> </w:t>
      </w:r>
      <w:r w:rsidRPr="00784DCC">
        <w:t>7.217 (referring to MINCIT's responses to comments on essential facts (</w:t>
      </w:r>
      <w:r w:rsidR="00CB14C8" w:rsidRPr="00784DCC">
        <w:t xml:space="preserve">Panel </w:t>
      </w:r>
      <w:r w:rsidRPr="00784DCC">
        <w:t>Exhibit EU</w:t>
      </w:r>
      <w:r w:rsidRPr="00784DCC">
        <w:noBreakHyphen/>
        <w:t>17a), section 7).</w:t>
      </w:r>
    </w:p>
  </w:footnote>
  <w:footnote w:id="121">
    <w:p w14:paraId="7C9F9E33" w14:textId="64C6F451" w:rsidR="00F572D3" w:rsidRPr="00784DCC" w:rsidRDefault="00F572D3" w:rsidP="00F572D3">
      <w:pPr>
        <w:pStyle w:val="FootnoteText"/>
      </w:pPr>
      <w:r w:rsidRPr="00784DCC">
        <w:rPr>
          <w:rStyle w:val="FootnoteReference"/>
        </w:rPr>
        <w:footnoteRef/>
      </w:r>
      <w:r w:rsidRPr="00784DCC">
        <w:t xml:space="preserve"> See e.g. Colombia's </w:t>
      </w:r>
      <w:r w:rsidR="00DA744F">
        <w:t xml:space="preserve">written </w:t>
      </w:r>
      <w:r w:rsidRPr="00784DCC">
        <w:t>submission, para.</w:t>
      </w:r>
      <w:r w:rsidR="00F2224B" w:rsidRPr="00784DCC">
        <w:t> </w:t>
      </w:r>
      <w:r w:rsidRPr="00784DCC">
        <w:t xml:space="preserve">6.4. </w:t>
      </w:r>
    </w:p>
  </w:footnote>
  <w:footnote w:id="122">
    <w:p w14:paraId="1284F514" w14:textId="34945552" w:rsidR="00F572D3" w:rsidRPr="00784DCC" w:rsidRDefault="00F572D3" w:rsidP="00F572D3">
      <w:pPr>
        <w:pStyle w:val="FootnoteText"/>
      </w:pPr>
      <w:r w:rsidRPr="00784DCC">
        <w:rPr>
          <w:rStyle w:val="FootnoteReference"/>
        </w:rPr>
        <w:footnoteRef/>
      </w:r>
      <w:r w:rsidRPr="00784DCC">
        <w:t xml:space="preserve"> Panel</w:t>
      </w:r>
      <w:r w:rsidR="00F2224B" w:rsidRPr="00784DCC">
        <w:t> Report</w:t>
      </w:r>
      <w:r w:rsidRPr="00784DCC">
        <w:t>, para.</w:t>
      </w:r>
      <w:r w:rsidR="00F2224B" w:rsidRPr="00784DCC">
        <w:t> </w:t>
      </w:r>
      <w:r w:rsidRPr="00784DCC">
        <w:t>7.238 (referring to Mydibel's comments on the essential facts technical report (</w:t>
      </w:r>
      <w:r w:rsidR="00CB14C8" w:rsidRPr="00784DCC">
        <w:t xml:space="preserve">Panel </w:t>
      </w:r>
      <w:r w:rsidRPr="00784DCC">
        <w:t>Exhibit COL</w:t>
      </w:r>
      <w:r w:rsidRPr="00784DCC">
        <w:noBreakHyphen/>
        <w:t>1 (BCI)), pp. 14 and 17).</w:t>
      </w:r>
    </w:p>
  </w:footnote>
  <w:footnote w:id="123">
    <w:p w14:paraId="11BABF22" w14:textId="3C969B43" w:rsidR="00F572D3" w:rsidRPr="00784DCC" w:rsidRDefault="00F572D3" w:rsidP="00F572D3">
      <w:pPr>
        <w:pStyle w:val="FootnoteText"/>
      </w:pPr>
      <w:r w:rsidRPr="00784DCC">
        <w:rPr>
          <w:rStyle w:val="FootnoteReference"/>
        </w:rPr>
        <w:footnoteRef/>
      </w:r>
      <w:r w:rsidRPr="00784DCC">
        <w:t xml:space="preserve"> Panel</w:t>
      </w:r>
      <w:r w:rsidR="00F2224B" w:rsidRPr="00784DCC">
        <w:t> Report</w:t>
      </w:r>
      <w:r w:rsidRPr="00784DCC">
        <w:t>, para.</w:t>
      </w:r>
      <w:r w:rsidR="00F2224B" w:rsidRPr="00784DCC">
        <w:t> </w:t>
      </w:r>
      <w:r w:rsidRPr="00784DCC">
        <w:t>7.239 (quoting MINCIT</w:t>
      </w:r>
      <w:r w:rsidR="00CC394A">
        <w:t>'s</w:t>
      </w:r>
      <w:r w:rsidRPr="00784DCC">
        <w:t xml:space="preserve"> </w:t>
      </w:r>
      <w:r w:rsidR="00CC394A">
        <w:t>r</w:t>
      </w:r>
      <w:r w:rsidRPr="00784DCC">
        <w:t>esponses to comments on essential facts (</w:t>
      </w:r>
      <w:r w:rsidR="00CB14C8" w:rsidRPr="00784DCC">
        <w:t xml:space="preserve">Panel </w:t>
      </w:r>
      <w:r w:rsidRPr="00784DCC">
        <w:t>Exhibit EU</w:t>
      </w:r>
      <w:r w:rsidRPr="00784DCC">
        <w:noBreakHyphen/>
        <w:t>17a), section 7) (emphasis added by the Panel); European</w:t>
      </w:r>
      <w:r w:rsidR="00DA0ACF" w:rsidRPr="00784DCC">
        <w:t> Union</w:t>
      </w:r>
      <w:r w:rsidRPr="00784DCC">
        <w:t xml:space="preserve">'s response to questioning at the hearing. </w:t>
      </w:r>
    </w:p>
  </w:footnote>
  <w:footnote w:id="124">
    <w:p w14:paraId="44433E0A" w14:textId="5A9DEDC7" w:rsidR="00F572D3" w:rsidRPr="00784DCC" w:rsidRDefault="00F572D3" w:rsidP="00F572D3">
      <w:pPr>
        <w:pStyle w:val="FootnoteText"/>
      </w:pPr>
      <w:r w:rsidRPr="00784DCC">
        <w:rPr>
          <w:rStyle w:val="FootnoteReference"/>
        </w:rPr>
        <w:footnoteRef/>
      </w:r>
      <w:r w:rsidRPr="00784DCC">
        <w:t xml:space="preserve"> Panel</w:t>
      </w:r>
      <w:r w:rsidR="00F2224B" w:rsidRPr="00784DCC">
        <w:t> Report</w:t>
      </w:r>
      <w:r w:rsidRPr="00784DCC">
        <w:t>, para.</w:t>
      </w:r>
      <w:r w:rsidR="00F2224B" w:rsidRPr="00784DCC">
        <w:t> </w:t>
      </w:r>
      <w:r w:rsidRPr="00784DCC">
        <w:t>7.235 (referring to European Union's first written submission</w:t>
      </w:r>
      <w:r w:rsidR="00A030F9">
        <w:t xml:space="preserve"> to the Panel</w:t>
      </w:r>
      <w:r w:rsidRPr="00784DCC">
        <w:t>, para.</w:t>
      </w:r>
      <w:r w:rsidR="00F2224B" w:rsidRPr="00784DCC">
        <w:t> </w:t>
      </w:r>
      <w:r w:rsidRPr="00784DCC">
        <w:t>183). See also Panel</w:t>
      </w:r>
      <w:r w:rsidR="00F2224B" w:rsidRPr="00784DCC">
        <w:t> Report</w:t>
      </w:r>
      <w:r w:rsidRPr="00784DCC">
        <w:t>, para.</w:t>
      </w:r>
      <w:r w:rsidR="00F2224B" w:rsidRPr="00784DCC">
        <w:t> </w:t>
      </w:r>
      <w:r w:rsidRPr="00784DCC">
        <w:t>7.218.</w:t>
      </w:r>
    </w:p>
  </w:footnote>
  <w:footnote w:id="125">
    <w:p w14:paraId="62AFD26F" w14:textId="7E09B7D7" w:rsidR="00F572D3" w:rsidRPr="00784DCC" w:rsidRDefault="00F572D3" w:rsidP="00F572D3">
      <w:pPr>
        <w:pStyle w:val="FootnoteText"/>
      </w:pPr>
      <w:r w:rsidRPr="00784DCC">
        <w:rPr>
          <w:rStyle w:val="FootnoteReference"/>
        </w:rPr>
        <w:footnoteRef/>
      </w:r>
      <w:r w:rsidRPr="00784DCC">
        <w:t xml:space="preserve"> Panel</w:t>
      </w:r>
      <w:r w:rsidR="00F2224B" w:rsidRPr="00784DCC">
        <w:t> Report</w:t>
      </w:r>
      <w:r w:rsidRPr="00784DCC">
        <w:t>, paras.</w:t>
      </w:r>
      <w:r w:rsidR="00DA0ACF" w:rsidRPr="00784DCC">
        <w:t> </w:t>
      </w:r>
      <w:r w:rsidRPr="00784DCC">
        <w:t>7.219 and 7.223 (referring to Colombia's first written submission</w:t>
      </w:r>
      <w:r w:rsidR="00A030F9">
        <w:t xml:space="preserve"> to the Panel</w:t>
      </w:r>
      <w:r w:rsidRPr="00784DCC">
        <w:t xml:space="preserve">, paras. 10.10, 10.12, and 10.14). </w:t>
      </w:r>
    </w:p>
  </w:footnote>
  <w:footnote w:id="126">
    <w:p w14:paraId="0E28CD23" w14:textId="4C03E632" w:rsidR="00F572D3" w:rsidRPr="00784DCC" w:rsidRDefault="00F572D3" w:rsidP="00F572D3">
      <w:pPr>
        <w:pStyle w:val="FootnoteText"/>
      </w:pPr>
      <w:r w:rsidRPr="00784DCC">
        <w:rPr>
          <w:rStyle w:val="FootnoteReference"/>
        </w:rPr>
        <w:footnoteRef/>
      </w:r>
      <w:r w:rsidRPr="00784DCC">
        <w:t xml:space="preserve"> Panel</w:t>
      </w:r>
      <w:r w:rsidR="00F2224B" w:rsidRPr="00784DCC">
        <w:t> Report</w:t>
      </w:r>
      <w:r w:rsidRPr="00784DCC">
        <w:t>, para.</w:t>
      </w:r>
      <w:r w:rsidR="00F2224B" w:rsidRPr="00784DCC">
        <w:t> </w:t>
      </w:r>
      <w:r w:rsidRPr="00784DCC">
        <w:t>7.219 (referring to Colombia's first written submission</w:t>
      </w:r>
      <w:r w:rsidR="00A030F9">
        <w:t xml:space="preserve"> to the Panel</w:t>
      </w:r>
      <w:r w:rsidRPr="00784DCC">
        <w:t>, paras. 10.24 and 10.26</w:t>
      </w:r>
      <w:r w:rsidR="007C0B96" w:rsidRPr="00784DCC">
        <w:noBreakHyphen/>
      </w:r>
      <w:r w:rsidRPr="00784DCC">
        <w:t>10.27; responses to Panel questions No. 5.5(a), paras. 184</w:t>
      </w:r>
      <w:r w:rsidRPr="00784DCC">
        <w:noBreakHyphen/>
        <w:t>186, and No. 5.6, para. 190)</w:t>
      </w:r>
      <w:r w:rsidR="007E78C7" w:rsidRPr="00784DCC">
        <w:t>.</w:t>
      </w:r>
    </w:p>
  </w:footnote>
  <w:footnote w:id="127">
    <w:p w14:paraId="4E525EE7" w14:textId="4AC354BE" w:rsidR="00F572D3" w:rsidRPr="00784DCC" w:rsidRDefault="00F572D3" w:rsidP="00F572D3">
      <w:pPr>
        <w:pStyle w:val="FootnoteText"/>
      </w:pPr>
      <w:r w:rsidRPr="00784DCC">
        <w:rPr>
          <w:rStyle w:val="FootnoteReference"/>
        </w:rPr>
        <w:footnoteRef/>
      </w:r>
      <w:r w:rsidRPr="00784DCC">
        <w:t xml:space="preserve"> Panel</w:t>
      </w:r>
      <w:r w:rsidR="00F2224B" w:rsidRPr="00784DCC">
        <w:t> Report</w:t>
      </w:r>
      <w:r w:rsidRPr="00784DCC">
        <w:t>, para.</w:t>
      </w:r>
      <w:r w:rsidR="00F2224B" w:rsidRPr="00784DCC">
        <w:t> </w:t>
      </w:r>
      <w:r w:rsidRPr="00784DCC">
        <w:t>7.231.</w:t>
      </w:r>
    </w:p>
  </w:footnote>
  <w:footnote w:id="128">
    <w:p w14:paraId="490F9DAF" w14:textId="1ED36BBD" w:rsidR="00F572D3" w:rsidRPr="00784DCC" w:rsidRDefault="00F572D3" w:rsidP="00F572D3">
      <w:pPr>
        <w:pStyle w:val="FootnoteText"/>
      </w:pPr>
      <w:r w:rsidRPr="00784DCC">
        <w:rPr>
          <w:rStyle w:val="FootnoteReference"/>
        </w:rPr>
        <w:footnoteRef/>
      </w:r>
      <w:r w:rsidRPr="00784DCC">
        <w:t xml:space="preserve"> Panel</w:t>
      </w:r>
      <w:r w:rsidR="00F2224B" w:rsidRPr="00784DCC">
        <w:t> Report</w:t>
      </w:r>
      <w:r w:rsidRPr="00784DCC">
        <w:t>, para.</w:t>
      </w:r>
      <w:r w:rsidR="00F2224B" w:rsidRPr="00784DCC">
        <w:t> </w:t>
      </w:r>
      <w:r w:rsidRPr="00784DCC">
        <w:t>7.231.</w:t>
      </w:r>
    </w:p>
  </w:footnote>
  <w:footnote w:id="129">
    <w:p w14:paraId="77210D46" w14:textId="08D60308" w:rsidR="00F572D3" w:rsidRPr="00784DCC" w:rsidRDefault="00F572D3" w:rsidP="00F572D3">
      <w:pPr>
        <w:pStyle w:val="FootnoteText"/>
      </w:pPr>
      <w:r w:rsidRPr="00784DCC">
        <w:rPr>
          <w:rStyle w:val="FootnoteReference"/>
        </w:rPr>
        <w:footnoteRef/>
      </w:r>
      <w:r w:rsidRPr="00784DCC">
        <w:t xml:space="preserve"> See Panel</w:t>
      </w:r>
      <w:r w:rsidR="00F2224B" w:rsidRPr="00784DCC">
        <w:t> Report</w:t>
      </w:r>
      <w:r w:rsidRPr="00784DCC">
        <w:t>, para.</w:t>
      </w:r>
      <w:r w:rsidR="00F2224B" w:rsidRPr="00784DCC">
        <w:t> </w:t>
      </w:r>
      <w:r w:rsidRPr="00784DCC">
        <w:t>7.232.</w:t>
      </w:r>
    </w:p>
  </w:footnote>
  <w:footnote w:id="130">
    <w:p w14:paraId="4A073A4E" w14:textId="04FB4D24" w:rsidR="00F572D3" w:rsidRPr="00784DCC" w:rsidRDefault="00F572D3" w:rsidP="00F572D3">
      <w:pPr>
        <w:pStyle w:val="FootnoteText"/>
      </w:pPr>
      <w:r w:rsidRPr="00784DCC">
        <w:rPr>
          <w:rStyle w:val="FootnoteReference"/>
        </w:rPr>
        <w:footnoteRef/>
      </w:r>
      <w:r w:rsidRPr="00784DCC">
        <w:t xml:space="preserve"> Panel</w:t>
      </w:r>
      <w:r w:rsidR="00F2224B" w:rsidRPr="00784DCC">
        <w:t> Report</w:t>
      </w:r>
      <w:r w:rsidRPr="00784DCC">
        <w:t>, para.</w:t>
      </w:r>
      <w:r w:rsidR="00F2224B" w:rsidRPr="00784DCC">
        <w:t> </w:t>
      </w:r>
      <w:r w:rsidRPr="00784DCC">
        <w:t>7.237</w:t>
      </w:r>
    </w:p>
  </w:footnote>
  <w:footnote w:id="131">
    <w:p w14:paraId="12549031" w14:textId="4D438BE4" w:rsidR="00F572D3" w:rsidRPr="00784DCC" w:rsidRDefault="00F572D3" w:rsidP="00F572D3">
      <w:pPr>
        <w:pStyle w:val="FootnoteText"/>
      </w:pPr>
      <w:r w:rsidRPr="00784DCC">
        <w:rPr>
          <w:rStyle w:val="FootnoteReference"/>
        </w:rPr>
        <w:footnoteRef/>
      </w:r>
      <w:r w:rsidRPr="00784DCC">
        <w:t xml:space="preserve"> Panel</w:t>
      </w:r>
      <w:r w:rsidR="00F2224B" w:rsidRPr="00784DCC">
        <w:t> Report</w:t>
      </w:r>
      <w:r w:rsidRPr="00784DCC">
        <w:t>, para.</w:t>
      </w:r>
      <w:r w:rsidR="00F2224B" w:rsidRPr="00784DCC">
        <w:t> </w:t>
      </w:r>
      <w:r w:rsidRPr="00784DCC">
        <w:t>7.237.</w:t>
      </w:r>
    </w:p>
  </w:footnote>
  <w:footnote w:id="132">
    <w:p w14:paraId="512C50B6" w14:textId="06D662AC" w:rsidR="00F572D3" w:rsidRPr="00784DCC" w:rsidRDefault="00F572D3" w:rsidP="00F572D3">
      <w:pPr>
        <w:pStyle w:val="FootnoteText"/>
      </w:pPr>
      <w:r w:rsidRPr="00784DCC">
        <w:rPr>
          <w:rStyle w:val="FootnoteReference"/>
        </w:rPr>
        <w:footnoteRef/>
      </w:r>
      <w:r w:rsidRPr="00784DCC">
        <w:t xml:space="preserve"> See Panel</w:t>
      </w:r>
      <w:r w:rsidR="00F2224B" w:rsidRPr="00784DCC">
        <w:t> Report</w:t>
      </w:r>
      <w:r w:rsidRPr="00784DCC">
        <w:t>, paras.</w:t>
      </w:r>
      <w:r w:rsidR="00DA0ACF" w:rsidRPr="00784DCC">
        <w:t> </w:t>
      </w:r>
      <w:r w:rsidRPr="00784DCC">
        <w:t>7.238-7.242.</w:t>
      </w:r>
    </w:p>
  </w:footnote>
  <w:footnote w:id="133">
    <w:p w14:paraId="2C2136B4" w14:textId="547BC59F" w:rsidR="00F572D3" w:rsidRPr="00784DCC" w:rsidRDefault="00F572D3" w:rsidP="00F572D3">
      <w:pPr>
        <w:pStyle w:val="FootnoteText"/>
      </w:pPr>
      <w:r w:rsidRPr="00784DCC">
        <w:rPr>
          <w:rStyle w:val="FootnoteReference"/>
        </w:rPr>
        <w:footnoteRef/>
      </w:r>
      <w:r w:rsidRPr="00784DCC">
        <w:t xml:space="preserve"> Panel</w:t>
      </w:r>
      <w:r w:rsidR="00F2224B" w:rsidRPr="00784DCC">
        <w:t> Report</w:t>
      </w:r>
      <w:r w:rsidRPr="00784DCC">
        <w:t>, para.</w:t>
      </w:r>
      <w:r w:rsidR="00F2224B" w:rsidRPr="00784DCC">
        <w:t> </w:t>
      </w:r>
      <w:r w:rsidRPr="00784DCC">
        <w:t>7.243. (emphasis added)</w:t>
      </w:r>
    </w:p>
  </w:footnote>
  <w:footnote w:id="134">
    <w:p w14:paraId="113C500A" w14:textId="3F6E49CC" w:rsidR="00F572D3" w:rsidRPr="00784DCC" w:rsidRDefault="00F572D3" w:rsidP="00F572D3">
      <w:pPr>
        <w:pStyle w:val="FootnoteText"/>
      </w:pPr>
      <w:r w:rsidRPr="00784DCC">
        <w:rPr>
          <w:rStyle w:val="FootnoteReference"/>
        </w:rPr>
        <w:footnoteRef/>
      </w:r>
      <w:r w:rsidRPr="00784DCC">
        <w:t xml:space="preserve"> Panel</w:t>
      </w:r>
      <w:r w:rsidR="00F2224B" w:rsidRPr="00784DCC">
        <w:t> Report</w:t>
      </w:r>
      <w:r w:rsidRPr="00784DCC">
        <w:t>, para.</w:t>
      </w:r>
      <w:r w:rsidR="00F2224B" w:rsidRPr="00784DCC">
        <w:t> </w:t>
      </w:r>
      <w:r w:rsidRPr="00784DCC">
        <w:t xml:space="preserve">7.244. </w:t>
      </w:r>
    </w:p>
  </w:footnote>
  <w:footnote w:id="135">
    <w:p w14:paraId="51D74F65" w14:textId="4CA2DC43" w:rsidR="00F572D3" w:rsidRPr="00784DCC" w:rsidRDefault="00F572D3" w:rsidP="00F572D3">
      <w:pPr>
        <w:pStyle w:val="FootnoteText"/>
      </w:pPr>
      <w:r w:rsidRPr="00784DCC">
        <w:rPr>
          <w:rStyle w:val="FootnoteReference"/>
        </w:rPr>
        <w:footnoteRef/>
      </w:r>
      <w:r w:rsidRPr="00784DCC">
        <w:t xml:space="preserve"> See e.g. Appellate Body Reports, </w:t>
      </w:r>
      <w:r w:rsidRPr="00784DCC">
        <w:rPr>
          <w:i/>
        </w:rPr>
        <w:t>China – HP</w:t>
      </w:r>
      <w:r w:rsidRPr="00784DCC">
        <w:rPr>
          <w:i/>
        </w:rPr>
        <w:noBreakHyphen/>
        <w:t>SSST (Japan) / China – HP-SSST (EU</w:t>
      </w:r>
      <w:r w:rsidRPr="00784DCC">
        <w:t>),</w:t>
      </w:r>
      <w:r w:rsidRPr="00784DCC">
        <w:rPr>
          <w:i/>
        </w:rPr>
        <w:t xml:space="preserve"> </w:t>
      </w:r>
      <w:r w:rsidRPr="00784DCC">
        <w:t xml:space="preserve">para. 5.14 (quoting Appellate Body Report, </w:t>
      </w:r>
      <w:r w:rsidRPr="00784DCC">
        <w:rPr>
          <w:i/>
        </w:rPr>
        <w:t>Korea – Dairy</w:t>
      </w:r>
      <w:r w:rsidRPr="00784DCC">
        <w:t>, para. 139).</w:t>
      </w:r>
    </w:p>
  </w:footnote>
  <w:footnote w:id="136">
    <w:p w14:paraId="4C0DC5A2" w14:textId="0B1EC743" w:rsidR="00F572D3" w:rsidRPr="00784DCC" w:rsidRDefault="00F572D3" w:rsidP="00F572D3">
      <w:pPr>
        <w:pStyle w:val="FootnoteText"/>
      </w:pPr>
      <w:r w:rsidRPr="00784DCC">
        <w:rPr>
          <w:rStyle w:val="FootnoteReference"/>
        </w:rPr>
        <w:footnoteRef/>
      </w:r>
      <w:r w:rsidRPr="00784DCC">
        <w:t xml:space="preserve"> See e.g. Appellate</w:t>
      </w:r>
      <w:r w:rsidR="00DA0ACF" w:rsidRPr="00784DCC">
        <w:t> Body</w:t>
      </w:r>
      <w:r w:rsidRPr="00784DCC">
        <w:t xml:space="preserve"> Reports, </w:t>
      </w:r>
      <w:r w:rsidRPr="00784DCC">
        <w:rPr>
          <w:i/>
          <w:iCs/>
        </w:rPr>
        <w:t xml:space="preserve">Korea </w:t>
      </w:r>
      <w:r w:rsidR="00EC1BC6" w:rsidRPr="00784DCC">
        <w:rPr>
          <w:i/>
          <w:iCs/>
        </w:rPr>
        <w:t>–</w:t>
      </w:r>
      <w:r w:rsidRPr="00784DCC">
        <w:rPr>
          <w:i/>
          <w:iCs/>
        </w:rPr>
        <w:t xml:space="preserve"> Pneumatic </w:t>
      </w:r>
      <w:r w:rsidR="00EC1BC6" w:rsidRPr="00784DCC">
        <w:rPr>
          <w:i/>
          <w:iCs/>
        </w:rPr>
        <w:t>V</w:t>
      </w:r>
      <w:r w:rsidRPr="00784DCC">
        <w:rPr>
          <w:i/>
          <w:iCs/>
        </w:rPr>
        <w:t>alves (Japan)</w:t>
      </w:r>
      <w:r w:rsidRPr="00784DCC">
        <w:t>, para.</w:t>
      </w:r>
      <w:r w:rsidR="00F2224B" w:rsidRPr="00784DCC">
        <w:t> </w:t>
      </w:r>
      <w:r w:rsidRPr="00784DCC">
        <w:t xml:space="preserve">5.6; </w:t>
      </w:r>
      <w:r w:rsidRPr="00784DCC">
        <w:rPr>
          <w:i/>
        </w:rPr>
        <w:t>China – Raw Materials</w:t>
      </w:r>
      <w:r w:rsidRPr="00784DCC">
        <w:t>, para. 220.</w:t>
      </w:r>
    </w:p>
  </w:footnote>
  <w:footnote w:id="137">
    <w:p w14:paraId="4763BFED" w14:textId="78CF38B8" w:rsidR="00F572D3" w:rsidRPr="00784DCC" w:rsidRDefault="00F572D3" w:rsidP="00F572D3">
      <w:pPr>
        <w:pStyle w:val="FootnoteText"/>
      </w:pPr>
      <w:r w:rsidRPr="00784DCC">
        <w:rPr>
          <w:rStyle w:val="FootnoteReference"/>
        </w:rPr>
        <w:footnoteRef/>
      </w:r>
      <w:r w:rsidRPr="00784DCC">
        <w:t xml:space="preserve"> See e.g. Appellate Body Reports, </w:t>
      </w:r>
      <w:r w:rsidRPr="00784DCC">
        <w:rPr>
          <w:i/>
        </w:rPr>
        <w:t>China – HP</w:t>
      </w:r>
      <w:r w:rsidRPr="00784DCC">
        <w:rPr>
          <w:i/>
        </w:rPr>
        <w:noBreakHyphen/>
        <w:t>SSST (Japan) / China – HP-SSST (EU</w:t>
      </w:r>
      <w:r w:rsidRPr="00784DCC">
        <w:t>),</w:t>
      </w:r>
      <w:r w:rsidRPr="00784DCC">
        <w:rPr>
          <w:i/>
        </w:rPr>
        <w:t xml:space="preserve"> </w:t>
      </w:r>
      <w:r w:rsidRPr="00784DCC">
        <w:t>para. 5.14 (</w:t>
      </w:r>
      <w:r w:rsidR="008E2988">
        <w:t>referring to</w:t>
      </w:r>
      <w:r w:rsidR="008E2988" w:rsidRPr="00784DCC">
        <w:t xml:space="preserve"> </w:t>
      </w:r>
      <w:r w:rsidRPr="00784DCC">
        <w:t xml:space="preserve">Appellate Body Report, </w:t>
      </w:r>
      <w:r w:rsidRPr="00784DCC">
        <w:rPr>
          <w:i/>
        </w:rPr>
        <w:t>Korea – Dairy</w:t>
      </w:r>
      <w:r w:rsidRPr="00784DCC">
        <w:t>, para. 139). The United</w:t>
      </w:r>
      <w:r w:rsidR="00DA0ACF" w:rsidRPr="00784DCC">
        <w:t> States</w:t>
      </w:r>
      <w:r w:rsidRPr="00784DCC">
        <w:t xml:space="preserve"> similarly noted at the hearing that </w:t>
      </w:r>
      <w:r w:rsidRPr="00784DCC">
        <w:rPr>
          <w:rFonts w:cs="Verdana"/>
          <w:color w:val="000000"/>
        </w:rPr>
        <w:t>the standard Working Procedures in Appendix</w:t>
      </w:r>
      <w:r w:rsidR="00F2224B" w:rsidRPr="00784DCC">
        <w:rPr>
          <w:rFonts w:cs="Verdana"/>
          <w:color w:val="000000"/>
        </w:rPr>
        <w:t> </w:t>
      </w:r>
      <w:r w:rsidRPr="00784DCC">
        <w:rPr>
          <w:rFonts w:cs="Verdana"/>
          <w:color w:val="000000"/>
        </w:rPr>
        <w:t>3 of the DSU clarify that "facts" and "arguments" are to be presented in a party's written submission. (United</w:t>
      </w:r>
      <w:r w:rsidR="00DA0ACF" w:rsidRPr="00784DCC">
        <w:rPr>
          <w:rFonts w:cs="Verdana"/>
          <w:color w:val="000000"/>
        </w:rPr>
        <w:t> States</w:t>
      </w:r>
      <w:r w:rsidRPr="00784DCC">
        <w:rPr>
          <w:rFonts w:cs="Verdana"/>
          <w:color w:val="000000"/>
        </w:rPr>
        <w:t>' third party's opening statement at the hearing)</w:t>
      </w:r>
    </w:p>
  </w:footnote>
  <w:footnote w:id="138">
    <w:p w14:paraId="58C6CC66" w14:textId="48BA9156" w:rsidR="00F572D3" w:rsidRPr="00784DCC" w:rsidRDefault="00F572D3" w:rsidP="00F572D3">
      <w:pPr>
        <w:pStyle w:val="FootnoteText"/>
      </w:pPr>
      <w:r w:rsidRPr="00784DCC">
        <w:rPr>
          <w:rStyle w:val="FootnoteReference"/>
        </w:rPr>
        <w:footnoteRef/>
      </w:r>
      <w:r w:rsidRPr="00450705">
        <w:t xml:space="preserve"> See e.g. Panel</w:t>
      </w:r>
      <w:r w:rsidR="00F2224B" w:rsidRPr="00450705">
        <w:t> Report</w:t>
      </w:r>
      <w:r w:rsidRPr="00450705">
        <w:t xml:space="preserve">, </w:t>
      </w:r>
      <w:r w:rsidRPr="00450705">
        <w:rPr>
          <w:i/>
          <w:iCs/>
        </w:rPr>
        <w:t>Costa</w:t>
      </w:r>
      <w:r w:rsidR="00F2224B" w:rsidRPr="00450705">
        <w:rPr>
          <w:i/>
          <w:iCs/>
        </w:rPr>
        <w:t> Rica</w:t>
      </w:r>
      <w:r w:rsidRPr="00450705">
        <w:rPr>
          <w:i/>
          <w:iCs/>
        </w:rPr>
        <w:t xml:space="preserve"> – Avocados</w:t>
      </w:r>
      <w:r w:rsidR="00735872" w:rsidRPr="00450705">
        <w:rPr>
          <w:i/>
          <w:iCs/>
        </w:rPr>
        <w:t xml:space="preserve"> (Mexico)</w:t>
      </w:r>
      <w:r w:rsidRPr="00450705">
        <w:t>, para.</w:t>
      </w:r>
      <w:r w:rsidR="00F2224B" w:rsidRPr="00450705">
        <w:t> </w:t>
      </w:r>
      <w:r w:rsidRPr="00784DCC">
        <w:t>3.8 of Annex</w:t>
      </w:r>
      <w:r w:rsidR="00F2224B" w:rsidRPr="00784DCC">
        <w:t> </w:t>
      </w:r>
      <w:r w:rsidRPr="00784DCC">
        <w:t>D; Appellate</w:t>
      </w:r>
      <w:r w:rsidR="00DA0ACF" w:rsidRPr="00784DCC">
        <w:t> Body</w:t>
      </w:r>
      <w:r w:rsidRPr="00784DCC">
        <w:t xml:space="preserve"> Report, </w:t>
      </w:r>
      <w:r w:rsidRPr="00784DCC">
        <w:rPr>
          <w:i/>
          <w:iCs/>
        </w:rPr>
        <w:t>Korea – Pneumatic Valves</w:t>
      </w:r>
      <w:r w:rsidR="00990F05" w:rsidRPr="00784DCC">
        <w:rPr>
          <w:i/>
          <w:iCs/>
        </w:rPr>
        <w:t xml:space="preserve"> (Japan)</w:t>
      </w:r>
      <w:r w:rsidRPr="00784DCC">
        <w:t>, paras.</w:t>
      </w:r>
      <w:r w:rsidR="00DA0ACF" w:rsidRPr="00784DCC">
        <w:t> </w:t>
      </w:r>
      <w:r w:rsidRPr="00784DCC">
        <w:t>5.6 and 5.31.</w:t>
      </w:r>
    </w:p>
  </w:footnote>
  <w:footnote w:id="139">
    <w:p w14:paraId="5D9C5512" w14:textId="096DFFDF" w:rsidR="00F572D3" w:rsidRPr="00784DCC" w:rsidRDefault="00F572D3" w:rsidP="00F572D3">
      <w:pPr>
        <w:pStyle w:val="FootnoteText"/>
      </w:pPr>
      <w:r w:rsidRPr="00784DCC">
        <w:rPr>
          <w:rStyle w:val="FootnoteReference"/>
        </w:rPr>
        <w:footnoteRef/>
      </w:r>
      <w:r w:rsidRPr="00784DCC">
        <w:t xml:space="preserve"> Parties' response</w:t>
      </w:r>
      <w:r w:rsidR="00AD14AB" w:rsidRPr="00784DCC">
        <w:t>s</w:t>
      </w:r>
      <w:r w:rsidRPr="00784DCC">
        <w:t xml:space="preserve"> to questioning at the hearing. </w:t>
      </w:r>
    </w:p>
  </w:footnote>
  <w:footnote w:id="140">
    <w:p w14:paraId="51788295" w14:textId="4D7D0B86" w:rsidR="00F572D3" w:rsidRPr="00784DCC" w:rsidRDefault="00F572D3" w:rsidP="00F572D3">
      <w:pPr>
        <w:pStyle w:val="FootnoteText"/>
      </w:pPr>
      <w:r w:rsidRPr="00784DCC">
        <w:rPr>
          <w:rStyle w:val="FootnoteReference"/>
        </w:rPr>
        <w:footnoteRef/>
      </w:r>
      <w:r w:rsidRPr="00784DCC">
        <w:t xml:space="preserve"> Colombia's </w:t>
      </w:r>
      <w:r w:rsidR="00DA744F">
        <w:t xml:space="preserve">written </w:t>
      </w:r>
      <w:r w:rsidRPr="00784DCC">
        <w:t>submission, para.</w:t>
      </w:r>
      <w:r w:rsidR="00F2224B" w:rsidRPr="00784DCC">
        <w:t> </w:t>
      </w:r>
      <w:r w:rsidRPr="00784DCC">
        <w:t>6.9.</w:t>
      </w:r>
    </w:p>
  </w:footnote>
  <w:footnote w:id="141">
    <w:p w14:paraId="17366F50" w14:textId="03A1C280" w:rsidR="00F572D3" w:rsidRPr="004123E7" w:rsidRDefault="00F572D3" w:rsidP="00F572D3">
      <w:pPr>
        <w:pStyle w:val="FootnoteText"/>
      </w:pPr>
      <w:r w:rsidRPr="00784DCC">
        <w:rPr>
          <w:rStyle w:val="FootnoteReference"/>
        </w:rPr>
        <w:footnoteRef/>
      </w:r>
      <w:r w:rsidRPr="00784DCC">
        <w:t xml:space="preserve"> Colombia's </w:t>
      </w:r>
      <w:r w:rsidR="00DA744F">
        <w:t xml:space="preserve">written </w:t>
      </w:r>
      <w:r w:rsidRPr="00784DCC">
        <w:t>submission, para.</w:t>
      </w:r>
      <w:r w:rsidR="00F2224B" w:rsidRPr="00784DCC">
        <w:t> </w:t>
      </w:r>
      <w:r w:rsidRPr="00784DCC">
        <w:t xml:space="preserve">6.3. See </w:t>
      </w:r>
      <w:r w:rsidRPr="004123E7">
        <w:t>also para.</w:t>
      </w:r>
      <w:r w:rsidR="00F2224B" w:rsidRPr="004123E7">
        <w:t> </w:t>
      </w:r>
      <w:r w:rsidR="00CA1995">
        <w:fldChar w:fldCharType="begin" w:fldLock="1"/>
      </w:r>
      <w:r w:rsidR="00CA1995">
        <w:instrText xml:space="preserve"> REF _Ref121123230 \r \h </w:instrText>
      </w:r>
      <w:r w:rsidR="00CA1995">
        <w:fldChar w:fldCharType="separate"/>
      </w:r>
      <w:r w:rsidR="006A23AB">
        <w:t>4.49</w:t>
      </w:r>
      <w:r w:rsidR="00CA1995">
        <w:fldChar w:fldCharType="end"/>
      </w:r>
      <w:r w:rsidR="00886724">
        <w:t xml:space="preserve"> </w:t>
      </w:r>
      <w:r w:rsidRPr="004123E7">
        <w:t>above.</w:t>
      </w:r>
    </w:p>
  </w:footnote>
  <w:footnote w:id="142">
    <w:p w14:paraId="1E591A18" w14:textId="142CB325" w:rsidR="00F572D3" w:rsidRPr="004123E7" w:rsidRDefault="00F572D3" w:rsidP="00F572D3">
      <w:pPr>
        <w:pStyle w:val="FootnoteText"/>
      </w:pPr>
      <w:r w:rsidRPr="004123E7">
        <w:rPr>
          <w:rStyle w:val="FootnoteReference"/>
        </w:rPr>
        <w:footnoteRef/>
      </w:r>
      <w:r w:rsidRPr="004123E7">
        <w:t xml:space="preserve"> European</w:t>
      </w:r>
      <w:r w:rsidR="00DA0ACF" w:rsidRPr="004123E7">
        <w:t> Union</w:t>
      </w:r>
      <w:r w:rsidRPr="004123E7">
        <w:t xml:space="preserve">'s </w:t>
      </w:r>
      <w:r w:rsidR="00DA744F" w:rsidRPr="004123E7">
        <w:t>written</w:t>
      </w:r>
      <w:r w:rsidRPr="004123E7">
        <w:t xml:space="preserve"> submission, para.</w:t>
      </w:r>
      <w:r w:rsidR="00F2224B" w:rsidRPr="004123E7">
        <w:t> </w:t>
      </w:r>
      <w:r w:rsidRPr="004123E7">
        <w:t>66.</w:t>
      </w:r>
    </w:p>
  </w:footnote>
  <w:footnote w:id="143">
    <w:p w14:paraId="5B4ACFE0" w14:textId="679BBA5C" w:rsidR="00F572D3" w:rsidRPr="00784DCC" w:rsidRDefault="00F572D3" w:rsidP="00F572D3">
      <w:pPr>
        <w:pStyle w:val="FootnoteText"/>
      </w:pPr>
      <w:r w:rsidRPr="004123E7">
        <w:rPr>
          <w:rStyle w:val="FootnoteReference"/>
        </w:rPr>
        <w:footnoteRef/>
      </w:r>
      <w:r w:rsidRPr="004123E7">
        <w:t xml:space="preserve"> See paras.</w:t>
      </w:r>
      <w:r w:rsidR="00DA0ACF" w:rsidRPr="004123E7">
        <w:t> </w:t>
      </w:r>
      <w:r w:rsidR="00CA1995">
        <w:fldChar w:fldCharType="begin" w:fldLock="1"/>
      </w:r>
      <w:r w:rsidR="00CA1995">
        <w:instrText xml:space="preserve"> REF _Ref121123253 \r \h </w:instrText>
      </w:r>
      <w:r w:rsidR="00CA1995">
        <w:fldChar w:fldCharType="separate"/>
      </w:r>
      <w:r w:rsidR="006A23AB">
        <w:t>4.51</w:t>
      </w:r>
      <w:r w:rsidR="00CA1995">
        <w:fldChar w:fldCharType="end"/>
      </w:r>
      <w:r w:rsidR="004123E7" w:rsidRPr="00A92A75">
        <w:t>-</w:t>
      </w:r>
      <w:r w:rsidR="00CA1995" w:rsidRPr="007763A5">
        <w:fldChar w:fldCharType="begin" w:fldLock="1"/>
      </w:r>
      <w:r w:rsidR="00CA1995">
        <w:instrText xml:space="preserve"> REF _Ref121123263 \r \h </w:instrText>
      </w:r>
      <w:r w:rsidR="00CA1995" w:rsidRPr="007763A5">
        <w:fldChar w:fldCharType="separate"/>
      </w:r>
      <w:r w:rsidR="006A23AB">
        <w:t>4.52</w:t>
      </w:r>
      <w:r w:rsidR="00CA1995" w:rsidRPr="007763A5">
        <w:fldChar w:fldCharType="end"/>
      </w:r>
      <w:r w:rsidR="007763A5">
        <w:t> </w:t>
      </w:r>
      <w:r w:rsidRPr="007763A5">
        <w:t>above</w:t>
      </w:r>
      <w:r w:rsidRPr="004123E7">
        <w:t>.</w:t>
      </w:r>
    </w:p>
  </w:footnote>
  <w:footnote w:id="144">
    <w:p w14:paraId="6015B750" w14:textId="446CDF85" w:rsidR="00F572D3" w:rsidRPr="00784DCC" w:rsidRDefault="00F572D3" w:rsidP="00F572D3">
      <w:pPr>
        <w:pStyle w:val="FootnoteText"/>
      </w:pPr>
      <w:r w:rsidRPr="00784DCC">
        <w:rPr>
          <w:rStyle w:val="FootnoteReference"/>
        </w:rPr>
        <w:footnoteRef/>
      </w:r>
      <w:r w:rsidRPr="00784DCC">
        <w:t xml:space="preserve"> Panel</w:t>
      </w:r>
      <w:r w:rsidR="00F2224B" w:rsidRPr="00784DCC">
        <w:t> Report</w:t>
      </w:r>
      <w:r w:rsidRPr="00784DCC">
        <w:t>, para.</w:t>
      </w:r>
      <w:r w:rsidR="00F2224B" w:rsidRPr="00784DCC">
        <w:t> </w:t>
      </w:r>
      <w:r w:rsidRPr="00784DCC">
        <w:t>7.227.</w:t>
      </w:r>
    </w:p>
  </w:footnote>
  <w:footnote w:id="145">
    <w:p w14:paraId="3C266A54" w14:textId="40BFF3D0" w:rsidR="00F572D3" w:rsidRPr="00784DCC" w:rsidRDefault="00F572D3" w:rsidP="00F572D3">
      <w:pPr>
        <w:pStyle w:val="FootnoteText"/>
      </w:pPr>
      <w:r w:rsidRPr="00784DCC">
        <w:rPr>
          <w:rStyle w:val="FootnoteReference"/>
        </w:rPr>
        <w:footnoteRef/>
      </w:r>
      <w:r w:rsidRPr="00784DCC">
        <w:t xml:space="preserve"> See also European</w:t>
      </w:r>
      <w:r w:rsidR="00DA0ACF" w:rsidRPr="00784DCC">
        <w:t> Union</w:t>
      </w:r>
      <w:r w:rsidRPr="00784DCC">
        <w:t xml:space="preserve">'s </w:t>
      </w:r>
      <w:r w:rsidR="00DA744F">
        <w:t>written</w:t>
      </w:r>
      <w:r w:rsidRPr="00784DCC">
        <w:t xml:space="preserve"> submission, paras.</w:t>
      </w:r>
      <w:r w:rsidR="00DA0ACF" w:rsidRPr="00784DCC">
        <w:t> </w:t>
      </w:r>
      <w:r w:rsidRPr="00784DCC">
        <w:t>70-7</w:t>
      </w:r>
      <w:r w:rsidR="008E2988">
        <w:t>3</w:t>
      </w:r>
      <w:r w:rsidRPr="00784DCC">
        <w:t>.</w:t>
      </w:r>
    </w:p>
  </w:footnote>
  <w:footnote w:id="146">
    <w:p w14:paraId="28C9F26E" w14:textId="33927C98" w:rsidR="00F572D3" w:rsidRPr="00784DCC" w:rsidRDefault="00F572D3" w:rsidP="00F572D3">
      <w:pPr>
        <w:pStyle w:val="FootnoteText"/>
      </w:pPr>
      <w:r w:rsidRPr="00784DCC">
        <w:rPr>
          <w:rStyle w:val="FootnoteReference"/>
        </w:rPr>
        <w:footnoteRef/>
      </w:r>
      <w:r w:rsidRPr="00784DCC">
        <w:t xml:space="preserve"> See Appellate</w:t>
      </w:r>
      <w:r w:rsidR="00DA0ACF" w:rsidRPr="00784DCC">
        <w:t> Body</w:t>
      </w:r>
      <w:r w:rsidRPr="00784DCC">
        <w:t xml:space="preserve"> Report, </w:t>
      </w:r>
      <w:r w:rsidRPr="00784DCC">
        <w:rPr>
          <w:i/>
          <w:iCs/>
        </w:rPr>
        <w:t>EC – Selected Customs Matter</w:t>
      </w:r>
      <w:r w:rsidRPr="00784DCC">
        <w:t>, para.</w:t>
      </w:r>
      <w:r w:rsidR="00F2224B" w:rsidRPr="00784DCC">
        <w:t> </w:t>
      </w:r>
      <w:r w:rsidRPr="00784DCC">
        <w:t xml:space="preserve">153. </w:t>
      </w:r>
    </w:p>
  </w:footnote>
  <w:footnote w:id="147">
    <w:p w14:paraId="66663E99" w14:textId="1EF94DE7" w:rsidR="00F572D3" w:rsidRPr="00784DCC" w:rsidRDefault="00F572D3" w:rsidP="00F572D3">
      <w:pPr>
        <w:pStyle w:val="FootnoteText"/>
      </w:pPr>
      <w:r w:rsidRPr="00784DCC">
        <w:rPr>
          <w:rStyle w:val="FootnoteReference"/>
        </w:rPr>
        <w:footnoteRef/>
      </w:r>
      <w:r w:rsidRPr="00450705">
        <w:t xml:space="preserve"> Panel</w:t>
      </w:r>
      <w:r w:rsidR="00F2224B" w:rsidRPr="00450705">
        <w:t> Report</w:t>
      </w:r>
      <w:r w:rsidRPr="00450705">
        <w:t xml:space="preserve">, </w:t>
      </w:r>
      <w:r w:rsidRPr="00450705">
        <w:rPr>
          <w:i/>
          <w:iCs/>
        </w:rPr>
        <w:t>EU – Biodiesel (Argentina)</w:t>
      </w:r>
      <w:r w:rsidRPr="00450705">
        <w:t>, para.</w:t>
      </w:r>
      <w:r w:rsidR="00F2224B" w:rsidRPr="00450705">
        <w:t> </w:t>
      </w:r>
      <w:r w:rsidRPr="00784DCC">
        <w:t>7.29</w:t>
      </w:r>
      <w:r w:rsidR="00A8621D">
        <w:t>4</w:t>
      </w:r>
      <w:r w:rsidR="00AD14AB" w:rsidRPr="00784DCC">
        <w:t>.</w:t>
      </w:r>
      <w:r w:rsidRPr="00784DCC">
        <w:t xml:space="preserve"> (emphasis added)</w:t>
      </w:r>
    </w:p>
  </w:footnote>
  <w:footnote w:id="148">
    <w:p w14:paraId="7B7C6F36" w14:textId="6C12C220" w:rsidR="00F572D3" w:rsidRPr="00784DCC" w:rsidRDefault="00F572D3" w:rsidP="00F572D3">
      <w:pPr>
        <w:pStyle w:val="FootnoteText"/>
      </w:pPr>
      <w:r w:rsidRPr="00784DCC">
        <w:rPr>
          <w:rStyle w:val="FootnoteReference"/>
        </w:rPr>
        <w:footnoteRef/>
      </w:r>
      <w:r w:rsidRPr="00784DCC">
        <w:t xml:space="preserve"> Appellate</w:t>
      </w:r>
      <w:r w:rsidR="00DA0ACF" w:rsidRPr="00784DCC">
        <w:t> Body</w:t>
      </w:r>
      <w:r w:rsidRPr="00784DCC">
        <w:t xml:space="preserve"> Report, </w:t>
      </w:r>
      <w:r w:rsidRPr="00784DCC">
        <w:rPr>
          <w:i/>
          <w:iCs/>
        </w:rPr>
        <w:t>EU – Fatty Alcohols (Indonesia)</w:t>
      </w:r>
      <w:r w:rsidRPr="00784DCC">
        <w:t>, para.</w:t>
      </w:r>
      <w:r w:rsidR="00F2224B" w:rsidRPr="00784DCC">
        <w:t> </w:t>
      </w:r>
      <w:r w:rsidRPr="00784DCC">
        <w:t>5.22.</w:t>
      </w:r>
      <w:r w:rsidR="005F0AFF">
        <w:t xml:space="preserve"> (fn</w:t>
      </w:r>
      <w:r w:rsidR="00126344">
        <w:t> </w:t>
      </w:r>
      <w:r w:rsidR="005F0AFF">
        <w:t>omitted)</w:t>
      </w:r>
    </w:p>
  </w:footnote>
  <w:footnote w:id="149">
    <w:p w14:paraId="6FC35F94" w14:textId="31329D6E" w:rsidR="00F572D3" w:rsidRPr="00784DCC" w:rsidRDefault="00F572D3" w:rsidP="00F572D3">
      <w:pPr>
        <w:pStyle w:val="FootnoteText"/>
      </w:pPr>
      <w:r w:rsidRPr="00784DCC">
        <w:rPr>
          <w:rStyle w:val="FootnoteReference"/>
        </w:rPr>
        <w:footnoteRef/>
      </w:r>
      <w:r w:rsidRPr="00784DCC">
        <w:t xml:space="preserve"> See </w:t>
      </w:r>
      <w:r w:rsidR="008766DF">
        <w:t xml:space="preserve">also </w:t>
      </w:r>
      <w:r w:rsidRPr="00784DCC">
        <w:t>European</w:t>
      </w:r>
      <w:r w:rsidR="00DA0ACF" w:rsidRPr="00784DCC">
        <w:t> Union</w:t>
      </w:r>
      <w:r w:rsidRPr="00784DCC">
        <w:t xml:space="preserve">'s </w:t>
      </w:r>
      <w:r w:rsidR="00DA744F">
        <w:t>written</w:t>
      </w:r>
      <w:r w:rsidRPr="00784DCC">
        <w:t xml:space="preserve"> submission, para.</w:t>
      </w:r>
      <w:r w:rsidR="00F2224B" w:rsidRPr="00784DCC">
        <w:t> </w:t>
      </w:r>
      <w:r w:rsidRPr="00784DCC">
        <w:t>69.</w:t>
      </w:r>
    </w:p>
  </w:footnote>
  <w:footnote w:id="150">
    <w:p w14:paraId="35369F70" w14:textId="1B27E703" w:rsidR="00F572D3" w:rsidRPr="00784DCC" w:rsidRDefault="00F572D3" w:rsidP="00F572D3">
      <w:pPr>
        <w:pStyle w:val="FootnoteText"/>
      </w:pPr>
      <w:r w:rsidRPr="00784DCC">
        <w:rPr>
          <w:rStyle w:val="FootnoteReference"/>
        </w:rPr>
        <w:footnoteRef/>
      </w:r>
      <w:r w:rsidRPr="00784DCC">
        <w:t xml:space="preserve"> Colombia's </w:t>
      </w:r>
      <w:r w:rsidR="00DA744F">
        <w:t xml:space="preserve">written </w:t>
      </w:r>
      <w:r w:rsidRPr="00784DCC">
        <w:t>submission, para.</w:t>
      </w:r>
      <w:r w:rsidR="00F2224B" w:rsidRPr="00784DCC">
        <w:t> </w:t>
      </w:r>
      <w:r w:rsidRPr="00784DCC">
        <w:t xml:space="preserve">6.22. (emphasis added) Colombia refers to </w:t>
      </w:r>
      <w:r w:rsidR="00270F7B">
        <w:t>paragraph </w:t>
      </w:r>
      <w:r w:rsidRPr="00784DCC">
        <w:t xml:space="preserve">5 as listing "a range of adjustments". In light of the language used in </w:t>
      </w:r>
      <w:r w:rsidR="00270F7B">
        <w:t>paragraph </w:t>
      </w:r>
      <w:r w:rsidRPr="00784DCC">
        <w:t>5, we understand Colombia uses the word "adjustments" to refer to "allowance". (Ibid.)</w:t>
      </w:r>
    </w:p>
  </w:footnote>
  <w:footnote w:id="151">
    <w:p w14:paraId="0B8F4A1B" w14:textId="64D60F77" w:rsidR="00F572D3" w:rsidRPr="00784DCC" w:rsidRDefault="00F572D3" w:rsidP="00F572D3">
      <w:pPr>
        <w:pStyle w:val="FootnoteText"/>
      </w:pPr>
      <w:r w:rsidRPr="00784DCC">
        <w:rPr>
          <w:rStyle w:val="FootnoteReference"/>
        </w:rPr>
        <w:footnoteRef/>
      </w:r>
      <w:r w:rsidRPr="00784DCC">
        <w:t xml:space="preserve"> Colombia's </w:t>
      </w:r>
      <w:r w:rsidR="00DA744F">
        <w:t xml:space="preserve">written </w:t>
      </w:r>
      <w:r w:rsidRPr="00784DCC">
        <w:t>submission, para.</w:t>
      </w:r>
      <w:r w:rsidR="00F2224B" w:rsidRPr="00784DCC">
        <w:t> </w:t>
      </w:r>
      <w:r w:rsidRPr="00784DCC">
        <w:t xml:space="preserve">6.22. </w:t>
      </w:r>
    </w:p>
  </w:footnote>
  <w:footnote w:id="152">
    <w:p w14:paraId="131AAD0D" w14:textId="031C3CF9" w:rsidR="00F572D3" w:rsidRPr="00784DCC" w:rsidRDefault="00F572D3" w:rsidP="00F572D3">
      <w:pPr>
        <w:pStyle w:val="FootnoteText"/>
      </w:pPr>
      <w:r w:rsidRPr="00784DCC">
        <w:rPr>
          <w:rStyle w:val="FootnoteReference"/>
        </w:rPr>
        <w:footnoteRef/>
      </w:r>
      <w:r w:rsidRPr="00784DCC">
        <w:t xml:space="preserve"> Colombia's </w:t>
      </w:r>
      <w:r w:rsidR="00DA744F">
        <w:t xml:space="preserve">written </w:t>
      </w:r>
      <w:r w:rsidRPr="00784DCC">
        <w:t>submission, para.</w:t>
      </w:r>
      <w:r w:rsidR="00F2224B" w:rsidRPr="00784DCC">
        <w:t> </w:t>
      </w:r>
      <w:r w:rsidRPr="00784DCC">
        <w:t>6.23.</w:t>
      </w:r>
    </w:p>
  </w:footnote>
  <w:footnote w:id="153">
    <w:p w14:paraId="016D8AE4" w14:textId="61919CA3" w:rsidR="00F572D3" w:rsidRPr="00784DCC" w:rsidRDefault="00F572D3" w:rsidP="00F572D3">
      <w:pPr>
        <w:pStyle w:val="FootnoteText"/>
      </w:pPr>
      <w:r w:rsidRPr="00784DCC">
        <w:rPr>
          <w:rStyle w:val="FootnoteReference"/>
        </w:rPr>
        <w:footnoteRef/>
      </w:r>
      <w:r w:rsidRPr="00784DCC">
        <w:t xml:space="preserve"> WT/DS591/2, </w:t>
      </w:r>
      <w:r w:rsidR="00270F7B">
        <w:t>p. </w:t>
      </w:r>
      <w:r w:rsidRPr="00784DCC">
        <w:t>3. (emphasis added)</w:t>
      </w:r>
    </w:p>
  </w:footnote>
  <w:footnote w:id="154">
    <w:p w14:paraId="62760506" w14:textId="37AC176C" w:rsidR="00F572D3" w:rsidRPr="00784DCC" w:rsidRDefault="00F572D3" w:rsidP="00F572D3">
      <w:pPr>
        <w:pStyle w:val="FootnoteText"/>
      </w:pPr>
      <w:r w:rsidRPr="00784DCC">
        <w:rPr>
          <w:rStyle w:val="FootnoteReference"/>
        </w:rPr>
        <w:footnoteRef/>
      </w:r>
      <w:r w:rsidRPr="00784DCC">
        <w:t xml:space="preserve"> Panel</w:t>
      </w:r>
      <w:r w:rsidR="00F2224B" w:rsidRPr="00784DCC">
        <w:t> Report</w:t>
      </w:r>
      <w:r w:rsidRPr="00784DCC">
        <w:t>, para.</w:t>
      </w:r>
      <w:r w:rsidR="00F2224B" w:rsidRPr="00784DCC">
        <w:t> </w:t>
      </w:r>
      <w:r w:rsidRPr="00784DCC">
        <w:t>7.228.</w:t>
      </w:r>
    </w:p>
  </w:footnote>
  <w:footnote w:id="155">
    <w:p w14:paraId="64AB99DC" w14:textId="1B0DC665" w:rsidR="00F572D3" w:rsidRPr="00784DCC" w:rsidRDefault="00F572D3" w:rsidP="00F572D3">
      <w:pPr>
        <w:pStyle w:val="FootnoteText"/>
      </w:pPr>
      <w:r w:rsidRPr="00784DCC">
        <w:rPr>
          <w:rStyle w:val="FootnoteReference"/>
        </w:rPr>
        <w:footnoteRef/>
      </w:r>
      <w:r w:rsidRPr="00784DCC">
        <w:t xml:space="preserve"> See factual background contained in paras.</w:t>
      </w:r>
      <w:r w:rsidR="00DA0ACF" w:rsidRPr="00784DCC">
        <w:t> </w:t>
      </w:r>
      <w:r w:rsidR="00A92A75">
        <w:fldChar w:fldCharType="begin" w:fldLock="1"/>
      </w:r>
      <w:r w:rsidR="00A92A75">
        <w:instrText xml:space="preserve"> REF _Ref121123087 \r \h </w:instrText>
      </w:r>
      <w:r w:rsidR="00A92A75">
        <w:fldChar w:fldCharType="separate"/>
      </w:r>
      <w:r w:rsidR="006A23AB">
        <w:t>4.53</w:t>
      </w:r>
      <w:r w:rsidR="00A92A75">
        <w:fldChar w:fldCharType="end"/>
      </w:r>
      <w:r w:rsidR="004123E7">
        <w:t>-</w:t>
      </w:r>
      <w:r w:rsidR="00A92A75">
        <w:fldChar w:fldCharType="begin" w:fldLock="1"/>
      </w:r>
      <w:r w:rsidR="00A92A75">
        <w:instrText xml:space="preserve"> REF _Ref121123108 \r \h </w:instrText>
      </w:r>
      <w:r w:rsidR="00A92A75">
        <w:fldChar w:fldCharType="separate"/>
      </w:r>
      <w:r w:rsidR="006A23AB">
        <w:t>4.54</w:t>
      </w:r>
      <w:r w:rsidR="00A92A75">
        <w:fldChar w:fldCharType="end"/>
      </w:r>
      <w:r w:rsidR="00CC1BA2">
        <w:t xml:space="preserve"> </w:t>
      </w:r>
      <w:r w:rsidRPr="00784DCC">
        <w:t>above.</w:t>
      </w:r>
    </w:p>
  </w:footnote>
  <w:footnote w:id="156">
    <w:p w14:paraId="263A7AB2" w14:textId="439775AB" w:rsidR="00F572D3" w:rsidRPr="00784DCC" w:rsidRDefault="00F572D3" w:rsidP="00F572D3">
      <w:pPr>
        <w:pStyle w:val="FootnoteText"/>
      </w:pPr>
      <w:r w:rsidRPr="00784DCC">
        <w:rPr>
          <w:rStyle w:val="FootnoteReference"/>
        </w:rPr>
        <w:footnoteRef/>
      </w:r>
      <w:r w:rsidRPr="00784DCC">
        <w:t xml:space="preserve"> Panel</w:t>
      </w:r>
      <w:r w:rsidR="00F2224B" w:rsidRPr="00784DCC">
        <w:t> Report</w:t>
      </w:r>
      <w:r w:rsidRPr="00784DCC">
        <w:t>, para.</w:t>
      </w:r>
      <w:r w:rsidR="00F2224B" w:rsidRPr="00784DCC">
        <w:t> </w:t>
      </w:r>
      <w:r w:rsidRPr="00784DCC">
        <w:t xml:space="preserve">7.235. See also </w:t>
      </w:r>
      <w:r w:rsidR="00DC6E93">
        <w:t>ibid.</w:t>
      </w:r>
      <w:r w:rsidRPr="00784DCC">
        <w:t>, para.</w:t>
      </w:r>
      <w:r w:rsidR="00F2224B" w:rsidRPr="00784DCC">
        <w:t> </w:t>
      </w:r>
      <w:r w:rsidRPr="00784DCC">
        <w:t>7.228.</w:t>
      </w:r>
    </w:p>
  </w:footnote>
  <w:footnote w:id="157">
    <w:p w14:paraId="2C81B61D" w14:textId="0E4BCCA7" w:rsidR="00F572D3" w:rsidRPr="00784DCC" w:rsidRDefault="00F572D3" w:rsidP="00F572D3">
      <w:pPr>
        <w:pStyle w:val="FootnoteText"/>
      </w:pPr>
      <w:r w:rsidRPr="00784DCC">
        <w:rPr>
          <w:rStyle w:val="FootnoteReference"/>
        </w:rPr>
        <w:footnoteRef/>
      </w:r>
      <w:r w:rsidRPr="00784DCC">
        <w:t xml:space="preserve"> Panel</w:t>
      </w:r>
      <w:r w:rsidR="00F2224B" w:rsidRPr="00784DCC">
        <w:t> Report</w:t>
      </w:r>
      <w:r w:rsidRPr="00784DCC">
        <w:t>, para.</w:t>
      </w:r>
      <w:r w:rsidR="00F2224B" w:rsidRPr="00784DCC">
        <w:t> </w:t>
      </w:r>
      <w:r w:rsidRPr="00784DCC">
        <w:t>7.231.</w:t>
      </w:r>
    </w:p>
  </w:footnote>
  <w:footnote w:id="158">
    <w:p w14:paraId="073439E6" w14:textId="34B56F80" w:rsidR="00F572D3" w:rsidRPr="00784DCC" w:rsidRDefault="00F572D3" w:rsidP="00F572D3">
      <w:pPr>
        <w:pStyle w:val="FootnoteText"/>
      </w:pPr>
      <w:r w:rsidRPr="00784DCC">
        <w:rPr>
          <w:rStyle w:val="FootnoteReference"/>
        </w:rPr>
        <w:footnoteRef/>
      </w:r>
      <w:r w:rsidRPr="00784DCC">
        <w:t xml:space="preserve"> Panel</w:t>
      </w:r>
      <w:r w:rsidR="00F2224B" w:rsidRPr="00784DCC">
        <w:t> Report</w:t>
      </w:r>
      <w:r w:rsidRPr="00784DCC">
        <w:t>, para.</w:t>
      </w:r>
      <w:r w:rsidR="00F2224B" w:rsidRPr="00784DCC">
        <w:t> </w:t>
      </w:r>
      <w:r w:rsidRPr="00784DCC">
        <w:t>7.231.</w:t>
      </w:r>
    </w:p>
  </w:footnote>
  <w:footnote w:id="159">
    <w:p w14:paraId="799DEB57" w14:textId="5B428E7D" w:rsidR="00F572D3" w:rsidRPr="00784DCC" w:rsidRDefault="00F572D3" w:rsidP="00F572D3">
      <w:pPr>
        <w:pStyle w:val="FootnoteText"/>
      </w:pPr>
      <w:r w:rsidRPr="00784DCC">
        <w:rPr>
          <w:rStyle w:val="FootnoteReference"/>
        </w:rPr>
        <w:footnoteRef/>
      </w:r>
      <w:r w:rsidRPr="00784DCC">
        <w:t xml:space="preserve"> Colombia's </w:t>
      </w:r>
      <w:r w:rsidR="00DA744F">
        <w:t xml:space="preserve">written </w:t>
      </w:r>
      <w:r w:rsidRPr="00784DCC">
        <w:t>submission, para</w:t>
      </w:r>
      <w:r w:rsidR="004676E7">
        <w:t>s</w:t>
      </w:r>
      <w:r w:rsidRPr="00784DCC">
        <w:t>.</w:t>
      </w:r>
      <w:r w:rsidR="00F2224B" w:rsidRPr="00784DCC">
        <w:t> </w:t>
      </w:r>
      <w:r w:rsidRPr="00784DCC">
        <w:t>6.3</w:t>
      </w:r>
      <w:r w:rsidR="004676E7">
        <w:t xml:space="preserve"> and 6.28</w:t>
      </w:r>
      <w:r w:rsidRPr="00784DCC">
        <w:t>.</w:t>
      </w:r>
      <w:r w:rsidR="004676E7">
        <w:t xml:space="preserve"> (emphasis omitted)</w:t>
      </w:r>
    </w:p>
  </w:footnote>
  <w:footnote w:id="160">
    <w:p w14:paraId="3A5A710D" w14:textId="2E3263F9" w:rsidR="00F572D3" w:rsidRPr="00784DCC" w:rsidRDefault="00F572D3" w:rsidP="00F572D3">
      <w:pPr>
        <w:pStyle w:val="FootnoteText"/>
      </w:pPr>
      <w:r w:rsidRPr="00784DCC">
        <w:rPr>
          <w:rStyle w:val="FootnoteReference"/>
        </w:rPr>
        <w:footnoteRef/>
      </w:r>
      <w:r w:rsidRPr="00784DCC">
        <w:t xml:space="preserve"> Colombia's </w:t>
      </w:r>
      <w:r w:rsidR="00DA744F">
        <w:t xml:space="preserve">written </w:t>
      </w:r>
      <w:r w:rsidRPr="00784DCC">
        <w:t>submission, para.</w:t>
      </w:r>
      <w:r w:rsidR="00F2224B" w:rsidRPr="00784DCC">
        <w:t> </w:t>
      </w:r>
      <w:r w:rsidRPr="00784DCC">
        <w:t>6.29 (quoting Panel</w:t>
      </w:r>
      <w:r w:rsidR="00F2224B" w:rsidRPr="00784DCC">
        <w:t> Report</w:t>
      </w:r>
      <w:r w:rsidRPr="00784DCC">
        <w:t>, paras.</w:t>
      </w:r>
      <w:r w:rsidR="00DA0ACF" w:rsidRPr="00784DCC">
        <w:t> </w:t>
      </w:r>
      <w:r w:rsidRPr="00784DCC">
        <w:t>7.237 and 7.243)</w:t>
      </w:r>
      <w:r w:rsidR="00EB0F17" w:rsidRPr="00784DCC">
        <w:t>.</w:t>
      </w:r>
      <w:r w:rsidR="00843380">
        <w:t xml:space="preserve"> (emphasis omitted)</w:t>
      </w:r>
    </w:p>
  </w:footnote>
  <w:footnote w:id="161">
    <w:p w14:paraId="44FBB473" w14:textId="041EF359" w:rsidR="00843380" w:rsidRPr="00784DCC" w:rsidRDefault="00F572D3" w:rsidP="00843380">
      <w:pPr>
        <w:pStyle w:val="FootnoteText"/>
      </w:pPr>
      <w:r w:rsidRPr="00784DCC">
        <w:rPr>
          <w:rStyle w:val="FootnoteReference"/>
        </w:rPr>
        <w:footnoteRef/>
      </w:r>
      <w:r w:rsidRPr="00784DCC">
        <w:t xml:space="preserve"> See relevant summary of panel findings in </w:t>
      </w:r>
      <w:r w:rsidRPr="00A92A75">
        <w:t>para.</w:t>
      </w:r>
      <w:r w:rsidR="00F2224B" w:rsidRPr="00A92A75">
        <w:t> </w:t>
      </w:r>
      <w:r w:rsidR="00FF19B7">
        <w:fldChar w:fldCharType="begin" w:fldLock="1"/>
      </w:r>
      <w:r w:rsidR="00FF19B7">
        <w:instrText xml:space="preserve"> REF _Ref121125568 \r \h </w:instrText>
      </w:r>
      <w:r w:rsidR="00FF19B7">
        <w:fldChar w:fldCharType="separate"/>
      </w:r>
      <w:r w:rsidR="006A23AB">
        <w:t>4.57</w:t>
      </w:r>
      <w:r w:rsidR="00FF19B7">
        <w:fldChar w:fldCharType="end"/>
      </w:r>
      <w:r w:rsidR="00886724">
        <w:t xml:space="preserve"> </w:t>
      </w:r>
      <w:r w:rsidRPr="00784DCC">
        <w:t>above. See also Panel</w:t>
      </w:r>
      <w:r w:rsidR="00F2224B" w:rsidRPr="00784DCC">
        <w:t> Report</w:t>
      </w:r>
      <w:r w:rsidRPr="00784DCC">
        <w:t>, paras.</w:t>
      </w:r>
      <w:r w:rsidR="00DA0ACF" w:rsidRPr="00784DCC">
        <w:t> </w:t>
      </w:r>
      <w:r w:rsidRPr="00784DCC">
        <w:t>7.237 and 7.243. Given the Panel's description of the parties' arguments before it, we are not convinced by Colombia's assertion that "[t]he EU never raised Mydibel's adjustment request before the Panel" and that "[t]he entirety of the EU's case, from the first written submission all the way to its responses to the Panel's questions, revolves around the alleged asymmetrical deduction</w:t>
      </w:r>
      <w:r w:rsidR="007541C1" w:rsidRPr="00784DCC">
        <w:t>.</w:t>
      </w:r>
      <w:r w:rsidRPr="00784DCC">
        <w:t xml:space="preserve">" (Colombia's </w:t>
      </w:r>
      <w:r w:rsidR="00F81A95">
        <w:t xml:space="preserve">written </w:t>
      </w:r>
      <w:r w:rsidRPr="00784DCC">
        <w:t>submission, para.</w:t>
      </w:r>
      <w:r w:rsidR="00F2224B" w:rsidRPr="00784DCC">
        <w:t> </w:t>
      </w:r>
      <w:r w:rsidRPr="00784DCC">
        <w:t xml:space="preserve">6.29) </w:t>
      </w:r>
      <w:r w:rsidR="00843380">
        <w:t>(emphasis omitted)</w:t>
      </w:r>
    </w:p>
    <w:p w14:paraId="3AAFD0B9" w14:textId="07468502" w:rsidR="00F572D3" w:rsidRPr="00784DCC" w:rsidRDefault="00F572D3" w:rsidP="00AB5F5B">
      <w:pPr>
        <w:pStyle w:val="FootnoteText"/>
        <w:ind w:firstLine="0"/>
      </w:pPr>
      <w:r w:rsidRPr="00784DCC">
        <w:t>See also Panel</w:t>
      </w:r>
      <w:r w:rsidR="00F2224B" w:rsidRPr="00784DCC">
        <w:t> Report</w:t>
      </w:r>
      <w:r w:rsidRPr="00784DCC">
        <w:t>, para.</w:t>
      </w:r>
      <w:r w:rsidR="00F2224B" w:rsidRPr="00784DCC">
        <w:t> </w:t>
      </w:r>
      <w:r w:rsidRPr="00784DCC">
        <w:t>7.228 (quoting the European</w:t>
      </w:r>
      <w:r w:rsidR="00DA0ACF" w:rsidRPr="00784DCC">
        <w:t> Union</w:t>
      </w:r>
      <w:r w:rsidRPr="00784DCC">
        <w:t>'s first written submission</w:t>
      </w:r>
      <w:r w:rsidR="00A030F9">
        <w:t xml:space="preserve"> to the Panel</w:t>
      </w:r>
      <w:r w:rsidRPr="00784DCC">
        <w:t>, para.</w:t>
      </w:r>
      <w:r w:rsidR="00F2224B" w:rsidRPr="00784DCC">
        <w:t> </w:t>
      </w:r>
      <w:r w:rsidRPr="00784DCC">
        <w:t>183 (in turn</w:t>
      </w:r>
      <w:r w:rsidR="00235784">
        <w:t>,</w:t>
      </w:r>
      <w:r w:rsidRPr="00784DCC">
        <w:t xml:space="preserve"> referring to both MINCIT's denial of adjustment request and its asymmetrical deduction)).</w:t>
      </w:r>
    </w:p>
  </w:footnote>
  <w:footnote w:id="162">
    <w:p w14:paraId="05E70A40" w14:textId="716E7CE6" w:rsidR="00F572D3" w:rsidRPr="00784DCC" w:rsidRDefault="00F572D3" w:rsidP="00F572D3">
      <w:pPr>
        <w:pStyle w:val="FootnoteText"/>
      </w:pPr>
      <w:r w:rsidRPr="00784DCC">
        <w:rPr>
          <w:rStyle w:val="FootnoteReference"/>
        </w:rPr>
        <w:footnoteRef/>
      </w:r>
      <w:r w:rsidRPr="00784DCC">
        <w:t xml:space="preserve"> See Panel</w:t>
      </w:r>
      <w:r w:rsidR="00F2224B" w:rsidRPr="00784DCC">
        <w:t> Report</w:t>
      </w:r>
      <w:r w:rsidRPr="00784DCC">
        <w:t>, paras.</w:t>
      </w:r>
      <w:r w:rsidR="00DA0ACF" w:rsidRPr="00784DCC">
        <w:t> </w:t>
      </w:r>
      <w:r w:rsidRPr="00784DCC">
        <w:t>7.238-7.242.</w:t>
      </w:r>
    </w:p>
  </w:footnote>
  <w:footnote w:id="163">
    <w:p w14:paraId="0B80DFD7" w14:textId="5288BE9B" w:rsidR="00F572D3" w:rsidRPr="00784DCC" w:rsidRDefault="00F572D3" w:rsidP="00F572D3">
      <w:pPr>
        <w:pStyle w:val="FootnoteText"/>
      </w:pPr>
      <w:r w:rsidRPr="00784DCC">
        <w:rPr>
          <w:rStyle w:val="FootnoteReference"/>
        </w:rPr>
        <w:footnoteRef/>
      </w:r>
      <w:r w:rsidRPr="00784DCC">
        <w:t xml:space="preserve"> Panel</w:t>
      </w:r>
      <w:r w:rsidR="00F2224B" w:rsidRPr="00784DCC">
        <w:t> Report</w:t>
      </w:r>
      <w:r w:rsidRPr="00784DCC">
        <w:t>, para.</w:t>
      </w:r>
      <w:r w:rsidR="00F2224B" w:rsidRPr="00784DCC">
        <w:t> </w:t>
      </w:r>
      <w:r w:rsidRPr="00784DCC">
        <w:t>7.243. (emphasis added)</w:t>
      </w:r>
    </w:p>
  </w:footnote>
  <w:footnote w:id="164">
    <w:p w14:paraId="6A18037C" w14:textId="4CF1E99C" w:rsidR="00F572D3" w:rsidRPr="00784DCC" w:rsidRDefault="00F572D3" w:rsidP="00F572D3">
      <w:pPr>
        <w:pStyle w:val="FootnoteText"/>
      </w:pPr>
      <w:r w:rsidRPr="00784DCC">
        <w:rPr>
          <w:rStyle w:val="FootnoteReference"/>
        </w:rPr>
        <w:footnoteRef/>
      </w:r>
      <w:r w:rsidRPr="00784DCC">
        <w:t xml:space="preserve"> Panel</w:t>
      </w:r>
      <w:r w:rsidR="00F2224B" w:rsidRPr="00784DCC">
        <w:t> Report</w:t>
      </w:r>
      <w:r w:rsidRPr="00784DCC">
        <w:t>, para.</w:t>
      </w:r>
      <w:r w:rsidR="00F2224B" w:rsidRPr="00784DCC">
        <w:t> </w:t>
      </w:r>
      <w:r w:rsidRPr="00784DCC">
        <w:t>7.244. See also Panel</w:t>
      </w:r>
      <w:r w:rsidR="00F2224B" w:rsidRPr="00784DCC">
        <w:t> Report</w:t>
      </w:r>
      <w:r w:rsidRPr="00784DCC">
        <w:t>, paras.</w:t>
      </w:r>
      <w:r w:rsidR="00DA0ACF" w:rsidRPr="00784DCC">
        <w:t> </w:t>
      </w:r>
      <w:r w:rsidRPr="00784DCC">
        <w:t xml:space="preserve">7.242-7.243. </w:t>
      </w:r>
    </w:p>
  </w:footnote>
  <w:footnote w:id="165">
    <w:p w14:paraId="364A97B8" w14:textId="23613165" w:rsidR="00F572D3" w:rsidRPr="00784DCC" w:rsidRDefault="00F572D3" w:rsidP="00843380">
      <w:pPr>
        <w:pStyle w:val="FootnoteText"/>
      </w:pPr>
      <w:r w:rsidRPr="00784DCC">
        <w:rPr>
          <w:rStyle w:val="FootnoteReference"/>
        </w:rPr>
        <w:footnoteRef/>
      </w:r>
      <w:r w:rsidRPr="00784DCC">
        <w:t xml:space="preserve"> Colombia's </w:t>
      </w:r>
      <w:r w:rsidR="00F81A95">
        <w:t xml:space="preserve">written </w:t>
      </w:r>
      <w:r w:rsidRPr="00784DCC">
        <w:t>submission, para.</w:t>
      </w:r>
      <w:r w:rsidR="00F2224B" w:rsidRPr="00784DCC">
        <w:t> </w:t>
      </w:r>
      <w:r w:rsidRPr="00784DCC">
        <w:t xml:space="preserve">6.29. </w:t>
      </w:r>
      <w:r w:rsidR="00843380">
        <w:t xml:space="preserve">(emphasis omitted) </w:t>
      </w:r>
      <w:r w:rsidRPr="00784DCC">
        <w:t xml:space="preserve">Given the facts of the case, we do not find it pertinent to address the </w:t>
      </w:r>
      <w:r w:rsidRPr="00784DCC">
        <w:rPr>
          <w:i/>
          <w:iCs/>
        </w:rPr>
        <w:t>hypothetical</w:t>
      </w:r>
      <w:r w:rsidRPr="00784DCC">
        <w:t xml:space="preserve"> scenarios raised by Colombia that "[t]he asymmetrical deduction problem could have arisen even if Mydibel had made no adjustment request for packaging costs</w:t>
      </w:r>
      <w:r w:rsidR="00943579">
        <w:t>.</w:t>
      </w:r>
      <w:r w:rsidRPr="00784DCC">
        <w:t>" (</w:t>
      </w:r>
      <w:r w:rsidR="00F81A95" w:rsidRPr="000243B8">
        <w:t>Ibid.</w:t>
      </w:r>
      <w:r w:rsidRPr="000243B8">
        <w:t>,</w:t>
      </w:r>
      <w:r w:rsidRPr="00784DCC">
        <w:t xml:space="preserve"> para.</w:t>
      </w:r>
      <w:r w:rsidR="00F2224B" w:rsidRPr="00784DCC">
        <w:t> </w:t>
      </w:r>
      <w:r w:rsidRPr="00784DCC">
        <w:t>6.29) Neither do we find it relevant to consider, for purposes of resolving Colombia's appeal, how a respondent could bring itself into compliance in "a hypothetical instance where both allegations are accepted by a panel". (Ibid.)</w:t>
      </w:r>
    </w:p>
  </w:footnote>
  <w:footnote w:id="166">
    <w:p w14:paraId="66AB485B" w14:textId="62B0BD51" w:rsidR="00F572D3" w:rsidRPr="00784DCC" w:rsidRDefault="00F572D3" w:rsidP="00F572D3">
      <w:pPr>
        <w:pStyle w:val="FootnoteText"/>
      </w:pPr>
      <w:r w:rsidRPr="00784DCC">
        <w:rPr>
          <w:rStyle w:val="FootnoteReference"/>
        </w:rPr>
        <w:footnoteRef/>
      </w:r>
      <w:r w:rsidRPr="00784DCC">
        <w:t xml:space="preserve"> Colombia's </w:t>
      </w:r>
      <w:r w:rsidR="00F81A95">
        <w:t xml:space="preserve">written </w:t>
      </w:r>
      <w:r w:rsidRPr="00784DCC">
        <w:t>submission, paras.</w:t>
      </w:r>
      <w:r w:rsidR="00DA0ACF" w:rsidRPr="00784DCC">
        <w:t> </w:t>
      </w:r>
      <w:r w:rsidRPr="00784DCC">
        <w:t>6.1</w:t>
      </w:r>
      <w:r w:rsidR="00235784">
        <w:t>3</w:t>
      </w:r>
      <w:r w:rsidRPr="00784DCC">
        <w:t>-6.16.</w:t>
      </w:r>
    </w:p>
  </w:footnote>
  <w:footnote w:id="167">
    <w:p w14:paraId="5403B515" w14:textId="5DA8D34F" w:rsidR="00F572D3" w:rsidRPr="00784DCC" w:rsidRDefault="00F572D3" w:rsidP="00F572D3">
      <w:pPr>
        <w:pStyle w:val="FootnoteText"/>
      </w:pPr>
      <w:r w:rsidRPr="00784DCC">
        <w:rPr>
          <w:rStyle w:val="FootnoteReference"/>
        </w:rPr>
        <w:footnoteRef/>
      </w:r>
      <w:r w:rsidRPr="00784DCC">
        <w:t xml:space="preserve"> Colombia's </w:t>
      </w:r>
      <w:r w:rsidR="00F81A95">
        <w:t xml:space="preserve">written </w:t>
      </w:r>
      <w:r w:rsidRPr="00784DCC">
        <w:t>submission, para.</w:t>
      </w:r>
      <w:r w:rsidR="00F2224B" w:rsidRPr="00784DCC">
        <w:t> </w:t>
      </w:r>
      <w:r w:rsidRPr="00784DCC">
        <w:t>6.16.</w:t>
      </w:r>
    </w:p>
  </w:footnote>
  <w:footnote w:id="168">
    <w:p w14:paraId="2D46C14B" w14:textId="42945A35" w:rsidR="00F572D3" w:rsidRPr="00784DCC" w:rsidRDefault="00F572D3" w:rsidP="00F572D3">
      <w:pPr>
        <w:pStyle w:val="FootnoteText"/>
      </w:pPr>
      <w:r w:rsidRPr="00784DCC">
        <w:rPr>
          <w:rStyle w:val="FootnoteReference"/>
        </w:rPr>
        <w:footnoteRef/>
      </w:r>
      <w:r w:rsidRPr="00784DCC">
        <w:t xml:space="preserve"> MINCIT discussed its asymmetrical deduction, and its reason for not making any packaging cost adjustments to the normal value, in the same section of its response to comments on the essential facts disclosure. (See MINCIT's </w:t>
      </w:r>
      <w:r w:rsidR="00CC394A">
        <w:t>r</w:t>
      </w:r>
      <w:r w:rsidRPr="00784DCC">
        <w:t>esponses to comments on essential facts (</w:t>
      </w:r>
      <w:r w:rsidR="00CB14C8" w:rsidRPr="00784DCC">
        <w:t xml:space="preserve">Panel </w:t>
      </w:r>
      <w:r w:rsidRPr="00784DCC">
        <w:t>Exhibit EU-17a), section</w:t>
      </w:r>
      <w:r w:rsidR="0080750D">
        <w:t> </w:t>
      </w:r>
      <w:r w:rsidRPr="00784DCC">
        <w:t>7 (referred to in Panel</w:t>
      </w:r>
      <w:r w:rsidR="00F2224B" w:rsidRPr="00784DCC">
        <w:t> Report</w:t>
      </w:r>
      <w:r w:rsidRPr="00784DCC">
        <w:t>, fns</w:t>
      </w:r>
      <w:r w:rsidR="00F2224B" w:rsidRPr="00784DCC">
        <w:t> </w:t>
      </w:r>
      <w:r w:rsidR="00987D41">
        <w:t>464</w:t>
      </w:r>
      <w:r w:rsidRPr="00784DCC">
        <w:t xml:space="preserve"> and </w:t>
      </w:r>
      <w:r w:rsidR="00987D41">
        <w:t>465</w:t>
      </w:r>
      <w:r w:rsidRPr="00784DCC">
        <w:t>), pp.</w:t>
      </w:r>
      <w:r w:rsidR="0080750D">
        <w:t> </w:t>
      </w:r>
      <w:r w:rsidRPr="00784DCC">
        <w:t>28-30)</w:t>
      </w:r>
    </w:p>
  </w:footnote>
  <w:footnote w:id="169">
    <w:p w14:paraId="0E722BD9" w14:textId="30BF634E" w:rsidR="00F572D3" w:rsidRPr="00784DCC" w:rsidRDefault="00F572D3" w:rsidP="00F572D3">
      <w:pPr>
        <w:pStyle w:val="FootnoteText"/>
      </w:pPr>
      <w:r w:rsidRPr="00784DCC">
        <w:rPr>
          <w:rStyle w:val="FootnoteReference"/>
        </w:rPr>
        <w:footnoteRef/>
      </w:r>
      <w:r w:rsidRPr="00784DCC">
        <w:t xml:space="preserve"> Colombia's </w:t>
      </w:r>
      <w:r w:rsidR="00F81A95">
        <w:t xml:space="preserve">written </w:t>
      </w:r>
      <w:r w:rsidRPr="00784DCC">
        <w:t>submission, para.</w:t>
      </w:r>
      <w:r w:rsidR="00F2224B" w:rsidRPr="00784DCC">
        <w:t> </w:t>
      </w:r>
      <w:r w:rsidRPr="00784DCC">
        <w:t>6.18.</w:t>
      </w:r>
    </w:p>
  </w:footnote>
  <w:footnote w:id="170">
    <w:p w14:paraId="4D08CFE4" w14:textId="50556D95" w:rsidR="00F572D3" w:rsidRPr="00784DCC" w:rsidRDefault="00F572D3" w:rsidP="00F572D3">
      <w:pPr>
        <w:pStyle w:val="FootnoteText"/>
      </w:pPr>
      <w:r w:rsidRPr="00784DCC">
        <w:rPr>
          <w:rStyle w:val="FootnoteReference"/>
        </w:rPr>
        <w:footnoteRef/>
      </w:r>
      <w:r w:rsidRPr="00784DCC">
        <w:t xml:space="preserve"> Colombia's </w:t>
      </w:r>
      <w:r w:rsidR="00F81A95">
        <w:t xml:space="preserve">written </w:t>
      </w:r>
      <w:r w:rsidRPr="00784DCC">
        <w:t>submission, para.</w:t>
      </w:r>
      <w:r w:rsidR="00F2224B" w:rsidRPr="00784DCC">
        <w:t> </w:t>
      </w:r>
      <w:r w:rsidRPr="00784DCC">
        <w:t>6.19</w:t>
      </w:r>
      <w:r w:rsidR="00DF5F51">
        <w:t xml:space="preserve"> (quoting </w:t>
      </w:r>
      <w:r w:rsidR="00DF5F51" w:rsidRPr="00054A58">
        <w:t>Appellate</w:t>
      </w:r>
      <w:r w:rsidR="00126344">
        <w:t> Body</w:t>
      </w:r>
      <w:r w:rsidR="00DF5F51" w:rsidRPr="00054A58">
        <w:t xml:space="preserve"> Report, </w:t>
      </w:r>
      <w:r w:rsidR="00DF5F51" w:rsidRPr="00C57C91">
        <w:rPr>
          <w:i/>
          <w:iCs/>
        </w:rPr>
        <w:t>US – Oil Country Tubular Goods Sunset Reviews</w:t>
      </w:r>
      <w:r w:rsidR="00DF5F51" w:rsidRPr="00054A58">
        <w:t>, para.</w:t>
      </w:r>
      <w:r w:rsidR="00126344">
        <w:t> </w:t>
      </w:r>
      <w:r w:rsidR="00DF5F51" w:rsidRPr="00054A58">
        <w:t>162</w:t>
      </w:r>
      <w:r w:rsidR="00DF5F51">
        <w:t>)</w:t>
      </w:r>
      <w:r w:rsidRPr="00784DCC">
        <w:t>.</w:t>
      </w:r>
    </w:p>
  </w:footnote>
  <w:footnote w:id="171">
    <w:p w14:paraId="661C302C" w14:textId="2846DD5A" w:rsidR="00F572D3" w:rsidRPr="00784DCC" w:rsidRDefault="00F572D3" w:rsidP="00F572D3">
      <w:pPr>
        <w:pStyle w:val="FootnoteText"/>
      </w:pPr>
      <w:r w:rsidRPr="00784DCC">
        <w:rPr>
          <w:rStyle w:val="FootnoteReference"/>
        </w:rPr>
        <w:footnoteRef/>
      </w:r>
      <w:r w:rsidRPr="00784DCC">
        <w:t xml:space="preserve"> See e.g. Panel</w:t>
      </w:r>
      <w:r w:rsidR="00F2224B" w:rsidRPr="00784DCC">
        <w:t> Report</w:t>
      </w:r>
      <w:r w:rsidRPr="00784DCC">
        <w:t xml:space="preserve">s, </w:t>
      </w:r>
      <w:r w:rsidRPr="00784DCC">
        <w:rPr>
          <w:i/>
          <w:iCs/>
        </w:rPr>
        <w:t>EC – Salmon (Norway)</w:t>
      </w:r>
      <w:r w:rsidRPr="00784DCC">
        <w:t>, paras.</w:t>
      </w:r>
      <w:r w:rsidR="00DA0ACF" w:rsidRPr="00784DCC">
        <w:t> </w:t>
      </w:r>
      <w:r w:rsidRPr="00784DCC">
        <w:t>7.835-7.843;</w:t>
      </w:r>
      <w:r w:rsidRPr="00784DCC">
        <w:rPr>
          <w:i/>
          <w:iCs/>
        </w:rPr>
        <w:t xml:space="preserve"> US – Shrimp II (Viet</w:t>
      </w:r>
      <w:r w:rsidR="00DA0ACF" w:rsidRPr="00784DCC">
        <w:rPr>
          <w:i/>
          <w:iCs/>
        </w:rPr>
        <w:t> Nam</w:t>
      </w:r>
      <w:r w:rsidRPr="00784DCC">
        <w:rPr>
          <w:i/>
          <w:iCs/>
        </w:rPr>
        <w:t>)</w:t>
      </w:r>
      <w:r w:rsidRPr="00784DCC">
        <w:t>, para</w:t>
      </w:r>
      <w:r w:rsidR="00235784">
        <w:t>s</w:t>
      </w:r>
      <w:r w:rsidRPr="00784DCC">
        <w:t>.</w:t>
      </w:r>
      <w:r w:rsidR="00F2224B" w:rsidRPr="00784DCC">
        <w:t> </w:t>
      </w:r>
      <w:r w:rsidR="00235784">
        <w:t>7.7-</w:t>
      </w:r>
      <w:r w:rsidRPr="00784DCC">
        <w:t>7.8;</w:t>
      </w:r>
      <w:r w:rsidRPr="00784DCC">
        <w:rPr>
          <w:i/>
          <w:iCs/>
        </w:rPr>
        <w:t xml:space="preserve"> US – Softwood Lumber V</w:t>
      </w:r>
      <w:r w:rsidRPr="00784DCC">
        <w:t>, paras.</w:t>
      </w:r>
      <w:r w:rsidR="00DA0ACF" w:rsidRPr="00784DCC">
        <w:t> </w:t>
      </w:r>
      <w:r w:rsidRPr="00784DCC">
        <w:t>7.31-7.43; and</w:t>
      </w:r>
      <w:r w:rsidRPr="00784DCC">
        <w:rPr>
          <w:i/>
          <w:iCs/>
        </w:rPr>
        <w:t xml:space="preserve"> EC – Tube or Pipe Fittings</w:t>
      </w:r>
      <w:r w:rsidRPr="00784DCC">
        <w:t>, paras.</w:t>
      </w:r>
      <w:r w:rsidR="00DA0ACF" w:rsidRPr="00784DCC">
        <w:t> </w:t>
      </w:r>
      <w:r w:rsidRPr="00784DCC">
        <w:t>7.42-7.47.</w:t>
      </w:r>
    </w:p>
  </w:footnote>
  <w:footnote w:id="172">
    <w:p w14:paraId="6270F9B9" w14:textId="0F1A41B9" w:rsidR="00F572D3" w:rsidRPr="00784DCC" w:rsidRDefault="00F572D3" w:rsidP="00F572D3">
      <w:pPr>
        <w:pStyle w:val="FootnoteText"/>
      </w:pPr>
      <w:r w:rsidRPr="00784DCC">
        <w:rPr>
          <w:rStyle w:val="FootnoteReference"/>
        </w:rPr>
        <w:footnoteRef/>
      </w:r>
      <w:r w:rsidRPr="00784DCC">
        <w:t xml:space="preserve"> As the European</w:t>
      </w:r>
      <w:r w:rsidR="00DA0ACF" w:rsidRPr="00784DCC">
        <w:t> Union</w:t>
      </w:r>
      <w:r w:rsidRPr="00784DCC">
        <w:t xml:space="preserve"> submits, Article</w:t>
      </w:r>
      <w:r w:rsidR="00F2224B" w:rsidRPr="00784DCC">
        <w:t> </w:t>
      </w:r>
      <w:r w:rsidRPr="00784DCC">
        <w:t>17.5(ii) "has nothing to do with the panel request". (European</w:t>
      </w:r>
      <w:r w:rsidR="00DA0ACF" w:rsidRPr="00784DCC">
        <w:t> Union</w:t>
      </w:r>
      <w:r w:rsidRPr="00784DCC">
        <w:t xml:space="preserve">'s </w:t>
      </w:r>
      <w:r w:rsidR="00F81A95">
        <w:t>written</w:t>
      </w:r>
      <w:r w:rsidRPr="00784DCC">
        <w:t xml:space="preserve"> submission, para.</w:t>
      </w:r>
      <w:r w:rsidR="00F2224B" w:rsidRPr="00784DCC">
        <w:t> </w:t>
      </w:r>
      <w:r w:rsidRPr="00784DCC">
        <w:t>67) As the United</w:t>
      </w:r>
      <w:r w:rsidR="00DA0ACF" w:rsidRPr="00784DCC">
        <w:t> States</w:t>
      </w:r>
      <w:r w:rsidRPr="00784DCC">
        <w:t xml:space="preserve"> similarly notes, Article</w:t>
      </w:r>
      <w:r w:rsidR="00F2224B" w:rsidRPr="00784DCC">
        <w:t> </w:t>
      </w:r>
      <w:r w:rsidRPr="00784DCC">
        <w:t>17.5(ii) delineates the scope of a panel's evidentiary review of the investigating authority's evaluation of the facts before it, and does not address, nor concern itself with, the identification of the specific measures at issue and of the legal basis of the complaint under Article 6.2 of the DSU. (United</w:t>
      </w:r>
      <w:r w:rsidR="00DA0ACF" w:rsidRPr="00784DCC">
        <w:t> States</w:t>
      </w:r>
      <w:r w:rsidRPr="00784DCC">
        <w:t>' third party's opening statement at the hearing)</w:t>
      </w:r>
    </w:p>
  </w:footnote>
  <w:footnote w:id="173">
    <w:p w14:paraId="23292412" w14:textId="7B2A179E" w:rsidR="00F572D3" w:rsidRPr="00784DCC" w:rsidRDefault="00F572D3" w:rsidP="00F572D3">
      <w:pPr>
        <w:pStyle w:val="FootnoteText"/>
        <w:rPr>
          <w:szCs w:val="16"/>
        </w:rPr>
      </w:pPr>
      <w:r w:rsidRPr="00784DCC">
        <w:rPr>
          <w:rStyle w:val="FootnoteReference"/>
          <w:szCs w:val="16"/>
        </w:rPr>
        <w:footnoteRef/>
      </w:r>
      <w:r w:rsidRPr="00784DCC">
        <w:rPr>
          <w:szCs w:val="16"/>
        </w:rPr>
        <w:t xml:space="preserve"> </w:t>
      </w:r>
      <w:r w:rsidRPr="00784DCC">
        <w:t>See Colombia's Notice of Appeal</w:t>
      </w:r>
      <w:r w:rsidR="00215B56">
        <w:t>, para. 4</w:t>
      </w:r>
      <w:r w:rsidRPr="00784DCC">
        <w:t xml:space="preserve"> (referring to Panel</w:t>
      </w:r>
      <w:r w:rsidR="00F2224B" w:rsidRPr="00784DCC">
        <w:t> Report</w:t>
      </w:r>
      <w:r w:rsidRPr="00784DCC">
        <w:t xml:space="preserve">, </w:t>
      </w:r>
      <w:r w:rsidRPr="00784DCC">
        <w:rPr>
          <w:szCs w:val="16"/>
        </w:rPr>
        <w:t>paras.</w:t>
      </w:r>
      <w:r w:rsidR="00DA0ACF" w:rsidRPr="00784DCC">
        <w:rPr>
          <w:szCs w:val="16"/>
        </w:rPr>
        <w:t> </w:t>
      </w:r>
      <w:r w:rsidRPr="00784DCC">
        <w:rPr>
          <w:szCs w:val="16"/>
        </w:rPr>
        <w:t>7.303, 7.307, and 8.1.e.i</w:t>
      </w:r>
      <w:r w:rsidRPr="00784DCC">
        <w:t xml:space="preserve">). See also </w:t>
      </w:r>
      <w:r w:rsidRPr="00784DCC">
        <w:rPr>
          <w:szCs w:val="16"/>
        </w:rPr>
        <w:t xml:space="preserve">Colombia's </w:t>
      </w:r>
      <w:r w:rsidR="00F81A95">
        <w:t xml:space="preserve">written </w:t>
      </w:r>
      <w:r w:rsidRPr="00784DCC">
        <w:rPr>
          <w:szCs w:val="16"/>
        </w:rPr>
        <w:t>submission, para.</w:t>
      </w:r>
      <w:r w:rsidR="00F2224B" w:rsidRPr="00784DCC">
        <w:rPr>
          <w:szCs w:val="16"/>
        </w:rPr>
        <w:t> </w:t>
      </w:r>
      <w:r w:rsidRPr="00784DCC">
        <w:rPr>
          <w:szCs w:val="16"/>
        </w:rPr>
        <w:t>7.1</w:t>
      </w:r>
      <w:r w:rsidRPr="00784DCC">
        <w:t xml:space="preserve">. Colombia </w:t>
      </w:r>
      <w:r w:rsidRPr="00784DCC">
        <w:rPr>
          <w:szCs w:val="16"/>
        </w:rPr>
        <w:t xml:space="preserve">does not appeal the Panel's finding, in </w:t>
      </w:r>
      <w:r w:rsidR="00270F7B">
        <w:rPr>
          <w:szCs w:val="16"/>
        </w:rPr>
        <w:t>paragraph </w:t>
      </w:r>
      <w:r w:rsidRPr="00784DCC">
        <w:rPr>
          <w:szCs w:val="16"/>
        </w:rPr>
        <w:t>7.305, that MINCIT acted inconsistently with the same provisions by including in its injury and causation analysis imports from exporters found to have negative dumping margins. (</w:t>
      </w:r>
      <w:r w:rsidR="000243B8">
        <w:rPr>
          <w:szCs w:val="16"/>
        </w:rPr>
        <w:t>Ibid.</w:t>
      </w:r>
      <w:r w:rsidRPr="000243B8">
        <w:rPr>
          <w:szCs w:val="16"/>
        </w:rPr>
        <w:t>,</w:t>
      </w:r>
      <w:r w:rsidRPr="00784DCC">
        <w:rPr>
          <w:szCs w:val="16"/>
        </w:rPr>
        <w:t xml:space="preserve"> fn</w:t>
      </w:r>
      <w:r w:rsidR="00F2224B" w:rsidRPr="00784DCC">
        <w:rPr>
          <w:szCs w:val="16"/>
        </w:rPr>
        <w:t> </w:t>
      </w:r>
      <w:r w:rsidRPr="00784DCC">
        <w:rPr>
          <w:szCs w:val="16"/>
        </w:rPr>
        <w:t>116 to para.</w:t>
      </w:r>
      <w:r w:rsidR="00F2224B" w:rsidRPr="00784DCC">
        <w:rPr>
          <w:szCs w:val="16"/>
        </w:rPr>
        <w:t> </w:t>
      </w:r>
      <w:r w:rsidRPr="00784DCC">
        <w:rPr>
          <w:szCs w:val="16"/>
        </w:rPr>
        <w:t>7.1)</w:t>
      </w:r>
    </w:p>
  </w:footnote>
  <w:footnote w:id="174">
    <w:p w14:paraId="7C5995A9" w14:textId="15C4E934" w:rsidR="00F572D3" w:rsidRPr="00784DCC" w:rsidRDefault="00F572D3" w:rsidP="00F572D3">
      <w:pPr>
        <w:pStyle w:val="FootnoteText"/>
      </w:pPr>
      <w:r w:rsidRPr="00784DCC">
        <w:rPr>
          <w:rStyle w:val="FootnoteReference"/>
        </w:rPr>
        <w:footnoteRef/>
      </w:r>
      <w:r w:rsidRPr="00784DCC">
        <w:t xml:space="preserve"> Colombia's </w:t>
      </w:r>
      <w:r w:rsidR="00F81A95">
        <w:t xml:space="preserve">written </w:t>
      </w:r>
      <w:r w:rsidRPr="00784DCC">
        <w:t>submission, para.</w:t>
      </w:r>
      <w:r w:rsidR="00F2224B" w:rsidRPr="00784DCC">
        <w:t> </w:t>
      </w:r>
      <w:r w:rsidRPr="00784DCC">
        <w:t>7.10.</w:t>
      </w:r>
    </w:p>
  </w:footnote>
  <w:footnote w:id="175">
    <w:p w14:paraId="13CF6D68" w14:textId="4B387058" w:rsidR="00F572D3" w:rsidRPr="00784DCC" w:rsidRDefault="00F572D3" w:rsidP="00F572D3">
      <w:pPr>
        <w:pStyle w:val="FootnoteText"/>
      </w:pPr>
      <w:r w:rsidRPr="00784DCC">
        <w:rPr>
          <w:rStyle w:val="FootnoteReference"/>
        </w:rPr>
        <w:footnoteRef/>
      </w:r>
      <w:r w:rsidRPr="00784DCC">
        <w:t xml:space="preserve"> Panel</w:t>
      </w:r>
      <w:r w:rsidR="00F2224B" w:rsidRPr="00784DCC">
        <w:t> Report</w:t>
      </w:r>
      <w:r w:rsidRPr="00784DCC">
        <w:t>, paras.</w:t>
      </w:r>
      <w:r w:rsidR="00DA0ACF" w:rsidRPr="00784DCC">
        <w:t> </w:t>
      </w:r>
      <w:r w:rsidRPr="00784DCC">
        <w:t>7.287-7.289.</w:t>
      </w:r>
    </w:p>
  </w:footnote>
  <w:footnote w:id="176">
    <w:p w14:paraId="17A4EFBF" w14:textId="1E751037" w:rsidR="00F572D3" w:rsidRPr="00784DCC" w:rsidRDefault="00F572D3" w:rsidP="00F572D3">
      <w:pPr>
        <w:pStyle w:val="FootnoteText"/>
      </w:pPr>
      <w:r w:rsidRPr="00784DCC">
        <w:rPr>
          <w:rStyle w:val="FootnoteReference"/>
        </w:rPr>
        <w:footnoteRef/>
      </w:r>
      <w:r w:rsidRPr="00784DCC">
        <w:t xml:space="preserve"> Panel</w:t>
      </w:r>
      <w:r w:rsidR="00F2224B" w:rsidRPr="00784DCC">
        <w:t> Report</w:t>
      </w:r>
      <w:r w:rsidRPr="00784DCC">
        <w:t>, paras.</w:t>
      </w:r>
      <w:r w:rsidR="00DA0ACF" w:rsidRPr="00784DCC">
        <w:t> </w:t>
      </w:r>
      <w:r w:rsidRPr="00784DCC">
        <w:t>7.289-7.291.</w:t>
      </w:r>
    </w:p>
  </w:footnote>
  <w:footnote w:id="177">
    <w:p w14:paraId="2D8E385F" w14:textId="3F4C7DC2" w:rsidR="00F572D3" w:rsidRPr="00784DCC" w:rsidRDefault="00F572D3" w:rsidP="00F572D3">
      <w:pPr>
        <w:pStyle w:val="FootnoteText"/>
      </w:pPr>
      <w:r w:rsidRPr="00784DCC">
        <w:rPr>
          <w:rStyle w:val="FootnoteReference"/>
        </w:rPr>
        <w:footnoteRef/>
      </w:r>
      <w:r w:rsidRPr="00784DCC">
        <w:t xml:space="preserve"> Panel</w:t>
      </w:r>
      <w:r w:rsidR="00F2224B" w:rsidRPr="00784DCC">
        <w:t> Report</w:t>
      </w:r>
      <w:r w:rsidRPr="00784DCC">
        <w:t>, para.</w:t>
      </w:r>
      <w:r w:rsidR="00F2224B" w:rsidRPr="00784DCC">
        <w:t> </w:t>
      </w:r>
      <w:r w:rsidRPr="00784DCC">
        <w:t>7.291.</w:t>
      </w:r>
    </w:p>
  </w:footnote>
  <w:footnote w:id="178">
    <w:p w14:paraId="44156103" w14:textId="48BFC881" w:rsidR="00F572D3" w:rsidRPr="00784DCC" w:rsidRDefault="00F572D3" w:rsidP="00F572D3">
      <w:pPr>
        <w:pStyle w:val="FootnoteText"/>
      </w:pPr>
      <w:r w:rsidRPr="00784DCC">
        <w:rPr>
          <w:rStyle w:val="FootnoteReference"/>
        </w:rPr>
        <w:footnoteRef/>
      </w:r>
      <w:r w:rsidRPr="00784DCC">
        <w:t xml:space="preserve"> Panel</w:t>
      </w:r>
      <w:r w:rsidR="00F2224B" w:rsidRPr="00784DCC">
        <w:t> Report</w:t>
      </w:r>
      <w:r w:rsidRPr="00784DCC">
        <w:t>, para.</w:t>
      </w:r>
      <w:r w:rsidR="00F2224B" w:rsidRPr="00784DCC">
        <w:t> </w:t>
      </w:r>
      <w:r w:rsidRPr="00784DCC">
        <w:t>7.292.</w:t>
      </w:r>
    </w:p>
  </w:footnote>
  <w:footnote w:id="179">
    <w:p w14:paraId="03379B64" w14:textId="2E6BB1A7" w:rsidR="00F572D3" w:rsidRPr="00784DCC" w:rsidRDefault="00F572D3" w:rsidP="00F572D3">
      <w:pPr>
        <w:pStyle w:val="FootnoteText"/>
      </w:pPr>
      <w:r w:rsidRPr="00784DCC">
        <w:rPr>
          <w:rStyle w:val="FootnoteReference"/>
        </w:rPr>
        <w:footnoteRef/>
      </w:r>
      <w:r w:rsidRPr="00784DCC">
        <w:t xml:space="preserve"> Panel</w:t>
      </w:r>
      <w:r w:rsidR="00F2224B" w:rsidRPr="00784DCC">
        <w:t> Report</w:t>
      </w:r>
      <w:r w:rsidRPr="00784DCC">
        <w:t>, para.</w:t>
      </w:r>
      <w:r w:rsidR="00F2224B" w:rsidRPr="00784DCC">
        <w:t> </w:t>
      </w:r>
      <w:r w:rsidRPr="00784DCC">
        <w:t>7.294.</w:t>
      </w:r>
      <w:r w:rsidR="00BD6EEF">
        <w:t xml:space="preserve"> (fn</w:t>
      </w:r>
      <w:r w:rsidR="00126344">
        <w:t> </w:t>
      </w:r>
      <w:r w:rsidR="00BD6EEF">
        <w:t>omitted)</w:t>
      </w:r>
    </w:p>
  </w:footnote>
  <w:footnote w:id="180">
    <w:p w14:paraId="07510301" w14:textId="748B1E5E" w:rsidR="00F572D3" w:rsidRPr="00784DCC" w:rsidRDefault="00F572D3" w:rsidP="00F572D3">
      <w:pPr>
        <w:pStyle w:val="FootnoteText"/>
      </w:pPr>
      <w:r w:rsidRPr="00784DCC">
        <w:rPr>
          <w:rStyle w:val="FootnoteReference"/>
        </w:rPr>
        <w:footnoteRef/>
      </w:r>
      <w:r w:rsidRPr="00784DCC">
        <w:t xml:space="preserve"> Panel</w:t>
      </w:r>
      <w:r w:rsidR="00F2224B" w:rsidRPr="00784DCC">
        <w:t> Report</w:t>
      </w:r>
      <w:r w:rsidRPr="00784DCC">
        <w:t>, para.</w:t>
      </w:r>
      <w:r w:rsidR="00F2224B" w:rsidRPr="00784DCC">
        <w:t> </w:t>
      </w:r>
      <w:r w:rsidRPr="00784DCC">
        <w:t>7.295 (</w:t>
      </w:r>
      <w:r w:rsidR="000B54F3">
        <w:t>referring to</w:t>
      </w:r>
      <w:r w:rsidR="000B54F3" w:rsidRPr="00784DCC">
        <w:t xml:space="preserve"> </w:t>
      </w:r>
      <w:r w:rsidRPr="00784DCC">
        <w:t>Colombia's response to Panel question No.</w:t>
      </w:r>
      <w:r w:rsidR="00F2224B" w:rsidRPr="00784DCC">
        <w:t> 6</w:t>
      </w:r>
      <w:r w:rsidRPr="00784DCC">
        <w:t>.3, para.</w:t>
      </w:r>
      <w:r w:rsidR="00F2224B" w:rsidRPr="00784DCC">
        <w:t> </w:t>
      </w:r>
      <w:r w:rsidRPr="00784DCC">
        <w:t>204; second</w:t>
      </w:r>
      <w:r w:rsidR="0080750D">
        <w:t> </w:t>
      </w:r>
      <w:r w:rsidRPr="00784DCC">
        <w:t xml:space="preserve">written submission </w:t>
      </w:r>
      <w:r w:rsidR="00A030F9">
        <w:t>to</w:t>
      </w:r>
      <w:r w:rsidR="00A030F9" w:rsidRPr="00784DCC">
        <w:t xml:space="preserve"> </w:t>
      </w:r>
      <w:r w:rsidRPr="00784DCC">
        <w:t>the Panel, para.</w:t>
      </w:r>
      <w:r w:rsidR="00F2224B" w:rsidRPr="00784DCC">
        <w:t> </w:t>
      </w:r>
      <w:r w:rsidRPr="00784DCC">
        <w:t>9.23).</w:t>
      </w:r>
    </w:p>
  </w:footnote>
  <w:footnote w:id="181">
    <w:p w14:paraId="49ECEF45" w14:textId="1FBE1880" w:rsidR="00F572D3" w:rsidRPr="00784DCC" w:rsidRDefault="00F572D3" w:rsidP="00F572D3">
      <w:pPr>
        <w:pStyle w:val="FootnoteText"/>
      </w:pPr>
      <w:r w:rsidRPr="00784DCC">
        <w:rPr>
          <w:rStyle w:val="FootnoteReference"/>
        </w:rPr>
        <w:footnoteRef/>
      </w:r>
      <w:r w:rsidRPr="00784DCC">
        <w:t xml:space="preserve"> Panel</w:t>
      </w:r>
      <w:r w:rsidR="00F2224B" w:rsidRPr="00784DCC">
        <w:t> Report</w:t>
      </w:r>
      <w:r w:rsidRPr="00784DCC">
        <w:t>, para.</w:t>
      </w:r>
      <w:r w:rsidR="00F2224B" w:rsidRPr="00784DCC">
        <w:t> </w:t>
      </w:r>
      <w:r w:rsidRPr="00784DCC">
        <w:t>7.298. See also Panel</w:t>
      </w:r>
      <w:r w:rsidR="00F2224B" w:rsidRPr="00784DCC">
        <w:t> Report</w:t>
      </w:r>
      <w:r w:rsidRPr="00784DCC">
        <w:t>, paras.</w:t>
      </w:r>
      <w:r w:rsidR="00DA0ACF" w:rsidRPr="00784DCC">
        <w:t> </w:t>
      </w:r>
      <w:r w:rsidRPr="00784DCC">
        <w:t>7.296-7.297.</w:t>
      </w:r>
    </w:p>
  </w:footnote>
  <w:footnote w:id="182">
    <w:p w14:paraId="21A3F37D" w14:textId="6F7A6306" w:rsidR="00F572D3" w:rsidRPr="00784DCC" w:rsidRDefault="00F572D3" w:rsidP="00F572D3">
      <w:pPr>
        <w:pStyle w:val="FootnoteText"/>
      </w:pPr>
      <w:r w:rsidRPr="00784DCC">
        <w:rPr>
          <w:rStyle w:val="FootnoteReference"/>
        </w:rPr>
        <w:footnoteRef/>
      </w:r>
      <w:r w:rsidRPr="00784DCC">
        <w:t xml:space="preserve"> Panel</w:t>
      </w:r>
      <w:r w:rsidR="00F2224B" w:rsidRPr="00784DCC">
        <w:t> Report</w:t>
      </w:r>
      <w:r w:rsidRPr="00784DCC">
        <w:t>, para.</w:t>
      </w:r>
      <w:r w:rsidR="00F2224B" w:rsidRPr="00784DCC">
        <w:t> </w:t>
      </w:r>
      <w:r w:rsidRPr="00784DCC">
        <w:t>7.299 (referring to Panel</w:t>
      </w:r>
      <w:r w:rsidR="00F2224B" w:rsidRPr="00784DCC">
        <w:t> Report</w:t>
      </w:r>
      <w:r w:rsidRPr="00784DCC">
        <w:t xml:space="preserve">, </w:t>
      </w:r>
      <w:r w:rsidRPr="00784DCC">
        <w:rPr>
          <w:i/>
          <w:iCs/>
        </w:rPr>
        <w:t>Canada – Welded Pipe</w:t>
      </w:r>
      <w:r w:rsidRPr="00784DCC">
        <w:t>, paras.</w:t>
      </w:r>
      <w:r w:rsidR="00DA0ACF" w:rsidRPr="00784DCC">
        <w:t> </w:t>
      </w:r>
      <w:r w:rsidRPr="00784DCC">
        <w:t>7.59 and 7.64)</w:t>
      </w:r>
      <w:r w:rsidR="004B6C62" w:rsidRPr="00784DCC">
        <w:t>.</w:t>
      </w:r>
    </w:p>
  </w:footnote>
  <w:footnote w:id="183">
    <w:p w14:paraId="29C0CD44" w14:textId="5B76900C" w:rsidR="00F572D3" w:rsidRPr="00784DCC" w:rsidRDefault="00F572D3" w:rsidP="00F572D3">
      <w:pPr>
        <w:pStyle w:val="FootnoteText"/>
      </w:pPr>
      <w:r w:rsidRPr="00784DCC">
        <w:rPr>
          <w:rStyle w:val="FootnoteReference"/>
        </w:rPr>
        <w:footnoteRef/>
      </w:r>
      <w:r w:rsidRPr="00784DCC">
        <w:t xml:space="preserve"> Panel</w:t>
      </w:r>
      <w:r w:rsidR="00F2224B" w:rsidRPr="00784DCC">
        <w:t> Report</w:t>
      </w:r>
      <w:r w:rsidRPr="00784DCC">
        <w:t>, para.</w:t>
      </w:r>
      <w:r w:rsidR="00F2224B" w:rsidRPr="00784DCC">
        <w:t> </w:t>
      </w:r>
      <w:r w:rsidRPr="00784DCC">
        <w:t>7.299 (quoting Panel</w:t>
      </w:r>
      <w:r w:rsidR="00F2224B" w:rsidRPr="00784DCC">
        <w:t> Report</w:t>
      </w:r>
      <w:r w:rsidRPr="00784DCC">
        <w:t xml:space="preserve">, </w:t>
      </w:r>
      <w:r w:rsidRPr="00784DCC">
        <w:rPr>
          <w:i/>
          <w:iCs/>
        </w:rPr>
        <w:t>Canada</w:t>
      </w:r>
      <w:r w:rsidRPr="00784DCC">
        <w:rPr>
          <w:iCs/>
        </w:rPr>
        <w:t xml:space="preserve"> </w:t>
      </w:r>
      <w:r w:rsidRPr="00784DCC">
        <w:rPr>
          <w:i/>
          <w:iCs/>
        </w:rPr>
        <w:t>–</w:t>
      </w:r>
      <w:r w:rsidRPr="00784DCC">
        <w:rPr>
          <w:iCs/>
        </w:rPr>
        <w:t xml:space="preserve"> </w:t>
      </w:r>
      <w:r w:rsidRPr="00784DCC">
        <w:rPr>
          <w:i/>
          <w:iCs/>
        </w:rPr>
        <w:t>Welded</w:t>
      </w:r>
      <w:r w:rsidRPr="00784DCC">
        <w:rPr>
          <w:iCs/>
        </w:rPr>
        <w:t xml:space="preserve"> </w:t>
      </w:r>
      <w:r w:rsidRPr="00784DCC">
        <w:rPr>
          <w:i/>
          <w:iCs/>
        </w:rPr>
        <w:t>Pipe</w:t>
      </w:r>
      <w:r w:rsidRPr="00784DCC">
        <w:t>, para. 7.83)</w:t>
      </w:r>
      <w:r w:rsidR="00580753" w:rsidRPr="00784DCC">
        <w:t>.</w:t>
      </w:r>
    </w:p>
  </w:footnote>
  <w:footnote w:id="184">
    <w:p w14:paraId="648F6EC9" w14:textId="5019B1E7" w:rsidR="00F572D3" w:rsidRPr="00784DCC" w:rsidRDefault="00F572D3" w:rsidP="00F572D3">
      <w:pPr>
        <w:pStyle w:val="FootnoteText"/>
      </w:pPr>
      <w:r w:rsidRPr="00784DCC">
        <w:rPr>
          <w:rStyle w:val="FootnoteReference"/>
        </w:rPr>
        <w:footnoteRef/>
      </w:r>
      <w:r w:rsidRPr="00784DCC">
        <w:t xml:space="preserve"> Panel</w:t>
      </w:r>
      <w:r w:rsidR="00F2224B" w:rsidRPr="00784DCC">
        <w:t> Report</w:t>
      </w:r>
      <w:r w:rsidRPr="00784DCC">
        <w:t>, para.</w:t>
      </w:r>
      <w:r w:rsidR="00F2224B" w:rsidRPr="00784DCC">
        <w:t> </w:t>
      </w:r>
      <w:r w:rsidRPr="00784DCC">
        <w:t>7.300 (quoting Colombia's response to Panel question No. 6.3, para. 210 (in</w:t>
      </w:r>
      <w:r w:rsidR="0080750D">
        <w:t> </w:t>
      </w:r>
      <w:r w:rsidRPr="00784DCC">
        <w:t xml:space="preserve">turn, quoting Appellate Body Report, </w:t>
      </w:r>
      <w:r w:rsidRPr="00784DCC">
        <w:rPr>
          <w:i/>
          <w:iCs/>
        </w:rPr>
        <w:t>Mexico – Anti</w:t>
      </w:r>
      <w:r w:rsidRPr="00784DCC">
        <w:rPr>
          <w:i/>
          <w:iCs/>
        </w:rPr>
        <w:noBreakHyphen/>
        <w:t>Dumping</w:t>
      </w:r>
      <w:r w:rsidRPr="00784DCC">
        <w:rPr>
          <w:iCs/>
        </w:rPr>
        <w:t xml:space="preserve"> </w:t>
      </w:r>
      <w:r w:rsidRPr="00784DCC">
        <w:rPr>
          <w:i/>
          <w:iCs/>
        </w:rPr>
        <w:t>Measures</w:t>
      </w:r>
      <w:r w:rsidRPr="00784DCC">
        <w:rPr>
          <w:iCs/>
        </w:rPr>
        <w:t xml:space="preserve"> </w:t>
      </w:r>
      <w:r w:rsidRPr="00784DCC">
        <w:rPr>
          <w:i/>
          <w:iCs/>
        </w:rPr>
        <w:t>on</w:t>
      </w:r>
      <w:r w:rsidRPr="00784DCC">
        <w:rPr>
          <w:iCs/>
        </w:rPr>
        <w:t xml:space="preserve"> </w:t>
      </w:r>
      <w:r w:rsidRPr="00784DCC">
        <w:rPr>
          <w:i/>
          <w:iCs/>
        </w:rPr>
        <w:t>Rice</w:t>
      </w:r>
      <w:r w:rsidRPr="00784DCC">
        <w:t>, para. 219))</w:t>
      </w:r>
      <w:r w:rsidR="00580753" w:rsidRPr="00784DCC">
        <w:t>.</w:t>
      </w:r>
    </w:p>
  </w:footnote>
  <w:footnote w:id="185">
    <w:p w14:paraId="6D9A00FD" w14:textId="3AF44165" w:rsidR="00F572D3" w:rsidRPr="00784DCC" w:rsidRDefault="00F572D3" w:rsidP="00F572D3">
      <w:pPr>
        <w:pStyle w:val="FootnoteText"/>
      </w:pPr>
      <w:r w:rsidRPr="00784DCC">
        <w:rPr>
          <w:rStyle w:val="FootnoteReference"/>
        </w:rPr>
        <w:footnoteRef/>
      </w:r>
      <w:r w:rsidRPr="00784DCC">
        <w:t xml:space="preserve"> Panel</w:t>
      </w:r>
      <w:r w:rsidR="00F2224B" w:rsidRPr="00784DCC">
        <w:t> Report</w:t>
      </w:r>
      <w:r w:rsidRPr="00784DCC">
        <w:t>, paras.</w:t>
      </w:r>
      <w:r w:rsidR="00DA0ACF" w:rsidRPr="00784DCC">
        <w:t> </w:t>
      </w:r>
      <w:r w:rsidRPr="00784DCC">
        <w:t>7.301-7.302.</w:t>
      </w:r>
    </w:p>
  </w:footnote>
  <w:footnote w:id="186">
    <w:p w14:paraId="4824E04C" w14:textId="6BF82CD8" w:rsidR="00F572D3" w:rsidRPr="00784DCC" w:rsidRDefault="00F572D3" w:rsidP="00F572D3">
      <w:pPr>
        <w:pStyle w:val="FootnoteText"/>
      </w:pPr>
      <w:r w:rsidRPr="00784DCC">
        <w:rPr>
          <w:rStyle w:val="FootnoteReference"/>
        </w:rPr>
        <w:footnoteRef/>
      </w:r>
      <w:r w:rsidRPr="00784DCC">
        <w:t xml:space="preserve"> Panel</w:t>
      </w:r>
      <w:r w:rsidR="00F2224B" w:rsidRPr="00784DCC">
        <w:t> Report</w:t>
      </w:r>
      <w:r w:rsidRPr="00784DCC">
        <w:t>, para.</w:t>
      </w:r>
      <w:r w:rsidR="00F2224B" w:rsidRPr="00784DCC">
        <w:t> </w:t>
      </w:r>
      <w:r w:rsidRPr="00784DCC">
        <w:t>7.303.</w:t>
      </w:r>
    </w:p>
  </w:footnote>
  <w:footnote w:id="187">
    <w:p w14:paraId="49BD9D26" w14:textId="49D336C4" w:rsidR="00F572D3" w:rsidRPr="00784DCC" w:rsidRDefault="00F572D3" w:rsidP="00F572D3">
      <w:pPr>
        <w:pStyle w:val="FootnoteText"/>
      </w:pPr>
      <w:r w:rsidRPr="00784DCC">
        <w:rPr>
          <w:rStyle w:val="FootnoteReference"/>
        </w:rPr>
        <w:footnoteRef/>
      </w:r>
      <w:r w:rsidRPr="00784DCC">
        <w:t xml:space="preserve"> Colombia's </w:t>
      </w:r>
      <w:r w:rsidR="00F81A95">
        <w:t xml:space="preserve">written </w:t>
      </w:r>
      <w:r w:rsidRPr="00784DCC">
        <w:t>submission, paras.</w:t>
      </w:r>
      <w:r w:rsidR="00DA0ACF" w:rsidRPr="00784DCC">
        <w:t> </w:t>
      </w:r>
      <w:r w:rsidRPr="00784DCC">
        <w:t xml:space="preserve">7.16-7.26. </w:t>
      </w:r>
    </w:p>
  </w:footnote>
  <w:footnote w:id="188">
    <w:p w14:paraId="0A4296F8" w14:textId="46E8DE29" w:rsidR="00F572D3" w:rsidRPr="00784DCC" w:rsidRDefault="00F572D3" w:rsidP="00F572D3">
      <w:pPr>
        <w:pStyle w:val="FootnoteText"/>
      </w:pPr>
      <w:r w:rsidRPr="00784DCC">
        <w:rPr>
          <w:rStyle w:val="FootnoteReference"/>
        </w:rPr>
        <w:footnoteRef/>
      </w:r>
      <w:r w:rsidRPr="00784DCC">
        <w:t xml:space="preserve"> Colombia's </w:t>
      </w:r>
      <w:r w:rsidR="00F81A95">
        <w:t xml:space="preserve">written </w:t>
      </w:r>
      <w:r w:rsidRPr="00784DCC">
        <w:t>submission, paras.</w:t>
      </w:r>
      <w:r w:rsidR="00DA0ACF" w:rsidRPr="00784DCC">
        <w:t> </w:t>
      </w:r>
      <w:r w:rsidRPr="00784DCC">
        <w:t>7.27-7.36.</w:t>
      </w:r>
    </w:p>
  </w:footnote>
  <w:footnote w:id="189">
    <w:p w14:paraId="37A66B9B" w14:textId="6E9FA661" w:rsidR="00F572D3" w:rsidRPr="00784DCC" w:rsidRDefault="00F572D3" w:rsidP="00F572D3">
      <w:pPr>
        <w:pStyle w:val="FootnoteText"/>
      </w:pPr>
      <w:r w:rsidRPr="00784DCC">
        <w:rPr>
          <w:rStyle w:val="FootnoteReference"/>
        </w:rPr>
        <w:footnoteRef/>
      </w:r>
      <w:r w:rsidRPr="00784DCC">
        <w:t xml:space="preserve"> Colombia's </w:t>
      </w:r>
      <w:r w:rsidR="00F81A95">
        <w:t xml:space="preserve">written </w:t>
      </w:r>
      <w:r w:rsidRPr="00784DCC">
        <w:t>submission, paras.</w:t>
      </w:r>
      <w:r w:rsidR="00DA0ACF" w:rsidRPr="00784DCC">
        <w:t> </w:t>
      </w:r>
      <w:r w:rsidRPr="00784DCC">
        <w:t>7.37-7.57.</w:t>
      </w:r>
    </w:p>
  </w:footnote>
  <w:footnote w:id="190">
    <w:p w14:paraId="067AE60A" w14:textId="221C56C9" w:rsidR="00F572D3" w:rsidRPr="00784DCC" w:rsidRDefault="00F572D3" w:rsidP="00F572D3">
      <w:pPr>
        <w:pStyle w:val="FootnoteText"/>
      </w:pPr>
      <w:r w:rsidRPr="00784DCC">
        <w:rPr>
          <w:rStyle w:val="FootnoteReference"/>
        </w:rPr>
        <w:footnoteRef/>
      </w:r>
      <w:r w:rsidRPr="00784DCC">
        <w:t xml:space="preserve"> Colombia's </w:t>
      </w:r>
      <w:r w:rsidR="00F81A95">
        <w:t xml:space="preserve">written </w:t>
      </w:r>
      <w:r w:rsidRPr="00784DCC">
        <w:t>submission, paras.</w:t>
      </w:r>
      <w:r w:rsidR="00DA0ACF" w:rsidRPr="00784DCC">
        <w:t> </w:t>
      </w:r>
      <w:r w:rsidRPr="00784DCC">
        <w:t>7.21-7.24 and 7.58-7.60.</w:t>
      </w:r>
    </w:p>
  </w:footnote>
  <w:footnote w:id="191">
    <w:p w14:paraId="33D7C11C" w14:textId="343A3224" w:rsidR="00F572D3" w:rsidRPr="00784DCC" w:rsidRDefault="00F572D3" w:rsidP="00F572D3">
      <w:pPr>
        <w:pStyle w:val="FootnoteText"/>
      </w:pPr>
      <w:r w:rsidRPr="00784DCC">
        <w:rPr>
          <w:rStyle w:val="FootnoteReference"/>
        </w:rPr>
        <w:footnoteRef/>
      </w:r>
      <w:r w:rsidRPr="00784DCC">
        <w:t xml:space="preserve"> European</w:t>
      </w:r>
      <w:r w:rsidR="00DA0ACF" w:rsidRPr="00784DCC">
        <w:t> Union</w:t>
      </w:r>
      <w:r w:rsidRPr="00784DCC">
        <w:t xml:space="preserve">'s </w:t>
      </w:r>
      <w:r w:rsidR="00F81A95">
        <w:t>written</w:t>
      </w:r>
      <w:r w:rsidRPr="00784DCC">
        <w:t xml:space="preserve"> submission, para.</w:t>
      </w:r>
      <w:r w:rsidR="00F2224B" w:rsidRPr="00784DCC">
        <w:t> </w:t>
      </w:r>
      <w:r w:rsidRPr="00784DCC">
        <w:t>105.</w:t>
      </w:r>
    </w:p>
  </w:footnote>
  <w:footnote w:id="192">
    <w:p w14:paraId="771820D7" w14:textId="68D9FC7F" w:rsidR="00F572D3" w:rsidRPr="00784DCC" w:rsidRDefault="00F572D3" w:rsidP="00F572D3">
      <w:pPr>
        <w:pStyle w:val="FootnoteText"/>
      </w:pPr>
      <w:r w:rsidRPr="00784DCC">
        <w:rPr>
          <w:rStyle w:val="FootnoteReference"/>
        </w:rPr>
        <w:footnoteRef/>
      </w:r>
      <w:r w:rsidRPr="00784DCC">
        <w:t xml:space="preserve"> European</w:t>
      </w:r>
      <w:r w:rsidR="00DA0ACF" w:rsidRPr="00784DCC">
        <w:t> Union</w:t>
      </w:r>
      <w:r w:rsidRPr="00784DCC">
        <w:t xml:space="preserve">'s </w:t>
      </w:r>
      <w:r w:rsidR="00F81A95">
        <w:t>written</w:t>
      </w:r>
      <w:r w:rsidRPr="00784DCC">
        <w:t xml:space="preserve"> submission, paras.</w:t>
      </w:r>
      <w:r w:rsidR="00DA0ACF" w:rsidRPr="00784DCC">
        <w:t> </w:t>
      </w:r>
      <w:r w:rsidRPr="00784DCC">
        <w:t>106.a and 108-110.</w:t>
      </w:r>
    </w:p>
  </w:footnote>
  <w:footnote w:id="193">
    <w:p w14:paraId="73B0D7DB" w14:textId="18190006" w:rsidR="00F572D3" w:rsidRPr="00784DCC" w:rsidRDefault="00F572D3" w:rsidP="00F572D3">
      <w:pPr>
        <w:pStyle w:val="FootnoteText"/>
      </w:pPr>
      <w:r w:rsidRPr="00784DCC">
        <w:rPr>
          <w:rStyle w:val="FootnoteReference"/>
        </w:rPr>
        <w:footnoteRef/>
      </w:r>
      <w:r w:rsidRPr="00784DCC">
        <w:t xml:space="preserve"> European</w:t>
      </w:r>
      <w:r w:rsidR="00DA0ACF" w:rsidRPr="00784DCC">
        <w:t> Union</w:t>
      </w:r>
      <w:r w:rsidRPr="00784DCC">
        <w:t xml:space="preserve">'s </w:t>
      </w:r>
      <w:r w:rsidR="00F81A95">
        <w:t>written</w:t>
      </w:r>
      <w:r w:rsidRPr="00784DCC">
        <w:t xml:space="preserve"> submission, paras.</w:t>
      </w:r>
      <w:r w:rsidR="00DA0ACF" w:rsidRPr="00784DCC">
        <w:t> </w:t>
      </w:r>
      <w:r w:rsidRPr="00784DCC">
        <w:t>106.b and 1</w:t>
      </w:r>
      <w:r w:rsidR="00824E82">
        <w:t>11</w:t>
      </w:r>
      <w:r w:rsidRPr="00784DCC">
        <w:t>-124.</w:t>
      </w:r>
    </w:p>
  </w:footnote>
  <w:footnote w:id="194">
    <w:p w14:paraId="6255E138" w14:textId="4BE7D792" w:rsidR="00F572D3" w:rsidRPr="00784DCC" w:rsidRDefault="00F572D3" w:rsidP="00F572D3">
      <w:pPr>
        <w:pStyle w:val="FootnoteText"/>
      </w:pPr>
      <w:r w:rsidRPr="00784DCC">
        <w:rPr>
          <w:rStyle w:val="FootnoteReference"/>
        </w:rPr>
        <w:footnoteRef/>
      </w:r>
      <w:r w:rsidRPr="00784DCC">
        <w:t xml:space="preserve"> European</w:t>
      </w:r>
      <w:r w:rsidR="00DA0ACF" w:rsidRPr="00784DCC">
        <w:t> Union</w:t>
      </w:r>
      <w:r w:rsidRPr="00784DCC">
        <w:t xml:space="preserve">'s </w:t>
      </w:r>
      <w:r w:rsidR="00F81A95">
        <w:t>written</w:t>
      </w:r>
      <w:r w:rsidRPr="00784DCC">
        <w:t xml:space="preserve"> submission, paras.</w:t>
      </w:r>
      <w:r w:rsidR="00DA0ACF" w:rsidRPr="00784DCC">
        <w:t> </w:t>
      </w:r>
      <w:r w:rsidRPr="00784DCC">
        <w:t>125-132.</w:t>
      </w:r>
    </w:p>
  </w:footnote>
  <w:footnote w:id="195">
    <w:p w14:paraId="13AE1A81" w14:textId="1845DA14" w:rsidR="00F572D3" w:rsidRPr="00784DCC" w:rsidRDefault="00F572D3" w:rsidP="00F572D3">
      <w:pPr>
        <w:pStyle w:val="FootnoteText"/>
      </w:pPr>
      <w:r w:rsidRPr="00784DCC">
        <w:rPr>
          <w:rStyle w:val="FootnoteReference"/>
        </w:rPr>
        <w:footnoteRef/>
      </w:r>
      <w:r w:rsidRPr="00784DCC">
        <w:t xml:space="preserve"> European</w:t>
      </w:r>
      <w:r w:rsidR="00DA0ACF" w:rsidRPr="00784DCC">
        <w:t> Union</w:t>
      </w:r>
      <w:r w:rsidRPr="00784DCC">
        <w:t xml:space="preserve">'s </w:t>
      </w:r>
      <w:r w:rsidR="00F81A95">
        <w:t>written</w:t>
      </w:r>
      <w:r w:rsidRPr="00784DCC">
        <w:t xml:space="preserve"> submission, paras.</w:t>
      </w:r>
      <w:r w:rsidR="00DA0ACF" w:rsidRPr="00784DCC">
        <w:t> </w:t>
      </w:r>
      <w:r w:rsidRPr="00784DCC">
        <w:t>146-155.</w:t>
      </w:r>
    </w:p>
  </w:footnote>
  <w:footnote w:id="196">
    <w:p w14:paraId="193B95B1" w14:textId="4ACBE32B" w:rsidR="00F572D3" w:rsidRPr="00784DCC" w:rsidRDefault="00F572D3" w:rsidP="00F572D3">
      <w:pPr>
        <w:pStyle w:val="FootnoteText"/>
      </w:pPr>
      <w:r w:rsidRPr="00784DCC">
        <w:rPr>
          <w:rStyle w:val="FootnoteReference"/>
        </w:rPr>
        <w:footnoteRef/>
      </w:r>
      <w:r w:rsidRPr="00784DCC">
        <w:t xml:space="preserve"> European</w:t>
      </w:r>
      <w:r w:rsidR="00DA0ACF" w:rsidRPr="00784DCC">
        <w:t> Union</w:t>
      </w:r>
      <w:r w:rsidRPr="00784DCC">
        <w:t xml:space="preserve">'s </w:t>
      </w:r>
      <w:r w:rsidR="00F81A95">
        <w:t>written</w:t>
      </w:r>
      <w:r w:rsidRPr="00784DCC">
        <w:t xml:space="preserve"> submission, paras.</w:t>
      </w:r>
      <w:r w:rsidR="00DA0ACF" w:rsidRPr="00784DCC">
        <w:t> </w:t>
      </w:r>
      <w:r w:rsidRPr="00784DCC">
        <w:t>156-224.</w:t>
      </w:r>
    </w:p>
  </w:footnote>
  <w:footnote w:id="197">
    <w:p w14:paraId="1DEA5E13" w14:textId="36F731CF" w:rsidR="00F572D3" w:rsidRPr="00784DCC" w:rsidRDefault="00F572D3" w:rsidP="00F572D3">
      <w:pPr>
        <w:pStyle w:val="FootnoteText"/>
      </w:pPr>
      <w:r w:rsidRPr="00784DCC">
        <w:rPr>
          <w:rStyle w:val="FootnoteReference"/>
        </w:rPr>
        <w:footnoteRef/>
      </w:r>
      <w:r w:rsidRPr="00784DCC">
        <w:t xml:space="preserve"> See Panel</w:t>
      </w:r>
      <w:r w:rsidR="00F2224B" w:rsidRPr="00784DCC">
        <w:t> Report</w:t>
      </w:r>
      <w:r w:rsidRPr="00784DCC">
        <w:t>, para.</w:t>
      </w:r>
      <w:r w:rsidR="00F2224B" w:rsidRPr="00784DCC">
        <w:t> </w:t>
      </w:r>
      <w:r w:rsidRPr="00784DCC">
        <w:t>7.282.</w:t>
      </w:r>
    </w:p>
  </w:footnote>
  <w:footnote w:id="198">
    <w:p w14:paraId="4327D046" w14:textId="4D8AB54B" w:rsidR="00F572D3" w:rsidRPr="00784DCC" w:rsidRDefault="00F572D3" w:rsidP="00F572D3">
      <w:pPr>
        <w:pStyle w:val="FootnoteText"/>
      </w:pPr>
      <w:r w:rsidRPr="00784DCC">
        <w:rPr>
          <w:rStyle w:val="FootnoteReference"/>
        </w:rPr>
        <w:footnoteRef/>
      </w:r>
      <w:r w:rsidRPr="00784DCC">
        <w:t xml:space="preserve"> Colombia's </w:t>
      </w:r>
      <w:r w:rsidR="00F81A95">
        <w:t xml:space="preserve">written </w:t>
      </w:r>
      <w:r w:rsidRPr="00784DCC">
        <w:t>submission, para.</w:t>
      </w:r>
      <w:r w:rsidR="00F2224B" w:rsidRPr="00784DCC">
        <w:t> </w:t>
      </w:r>
      <w:r w:rsidRPr="00784DCC">
        <w:t>7.16. (emphasis added)</w:t>
      </w:r>
    </w:p>
  </w:footnote>
  <w:footnote w:id="199">
    <w:p w14:paraId="696DF14F" w14:textId="77777777" w:rsidR="00F572D3" w:rsidRPr="00784DCC" w:rsidRDefault="00F572D3" w:rsidP="00F572D3">
      <w:pPr>
        <w:pStyle w:val="FootnoteText"/>
      </w:pPr>
      <w:r w:rsidRPr="00784DCC">
        <w:rPr>
          <w:rStyle w:val="FootnoteReference"/>
        </w:rPr>
        <w:footnoteRef/>
      </w:r>
      <w:r w:rsidRPr="00784DCC">
        <w:t xml:space="preserve"> Emphasis added.</w:t>
      </w:r>
    </w:p>
  </w:footnote>
  <w:footnote w:id="200">
    <w:p w14:paraId="39CF4269" w14:textId="1222B409" w:rsidR="00F572D3" w:rsidRPr="00784DCC" w:rsidRDefault="00F572D3" w:rsidP="00F572D3">
      <w:pPr>
        <w:pStyle w:val="FootnoteText"/>
      </w:pPr>
      <w:r w:rsidRPr="00784DCC">
        <w:rPr>
          <w:rStyle w:val="FootnoteReference"/>
        </w:rPr>
        <w:footnoteRef/>
      </w:r>
      <w:r w:rsidRPr="00784DCC">
        <w:t xml:space="preserve"> Emphasis added</w:t>
      </w:r>
      <w:r w:rsidR="000B54F3">
        <w:t>; fn omitted</w:t>
      </w:r>
      <w:r w:rsidR="00777CE8">
        <w:t>.</w:t>
      </w:r>
    </w:p>
  </w:footnote>
  <w:footnote w:id="201">
    <w:p w14:paraId="5F338066" w14:textId="408E7ABE" w:rsidR="00F572D3" w:rsidRPr="00784DCC" w:rsidRDefault="00F572D3" w:rsidP="00F572D3">
      <w:pPr>
        <w:pStyle w:val="FootnoteText"/>
      </w:pPr>
      <w:r w:rsidRPr="00784DCC">
        <w:rPr>
          <w:rStyle w:val="FootnoteReference"/>
        </w:rPr>
        <w:footnoteRef/>
      </w:r>
      <w:r w:rsidRPr="00784DCC">
        <w:t xml:space="preserve"> Anti-Dumping Agreement</w:t>
      </w:r>
      <w:r w:rsidR="00E5546D">
        <w:t xml:space="preserve">, </w:t>
      </w:r>
      <w:r w:rsidR="00E5546D" w:rsidRPr="00784DCC">
        <w:t>Article 5.1</w:t>
      </w:r>
      <w:r w:rsidRPr="00784DCC">
        <w:t>. (</w:t>
      </w:r>
      <w:r w:rsidR="00580753" w:rsidRPr="00784DCC">
        <w:t>e</w:t>
      </w:r>
      <w:r w:rsidRPr="00784DCC">
        <w:t>mphasis added)</w:t>
      </w:r>
    </w:p>
  </w:footnote>
  <w:footnote w:id="202">
    <w:p w14:paraId="55D1A31E" w14:textId="64E32797" w:rsidR="00F572D3" w:rsidRPr="00784DCC" w:rsidRDefault="00F572D3" w:rsidP="00F572D3">
      <w:pPr>
        <w:pStyle w:val="FootnoteText"/>
      </w:pPr>
      <w:r w:rsidRPr="00784DCC">
        <w:rPr>
          <w:rStyle w:val="FootnoteReference"/>
        </w:rPr>
        <w:footnoteRef/>
      </w:r>
      <w:r w:rsidRPr="00784DCC">
        <w:t xml:space="preserve"> </w:t>
      </w:r>
      <w:r w:rsidR="00824E82">
        <w:t xml:space="preserve">See </w:t>
      </w:r>
      <w:r w:rsidRPr="00784DCC">
        <w:t>European</w:t>
      </w:r>
      <w:r w:rsidR="00BA4836">
        <w:t> Union</w:t>
      </w:r>
      <w:r w:rsidRPr="00784DCC">
        <w:t xml:space="preserve">'s </w:t>
      </w:r>
      <w:r w:rsidR="00F81A95">
        <w:t>written</w:t>
      </w:r>
      <w:r w:rsidRPr="00784DCC">
        <w:t xml:space="preserve"> submission, para.</w:t>
      </w:r>
      <w:r w:rsidR="00BA4836">
        <w:t> </w:t>
      </w:r>
      <w:r w:rsidRPr="00784DCC">
        <w:t>117.</w:t>
      </w:r>
    </w:p>
  </w:footnote>
  <w:footnote w:id="203">
    <w:p w14:paraId="666B9C79" w14:textId="651EB0A6" w:rsidR="00F572D3" w:rsidRPr="00ED6B6A" w:rsidRDefault="00F572D3" w:rsidP="00F572D3">
      <w:pPr>
        <w:pStyle w:val="FootnoteText"/>
      </w:pPr>
      <w:r w:rsidRPr="00ED6B6A">
        <w:rPr>
          <w:rStyle w:val="FootnoteReference"/>
        </w:rPr>
        <w:footnoteRef/>
      </w:r>
      <w:r w:rsidRPr="00ED6B6A">
        <w:t xml:space="preserve"> Colombia's </w:t>
      </w:r>
      <w:r w:rsidR="00F81A95" w:rsidRPr="00ED6B6A">
        <w:t xml:space="preserve">written </w:t>
      </w:r>
      <w:r w:rsidRPr="00ED6B6A">
        <w:t>submission, para.</w:t>
      </w:r>
      <w:r w:rsidR="00BA4836" w:rsidRPr="00ED6B6A">
        <w:t> </w:t>
      </w:r>
      <w:r w:rsidRPr="00ED6B6A">
        <w:t>7.16.</w:t>
      </w:r>
    </w:p>
  </w:footnote>
  <w:footnote w:id="204">
    <w:p w14:paraId="495EC159" w14:textId="42348F0E" w:rsidR="00F572D3" w:rsidRPr="00ED6B6A" w:rsidRDefault="00F572D3" w:rsidP="00F572D3">
      <w:pPr>
        <w:pStyle w:val="FootnoteText"/>
      </w:pPr>
      <w:r w:rsidRPr="00ED6B6A">
        <w:rPr>
          <w:rStyle w:val="FootnoteReference"/>
        </w:rPr>
        <w:footnoteRef/>
      </w:r>
      <w:r w:rsidRPr="00ED6B6A">
        <w:t xml:space="preserve"> Colombia's </w:t>
      </w:r>
      <w:r w:rsidR="00F81A95" w:rsidRPr="00ED6B6A">
        <w:t xml:space="preserve">written </w:t>
      </w:r>
      <w:r w:rsidRPr="00ED6B6A">
        <w:t>submission, para.</w:t>
      </w:r>
      <w:r w:rsidR="00BA4836" w:rsidRPr="00ED6B6A">
        <w:t> </w:t>
      </w:r>
      <w:r w:rsidRPr="00ED6B6A">
        <w:t xml:space="preserve">7.41. (emphasis added) See also </w:t>
      </w:r>
      <w:r w:rsidR="00F81A95" w:rsidRPr="00ED6B6A">
        <w:t>ibid.</w:t>
      </w:r>
      <w:r w:rsidRPr="00ED6B6A">
        <w:t>, para.</w:t>
      </w:r>
      <w:r w:rsidR="00BA4836" w:rsidRPr="00ED6B6A">
        <w:t> </w:t>
      </w:r>
      <w:r w:rsidRPr="00ED6B6A">
        <w:t>7.42.</w:t>
      </w:r>
    </w:p>
  </w:footnote>
  <w:footnote w:id="205">
    <w:p w14:paraId="532C42AE" w14:textId="75BF651E" w:rsidR="00F572D3" w:rsidRPr="00ED6B6A" w:rsidRDefault="00F572D3" w:rsidP="00F572D3">
      <w:pPr>
        <w:pStyle w:val="FootnoteText"/>
      </w:pPr>
      <w:r w:rsidRPr="00ED6B6A">
        <w:rPr>
          <w:rStyle w:val="FootnoteReference"/>
        </w:rPr>
        <w:footnoteRef/>
      </w:r>
      <w:r w:rsidRPr="00ED6B6A">
        <w:t xml:space="preserve"> Article</w:t>
      </w:r>
      <w:r w:rsidR="00F2224B" w:rsidRPr="00ED6B6A">
        <w:t> </w:t>
      </w:r>
      <w:r w:rsidRPr="00ED6B6A">
        <w:t>VI</w:t>
      </w:r>
      <w:r w:rsidR="00824E82">
        <w:t>:1</w:t>
      </w:r>
      <w:r w:rsidRPr="00ED6B6A">
        <w:t xml:space="preserve"> of the GATT</w:t>
      </w:r>
      <w:r w:rsidR="00F2224B" w:rsidRPr="00ED6B6A">
        <w:t> 1994</w:t>
      </w:r>
      <w:r w:rsidRPr="00ED6B6A">
        <w:t xml:space="preserve"> provides in relevant part that "dumping … is to be condemned if it causes or threatens </w:t>
      </w:r>
      <w:r w:rsidRPr="00ED6B6A">
        <w:rPr>
          <w:i/>
          <w:iCs/>
        </w:rPr>
        <w:t xml:space="preserve">material </w:t>
      </w:r>
      <w:r w:rsidRPr="00ED6B6A">
        <w:t xml:space="preserve">injury to an established industry … or </w:t>
      </w:r>
      <w:r w:rsidRPr="00ED6B6A">
        <w:rPr>
          <w:i/>
          <w:iCs/>
        </w:rPr>
        <w:t xml:space="preserve">materially </w:t>
      </w:r>
      <w:r w:rsidRPr="00ED6B6A">
        <w:t xml:space="preserve">retards the establishment of a domestic industry". (emphasis added) The requirement regarding "material" injury also </w:t>
      </w:r>
      <w:r w:rsidR="00824E82">
        <w:t>aligns with</w:t>
      </w:r>
      <w:r w:rsidR="00824E82" w:rsidRPr="00ED6B6A">
        <w:t xml:space="preserve"> </w:t>
      </w:r>
      <w:r w:rsidRPr="00ED6B6A">
        <w:t>the notion of "negligibility" underlying the scenarios triggering "immediate termination" in Article</w:t>
      </w:r>
      <w:r w:rsidR="00F2224B" w:rsidRPr="00ED6B6A">
        <w:t> </w:t>
      </w:r>
      <w:r w:rsidRPr="00ED6B6A">
        <w:t xml:space="preserve">5.8. </w:t>
      </w:r>
    </w:p>
  </w:footnote>
  <w:footnote w:id="206">
    <w:p w14:paraId="6406F4C3" w14:textId="7560D523" w:rsidR="00F572D3" w:rsidRPr="00ED6B6A" w:rsidRDefault="00F572D3" w:rsidP="00F572D3">
      <w:pPr>
        <w:pStyle w:val="FootnoteText"/>
      </w:pPr>
      <w:r w:rsidRPr="00ED6B6A">
        <w:rPr>
          <w:rStyle w:val="FootnoteReference"/>
        </w:rPr>
        <w:footnoteRef/>
      </w:r>
      <w:r w:rsidRPr="00ED6B6A">
        <w:t xml:space="preserve"> See e.g. Panel</w:t>
      </w:r>
      <w:r w:rsidR="00F2224B" w:rsidRPr="00ED6B6A">
        <w:t> Report</w:t>
      </w:r>
      <w:r w:rsidRPr="00ED6B6A">
        <w:t xml:space="preserve">s, </w:t>
      </w:r>
      <w:r w:rsidRPr="00ED6B6A">
        <w:rPr>
          <w:i/>
          <w:iCs/>
        </w:rPr>
        <w:t>EC – Salmon</w:t>
      </w:r>
      <w:r w:rsidR="00990F05" w:rsidRPr="00ED6B6A">
        <w:rPr>
          <w:i/>
          <w:iCs/>
        </w:rPr>
        <w:t xml:space="preserve"> (Norway)</w:t>
      </w:r>
      <w:r w:rsidRPr="00ED6B6A">
        <w:t>, para.</w:t>
      </w:r>
      <w:r w:rsidR="00F2224B" w:rsidRPr="00ED6B6A">
        <w:t> </w:t>
      </w:r>
      <w:r w:rsidRPr="00ED6B6A">
        <w:t xml:space="preserve">7.625; </w:t>
      </w:r>
      <w:r w:rsidRPr="00ED6B6A">
        <w:rPr>
          <w:i/>
          <w:iCs/>
        </w:rPr>
        <w:t>Canada – Welded Pipe</w:t>
      </w:r>
      <w:r w:rsidRPr="00ED6B6A">
        <w:t>, para.</w:t>
      </w:r>
      <w:r w:rsidR="00F2224B" w:rsidRPr="00ED6B6A">
        <w:t> </w:t>
      </w:r>
      <w:r w:rsidRPr="00ED6B6A">
        <w:t>7.83.</w:t>
      </w:r>
      <w:r w:rsidR="0046762C" w:rsidRPr="00ED6B6A">
        <w:t xml:space="preserve"> </w:t>
      </w:r>
    </w:p>
  </w:footnote>
  <w:footnote w:id="207">
    <w:p w14:paraId="79E8B7BA" w14:textId="4A971FEA" w:rsidR="00F572D3" w:rsidRPr="00784DCC" w:rsidRDefault="00F572D3" w:rsidP="00F572D3">
      <w:pPr>
        <w:pStyle w:val="FootnoteText"/>
      </w:pPr>
      <w:r w:rsidRPr="00ED6B6A">
        <w:rPr>
          <w:rStyle w:val="FootnoteReference"/>
        </w:rPr>
        <w:footnoteRef/>
      </w:r>
      <w:r w:rsidRPr="00ED6B6A">
        <w:t xml:space="preserve"> Thus, we are not addressing a scenario in which "an investigating authority calculates a positive dumping margin below 2% (</w:t>
      </w:r>
      <w:r w:rsidRPr="00ED6B6A">
        <w:rPr>
          <w:i/>
          <w:iCs/>
        </w:rPr>
        <w:t>de minimis</w:t>
      </w:r>
      <w:r w:rsidRPr="00ED6B6A">
        <w:t xml:space="preserve">) </w:t>
      </w:r>
      <w:r w:rsidRPr="00ED6B6A">
        <w:rPr>
          <w:i/>
          <w:iCs/>
        </w:rPr>
        <w:t>at</w:t>
      </w:r>
      <w:r w:rsidRPr="00ED6B6A">
        <w:t xml:space="preserve"> </w:t>
      </w:r>
      <w:r w:rsidRPr="00ED6B6A">
        <w:rPr>
          <w:i/>
          <w:iCs/>
        </w:rPr>
        <w:t>a particular point in time during the investigation</w:t>
      </w:r>
      <w:r w:rsidRPr="00ED6B6A">
        <w:t xml:space="preserve">", i.e. before its final dumping determination. (Colombia's </w:t>
      </w:r>
      <w:r w:rsidR="00F81A95" w:rsidRPr="00ED6B6A">
        <w:t xml:space="preserve">written </w:t>
      </w:r>
      <w:r w:rsidRPr="00ED6B6A">
        <w:t>submission, para.</w:t>
      </w:r>
      <w:r w:rsidR="00F2224B" w:rsidRPr="00ED6B6A">
        <w:t> </w:t>
      </w:r>
      <w:r w:rsidRPr="00ED6B6A">
        <w:t xml:space="preserve">7.45 (emphasis added)) We therefore do not find it pertinent to address Colombia's reliance on the panel's finding in </w:t>
      </w:r>
      <w:r w:rsidRPr="00ED6B6A">
        <w:rPr>
          <w:i/>
          <w:iCs/>
        </w:rPr>
        <w:t>Canada</w:t>
      </w:r>
      <w:r w:rsidR="008A4ABC" w:rsidRPr="00ED6B6A">
        <w:rPr>
          <w:i/>
          <w:iCs/>
        </w:rPr>
        <w:t xml:space="preserve"> – </w:t>
      </w:r>
      <w:r w:rsidRPr="00ED6B6A">
        <w:rPr>
          <w:i/>
          <w:iCs/>
        </w:rPr>
        <w:t>Welded Pipe</w:t>
      </w:r>
      <w:r w:rsidRPr="00ED6B6A">
        <w:t xml:space="preserve"> as those findings relate to provisional measures. (See </w:t>
      </w:r>
      <w:r w:rsidR="00B97CDF" w:rsidRPr="00ED6B6A">
        <w:t>ibid.</w:t>
      </w:r>
      <w:r w:rsidRPr="00ED6B6A">
        <w:t>, paras.</w:t>
      </w:r>
      <w:r w:rsidR="00DA0ACF" w:rsidRPr="00ED6B6A">
        <w:t> </w:t>
      </w:r>
      <w:r w:rsidRPr="00ED6B6A">
        <w:t>7.17-7.18 (referring to Panel</w:t>
      </w:r>
      <w:r w:rsidR="00F2224B" w:rsidRPr="00ED6B6A">
        <w:t> Report</w:t>
      </w:r>
      <w:r w:rsidRPr="00ED6B6A">
        <w:t xml:space="preserve">, </w:t>
      </w:r>
      <w:r w:rsidRPr="00ED6B6A">
        <w:rPr>
          <w:i/>
          <w:iCs/>
        </w:rPr>
        <w:t>Canada</w:t>
      </w:r>
      <w:r w:rsidRPr="00ED6B6A">
        <w:rPr>
          <w:iCs/>
        </w:rPr>
        <w:t xml:space="preserve"> </w:t>
      </w:r>
      <w:r w:rsidRPr="00ED6B6A">
        <w:rPr>
          <w:i/>
          <w:iCs/>
        </w:rPr>
        <w:t>–</w:t>
      </w:r>
      <w:r w:rsidRPr="00ED6B6A">
        <w:rPr>
          <w:iCs/>
        </w:rPr>
        <w:t xml:space="preserve"> </w:t>
      </w:r>
      <w:r w:rsidRPr="00ED6B6A">
        <w:rPr>
          <w:i/>
          <w:iCs/>
        </w:rPr>
        <w:t>Welded</w:t>
      </w:r>
      <w:r w:rsidRPr="00ED6B6A">
        <w:rPr>
          <w:iCs/>
        </w:rPr>
        <w:t xml:space="preserve"> </w:t>
      </w:r>
      <w:r w:rsidRPr="00ED6B6A">
        <w:rPr>
          <w:i/>
          <w:iCs/>
        </w:rPr>
        <w:t>Pipe</w:t>
      </w:r>
      <w:r w:rsidRPr="00ED6B6A">
        <w:t>, para. 7.59); Panel</w:t>
      </w:r>
      <w:r w:rsidR="00F2224B" w:rsidRPr="00ED6B6A">
        <w:t> Report</w:t>
      </w:r>
      <w:r w:rsidRPr="00ED6B6A">
        <w:t>, para.</w:t>
      </w:r>
      <w:r w:rsidR="00F2224B" w:rsidRPr="00ED6B6A">
        <w:t> </w:t>
      </w:r>
      <w:r w:rsidRPr="00ED6B6A">
        <w:t xml:space="preserve">7.299) Furthermore, the significance Colombia attaches to that panel's finding is premised on Colombia's assumption that the ordinary meaning of the term "dumped imports" </w:t>
      </w:r>
      <w:r w:rsidR="00824E82">
        <w:t>flows directly</w:t>
      </w:r>
      <w:r w:rsidRPr="00ED6B6A">
        <w:t xml:space="preserve"> from the definition of "dumping" in Article 2.1. (See e.g. </w:t>
      </w:r>
      <w:r w:rsidR="00B97CDF" w:rsidRPr="00DC6E93">
        <w:t>ibid.</w:t>
      </w:r>
      <w:r w:rsidRPr="00ED6B6A">
        <w:t>, paras.</w:t>
      </w:r>
      <w:r w:rsidR="00DA0ACF" w:rsidRPr="00ED6B6A">
        <w:t> </w:t>
      </w:r>
      <w:r w:rsidRPr="00ED6B6A">
        <w:t>7.16 and 7.26) Our analysis above addresses and disagrees with such an assumption.</w:t>
      </w:r>
    </w:p>
  </w:footnote>
  <w:footnote w:id="208">
    <w:p w14:paraId="6FDD4112" w14:textId="22B04321" w:rsidR="00F572D3" w:rsidRPr="00784DCC" w:rsidRDefault="00F572D3" w:rsidP="00F572D3">
      <w:pPr>
        <w:pStyle w:val="FootnoteText"/>
      </w:pPr>
      <w:r w:rsidRPr="00784DCC">
        <w:rPr>
          <w:rStyle w:val="FootnoteReference"/>
        </w:rPr>
        <w:footnoteRef/>
      </w:r>
      <w:r w:rsidRPr="00784DCC">
        <w:t xml:space="preserve"> As Japan similarly notes, in light of the </w:t>
      </w:r>
      <w:r w:rsidRPr="00784DCC">
        <w:rPr>
          <w:rFonts w:eastAsia="MS PGothic"/>
        </w:rPr>
        <w:t>first sentence of Article</w:t>
      </w:r>
      <w:r w:rsidR="00F2224B" w:rsidRPr="00784DCC">
        <w:rPr>
          <w:rFonts w:eastAsia="MS PGothic"/>
        </w:rPr>
        <w:t> </w:t>
      </w:r>
      <w:r w:rsidRPr="00784DCC">
        <w:rPr>
          <w:rFonts w:eastAsia="MS PGothic"/>
        </w:rPr>
        <w:t>VI:1 of GATT</w:t>
      </w:r>
      <w:r w:rsidR="00F2224B" w:rsidRPr="00784DCC">
        <w:rPr>
          <w:rFonts w:eastAsia="MS PGothic"/>
        </w:rPr>
        <w:t> 1994</w:t>
      </w:r>
      <w:r w:rsidRPr="00784DCC">
        <w:rPr>
          <w:rFonts w:eastAsia="MS PGothic"/>
        </w:rPr>
        <w:t xml:space="preserve">, "dumped imports should </w:t>
      </w:r>
      <w:r w:rsidRPr="00784DCC">
        <w:rPr>
          <w:rFonts w:eastAsia="MS PGothic"/>
          <w:i/>
          <w:iCs/>
        </w:rPr>
        <w:t>not be condemned</w:t>
      </w:r>
      <w:r w:rsidRPr="00784DCC">
        <w:rPr>
          <w:rFonts w:eastAsia="MS PGothic"/>
        </w:rPr>
        <w:t xml:space="preserve"> (i.e.</w:t>
      </w:r>
      <w:r w:rsidR="00C36BC0">
        <w:rPr>
          <w:rFonts w:eastAsia="MS PGothic"/>
        </w:rPr>
        <w:t>,</w:t>
      </w:r>
      <w:r w:rsidRPr="00784DCC">
        <w:rPr>
          <w:rFonts w:eastAsia="MS PGothic"/>
        </w:rPr>
        <w:t xml:space="preserve"> should not be offset by anti-dumping duties) </w:t>
      </w:r>
      <w:r w:rsidRPr="00784DCC">
        <w:rPr>
          <w:rFonts w:eastAsia="MS PGothic"/>
          <w:i/>
          <w:iCs/>
        </w:rPr>
        <w:t>for material injury that is not attributable to those dumped imports</w:t>
      </w:r>
      <w:r w:rsidRPr="00784DCC">
        <w:rPr>
          <w:rFonts w:eastAsia="MS PGothic"/>
        </w:rPr>
        <w:t xml:space="preserve">." (Japan's third party's </w:t>
      </w:r>
      <w:r w:rsidR="00B97CDF">
        <w:t xml:space="preserve">written </w:t>
      </w:r>
      <w:r w:rsidRPr="00784DCC">
        <w:rPr>
          <w:rFonts w:eastAsia="MS PGothic"/>
        </w:rPr>
        <w:t>submission, para.</w:t>
      </w:r>
      <w:r w:rsidR="00F2224B" w:rsidRPr="00784DCC">
        <w:rPr>
          <w:rFonts w:eastAsia="MS PGothic"/>
        </w:rPr>
        <w:t> </w:t>
      </w:r>
      <w:r w:rsidRPr="00784DCC">
        <w:rPr>
          <w:rFonts w:eastAsia="MS PGothic"/>
        </w:rPr>
        <w:t>48 (emphasis added))</w:t>
      </w:r>
    </w:p>
  </w:footnote>
  <w:footnote w:id="209">
    <w:p w14:paraId="16163BF7" w14:textId="77A631F5" w:rsidR="00F572D3" w:rsidRPr="00784DCC" w:rsidRDefault="00F572D3" w:rsidP="00F572D3">
      <w:pPr>
        <w:pStyle w:val="FootnoteText"/>
      </w:pPr>
      <w:r w:rsidRPr="00784DCC">
        <w:rPr>
          <w:rStyle w:val="FootnoteReference"/>
        </w:rPr>
        <w:footnoteRef/>
      </w:r>
      <w:r w:rsidRPr="00784DCC">
        <w:t xml:space="preserve"> Panel</w:t>
      </w:r>
      <w:r w:rsidR="00F2224B" w:rsidRPr="00784DCC">
        <w:t> Report</w:t>
      </w:r>
      <w:r w:rsidRPr="00784DCC">
        <w:t>, para.</w:t>
      </w:r>
      <w:r w:rsidR="00F2224B" w:rsidRPr="00784DCC">
        <w:t> </w:t>
      </w:r>
      <w:r w:rsidRPr="00784DCC">
        <w:t>7.293.</w:t>
      </w:r>
    </w:p>
  </w:footnote>
  <w:footnote w:id="210">
    <w:p w14:paraId="6E071FE9" w14:textId="67BC5E34" w:rsidR="00F572D3" w:rsidRPr="00784DCC" w:rsidRDefault="00F572D3" w:rsidP="00F572D3">
      <w:pPr>
        <w:pStyle w:val="FootnoteText"/>
      </w:pPr>
      <w:r w:rsidRPr="00784DCC">
        <w:rPr>
          <w:rStyle w:val="FootnoteReference"/>
        </w:rPr>
        <w:footnoteRef/>
      </w:r>
      <w:r w:rsidRPr="00784DCC">
        <w:t xml:space="preserve"> Colombia's </w:t>
      </w:r>
      <w:r w:rsidR="00B97CDF">
        <w:t xml:space="preserve">written </w:t>
      </w:r>
      <w:r w:rsidRPr="00784DCC">
        <w:t>submission, para.</w:t>
      </w:r>
      <w:r w:rsidR="00F2224B" w:rsidRPr="00784DCC">
        <w:t> </w:t>
      </w:r>
      <w:r w:rsidRPr="00784DCC">
        <w:t>7.49.</w:t>
      </w:r>
    </w:p>
  </w:footnote>
  <w:footnote w:id="211">
    <w:p w14:paraId="22601BCB" w14:textId="6C063A33" w:rsidR="00F572D3" w:rsidRPr="00ED6B6A" w:rsidRDefault="00F572D3" w:rsidP="00F572D3">
      <w:pPr>
        <w:pStyle w:val="FootnoteText"/>
      </w:pPr>
      <w:r w:rsidRPr="00784DCC">
        <w:rPr>
          <w:rStyle w:val="FootnoteReference"/>
        </w:rPr>
        <w:footnoteRef/>
      </w:r>
      <w:r w:rsidRPr="00784DCC">
        <w:t xml:space="preserve"> Similarly, we do not view the Panel's statement as contradictory to the requirement in Article 5.7 that "[t]he evidence of both dumping and injury … be considered </w:t>
      </w:r>
      <w:r w:rsidRPr="00ED6B6A">
        <w:t>simultaneously"</w:t>
      </w:r>
      <w:r w:rsidR="00EC4B22">
        <w:t>.</w:t>
      </w:r>
      <w:r w:rsidRPr="00ED6B6A">
        <w:t xml:space="preserve"> (See Colombia's </w:t>
      </w:r>
      <w:r w:rsidR="00B97CDF" w:rsidRPr="00ED6B6A">
        <w:t xml:space="preserve">written </w:t>
      </w:r>
      <w:r w:rsidRPr="00ED6B6A">
        <w:t xml:space="preserve">submission, </w:t>
      </w:r>
      <w:r w:rsidRPr="00824E82">
        <w:t>para.</w:t>
      </w:r>
      <w:r w:rsidR="00F2224B" w:rsidRPr="00824E82">
        <w:t> </w:t>
      </w:r>
      <w:r w:rsidR="00824E82">
        <w:t>7.41</w:t>
      </w:r>
      <w:r w:rsidRPr="00ED6B6A">
        <w:t>) The word "simultaneously", instead of imposing a strict temporal structure, highlights that an investigating authority should not consider the evidence regarding dumping and injury "in silos". (European</w:t>
      </w:r>
      <w:r w:rsidR="00DA0ACF" w:rsidRPr="00ED6B6A">
        <w:t> Union</w:t>
      </w:r>
      <w:r w:rsidRPr="00ED6B6A">
        <w:t xml:space="preserve">'s </w:t>
      </w:r>
      <w:r w:rsidR="00B97CDF" w:rsidRPr="00ED6B6A">
        <w:t xml:space="preserve">written </w:t>
      </w:r>
      <w:r w:rsidRPr="00ED6B6A">
        <w:t>submission, para.</w:t>
      </w:r>
      <w:r w:rsidR="00F2224B" w:rsidRPr="00ED6B6A">
        <w:t> </w:t>
      </w:r>
      <w:r w:rsidRPr="00ED6B6A">
        <w:t xml:space="preserve">187. See also </w:t>
      </w:r>
      <w:r w:rsidR="00B97CDF" w:rsidRPr="00ED6B6A">
        <w:t>ibid.</w:t>
      </w:r>
      <w:r w:rsidRPr="00ED6B6A">
        <w:t>, paras.</w:t>
      </w:r>
      <w:r w:rsidR="00DA0ACF" w:rsidRPr="00ED6B6A">
        <w:t> </w:t>
      </w:r>
      <w:r w:rsidRPr="00ED6B6A">
        <w:t>189-190</w:t>
      </w:r>
      <w:r w:rsidR="008A4ABC" w:rsidRPr="00ED6B6A">
        <w:t>.</w:t>
      </w:r>
      <w:r w:rsidRPr="00ED6B6A">
        <w:t>)</w:t>
      </w:r>
    </w:p>
  </w:footnote>
  <w:footnote w:id="212">
    <w:p w14:paraId="5C16EED2" w14:textId="2D565856" w:rsidR="00F572D3" w:rsidRPr="00ED6B6A" w:rsidRDefault="00F572D3" w:rsidP="00F572D3">
      <w:pPr>
        <w:pStyle w:val="FootnoteText"/>
      </w:pPr>
      <w:r w:rsidRPr="00ED6B6A">
        <w:rPr>
          <w:rStyle w:val="FootnoteReference"/>
        </w:rPr>
        <w:footnoteRef/>
      </w:r>
      <w:r w:rsidRPr="00ED6B6A">
        <w:t xml:space="preserve"> Panel</w:t>
      </w:r>
      <w:r w:rsidR="00F2224B" w:rsidRPr="00ED6B6A">
        <w:t> Report</w:t>
      </w:r>
      <w:r w:rsidRPr="00ED6B6A">
        <w:t>, para.</w:t>
      </w:r>
      <w:r w:rsidR="00F2224B" w:rsidRPr="00ED6B6A">
        <w:t> </w:t>
      </w:r>
      <w:r w:rsidRPr="00ED6B6A">
        <w:t>7.302.</w:t>
      </w:r>
    </w:p>
  </w:footnote>
  <w:footnote w:id="213">
    <w:p w14:paraId="76D4D157" w14:textId="0CFEB41B" w:rsidR="00F572D3" w:rsidRPr="00ED6B6A" w:rsidRDefault="00F572D3" w:rsidP="00F572D3">
      <w:pPr>
        <w:pStyle w:val="FootnoteText"/>
      </w:pPr>
      <w:r w:rsidRPr="00ED6B6A">
        <w:rPr>
          <w:rStyle w:val="FootnoteReference"/>
        </w:rPr>
        <w:footnoteRef/>
      </w:r>
      <w:r w:rsidRPr="00ED6B6A">
        <w:t xml:space="preserve"> Colombia's </w:t>
      </w:r>
      <w:r w:rsidR="00B97CDF" w:rsidRPr="00ED6B6A">
        <w:t xml:space="preserve">written </w:t>
      </w:r>
      <w:r w:rsidRPr="00ED6B6A">
        <w:t>submission, para.</w:t>
      </w:r>
      <w:r w:rsidR="00F2224B" w:rsidRPr="00ED6B6A">
        <w:t> </w:t>
      </w:r>
      <w:r w:rsidRPr="00ED6B6A">
        <w:t>7.55.</w:t>
      </w:r>
    </w:p>
  </w:footnote>
  <w:footnote w:id="214">
    <w:p w14:paraId="5D6FFBC0" w14:textId="22502DDA" w:rsidR="00F572D3" w:rsidRPr="00ED6B6A" w:rsidRDefault="00F572D3" w:rsidP="00F572D3">
      <w:pPr>
        <w:pStyle w:val="FootnoteText"/>
      </w:pPr>
      <w:r w:rsidRPr="00ED6B6A">
        <w:rPr>
          <w:rStyle w:val="FootnoteReference"/>
        </w:rPr>
        <w:footnoteRef/>
      </w:r>
      <w:r w:rsidRPr="00ED6B6A">
        <w:t xml:space="preserve"> Colombia's </w:t>
      </w:r>
      <w:r w:rsidR="00B97CDF" w:rsidRPr="00ED6B6A">
        <w:t xml:space="preserve">written </w:t>
      </w:r>
      <w:r w:rsidRPr="00ED6B6A">
        <w:t>submission, para.</w:t>
      </w:r>
      <w:r w:rsidR="00F2224B" w:rsidRPr="00ED6B6A">
        <w:t> </w:t>
      </w:r>
      <w:r w:rsidRPr="00ED6B6A">
        <w:t>7.49.</w:t>
      </w:r>
    </w:p>
  </w:footnote>
  <w:footnote w:id="215">
    <w:p w14:paraId="2C19EC69" w14:textId="45F3A26D" w:rsidR="00F572D3" w:rsidRPr="00ED6B6A" w:rsidRDefault="00F572D3" w:rsidP="00F572D3">
      <w:pPr>
        <w:pStyle w:val="FootnoteText"/>
      </w:pPr>
      <w:r w:rsidRPr="00ED6B6A">
        <w:rPr>
          <w:rStyle w:val="FootnoteReference"/>
        </w:rPr>
        <w:footnoteRef/>
      </w:r>
      <w:r w:rsidRPr="00ED6B6A">
        <w:t xml:space="preserve"> Colombia's </w:t>
      </w:r>
      <w:r w:rsidR="00B97CDF" w:rsidRPr="00ED6B6A">
        <w:t xml:space="preserve">written </w:t>
      </w:r>
      <w:r w:rsidRPr="00ED6B6A">
        <w:t>submission, paras.</w:t>
      </w:r>
      <w:r w:rsidR="00DA0ACF" w:rsidRPr="00ED6B6A">
        <w:t> </w:t>
      </w:r>
      <w:r w:rsidRPr="00ED6B6A">
        <w:t xml:space="preserve">7.49, 7.56, 7.57, and 7.59; response to questioning at the hearing. </w:t>
      </w:r>
    </w:p>
  </w:footnote>
  <w:footnote w:id="216">
    <w:p w14:paraId="798F550D" w14:textId="6E0C78C5" w:rsidR="00F572D3" w:rsidRPr="00ED6B6A" w:rsidRDefault="00F572D3" w:rsidP="00F572D3">
      <w:pPr>
        <w:pStyle w:val="FootnoteText"/>
      </w:pPr>
      <w:r w:rsidRPr="00ED6B6A">
        <w:rPr>
          <w:rStyle w:val="FootnoteReference"/>
        </w:rPr>
        <w:footnoteRef/>
      </w:r>
      <w:r w:rsidRPr="00ED6B6A">
        <w:t xml:space="preserve"> Colombia's </w:t>
      </w:r>
      <w:r w:rsidR="00B97CDF" w:rsidRPr="00ED6B6A">
        <w:t xml:space="preserve">written </w:t>
      </w:r>
      <w:r w:rsidRPr="00ED6B6A">
        <w:t>submission, para.</w:t>
      </w:r>
      <w:r w:rsidR="00F2224B" w:rsidRPr="00ED6B6A">
        <w:t> </w:t>
      </w:r>
      <w:r w:rsidRPr="00ED6B6A">
        <w:t>7.16. (emphasis added)</w:t>
      </w:r>
    </w:p>
  </w:footnote>
  <w:footnote w:id="217">
    <w:p w14:paraId="0ABEDCEC" w14:textId="655B7935" w:rsidR="00F572D3" w:rsidRPr="00784DCC" w:rsidRDefault="00F572D3" w:rsidP="00F572D3">
      <w:pPr>
        <w:pStyle w:val="FootnoteText"/>
      </w:pPr>
      <w:r w:rsidRPr="00ED6B6A">
        <w:rPr>
          <w:rStyle w:val="FootnoteReference"/>
        </w:rPr>
        <w:footnoteRef/>
      </w:r>
      <w:r w:rsidRPr="00ED6B6A">
        <w:t xml:space="preserve"> Colombia's response to questioning at the hearing.</w:t>
      </w:r>
      <w:r w:rsidRPr="00784DCC">
        <w:t xml:space="preserve"> </w:t>
      </w:r>
    </w:p>
  </w:footnote>
  <w:footnote w:id="218">
    <w:p w14:paraId="572DED53" w14:textId="77777777" w:rsidR="00F572D3" w:rsidRPr="00784DCC" w:rsidRDefault="00F572D3" w:rsidP="00F572D3">
      <w:pPr>
        <w:pStyle w:val="FootnoteText"/>
      </w:pPr>
      <w:r w:rsidRPr="00784DCC">
        <w:rPr>
          <w:rStyle w:val="FootnoteReference"/>
        </w:rPr>
        <w:footnoteRef/>
      </w:r>
      <w:r w:rsidRPr="00784DCC">
        <w:t xml:space="preserve"> Brazil's response to questioning at the hearing. </w:t>
      </w:r>
    </w:p>
  </w:footnote>
  <w:footnote w:id="219">
    <w:p w14:paraId="17F66DB5" w14:textId="0145CC63" w:rsidR="00F572D3" w:rsidRPr="00784DCC" w:rsidRDefault="00F572D3" w:rsidP="00F572D3">
      <w:pPr>
        <w:pStyle w:val="FootnoteText"/>
      </w:pPr>
      <w:r w:rsidRPr="00784DCC">
        <w:rPr>
          <w:rStyle w:val="FootnoteReference"/>
        </w:rPr>
        <w:footnoteRef/>
      </w:r>
      <w:r w:rsidRPr="00784DCC">
        <w:t xml:space="preserve"> See European</w:t>
      </w:r>
      <w:r w:rsidR="00DA0ACF" w:rsidRPr="00784DCC">
        <w:t> Union</w:t>
      </w:r>
      <w:r w:rsidRPr="00784DCC">
        <w:t xml:space="preserve">'s </w:t>
      </w:r>
      <w:r w:rsidR="00B97CDF">
        <w:t>written</w:t>
      </w:r>
      <w:r w:rsidRPr="00784DCC">
        <w:t xml:space="preserve"> submission, para.</w:t>
      </w:r>
      <w:r w:rsidR="00F2224B" w:rsidRPr="00784DCC">
        <w:t> </w:t>
      </w:r>
      <w:r w:rsidRPr="00784DCC">
        <w:t xml:space="preserve">198 (noting that "the practical difficulties Colombia invoked … are illusory"). See also Japan's third party's </w:t>
      </w:r>
      <w:r w:rsidR="00B97CDF">
        <w:t xml:space="preserve">written </w:t>
      </w:r>
      <w:r w:rsidRPr="00784DCC">
        <w:t>submission, para.</w:t>
      </w:r>
      <w:r w:rsidR="00F2224B" w:rsidRPr="00784DCC">
        <w:t> </w:t>
      </w:r>
      <w:r w:rsidRPr="00784DCC">
        <w:t>56 (noting that "</w:t>
      </w:r>
      <w:r w:rsidRPr="00784DCC">
        <w:rPr>
          <w:rFonts w:eastAsia="MS PGothic"/>
        </w:rPr>
        <w:t>it is undisputable that at least imports from exporters with zero dumping margins should not be included in the dumped imports under Article</w:t>
      </w:r>
      <w:r w:rsidR="00F2224B" w:rsidRPr="00784DCC">
        <w:rPr>
          <w:rFonts w:eastAsia="MS PGothic"/>
        </w:rPr>
        <w:t> </w:t>
      </w:r>
      <w:r w:rsidRPr="00784DCC">
        <w:rPr>
          <w:rFonts w:eastAsia="MS PGothic"/>
        </w:rPr>
        <w:t>3" and that, "regardless of the precise timing of each determination, it is obvious that the determination, finding or analysis of injury and causation follows and takes into account those of dumping margin, as a 'logical' sequence")</w:t>
      </w:r>
      <w:r w:rsidR="00E468E4" w:rsidRPr="00784DCC">
        <w:rPr>
          <w:rFonts w:eastAsia="MS PGothic"/>
        </w:rPr>
        <w:t>.</w:t>
      </w:r>
    </w:p>
  </w:footnote>
  <w:footnote w:id="220">
    <w:p w14:paraId="63DB8973" w14:textId="5F48F7E4" w:rsidR="00F572D3" w:rsidRPr="00784DCC" w:rsidRDefault="00F572D3" w:rsidP="00F572D3">
      <w:pPr>
        <w:pStyle w:val="FootnoteText"/>
      </w:pPr>
      <w:r w:rsidRPr="00784DCC">
        <w:rPr>
          <w:rStyle w:val="FootnoteReference"/>
        </w:rPr>
        <w:footnoteRef/>
      </w:r>
      <w:r w:rsidRPr="00784DCC">
        <w:t xml:space="preserve"> See also Panel</w:t>
      </w:r>
      <w:r w:rsidR="00F2224B" w:rsidRPr="00784DCC">
        <w:t> Report</w:t>
      </w:r>
      <w:r w:rsidRPr="00784DCC">
        <w:t>, para.</w:t>
      </w:r>
      <w:r w:rsidR="00F2224B" w:rsidRPr="00784DCC">
        <w:t> </w:t>
      </w:r>
      <w:r w:rsidRPr="00784DCC">
        <w:t>7.300.</w:t>
      </w:r>
    </w:p>
  </w:footnote>
  <w:footnote w:id="221">
    <w:p w14:paraId="7834F2AA" w14:textId="7BCDE1C8" w:rsidR="00F572D3" w:rsidRPr="00784DCC" w:rsidRDefault="00F572D3" w:rsidP="00F572D3">
      <w:pPr>
        <w:pStyle w:val="FootnoteText"/>
      </w:pPr>
      <w:r w:rsidRPr="00784DCC">
        <w:rPr>
          <w:rStyle w:val="FootnoteReference"/>
        </w:rPr>
        <w:footnoteRef/>
      </w:r>
      <w:r w:rsidRPr="00784DCC">
        <w:t xml:space="preserve"> Colombia's </w:t>
      </w:r>
      <w:r w:rsidR="00B97CDF">
        <w:t xml:space="preserve">written </w:t>
      </w:r>
      <w:r w:rsidRPr="00784DCC">
        <w:t>submission, paras.</w:t>
      </w:r>
      <w:r w:rsidR="00DA0ACF" w:rsidRPr="00784DCC">
        <w:t> </w:t>
      </w:r>
      <w:r w:rsidRPr="00784DCC">
        <w:t>7.56, 7.57, and 7.59.</w:t>
      </w:r>
    </w:p>
  </w:footnote>
  <w:footnote w:id="222">
    <w:p w14:paraId="224E678F" w14:textId="7F0635F3" w:rsidR="00F572D3" w:rsidRPr="00784DCC" w:rsidRDefault="00F572D3" w:rsidP="00F572D3">
      <w:pPr>
        <w:pStyle w:val="FootnoteText"/>
      </w:pPr>
      <w:r w:rsidRPr="00784DCC">
        <w:rPr>
          <w:rStyle w:val="FootnoteReference"/>
        </w:rPr>
        <w:footnoteRef/>
      </w:r>
      <w:r w:rsidRPr="00784DCC">
        <w:t xml:space="preserve"> </w:t>
      </w:r>
      <w:r w:rsidR="0065679F" w:rsidRPr="00784DCC">
        <w:t xml:space="preserve">Appellate Body Report, </w:t>
      </w:r>
      <w:r w:rsidR="0065679F" w:rsidRPr="00784DCC">
        <w:rPr>
          <w:i/>
          <w:iCs/>
        </w:rPr>
        <w:t>Mexico – Anti</w:t>
      </w:r>
      <w:r w:rsidR="0065679F" w:rsidRPr="00784DCC">
        <w:rPr>
          <w:i/>
          <w:iCs/>
        </w:rPr>
        <w:noBreakHyphen/>
        <w:t>Dumping</w:t>
      </w:r>
      <w:r w:rsidR="0065679F" w:rsidRPr="00784DCC">
        <w:rPr>
          <w:iCs/>
        </w:rPr>
        <w:t xml:space="preserve"> </w:t>
      </w:r>
      <w:r w:rsidR="0065679F" w:rsidRPr="00784DCC">
        <w:rPr>
          <w:i/>
          <w:iCs/>
        </w:rPr>
        <w:t>Measures</w:t>
      </w:r>
      <w:r w:rsidR="0065679F" w:rsidRPr="00784DCC">
        <w:rPr>
          <w:iCs/>
        </w:rPr>
        <w:t xml:space="preserve"> </w:t>
      </w:r>
      <w:r w:rsidR="0065679F" w:rsidRPr="00784DCC">
        <w:rPr>
          <w:i/>
          <w:iCs/>
        </w:rPr>
        <w:t>on</w:t>
      </w:r>
      <w:r w:rsidR="0065679F" w:rsidRPr="00784DCC">
        <w:rPr>
          <w:iCs/>
        </w:rPr>
        <w:t xml:space="preserve"> </w:t>
      </w:r>
      <w:r w:rsidR="0065679F" w:rsidRPr="00784DCC">
        <w:rPr>
          <w:i/>
          <w:iCs/>
        </w:rPr>
        <w:t>Rice</w:t>
      </w:r>
      <w:r w:rsidR="0065679F" w:rsidRPr="00784DCC">
        <w:t>, para. 219</w:t>
      </w:r>
      <w:r w:rsidR="00EA0B13">
        <w:t>.</w:t>
      </w:r>
      <w:r w:rsidR="0065679F">
        <w:t xml:space="preserve"> (emphasis original) </w:t>
      </w:r>
      <w:r w:rsidRPr="00784DCC">
        <w:t>The Appellate</w:t>
      </w:r>
      <w:r w:rsidR="00DA0ACF" w:rsidRPr="00784DCC">
        <w:t> Body</w:t>
      </w:r>
      <w:r w:rsidRPr="00784DCC">
        <w:t xml:space="preserve"> made this statement after noting that, "[i]n the present case, the </w:t>
      </w:r>
      <w:r w:rsidRPr="00784DCC">
        <w:rPr>
          <w:i/>
          <w:iCs/>
        </w:rPr>
        <w:t>order</w:t>
      </w:r>
      <w:r w:rsidRPr="00784DCC">
        <w:t xml:space="preserve"> establishing anti</w:t>
      </w:r>
      <w:r w:rsidR="0065679F">
        <w:noBreakHyphen/>
      </w:r>
      <w:r w:rsidRPr="00784DCC">
        <w:t xml:space="preserve">dumping duties came </w:t>
      </w:r>
      <w:r w:rsidRPr="00784DCC">
        <w:rPr>
          <w:i/>
          <w:iCs/>
        </w:rPr>
        <w:t>after the final determination</w:t>
      </w:r>
      <w:r w:rsidRPr="00784DCC">
        <w:t xml:space="preserve"> of a margin of dumping of zero per cent was made for [the exporters at issue], but the order nevertheless covered these exporters." (</w:t>
      </w:r>
      <w:r w:rsidR="0065679F">
        <w:t xml:space="preserve">Ibid., </w:t>
      </w:r>
      <w:r w:rsidRPr="00784DCC">
        <w:t>para. 219 (emphasis added)) As Japan also notes, "</w:t>
      </w:r>
      <w:r w:rsidRPr="00784DCC">
        <w:rPr>
          <w:rFonts w:eastAsia="MS PGothic"/>
        </w:rPr>
        <w:t xml:space="preserve">the focus in </w:t>
      </w:r>
      <w:r w:rsidRPr="00784DCC">
        <w:rPr>
          <w:rFonts w:eastAsia="MS PGothic"/>
          <w:i/>
          <w:iCs/>
        </w:rPr>
        <w:t>Mexico – Anti-Dumping Measures on Rice</w:t>
      </w:r>
      <w:r w:rsidRPr="00784DCC">
        <w:rPr>
          <w:rFonts w:eastAsia="MS PGothic"/>
        </w:rPr>
        <w:t xml:space="preserve"> was the final treatment of exporters with </w:t>
      </w:r>
      <w:r w:rsidRPr="00784DCC">
        <w:rPr>
          <w:rFonts w:eastAsia="MS PGothic"/>
          <w:i/>
          <w:iCs/>
        </w:rPr>
        <w:t>de minimis</w:t>
      </w:r>
      <w:r w:rsidRPr="00784DCC">
        <w:rPr>
          <w:rFonts w:eastAsia="MS PGothic"/>
        </w:rPr>
        <w:t xml:space="preserve"> dumping margins themselves, and not their role in the injury determination</w:t>
      </w:r>
      <w:r w:rsidR="00F15789">
        <w:rPr>
          <w:rFonts w:eastAsia="MS PGothic"/>
        </w:rPr>
        <w:t>.</w:t>
      </w:r>
      <w:r w:rsidRPr="00784DCC">
        <w:rPr>
          <w:rFonts w:eastAsia="MS PGothic"/>
        </w:rPr>
        <w:t xml:space="preserve">" (Japan's third party's </w:t>
      </w:r>
      <w:r w:rsidR="00B97CDF">
        <w:t xml:space="preserve">written </w:t>
      </w:r>
      <w:r w:rsidRPr="00784DCC">
        <w:rPr>
          <w:rFonts w:eastAsia="MS PGothic"/>
        </w:rPr>
        <w:t>submission, para.</w:t>
      </w:r>
      <w:r w:rsidR="00F2224B" w:rsidRPr="00784DCC">
        <w:rPr>
          <w:rFonts w:eastAsia="MS PGothic"/>
        </w:rPr>
        <w:t> </w:t>
      </w:r>
      <w:r w:rsidRPr="00784DCC">
        <w:rPr>
          <w:rFonts w:eastAsia="MS PGothic"/>
        </w:rPr>
        <w:t>57)</w:t>
      </w:r>
    </w:p>
  </w:footnote>
  <w:footnote w:id="223">
    <w:p w14:paraId="34E79FE8" w14:textId="475515E9" w:rsidR="00F572D3" w:rsidRPr="00784DCC" w:rsidRDefault="00F572D3" w:rsidP="00F572D3">
      <w:pPr>
        <w:pStyle w:val="FootnoteText"/>
      </w:pPr>
      <w:r w:rsidRPr="00784DCC">
        <w:rPr>
          <w:rStyle w:val="FootnoteReference"/>
        </w:rPr>
        <w:footnoteRef/>
      </w:r>
      <w:r w:rsidRPr="00784DCC">
        <w:t xml:space="preserve"> We emphasize that our analysis is framed by the question put before us, namely, whether it is permissible to interpret the term "dumped imports" to include imports of exporters who are "determined" to have </w:t>
      </w:r>
      <w:r w:rsidRPr="00784DCC">
        <w:rPr>
          <w:i/>
          <w:iCs/>
        </w:rPr>
        <w:t>final de minimis</w:t>
      </w:r>
      <w:r w:rsidRPr="00784DCC">
        <w:t xml:space="preserve"> dumping margins. For greater clarity, we are not asked to, and we do not, address the implication of a preliminary determination of</w:t>
      </w:r>
      <w:r w:rsidR="00995893" w:rsidRPr="00784DCC">
        <w:t xml:space="preserve"> a</w:t>
      </w:r>
      <w:r w:rsidRPr="00784DCC">
        <w:t xml:space="preserve"> </w:t>
      </w:r>
      <w:r w:rsidRPr="00784DCC">
        <w:rPr>
          <w:i/>
          <w:iCs/>
        </w:rPr>
        <w:t>de minimis</w:t>
      </w:r>
      <w:r w:rsidRPr="00784DCC">
        <w:t xml:space="preserve"> margin in an authority's investigation prior to the final dumping determination.</w:t>
      </w:r>
    </w:p>
  </w:footnote>
  <w:footnote w:id="224">
    <w:p w14:paraId="34EE61A5" w14:textId="6CC72852" w:rsidR="00F572D3" w:rsidRPr="00784DCC" w:rsidRDefault="00F572D3" w:rsidP="00F572D3">
      <w:pPr>
        <w:pStyle w:val="FootnoteText"/>
      </w:pPr>
      <w:r w:rsidRPr="00784DCC">
        <w:rPr>
          <w:rStyle w:val="FootnoteReference"/>
        </w:rPr>
        <w:footnoteRef/>
      </w:r>
      <w:r w:rsidRPr="00784DCC">
        <w:t xml:space="preserve"> Colombia's </w:t>
      </w:r>
      <w:r w:rsidR="00B97CDF">
        <w:t xml:space="preserve">written </w:t>
      </w:r>
      <w:r w:rsidRPr="00784DCC">
        <w:t>submission, para.</w:t>
      </w:r>
      <w:r w:rsidR="00F2224B" w:rsidRPr="00784DCC">
        <w:t> </w:t>
      </w:r>
      <w:r w:rsidRPr="00784DCC">
        <w:t>7.55.</w:t>
      </w:r>
    </w:p>
  </w:footnote>
  <w:footnote w:id="225">
    <w:p w14:paraId="3824D307" w14:textId="77777777" w:rsidR="00F572D3" w:rsidRPr="00784DCC" w:rsidRDefault="00F572D3" w:rsidP="00F572D3">
      <w:pPr>
        <w:pStyle w:val="FootnoteText"/>
      </w:pPr>
      <w:r w:rsidRPr="00784DCC">
        <w:rPr>
          <w:rStyle w:val="FootnoteReference"/>
        </w:rPr>
        <w:footnoteRef/>
      </w:r>
      <w:r w:rsidRPr="00784DCC">
        <w:t xml:space="preserve"> Emphasis added.</w:t>
      </w:r>
    </w:p>
  </w:footnote>
  <w:footnote w:id="226">
    <w:p w14:paraId="77C09672" w14:textId="2F62B898" w:rsidR="00F572D3" w:rsidRPr="00784DCC" w:rsidRDefault="00F572D3" w:rsidP="00F572D3">
      <w:pPr>
        <w:pStyle w:val="FootnoteText"/>
      </w:pPr>
      <w:r w:rsidRPr="00784DCC">
        <w:rPr>
          <w:rStyle w:val="FootnoteReference"/>
        </w:rPr>
        <w:footnoteRef/>
      </w:r>
      <w:r w:rsidRPr="00784DCC">
        <w:t xml:space="preserve"> Colombia's </w:t>
      </w:r>
      <w:r w:rsidR="00B97CDF">
        <w:t xml:space="preserve">written </w:t>
      </w:r>
      <w:r w:rsidRPr="00784DCC">
        <w:t>submission, para.</w:t>
      </w:r>
      <w:r w:rsidR="00F2224B" w:rsidRPr="00784DCC">
        <w:t> </w:t>
      </w:r>
      <w:r w:rsidRPr="00784DCC">
        <w:t>7.30. (emphasis added)</w:t>
      </w:r>
    </w:p>
  </w:footnote>
  <w:footnote w:id="227">
    <w:p w14:paraId="32588AA0" w14:textId="436DEDCA" w:rsidR="00F572D3" w:rsidRPr="00784DCC" w:rsidRDefault="00F572D3" w:rsidP="00F572D3">
      <w:pPr>
        <w:pStyle w:val="FootnoteText"/>
      </w:pPr>
      <w:r w:rsidRPr="00784DCC">
        <w:rPr>
          <w:rStyle w:val="FootnoteReference"/>
        </w:rPr>
        <w:footnoteRef/>
      </w:r>
      <w:r w:rsidRPr="00784DCC">
        <w:t xml:space="preserve"> European</w:t>
      </w:r>
      <w:r w:rsidR="00DA0ACF" w:rsidRPr="00784DCC">
        <w:t> Union</w:t>
      </w:r>
      <w:r w:rsidRPr="00784DCC">
        <w:t xml:space="preserve">'s </w:t>
      </w:r>
      <w:r w:rsidR="00B97CDF">
        <w:t>written</w:t>
      </w:r>
      <w:r w:rsidRPr="00784DCC">
        <w:t xml:space="preserve"> submission, para.</w:t>
      </w:r>
      <w:r w:rsidR="00F2224B" w:rsidRPr="00784DCC">
        <w:t> </w:t>
      </w:r>
      <w:r w:rsidRPr="00784DCC">
        <w:t>166.</w:t>
      </w:r>
    </w:p>
  </w:footnote>
  <w:footnote w:id="228">
    <w:p w14:paraId="09CAF5AB" w14:textId="5A477EB7" w:rsidR="00F572D3" w:rsidRPr="00784DCC" w:rsidRDefault="00F572D3" w:rsidP="00F572D3">
      <w:pPr>
        <w:pStyle w:val="FootnoteText"/>
      </w:pPr>
      <w:r w:rsidRPr="00784DCC">
        <w:rPr>
          <w:rStyle w:val="FootnoteReference"/>
        </w:rPr>
        <w:footnoteRef/>
      </w:r>
      <w:r w:rsidRPr="00784DCC">
        <w:t xml:space="preserve"> Colombia's</w:t>
      </w:r>
      <w:r w:rsidR="00B97CDF" w:rsidRPr="00B97CDF">
        <w:t xml:space="preserve"> </w:t>
      </w:r>
      <w:r w:rsidR="00B97CDF">
        <w:t>written</w:t>
      </w:r>
      <w:r w:rsidRPr="00784DCC">
        <w:t xml:space="preserve"> submission, para.</w:t>
      </w:r>
      <w:r w:rsidR="00F2224B" w:rsidRPr="00784DCC">
        <w:t> </w:t>
      </w:r>
      <w:r w:rsidRPr="00784DCC">
        <w:t>7.32.</w:t>
      </w:r>
    </w:p>
  </w:footnote>
  <w:footnote w:id="229">
    <w:p w14:paraId="4A3F56EB" w14:textId="77777777" w:rsidR="00F572D3" w:rsidRPr="00784DCC" w:rsidRDefault="00F572D3" w:rsidP="00F572D3">
      <w:pPr>
        <w:pStyle w:val="FootnoteText"/>
      </w:pPr>
      <w:r w:rsidRPr="00784DCC">
        <w:rPr>
          <w:rStyle w:val="FootnoteReference"/>
        </w:rPr>
        <w:footnoteRef/>
      </w:r>
      <w:r w:rsidRPr="00784DCC">
        <w:t xml:space="preserve"> Emphasis added.</w:t>
      </w:r>
    </w:p>
  </w:footnote>
  <w:footnote w:id="230">
    <w:p w14:paraId="7AF65F3E" w14:textId="28330013" w:rsidR="00F572D3" w:rsidRPr="00784DCC" w:rsidRDefault="00F572D3" w:rsidP="00F572D3">
      <w:pPr>
        <w:pStyle w:val="FootnoteText"/>
      </w:pPr>
      <w:r w:rsidRPr="00784DCC">
        <w:rPr>
          <w:rStyle w:val="FootnoteReference"/>
        </w:rPr>
        <w:footnoteRef/>
      </w:r>
      <w:r w:rsidRPr="00784DCC">
        <w:t xml:space="preserve"> See Appellate</w:t>
      </w:r>
      <w:r w:rsidR="00DA0ACF" w:rsidRPr="00784DCC">
        <w:t> Body</w:t>
      </w:r>
      <w:r w:rsidRPr="00784DCC">
        <w:t xml:space="preserve"> Report, </w:t>
      </w:r>
      <w:r w:rsidRPr="00784DCC">
        <w:rPr>
          <w:i/>
          <w:iCs/>
        </w:rPr>
        <w:t>Mexico – Anti-Dumping Measures on Rice</w:t>
      </w:r>
      <w:r w:rsidRPr="00784DCC">
        <w:t>, para.</w:t>
      </w:r>
      <w:r w:rsidR="00F2224B" w:rsidRPr="00784DCC">
        <w:t> </w:t>
      </w:r>
      <w:r w:rsidRPr="00784DCC">
        <w:t>220. See also Panel</w:t>
      </w:r>
      <w:r w:rsidR="00F2224B" w:rsidRPr="00784DCC">
        <w:t> Report</w:t>
      </w:r>
      <w:r w:rsidRPr="00784DCC">
        <w:t>, fns</w:t>
      </w:r>
      <w:r w:rsidR="00F2224B" w:rsidRPr="00784DCC">
        <w:t> </w:t>
      </w:r>
      <w:r w:rsidRPr="00784DCC">
        <w:t>551 and 552 to paras.</w:t>
      </w:r>
      <w:r w:rsidR="00DA0ACF" w:rsidRPr="00784DCC">
        <w:t> </w:t>
      </w:r>
      <w:r w:rsidRPr="00784DCC">
        <w:t>7.296 and 7.298, respectively.</w:t>
      </w:r>
      <w:r w:rsidR="0046762C" w:rsidRPr="00784DCC">
        <w:t xml:space="preserve"> </w:t>
      </w:r>
    </w:p>
  </w:footnote>
  <w:footnote w:id="231">
    <w:p w14:paraId="58B0C09D" w14:textId="12756516" w:rsidR="00F572D3" w:rsidRPr="00784DCC" w:rsidRDefault="00F572D3" w:rsidP="00F572D3">
      <w:pPr>
        <w:pStyle w:val="FootnoteText"/>
      </w:pPr>
      <w:r w:rsidRPr="00784DCC">
        <w:rPr>
          <w:rStyle w:val="FootnoteReference"/>
        </w:rPr>
        <w:footnoteRef/>
      </w:r>
      <w:r w:rsidRPr="00784DCC">
        <w:t xml:space="preserve"> Anti-Dumping Agreement</w:t>
      </w:r>
      <w:r w:rsidR="00E468E4" w:rsidRPr="00784DCC">
        <w:t>, Article 6.10</w:t>
      </w:r>
      <w:r w:rsidRPr="00784DCC">
        <w:t>. (emphasis added)</w:t>
      </w:r>
    </w:p>
  </w:footnote>
  <w:footnote w:id="232">
    <w:p w14:paraId="0FDA20E1" w14:textId="3FC00D57" w:rsidR="00F572D3" w:rsidRPr="00784DCC" w:rsidRDefault="00F572D3" w:rsidP="00F572D3">
      <w:pPr>
        <w:pStyle w:val="FootnoteText"/>
      </w:pPr>
      <w:r w:rsidRPr="00784DCC">
        <w:rPr>
          <w:rStyle w:val="FootnoteReference"/>
        </w:rPr>
        <w:footnoteRef/>
      </w:r>
      <w:r w:rsidRPr="00784DCC">
        <w:t xml:space="preserve"> Panel</w:t>
      </w:r>
      <w:r w:rsidR="00F2224B" w:rsidRPr="00784DCC">
        <w:t> Report</w:t>
      </w:r>
      <w:r w:rsidRPr="00784DCC">
        <w:t>, para.</w:t>
      </w:r>
      <w:r w:rsidR="00F2224B" w:rsidRPr="00784DCC">
        <w:t> </w:t>
      </w:r>
      <w:r w:rsidRPr="00784DCC">
        <w:t>7.297.</w:t>
      </w:r>
      <w:r w:rsidR="00E468E4" w:rsidRPr="00784DCC">
        <w:t xml:space="preserve"> </w:t>
      </w:r>
    </w:p>
  </w:footnote>
  <w:footnote w:id="233">
    <w:p w14:paraId="3E2C030C" w14:textId="2362474F" w:rsidR="00F572D3" w:rsidRPr="00784DCC" w:rsidRDefault="00F572D3" w:rsidP="00F572D3">
      <w:pPr>
        <w:pStyle w:val="FootnoteText"/>
      </w:pPr>
      <w:r w:rsidRPr="00784DCC">
        <w:rPr>
          <w:rStyle w:val="FootnoteReference"/>
        </w:rPr>
        <w:footnoteRef/>
      </w:r>
      <w:r w:rsidRPr="00784DCC">
        <w:t xml:space="preserve"> Panel</w:t>
      </w:r>
      <w:r w:rsidR="00F2224B" w:rsidRPr="00784DCC">
        <w:t> Report</w:t>
      </w:r>
      <w:r w:rsidRPr="00784DCC">
        <w:t>, para.</w:t>
      </w:r>
      <w:r w:rsidR="00F2224B" w:rsidRPr="00784DCC">
        <w:t> </w:t>
      </w:r>
      <w:r w:rsidRPr="00784DCC">
        <w:t>7.297. (emphasis original)</w:t>
      </w:r>
    </w:p>
  </w:footnote>
  <w:footnote w:id="234">
    <w:p w14:paraId="397DBCC0" w14:textId="2D923819" w:rsidR="00F572D3" w:rsidRPr="00784DCC" w:rsidRDefault="00F572D3" w:rsidP="00F572D3">
      <w:pPr>
        <w:pStyle w:val="FootnoteText"/>
      </w:pPr>
      <w:r w:rsidRPr="00784DCC">
        <w:rPr>
          <w:rStyle w:val="FootnoteReference"/>
        </w:rPr>
        <w:footnoteRef/>
      </w:r>
      <w:r w:rsidRPr="00784DCC">
        <w:t xml:space="preserve"> Panel</w:t>
      </w:r>
      <w:r w:rsidR="00F2224B" w:rsidRPr="00784DCC">
        <w:t> Report</w:t>
      </w:r>
      <w:r w:rsidRPr="00784DCC">
        <w:t>, para.</w:t>
      </w:r>
      <w:r w:rsidR="00F2224B" w:rsidRPr="00784DCC">
        <w:t> </w:t>
      </w:r>
      <w:r w:rsidRPr="00784DCC">
        <w:t>7.297. (emphasis original)</w:t>
      </w:r>
    </w:p>
  </w:footnote>
  <w:footnote w:id="235">
    <w:p w14:paraId="27BEDFFA" w14:textId="3CB3B317" w:rsidR="00F572D3" w:rsidRPr="00784DCC" w:rsidRDefault="00F572D3" w:rsidP="00F572D3">
      <w:pPr>
        <w:pStyle w:val="FootnoteText"/>
      </w:pPr>
      <w:r w:rsidRPr="00784DCC">
        <w:rPr>
          <w:rStyle w:val="FootnoteReference"/>
        </w:rPr>
        <w:footnoteRef/>
      </w:r>
      <w:r w:rsidRPr="00784DCC">
        <w:t xml:space="preserve"> See e.g. Panel</w:t>
      </w:r>
      <w:r w:rsidR="00F2224B" w:rsidRPr="00784DCC">
        <w:t> Report</w:t>
      </w:r>
      <w:r w:rsidRPr="00784DCC">
        <w:t xml:space="preserve">s, </w:t>
      </w:r>
      <w:r w:rsidRPr="00784DCC">
        <w:rPr>
          <w:i/>
          <w:iCs/>
        </w:rPr>
        <w:t>Canada – Welded Pipe</w:t>
      </w:r>
      <w:r w:rsidRPr="00784DCC">
        <w:t>, para</w:t>
      </w:r>
      <w:r w:rsidR="00E97E10" w:rsidRPr="00784DCC">
        <w:t>s</w:t>
      </w:r>
      <w:r w:rsidRPr="00784DCC">
        <w:t>.</w:t>
      </w:r>
      <w:r w:rsidR="00DA0ACF" w:rsidRPr="00784DCC">
        <w:t> </w:t>
      </w:r>
      <w:r w:rsidR="00E97E10" w:rsidRPr="00784DCC">
        <w:t xml:space="preserve">7.21 and </w:t>
      </w:r>
      <w:r w:rsidRPr="00784DCC">
        <w:t xml:space="preserve">7.26; </w:t>
      </w:r>
      <w:r w:rsidRPr="00784DCC">
        <w:rPr>
          <w:i/>
          <w:iCs/>
        </w:rPr>
        <w:t>Mexico – Anti-Dumping Measures on Rice</w:t>
      </w:r>
      <w:r w:rsidRPr="00784DCC">
        <w:t>, para.</w:t>
      </w:r>
      <w:r w:rsidR="00F2224B" w:rsidRPr="00784DCC">
        <w:t> </w:t>
      </w:r>
      <w:r w:rsidRPr="00784DCC">
        <w:t>7.140; Appellate</w:t>
      </w:r>
      <w:r w:rsidR="00DA0ACF" w:rsidRPr="00784DCC">
        <w:t> Body</w:t>
      </w:r>
      <w:r w:rsidRPr="00784DCC">
        <w:t xml:space="preserve"> Report, </w:t>
      </w:r>
      <w:r w:rsidRPr="00784DCC">
        <w:rPr>
          <w:i/>
          <w:iCs/>
        </w:rPr>
        <w:t>Mexico – Anti-Dumping Measures on Rice</w:t>
      </w:r>
      <w:r w:rsidRPr="00784DCC">
        <w:t>, para.</w:t>
      </w:r>
      <w:r w:rsidR="00F2224B" w:rsidRPr="00784DCC">
        <w:t> </w:t>
      </w:r>
      <w:r w:rsidR="00E97E10" w:rsidRPr="00784DCC">
        <w:t>216</w:t>
      </w:r>
      <w:r w:rsidRPr="00784DCC">
        <w:t>.</w:t>
      </w:r>
    </w:p>
  </w:footnote>
  <w:footnote w:id="236">
    <w:p w14:paraId="60A34592" w14:textId="33A16CAC" w:rsidR="00F572D3" w:rsidRPr="00784DCC" w:rsidRDefault="00F572D3" w:rsidP="00F572D3">
      <w:pPr>
        <w:pStyle w:val="FootnoteText"/>
      </w:pPr>
      <w:r w:rsidRPr="00784DCC">
        <w:rPr>
          <w:rStyle w:val="FootnoteReference"/>
        </w:rPr>
        <w:footnoteRef/>
      </w:r>
      <w:r w:rsidRPr="00784DCC">
        <w:t xml:space="preserve"> Panel</w:t>
      </w:r>
      <w:r w:rsidR="00F2224B" w:rsidRPr="00784DCC">
        <w:t> Report</w:t>
      </w:r>
      <w:r w:rsidRPr="00784DCC">
        <w:t>, para.</w:t>
      </w:r>
      <w:r w:rsidR="00F2224B" w:rsidRPr="00784DCC">
        <w:t> </w:t>
      </w:r>
      <w:r w:rsidRPr="00784DCC">
        <w:t>7.298.</w:t>
      </w:r>
    </w:p>
  </w:footnote>
  <w:footnote w:id="237">
    <w:p w14:paraId="72B0E460" w14:textId="54EA58BD" w:rsidR="00F572D3" w:rsidRPr="00784DCC" w:rsidRDefault="00F572D3" w:rsidP="00F572D3">
      <w:pPr>
        <w:pStyle w:val="FootnoteText"/>
      </w:pPr>
      <w:r w:rsidRPr="00784DCC">
        <w:rPr>
          <w:rStyle w:val="FootnoteReference"/>
        </w:rPr>
        <w:footnoteRef/>
      </w:r>
      <w:r w:rsidRPr="00784DCC">
        <w:t xml:space="preserve"> See Colombia's </w:t>
      </w:r>
      <w:r w:rsidR="00B97CDF">
        <w:t xml:space="preserve">written </w:t>
      </w:r>
      <w:r w:rsidRPr="00784DCC">
        <w:t>submission, para</w:t>
      </w:r>
      <w:r w:rsidR="00E468E4" w:rsidRPr="00784DCC">
        <w:t>. </w:t>
      </w:r>
      <w:r w:rsidRPr="00784DCC">
        <w:t>7.35.</w:t>
      </w:r>
    </w:p>
  </w:footnote>
  <w:footnote w:id="238">
    <w:p w14:paraId="07363E20" w14:textId="057909C7" w:rsidR="00F572D3" w:rsidRPr="00784DCC" w:rsidRDefault="00F572D3" w:rsidP="00F572D3">
      <w:pPr>
        <w:pStyle w:val="FootnoteText"/>
      </w:pPr>
      <w:r w:rsidRPr="00784DCC">
        <w:rPr>
          <w:rStyle w:val="FootnoteReference"/>
        </w:rPr>
        <w:footnoteRef/>
      </w:r>
      <w:r w:rsidRPr="00784DCC">
        <w:t xml:space="preserve"> European</w:t>
      </w:r>
      <w:r w:rsidR="00DA0ACF" w:rsidRPr="00784DCC">
        <w:t> Union</w:t>
      </w:r>
      <w:r w:rsidRPr="00784DCC">
        <w:t>'s response to questioning at the hearing.</w:t>
      </w:r>
    </w:p>
  </w:footnote>
  <w:footnote w:id="239">
    <w:p w14:paraId="46F9FFDB" w14:textId="7EC5C822" w:rsidR="00F572D3" w:rsidRPr="00784DCC" w:rsidRDefault="00F572D3" w:rsidP="00F572D3">
      <w:pPr>
        <w:pStyle w:val="FootnoteText"/>
      </w:pPr>
      <w:r w:rsidRPr="00784DCC">
        <w:rPr>
          <w:rStyle w:val="FootnoteReference"/>
        </w:rPr>
        <w:footnoteRef/>
      </w:r>
      <w:r w:rsidRPr="00784DCC">
        <w:t xml:space="preserve"> Panel</w:t>
      </w:r>
      <w:r w:rsidR="00F2224B" w:rsidRPr="00784DCC">
        <w:t> Report</w:t>
      </w:r>
      <w:r w:rsidRPr="00784DCC">
        <w:t>, para.</w:t>
      </w:r>
      <w:r w:rsidR="00F2224B" w:rsidRPr="00784DCC">
        <w:t> </w:t>
      </w:r>
      <w:r w:rsidRPr="00784DCC">
        <w:t>7.298.</w:t>
      </w:r>
      <w:r w:rsidR="005827EC">
        <w:t xml:space="preserve"> (emphasis original)</w:t>
      </w:r>
    </w:p>
  </w:footnote>
  <w:footnote w:id="240">
    <w:p w14:paraId="7FD9512B" w14:textId="222C1619" w:rsidR="00F572D3" w:rsidRPr="00784DCC" w:rsidRDefault="00F572D3" w:rsidP="00F572D3">
      <w:pPr>
        <w:pStyle w:val="FootnoteText"/>
      </w:pPr>
      <w:r w:rsidRPr="00784DCC">
        <w:rPr>
          <w:rStyle w:val="FootnoteReference"/>
        </w:rPr>
        <w:footnoteRef/>
      </w:r>
      <w:r w:rsidRPr="00784DCC">
        <w:t xml:space="preserve"> Colombia's </w:t>
      </w:r>
      <w:r w:rsidR="00B97CDF">
        <w:t xml:space="preserve">written </w:t>
      </w:r>
      <w:r w:rsidRPr="00784DCC">
        <w:t>submission, para.</w:t>
      </w:r>
      <w:r w:rsidR="00F2224B" w:rsidRPr="00784DCC">
        <w:t> </w:t>
      </w:r>
      <w:r w:rsidRPr="00784DCC">
        <w:t>7.24.</w:t>
      </w:r>
    </w:p>
  </w:footnote>
  <w:footnote w:id="241">
    <w:p w14:paraId="4F0BCBF1" w14:textId="46DBC326" w:rsidR="00F572D3" w:rsidRPr="00784DCC" w:rsidRDefault="00F572D3" w:rsidP="00F572D3">
      <w:pPr>
        <w:pStyle w:val="FootnoteText"/>
      </w:pPr>
      <w:r w:rsidRPr="00784DCC">
        <w:rPr>
          <w:rStyle w:val="FootnoteReference"/>
        </w:rPr>
        <w:footnoteRef/>
      </w:r>
      <w:r w:rsidRPr="00784DCC">
        <w:t xml:space="preserve"> Panel</w:t>
      </w:r>
      <w:r w:rsidR="00F2224B" w:rsidRPr="00784DCC">
        <w:t> Report</w:t>
      </w:r>
      <w:r w:rsidRPr="00784DCC">
        <w:t>, fn</w:t>
      </w:r>
      <w:r w:rsidR="00F2224B" w:rsidRPr="00784DCC">
        <w:t> </w:t>
      </w:r>
      <w:r w:rsidRPr="00784DCC">
        <w:t>565 to para.</w:t>
      </w:r>
      <w:r w:rsidR="00F2224B" w:rsidRPr="00784DCC">
        <w:t> </w:t>
      </w:r>
      <w:r w:rsidRPr="00784DCC">
        <w:t>7.303.</w:t>
      </w:r>
    </w:p>
  </w:footnote>
  <w:footnote w:id="242">
    <w:p w14:paraId="129BB6FE" w14:textId="10587B0D" w:rsidR="00F572D3" w:rsidRPr="00784DCC" w:rsidRDefault="00F572D3" w:rsidP="00F572D3">
      <w:pPr>
        <w:pStyle w:val="FootnoteText"/>
      </w:pPr>
      <w:r w:rsidRPr="00784DCC">
        <w:rPr>
          <w:rStyle w:val="FootnoteReference"/>
        </w:rPr>
        <w:footnoteRef/>
      </w:r>
      <w:r w:rsidRPr="00784DCC">
        <w:t xml:space="preserve"> Colombia's </w:t>
      </w:r>
      <w:r w:rsidR="00B97CDF">
        <w:t xml:space="preserve">written </w:t>
      </w:r>
      <w:r w:rsidRPr="00784DCC">
        <w:t>submission, para.</w:t>
      </w:r>
      <w:r w:rsidR="00F2224B" w:rsidRPr="00784DCC">
        <w:t> </w:t>
      </w:r>
      <w:r w:rsidRPr="00784DCC">
        <w:t>7.24.</w:t>
      </w:r>
    </w:p>
  </w:footnote>
  <w:footnote w:id="243">
    <w:p w14:paraId="7AC7EAF6" w14:textId="6DE4650A" w:rsidR="00F572D3" w:rsidRPr="00784DCC" w:rsidRDefault="00F572D3" w:rsidP="00F572D3">
      <w:pPr>
        <w:pStyle w:val="FootnoteText"/>
      </w:pPr>
      <w:r w:rsidRPr="00784DCC">
        <w:rPr>
          <w:rStyle w:val="FootnoteReference"/>
        </w:rPr>
        <w:footnoteRef/>
      </w:r>
      <w:r w:rsidRPr="00784DCC">
        <w:t xml:space="preserve"> Colombia's </w:t>
      </w:r>
      <w:r w:rsidR="00B97CDF">
        <w:t xml:space="preserve">written </w:t>
      </w:r>
      <w:r w:rsidRPr="00784DCC">
        <w:t>submission, paras.</w:t>
      </w:r>
      <w:r w:rsidR="00DA0ACF" w:rsidRPr="00784DCC">
        <w:t> </w:t>
      </w:r>
      <w:r w:rsidRPr="00784DCC">
        <w:t xml:space="preserve">7.21-7.24 (quoting </w:t>
      </w:r>
      <w:r w:rsidRPr="00784DCC">
        <w:rPr>
          <w:i/>
          <w:iCs/>
          <w:szCs w:val="16"/>
        </w:rPr>
        <w:t>Anti-Dumping Checklist</w:t>
      </w:r>
      <w:r w:rsidRPr="00784DCC">
        <w:rPr>
          <w:szCs w:val="16"/>
        </w:rPr>
        <w:t xml:space="preserve">, </w:t>
      </w:r>
      <w:r w:rsidRPr="00784DCC">
        <w:rPr>
          <w:i/>
          <w:iCs/>
          <w:szCs w:val="16"/>
        </w:rPr>
        <w:t>Addendum, Comments by the United</w:t>
      </w:r>
      <w:r w:rsidR="00DA0ACF" w:rsidRPr="00784DCC">
        <w:rPr>
          <w:i/>
          <w:iCs/>
          <w:szCs w:val="16"/>
        </w:rPr>
        <w:t> States</w:t>
      </w:r>
      <w:r w:rsidRPr="00784DCC">
        <w:rPr>
          <w:i/>
          <w:iCs/>
          <w:szCs w:val="16"/>
        </w:rPr>
        <w:t xml:space="preserve"> on Items I-V</w:t>
      </w:r>
      <w:r w:rsidRPr="00784DCC">
        <w:rPr>
          <w:szCs w:val="16"/>
        </w:rPr>
        <w:t>, 30</w:t>
      </w:r>
      <w:r w:rsidR="00EC1BC6" w:rsidRPr="00784DCC">
        <w:rPr>
          <w:szCs w:val="16"/>
        </w:rPr>
        <w:t> </w:t>
      </w:r>
      <w:r w:rsidRPr="00784DCC">
        <w:rPr>
          <w:szCs w:val="16"/>
        </w:rPr>
        <w:t>June</w:t>
      </w:r>
      <w:r w:rsidR="00EC1BC6" w:rsidRPr="00784DCC">
        <w:rPr>
          <w:szCs w:val="16"/>
        </w:rPr>
        <w:t> </w:t>
      </w:r>
      <w:r w:rsidRPr="00784DCC">
        <w:rPr>
          <w:szCs w:val="16"/>
        </w:rPr>
        <w:t>1966, TN.64/NTB/W/12/Add.5 (</w:t>
      </w:r>
      <w:r w:rsidR="00CB14C8" w:rsidRPr="00784DCC">
        <w:rPr>
          <w:szCs w:val="16"/>
        </w:rPr>
        <w:t xml:space="preserve">Panel </w:t>
      </w:r>
      <w:r w:rsidRPr="00784DCC">
        <w:rPr>
          <w:szCs w:val="16"/>
        </w:rPr>
        <w:t xml:space="preserve">Exhibit COL-19), </w:t>
      </w:r>
      <w:r w:rsidR="00FB636F">
        <w:rPr>
          <w:szCs w:val="16"/>
        </w:rPr>
        <w:t>p.</w:t>
      </w:r>
      <w:r w:rsidR="00FB636F" w:rsidRPr="00784DCC">
        <w:rPr>
          <w:szCs w:val="16"/>
        </w:rPr>
        <w:t xml:space="preserve"> </w:t>
      </w:r>
      <w:r w:rsidRPr="00784DCC">
        <w:rPr>
          <w:szCs w:val="16"/>
        </w:rPr>
        <w:t>4; Possible Elements to be Considered for Inclusion in an Anti-Dumping Code: Note by the Secretariat, TN.64/NTB/W/13, 23</w:t>
      </w:r>
      <w:r w:rsidR="00EC1BC6" w:rsidRPr="00784DCC">
        <w:rPr>
          <w:szCs w:val="16"/>
        </w:rPr>
        <w:t> </w:t>
      </w:r>
      <w:r w:rsidRPr="00784DCC">
        <w:rPr>
          <w:szCs w:val="16"/>
        </w:rPr>
        <w:t>August</w:t>
      </w:r>
      <w:r w:rsidR="00EC1BC6" w:rsidRPr="00784DCC">
        <w:rPr>
          <w:szCs w:val="16"/>
        </w:rPr>
        <w:t> </w:t>
      </w:r>
      <w:r w:rsidRPr="00784DCC">
        <w:rPr>
          <w:szCs w:val="16"/>
        </w:rPr>
        <w:t>1966 (</w:t>
      </w:r>
      <w:r w:rsidR="00CB14C8" w:rsidRPr="00784DCC">
        <w:rPr>
          <w:szCs w:val="16"/>
        </w:rPr>
        <w:t xml:space="preserve">Panel </w:t>
      </w:r>
      <w:r w:rsidRPr="00784DCC">
        <w:rPr>
          <w:szCs w:val="16"/>
        </w:rPr>
        <w:t xml:space="preserve">Exhibit COL-20), </w:t>
      </w:r>
      <w:r w:rsidR="00FB636F">
        <w:rPr>
          <w:szCs w:val="16"/>
        </w:rPr>
        <w:t>p.</w:t>
      </w:r>
      <w:r w:rsidR="00FB636F" w:rsidRPr="00784DCC">
        <w:rPr>
          <w:szCs w:val="16"/>
        </w:rPr>
        <w:t xml:space="preserve"> </w:t>
      </w:r>
      <w:r w:rsidRPr="00784DCC">
        <w:rPr>
          <w:szCs w:val="16"/>
        </w:rPr>
        <w:t>9; and referring to Possible Elements to be Considered for Inclusion in an Anti-Dumping Code: Note by the Secretariat (Revised List), TN.64/NTB/W/14, 9</w:t>
      </w:r>
      <w:r w:rsidR="00EC1BC6" w:rsidRPr="00784DCC">
        <w:rPr>
          <w:szCs w:val="16"/>
        </w:rPr>
        <w:t> </w:t>
      </w:r>
      <w:r w:rsidRPr="00784DCC">
        <w:rPr>
          <w:szCs w:val="16"/>
        </w:rPr>
        <w:t>December</w:t>
      </w:r>
      <w:r w:rsidR="00EC1BC6" w:rsidRPr="00784DCC">
        <w:rPr>
          <w:szCs w:val="16"/>
        </w:rPr>
        <w:t> </w:t>
      </w:r>
      <w:r w:rsidRPr="00784DCC">
        <w:rPr>
          <w:szCs w:val="16"/>
        </w:rPr>
        <w:t>1966 (</w:t>
      </w:r>
      <w:r w:rsidR="00CB14C8" w:rsidRPr="00784DCC">
        <w:rPr>
          <w:szCs w:val="16"/>
        </w:rPr>
        <w:t xml:space="preserve">Panel </w:t>
      </w:r>
      <w:r w:rsidRPr="00784DCC">
        <w:rPr>
          <w:szCs w:val="16"/>
        </w:rPr>
        <w:t>Exhibit COL-21)).</w:t>
      </w:r>
    </w:p>
  </w:footnote>
  <w:footnote w:id="244">
    <w:p w14:paraId="628DE483" w14:textId="6B5F81CE" w:rsidR="00F572D3" w:rsidRPr="00784DCC" w:rsidRDefault="00F572D3" w:rsidP="00F572D3">
      <w:pPr>
        <w:pStyle w:val="FootnoteText"/>
      </w:pPr>
      <w:r w:rsidRPr="00784DCC">
        <w:rPr>
          <w:rStyle w:val="FootnoteReference"/>
        </w:rPr>
        <w:footnoteRef/>
      </w:r>
      <w:r w:rsidRPr="00784DCC">
        <w:t xml:space="preserve"> </w:t>
      </w:r>
      <w:r w:rsidRPr="00784DCC">
        <w:rPr>
          <w:szCs w:val="16"/>
        </w:rPr>
        <w:t xml:space="preserve">Colombia's </w:t>
      </w:r>
      <w:r w:rsidR="00B97CDF">
        <w:t xml:space="preserve">written </w:t>
      </w:r>
      <w:r w:rsidRPr="00784DCC">
        <w:rPr>
          <w:szCs w:val="16"/>
        </w:rPr>
        <w:t>submission, para.</w:t>
      </w:r>
      <w:r w:rsidR="00F2224B" w:rsidRPr="00784DCC">
        <w:rPr>
          <w:szCs w:val="16"/>
        </w:rPr>
        <w:t> </w:t>
      </w:r>
      <w:r w:rsidRPr="00784DCC">
        <w:rPr>
          <w:szCs w:val="16"/>
        </w:rPr>
        <w:t xml:space="preserve">7.58 (quoting </w:t>
      </w:r>
      <w:r w:rsidRPr="00784DCC">
        <w:rPr>
          <w:i/>
          <w:iCs/>
          <w:szCs w:val="16"/>
        </w:rPr>
        <w:t>Anti-Dumping Checklist</w:t>
      </w:r>
      <w:r w:rsidRPr="00784DCC">
        <w:rPr>
          <w:szCs w:val="16"/>
        </w:rPr>
        <w:t>,</w:t>
      </w:r>
      <w:r w:rsidRPr="00784DCC">
        <w:rPr>
          <w:i/>
          <w:iCs/>
          <w:szCs w:val="16"/>
        </w:rPr>
        <w:t xml:space="preserve"> Addendum</w:t>
      </w:r>
      <w:r w:rsidRPr="00784DCC">
        <w:rPr>
          <w:szCs w:val="16"/>
        </w:rPr>
        <w:t xml:space="preserve">, </w:t>
      </w:r>
      <w:r w:rsidRPr="00784DCC">
        <w:rPr>
          <w:i/>
          <w:iCs/>
          <w:szCs w:val="16"/>
        </w:rPr>
        <w:t>Comments by the United</w:t>
      </w:r>
      <w:r w:rsidR="00DA0ACF" w:rsidRPr="00784DCC">
        <w:rPr>
          <w:i/>
          <w:iCs/>
          <w:szCs w:val="16"/>
        </w:rPr>
        <w:t> States</w:t>
      </w:r>
      <w:r w:rsidRPr="00784DCC">
        <w:rPr>
          <w:i/>
          <w:iCs/>
          <w:szCs w:val="16"/>
        </w:rPr>
        <w:t xml:space="preserve"> on Items I-V</w:t>
      </w:r>
      <w:r w:rsidRPr="00784DCC">
        <w:rPr>
          <w:szCs w:val="16"/>
        </w:rPr>
        <w:t>, TN.64/NTB/W/12/Add.5, 30</w:t>
      </w:r>
      <w:r w:rsidR="00EC1BC6" w:rsidRPr="00784DCC">
        <w:rPr>
          <w:szCs w:val="16"/>
        </w:rPr>
        <w:t> </w:t>
      </w:r>
      <w:r w:rsidRPr="00784DCC">
        <w:rPr>
          <w:szCs w:val="16"/>
        </w:rPr>
        <w:t>June</w:t>
      </w:r>
      <w:r w:rsidR="00EC1BC6" w:rsidRPr="00784DCC">
        <w:rPr>
          <w:szCs w:val="16"/>
        </w:rPr>
        <w:t> </w:t>
      </w:r>
      <w:r w:rsidRPr="00784DCC">
        <w:rPr>
          <w:szCs w:val="16"/>
        </w:rPr>
        <w:t>1966 (</w:t>
      </w:r>
      <w:r w:rsidR="00CB14C8" w:rsidRPr="00784DCC">
        <w:rPr>
          <w:szCs w:val="16"/>
        </w:rPr>
        <w:t xml:space="preserve">Panel </w:t>
      </w:r>
      <w:r w:rsidRPr="00784DCC">
        <w:rPr>
          <w:szCs w:val="16"/>
        </w:rPr>
        <w:t xml:space="preserve">Exhibit COL-19), </w:t>
      </w:r>
      <w:r w:rsidR="00FB636F">
        <w:rPr>
          <w:szCs w:val="16"/>
        </w:rPr>
        <w:t>p.</w:t>
      </w:r>
      <w:r w:rsidR="00FB636F" w:rsidRPr="00784DCC">
        <w:rPr>
          <w:szCs w:val="16"/>
        </w:rPr>
        <w:t xml:space="preserve"> </w:t>
      </w:r>
      <w:r w:rsidRPr="00784DCC">
        <w:rPr>
          <w:szCs w:val="16"/>
        </w:rPr>
        <w:t xml:space="preserve">5; </w:t>
      </w:r>
      <w:r w:rsidRPr="00784DCC">
        <w:rPr>
          <w:i/>
          <w:iCs/>
          <w:szCs w:val="16"/>
        </w:rPr>
        <w:t>Anti</w:t>
      </w:r>
      <w:r w:rsidR="008A6746">
        <w:rPr>
          <w:i/>
          <w:iCs/>
          <w:szCs w:val="16"/>
        </w:rPr>
        <w:noBreakHyphen/>
      </w:r>
      <w:r w:rsidRPr="00784DCC">
        <w:rPr>
          <w:i/>
          <w:iCs/>
          <w:szCs w:val="16"/>
        </w:rPr>
        <w:t>Dumping Checklist</w:t>
      </w:r>
      <w:r w:rsidRPr="00784DCC">
        <w:rPr>
          <w:szCs w:val="16"/>
        </w:rPr>
        <w:t xml:space="preserve">, </w:t>
      </w:r>
      <w:r w:rsidRPr="00784DCC">
        <w:rPr>
          <w:i/>
          <w:iCs/>
          <w:szCs w:val="16"/>
        </w:rPr>
        <w:t>Comments by Norway on Items I-V and IX-XIII</w:t>
      </w:r>
      <w:r w:rsidRPr="00784DCC">
        <w:rPr>
          <w:szCs w:val="16"/>
        </w:rPr>
        <w:t>, TN.64/NTB/W/12/Add.1, 23</w:t>
      </w:r>
      <w:r w:rsidR="00EC1BC6" w:rsidRPr="00784DCC">
        <w:rPr>
          <w:szCs w:val="16"/>
        </w:rPr>
        <w:t> </w:t>
      </w:r>
      <w:r w:rsidRPr="00784DCC">
        <w:rPr>
          <w:szCs w:val="16"/>
        </w:rPr>
        <w:t>June</w:t>
      </w:r>
      <w:r w:rsidR="00EC1BC6" w:rsidRPr="00784DCC">
        <w:rPr>
          <w:szCs w:val="16"/>
        </w:rPr>
        <w:t> </w:t>
      </w:r>
      <w:r w:rsidRPr="00784DCC">
        <w:rPr>
          <w:szCs w:val="16"/>
        </w:rPr>
        <w:t>1966 (</w:t>
      </w:r>
      <w:r w:rsidR="00CB14C8" w:rsidRPr="00784DCC">
        <w:rPr>
          <w:szCs w:val="16"/>
        </w:rPr>
        <w:t xml:space="preserve">Panel </w:t>
      </w:r>
      <w:r w:rsidRPr="00784DCC">
        <w:rPr>
          <w:szCs w:val="16"/>
        </w:rPr>
        <w:t xml:space="preserve">Exhibit COL-51), at 3; </w:t>
      </w:r>
      <w:r w:rsidRPr="00784DCC">
        <w:rPr>
          <w:i/>
          <w:iCs/>
          <w:szCs w:val="16"/>
        </w:rPr>
        <w:t>Anti-Dumping Checklist</w:t>
      </w:r>
      <w:r w:rsidRPr="00784DCC">
        <w:rPr>
          <w:szCs w:val="16"/>
        </w:rPr>
        <w:t xml:space="preserve">, </w:t>
      </w:r>
      <w:r w:rsidRPr="00784DCC">
        <w:rPr>
          <w:i/>
          <w:iCs/>
          <w:szCs w:val="16"/>
        </w:rPr>
        <w:t>Comments by the European Economic Community on Items I-V and IX- XIII</w:t>
      </w:r>
      <w:r w:rsidRPr="00784DCC">
        <w:rPr>
          <w:szCs w:val="16"/>
        </w:rPr>
        <w:t>,</w:t>
      </w:r>
      <w:r w:rsidRPr="00784DCC">
        <w:rPr>
          <w:i/>
          <w:iCs/>
          <w:szCs w:val="16"/>
        </w:rPr>
        <w:t xml:space="preserve"> </w:t>
      </w:r>
      <w:r w:rsidRPr="00784DCC">
        <w:rPr>
          <w:szCs w:val="16"/>
        </w:rPr>
        <w:t>TN.64/NTB/W/12/Add.2, 24</w:t>
      </w:r>
      <w:r w:rsidR="00EC1BC6" w:rsidRPr="00784DCC">
        <w:rPr>
          <w:szCs w:val="16"/>
        </w:rPr>
        <w:t> </w:t>
      </w:r>
      <w:r w:rsidRPr="00784DCC">
        <w:rPr>
          <w:szCs w:val="16"/>
        </w:rPr>
        <w:t>June</w:t>
      </w:r>
      <w:r w:rsidR="00EC1BC6" w:rsidRPr="00784DCC">
        <w:rPr>
          <w:szCs w:val="16"/>
        </w:rPr>
        <w:t> </w:t>
      </w:r>
      <w:r w:rsidRPr="00784DCC">
        <w:rPr>
          <w:szCs w:val="16"/>
        </w:rPr>
        <w:t>1966 (</w:t>
      </w:r>
      <w:r w:rsidR="00CB14C8" w:rsidRPr="00784DCC">
        <w:rPr>
          <w:szCs w:val="16"/>
        </w:rPr>
        <w:t xml:space="preserve">Panel </w:t>
      </w:r>
      <w:r w:rsidRPr="00784DCC">
        <w:rPr>
          <w:szCs w:val="16"/>
        </w:rPr>
        <w:t xml:space="preserve">Exhibit COL-52), </w:t>
      </w:r>
      <w:r w:rsidR="00FB636F">
        <w:rPr>
          <w:szCs w:val="16"/>
        </w:rPr>
        <w:t>p.</w:t>
      </w:r>
      <w:r w:rsidR="00FB636F" w:rsidRPr="00784DCC">
        <w:rPr>
          <w:szCs w:val="16"/>
        </w:rPr>
        <w:t xml:space="preserve"> </w:t>
      </w:r>
      <w:r w:rsidRPr="00784DCC">
        <w:rPr>
          <w:szCs w:val="16"/>
        </w:rPr>
        <w:t xml:space="preserve">3; </w:t>
      </w:r>
      <w:r w:rsidRPr="00784DCC">
        <w:rPr>
          <w:i/>
          <w:iCs/>
          <w:szCs w:val="16"/>
        </w:rPr>
        <w:t>Anti-Dumping Checklist</w:t>
      </w:r>
      <w:r w:rsidRPr="00784DCC">
        <w:rPr>
          <w:szCs w:val="16"/>
        </w:rPr>
        <w:t xml:space="preserve">, </w:t>
      </w:r>
      <w:r w:rsidRPr="00784DCC">
        <w:rPr>
          <w:i/>
          <w:iCs/>
          <w:szCs w:val="16"/>
        </w:rPr>
        <w:t>Comments by Denmark on Items I-V and IX-XIII</w:t>
      </w:r>
      <w:r w:rsidRPr="00784DCC">
        <w:rPr>
          <w:szCs w:val="16"/>
        </w:rPr>
        <w:t>, TN.64/NTB/W/12/Add.7 30</w:t>
      </w:r>
      <w:r w:rsidR="00EC1BC6" w:rsidRPr="00784DCC">
        <w:rPr>
          <w:szCs w:val="16"/>
        </w:rPr>
        <w:t> </w:t>
      </w:r>
      <w:r w:rsidRPr="00784DCC">
        <w:rPr>
          <w:szCs w:val="16"/>
        </w:rPr>
        <w:t>June</w:t>
      </w:r>
      <w:r w:rsidR="00EC1BC6" w:rsidRPr="00784DCC">
        <w:rPr>
          <w:szCs w:val="16"/>
        </w:rPr>
        <w:t> </w:t>
      </w:r>
      <w:r w:rsidRPr="00784DCC">
        <w:rPr>
          <w:szCs w:val="16"/>
        </w:rPr>
        <w:t>1966 (</w:t>
      </w:r>
      <w:r w:rsidR="00CB14C8" w:rsidRPr="00784DCC">
        <w:rPr>
          <w:szCs w:val="16"/>
        </w:rPr>
        <w:t xml:space="preserve">Panel </w:t>
      </w:r>
      <w:r w:rsidRPr="00784DCC">
        <w:rPr>
          <w:szCs w:val="16"/>
        </w:rPr>
        <w:t>Exhibit COL</w:t>
      </w:r>
      <w:r w:rsidR="009C332D" w:rsidRPr="00784DCC">
        <w:rPr>
          <w:szCs w:val="16"/>
        </w:rPr>
        <w:noBreakHyphen/>
      </w:r>
      <w:r w:rsidRPr="00784DCC">
        <w:rPr>
          <w:szCs w:val="16"/>
        </w:rPr>
        <w:t xml:space="preserve">54), </w:t>
      </w:r>
      <w:r w:rsidR="003D314A">
        <w:rPr>
          <w:szCs w:val="16"/>
        </w:rPr>
        <w:t>pp. </w:t>
      </w:r>
      <w:r w:rsidRPr="00784DCC">
        <w:rPr>
          <w:szCs w:val="16"/>
        </w:rPr>
        <w:t>1</w:t>
      </w:r>
      <w:r w:rsidR="003D314A">
        <w:rPr>
          <w:szCs w:val="16"/>
        </w:rPr>
        <w:noBreakHyphen/>
      </w:r>
      <w:r w:rsidRPr="00784DCC">
        <w:rPr>
          <w:szCs w:val="16"/>
        </w:rPr>
        <w:t xml:space="preserve">2; </w:t>
      </w:r>
      <w:r w:rsidRPr="00784DCC">
        <w:rPr>
          <w:i/>
          <w:iCs/>
          <w:szCs w:val="16"/>
        </w:rPr>
        <w:t>Anti-Dumping Checklist</w:t>
      </w:r>
      <w:r w:rsidRPr="00784DCC">
        <w:rPr>
          <w:szCs w:val="16"/>
        </w:rPr>
        <w:t>,</w:t>
      </w:r>
      <w:r w:rsidRPr="00784DCC">
        <w:rPr>
          <w:i/>
          <w:iCs/>
          <w:szCs w:val="16"/>
        </w:rPr>
        <w:t xml:space="preserve"> Addendum</w:t>
      </w:r>
      <w:r w:rsidRPr="00784DCC">
        <w:rPr>
          <w:szCs w:val="16"/>
        </w:rPr>
        <w:t xml:space="preserve">, </w:t>
      </w:r>
      <w:r w:rsidRPr="00784DCC">
        <w:rPr>
          <w:i/>
          <w:iCs/>
          <w:szCs w:val="16"/>
        </w:rPr>
        <w:t>Comments by Sweden on Items I-V and IX-XIII</w:t>
      </w:r>
      <w:r w:rsidRPr="00784DCC">
        <w:rPr>
          <w:szCs w:val="16"/>
        </w:rPr>
        <w:t>, TN.64/NTB/W/12/Add.8, 7</w:t>
      </w:r>
      <w:r w:rsidR="00EC1BC6" w:rsidRPr="00784DCC">
        <w:rPr>
          <w:szCs w:val="16"/>
        </w:rPr>
        <w:t> </w:t>
      </w:r>
      <w:r w:rsidRPr="00784DCC">
        <w:rPr>
          <w:szCs w:val="16"/>
        </w:rPr>
        <w:t>July</w:t>
      </w:r>
      <w:r w:rsidR="00EC1BC6" w:rsidRPr="00784DCC">
        <w:rPr>
          <w:szCs w:val="16"/>
        </w:rPr>
        <w:t> </w:t>
      </w:r>
      <w:r w:rsidRPr="00784DCC">
        <w:rPr>
          <w:szCs w:val="16"/>
        </w:rPr>
        <w:t>1966 (</w:t>
      </w:r>
      <w:r w:rsidR="00CB14C8" w:rsidRPr="00784DCC">
        <w:rPr>
          <w:szCs w:val="16"/>
        </w:rPr>
        <w:t xml:space="preserve">Panel </w:t>
      </w:r>
      <w:r w:rsidRPr="00784DCC">
        <w:rPr>
          <w:szCs w:val="16"/>
        </w:rPr>
        <w:t xml:space="preserve">Exhibit COL-55), </w:t>
      </w:r>
      <w:r w:rsidR="00FB636F">
        <w:rPr>
          <w:szCs w:val="16"/>
        </w:rPr>
        <w:t>p.</w:t>
      </w:r>
      <w:r w:rsidR="003D314A">
        <w:rPr>
          <w:szCs w:val="16"/>
        </w:rPr>
        <w:t> </w:t>
      </w:r>
      <w:r w:rsidRPr="00784DCC">
        <w:rPr>
          <w:szCs w:val="16"/>
        </w:rPr>
        <w:t xml:space="preserve">3; and referring to </w:t>
      </w:r>
      <w:r w:rsidRPr="00784DCC">
        <w:rPr>
          <w:i/>
          <w:iCs/>
          <w:szCs w:val="16"/>
        </w:rPr>
        <w:t>Anti</w:t>
      </w:r>
      <w:r w:rsidR="003D314A">
        <w:rPr>
          <w:i/>
          <w:iCs/>
          <w:szCs w:val="16"/>
        </w:rPr>
        <w:noBreakHyphen/>
      </w:r>
      <w:r w:rsidRPr="00784DCC">
        <w:rPr>
          <w:i/>
          <w:iCs/>
          <w:szCs w:val="16"/>
        </w:rPr>
        <w:t>Dumping Checklist</w:t>
      </w:r>
      <w:r w:rsidRPr="00784DCC">
        <w:rPr>
          <w:szCs w:val="16"/>
        </w:rPr>
        <w:t xml:space="preserve">, </w:t>
      </w:r>
      <w:r w:rsidRPr="00784DCC">
        <w:rPr>
          <w:i/>
          <w:iCs/>
          <w:szCs w:val="16"/>
        </w:rPr>
        <w:t>Addendum</w:t>
      </w:r>
      <w:r w:rsidRPr="00784DCC">
        <w:rPr>
          <w:szCs w:val="16"/>
        </w:rPr>
        <w:t xml:space="preserve">, </w:t>
      </w:r>
      <w:r w:rsidRPr="00784DCC">
        <w:rPr>
          <w:i/>
          <w:iCs/>
          <w:szCs w:val="16"/>
        </w:rPr>
        <w:t xml:space="preserve">Comments by the Government of Canada on Items I-V and IX-XI, and XIII </w:t>
      </w:r>
      <w:r w:rsidRPr="00784DCC">
        <w:rPr>
          <w:szCs w:val="16"/>
        </w:rPr>
        <w:t>TN.64/NTB/W/12/Add.3, 30</w:t>
      </w:r>
      <w:r w:rsidR="00EC1BC6" w:rsidRPr="00784DCC">
        <w:rPr>
          <w:szCs w:val="16"/>
        </w:rPr>
        <w:t> </w:t>
      </w:r>
      <w:r w:rsidRPr="00784DCC">
        <w:rPr>
          <w:szCs w:val="16"/>
        </w:rPr>
        <w:t>June</w:t>
      </w:r>
      <w:r w:rsidR="00EC1BC6" w:rsidRPr="00784DCC">
        <w:rPr>
          <w:szCs w:val="16"/>
        </w:rPr>
        <w:t> </w:t>
      </w:r>
      <w:r w:rsidRPr="00784DCC">
        <w:rPr>
          <w:szCs w:val="16"/>
        </w:rPr>
        <w:t>1966 (</w:t>
      </w:r>
      <w:r w:rsidR="00CB14C8" w:rsidRPr="00784DCC">
        <w:rPr>
          <w:szCs w:val="16"/>
        </w:rPr>
        <w:t xml:space="preserve">Panel </w:t>
      </w:r>
      <w:r w:rsidRPr="00784DCC">
        <w:rPr>
          <w:szCs w:val="16"/>
        </w:rPr>
        <w:t xml:space="preserve">Exhibit COL-53), </w:t>
      </w:r>
      <w:r w:rsidR="00FB636F">
        <w:rPr>
          <w:szCs w:val="16"/>
        </w:rPr>
        <w:t>p.</w:t>
      </w:r>
      <w:r w:rsidR="00FB636F" w:rsidRPr="00784DCC">
        <w:rPr>
          <w:szCs w:val="16"/>
        </w:rPr>
        <w:t xml:space="preserve"> </w:t>
      </w:r>
      <w:r w:rsidRPr="00784DCC">
        <w:rPr>
          <w:szCs w:val="16"/>
        </w:rPr>
        <w:t>3)</w:t>
      </w:r>
      <w:r w:rsidR="009C332D" w:rsidRPr="00784DCC">
        <w:rPr>
          <w:szCs w:val="16"/>
        </w:rPr>
        <w:t>).</w:t>
      </w:r>
    </w:p>
  </w:footnote>
  <w:footnote w:id="245">
    <w:p w14:paraId="78846D3F" w14:textId="077002C9" w:rsidR="00F572D3" w:rsidRPr="00784DCC" w:rsidRDefault="00F572D3" w:rsidP="00F572D3">
      <w:pPr>
        <w:pStyle w:val="FootnoteText"/>
      </w:pPr>
      <w:r w:rsidRPr="00784DCC">
        <w:rPr>
          <w:rStyle w:val="FootnoteReference"/>
        </w:rPr>
        <w:footnoteRef/>
      </w:r>
      <w:r w:rsidRPr="00784DCC">
        <w:t xml:space="preserve"> Colombia's </w:t>
      </w:r>
      <w:r w:rsidR="00B97CDF">
        <w:t xml:space="preserve">written </w:t>
      </w:r>
      <w:r w:rsidRPr="00784DCC">
        <w:t>submission, para.</w:t>
      </w:r>
      <w:r w:rsidR="00F2224B" w:rsidRPr="00784DCC">
        <w:t> </w:t>
      </w:r>
      <w:r w:rsidRPr="00784DCC">
        <w:t>7.59.</w:t>
      </w:r>
    </w:p>
  </w:footnote>
  <w:footnote w:id="246">
    <w:p w14:paraId="0B600D2A" w14:textId="2165B2DA" w:rsidR="00F572D3" w:rsidRPr="00784DCC" w:rsidRDefault="00F572D3" w:rsidP="00F572D3">
      <w:pPr>
        <w:pStyle w:val="FootnoteText"/>
      </w:pPr>
      <w:r w:rsidRPr="00784DCC">
        <w:rPr>
          <w:rStyle w:val="FootnoteReference"/>
        </w:rPr>
        <w:footnoteRef/>
      </w:r>
      <w:r w:rsidRPr="00784DCC">
        <w:t xml:space="preserve"> European</w:t>
      </w:r>
      <w:r w:rsidR="00DA0ACF" w:rsidRPr="00784DCC">
        <w:t> Union</w:t>
      </w:r>
      <w:r w:rsidRPr="00784DCC">
        <w:t xml:space="preserve">'s </w:t>
      </w:r>
      <w:r w:rsidR="00B97CDF">
        <w:t>written</w:t>
      </w:r>
      <w:r w:rsidRPr="00784DCC">
        <w:t xml:space="preserve"> submission, paras.</w:t>
      </w:r>
      <w:r w:rsidR="00DA0ACF" w:rsidRPr="00784DCC">
        <w:t> </w:t>
      </w:r>
      <w:r w:rsidRPr="00784DCC">
        <w:t>218-219.</w:t>
      </w:r>
    </w:p>
  </w:footnote>
  <w:footnote w:id="247">
    <w:p w14:paraId="7EE5C0B9" w14:textId="5D8E4BFC" w:rsidR="00F572D3" w:rsidRPr="00784DCC" w:rsidRDefault="00F572D3" w:rsidP="00F572D3">
      <w:pPr>
        <w:pStyle w:val="FootnoteText"/>
      </w:pPr>
      <w:r w:rsidRPr="00784DCC">
        <w:rPr>
          <w:rStyle w:val="FootnoteReference"/>
        </w:rPr>
        <w:footnoteRef/>
      </w:r>
      <w:r w:rsidRPr="00784DCC">
        <w:t xml:space="preserve"> Colombia's </w:t>
      </w:r>
      <w:r w:rsidR="00B97CDF">
        <w:t xml:space="preserve">written </w:t>
      </w:r>
      <w:r w:rsidRPr="00784DCC">
        <w:t>submission, para.</w:t>
      </w:r>
      <w:r w:rsidR="00F2224B" w:rsidRPr="00784DCC">
        <w:t> </w:t>
      </w:r>
      <w:r w:rsidRPr="00784DCC">
        <w:t>7.60. (emphasis added)</w:t>
      </w:r>
    </w:p>
  </w:footnote>
  <w:footnote w:id="248">
    <w:p w14:paraId="4F1F6973" w14:textId="76B3B5D5" w:rsidR="00F572D3" w:rsidRPr="00784DCC" w:rsidRDefault="00F572D3" w:rsidP="00F572D3">
      <w:pPr>
        <w:pStyle w:val="FootnoteText"/>
      </w:pPr>
      <w:r w:rsidRPr="00784DCC">
        <w:rPr>
          <w:rStyle w:val="FootnoteReference"/>
        </w:rPr>
        <w:footnoteRef/>
      </w:r>
      <w:r w:rsidRPr="00784DCC">
        <w:t xml:space="preserve"> See Colombia's </w:t>
      </w:r>
      <w:r w:rsidR="00B97CDF">
        <w:t xml:space="preserve">written </w:t>
      </w:r>
      <w:r w:rsidRPr="00784DCC">
        <w:t>submission, para.</w:t>
      </w:r>
      <w:r w:rsidR="00F2224B" w:rsidRPr="00784DCC">
        <w:t> </w:t>
      </w:r>
      <w:r w:rsidRPr="00784DCC">
        <w:t xml:space="preserve">7.58. See also Japan's third party's </w:t>
      </w:r>
      <w:r w:rsidR="00B97CDF">
        <w:t xml:space="preserve">written </w:t>
      </w:r>
      <w:r w:rsidRPr="00784DCC">
        <w:t>submission, para.</w:t>
      </w:r>
      <w:r w:rsidR="00F2224B" w:rsidRPr="00784DCC">
        <w:t> </w:t>
      </w:r>
      <w:r w:rsidRPr="00784DCC">
        <w:t>58 (noting that "</w:t>
      </w:r>
      <w:r w:rsidRPr="00784DCC">
        <w:rPr>
          <w:rFonts w:eastAsia="MS PGothic"/>
        </w:rPr>
        <w:t xml:space="preserve">the negotiators' comments cited by Colombia was made in a different context where the issue was whether anti-dumping duties should be imposed to imports with </w:t>
      </w:r>
      <w:r w:rsidRPr="00784DCC">
        <w:rPr>
          <w:rFonts w:eastAsia="MS PGothic"/>
          <w:i/>
          <w:iCs/>
        </w:rPr>
        <w:t>de minimis</w:t>
      </w:r>
      <w:r w:rsidRPr="00784DCC">
        <w:rPr>
          <w:rFonts w:eastAsia="MS PGothic"/>
        </w:rPr>
        <w:t xml:space="preserve"> dumping margins, not in the context of whether imports with </w:t>
      </w:r>
      <w:r w:rsidRPr="00784DCC">
        <w:rPr>
          <w:rFonts w:eastAsia="MS PGothic"/>
          <w:i/>
          <w:iCs/>
        </w:rPr>
        <w:t>de minimis</w:t>
      </w:r>
      <w:r w:rsidRPr="00784DCC">
        <w:rPr>
          <w:rFonts w:eastAsia="MS PGothic"/>
        </w:rPr>
        <w:t xml:space="preserve"> dumping margins should be included in the injury and causation analysis"). </w:t>
      </w:r>
    </w:p>
  </w:footnote>
  <w:footnote w:id="249">
    <w:p w14:paraId="031D3E84" w14:textId="6753A576" w:rsidR="00F572D3" w:rsidRPr="00784DCC" w:rsidRDefault="00F572D3" w:rsidP="00F572D3">
      <w:pPr>
        <w:pStyle w:val="FootnoteText"/>
      </w:pPr>
      <w:r w:rsidRPr="00784DCC">
        <w:rPr>
          <w:rStyle w:val="FootnoteReference"/>
        </w:rPr>
        <w:footnoteRef/>
      </w:r>
      <w:r w:rsidRPr="00784DCC">
        <w:t xml:space="preserve"> See Colombia's </w:t>
      </w:r>
      <w:r w:rsidR="00B97CDF">
        <w:t xml:space="preserve">written </w:t>
      </w:r>
      <w:r w:rsidRPr="00784DCC">
        <w:t>submission, para.</w:t>
      </w:r>
      <w:r w:rsidR="00F2224B" w:rsidRPr="00784DCC">
        <w:t> </w:t>
      </w:r>
      <w:r w:rsidRPr="00784DCC">
        <w:t>7.60 (noting that "the negotiators conceived of the 'percentage limit' rule as applying even if the conditions of Article</w:t>
      </w:r>
      <w:r w:rsidR="00F2224B" w:rsidRPr="00784DCC">
        <w:t> </w:t>
      </w:r>
      <w:r w:rsidRPr="00784DCC">
        <w:t>VI of the GATT 1947 were met"; that "[o]ne of these conditions … is the determination of injury and causation"; and that "</w:t>
      </w:r>
      <w:r w:rsidRPr="00784DCC">
        <w:rPr>
          <w:i/>
          <w:iCs/>
        </w:rPr>
        <w:t>[i]n other words</w:t>
      </w:r>
      <w:r w:rsidRPr="00784DCC">
        <w:t xml:space="preserve">, the 'percentage limit' rule would apply </w:t>
      </w:r>
      <w:r w:rsidRPr="00784DCC">
        <w:rPr>
          <w:u w:val="single"/>
        </w:rPr>
        <w:t>even if, and therefore when</w:t>
      </w:r>
      <w:r w:rsidRPr="00784DCC">
        <w:t xml:space="preserve">, </w:t>
      </w:r>
      <w:r w:rsidRPr="00784DCC">
        <w:rPr>
          <w:i/>
          <w:iCs/>
        </w:rPr>
        <w:t>imports, including those with de minimis dumping margins</w:t>
      </w:r>
      <w:r w:rsidRPr="00784DCC">
        <w:t>, have been assessed and found to cause injury within the meaning of Article</w:t>
      </w:r>
      <w:r w:rsidR="00F2224B" w:rsidRPr="00784DCC">
        <w:t> </w:t>
      </w:r>
      <w:r w:rsidRPr="00784DCC">
        <w:t>VI" (underlining original; emphasis added)).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7DCCB" w14:textId="165E4B1C" w:rsidR="00D66402" w:rsidRPr="00D66402" w:rsidRDefault="00EB6962" w:rsidP="00D66402">
    <w:pPr>
      <w:pStyle w:val="Header"/>
      <w:pBdr>
        <w:bottom w:val="single" w:sz="4" w:space="1" w:color="auto"/>
      </w:pBdr>
      <w:tabs>
        <w:tab w:val="clear" w:pos="4513"/>
        <w:tab w:val="clear" w:pos="9027"/>
      </w:tabs>
      <w:jc w:val="center"/>
      <w:rPr>
        <w:sz w:val="20"/>
        <w:szCs w:val="20"/>
      </w:rPr>
    </w:pPr>
    <w:r>
      <w:rPr>
        <w:sz w:val="20"/>
        <w:szCs w:val="20"/>
      </w:rPr>
      <w:t>DS591</w:t>
    </w:r>
  </w:p>
  <w:p w14:paraId="462E157D" w14:textId="77777777" w:rsidR="00D66402" w:rsidRPr="00D66402" w:rsidRDefault="00D66402" w:rsidP="00D66402">
    <w:pPr>
      <w:pStyle w:val="Header"/>
      <w:pBdr>
        <w:bottom w:val="single" w:sz="4" w:space="1" w:color="auto"/>
      </w:pBdr>
      <w:tabs>
        <w:tab w:val="clear" w:pos="4513"/>
        <w:tab w:val="clear" w:pos="9027"/>
      </w:tabs>
      <w:jc w:val="center"/>
      <w:rPr>
        <w:sz w:val="20"/>
        <w:szCs w:val="20"/>
      </w:rPr>
    </w:pPr>
  </w:p>
  <w:p w14:paraId="70FB29A9" w14:textId="77777777" w:rsidR="00D66402" w:rsidRPr="00D66402" w:rsidRDefault="00D66402" w:rsidP="00D66402">
    <w:pPr>
      <w:pStyle w:val="Header"/>
      <w:pBdr>
        <w:bottom w:val="single" w:sz="4" w:space="1" w:color="auto"/>
      </w:pBdr>
      <w:tabs>
        <w:tab w:val="clear" w:pos="4513"/>
        <w:tab w:val="clear" w:pos="9027"/>
      </w:tabs>
      <w:jc w:val="center"/>
      <w:rPr>
        <w:sz w:val="20"/>
        <w:szCs w:val="20"/>
      </w:rPr>
    </w:pPr>
    <w:r w:rsidRPr="00D66402">
      <w:rPr>
        <w:sz w:val="20"/>
        <w:szCs w:val="20"/>
      </w:rPr>
      <w:t xml:space="preserve">- </w:t>
    </w:r>
    <w:r w:rsidRPr="00D66402">
      <w:rPr>
        <w:sz w:val="20"/>
        <w:szCs w:val="20"/>
      </w:rPr>
      <w:fldChar w:fldCharType="begin"/>
    </w:r>
    <w:r w:rsidRPr="00D66402">
      <w:rPr>
        <w:sz w:val="20"/>
        <w:szCs w:val="20"/>
      </w:rPr>
      <w:instrText xml:space="preserve"> PAGE </w:instrText>
    </w:r>
    <w:r w:rsidRPr="00D66402">
      <w:rPr>
        <w:sz w:val="20"/>
        <w:szCs w:val="20"/>
      </w:rPr>
      <w:fldChar w:fldCharType="separate"/>
    </w:r>
    <w:r w:rsidR="002434B4">
      <w:rPr>
        <w:noProof/>
        <w:sz w:val="20"/>
        <w:szCs w:val="20"/>
      </w:rPr>
      <w:t>2</w:t>
    </w:r>
    <w:r w:rsidRPr="00D66402">
      <w:rPr>
        <w:sz w:val="20"/>
        <w:szCs w:val="20"/>
      </w:rPr>
      <w:fldChar w:fldCharType="end"/>
    </w:r>
    <w:r w:rsidRPr="00D66402">
      <w:rPr>
        <w:sz w:val="20"/>
        <w:szCs w:val="20"/>
      </w:rPr>
      <w:t xml:space="preserve"> -</w:t>
    </w:r>
  </w:p>
  <w:p w14:paraId="6E7A1CA5" w14:textId="77777777" w:rsidR="001437DD" w:rsidRPr="00D66402" w:rsidRDefault="001437DD" w:rsidP="00D66402">
    <w:pPr>
      <w:pStyle w:val="Header"/>
      <w:tabs>
        <w:tab w:val="clear" w:pos="4513"/>
        <w:tab w:val="clear" w:pos="9027"/>
      </w:tabs>
      <w:jc w:val="cent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030E6" w14:textId="3A74392E" w:rsidR="005E5D9F" w:rsidRPr="00856AE5" w:rsidRDefault="00557C83" w:rsidP="005E5D9F">
    <w:pPr>
      <w:pStyle w:val="Header"/>
      <w:pBdr>
        <w:bottom w:val="single" w:sz="4" w:space="1" w:color="auto"/>
      </w:pBdr>
      <w:tabs>
        <w:tab w:val="clear" w:pos="4513"/>
        <w:tab w:val="clear" w:pos="9027"/>
      </w:tabs>
      <w:jc w:val="center"/>
    </w:pPr>
    <w:r w:rsidRPr="00856AE5">
      <w:t>WT/</w:t>
    </w:r>
    <w:r w:rsidR="005E5D9F" w:rsidRPr="00856AE5">
      <w:t>DS591</w:t>
    </w:r>
    <w:r w:rsidR="000415FC" w:rsidRPr="00856AE5">
      <w:t>/ARB25</w:t>
    </w:r>
  </w:p>
  <w:p w14:paraId="03075046" w14:textId="77777777" w:rsidR="00D66402" w:rsidRPr="00856AE5" w:rsidRDefault="00D66402" w:rsidP="00D66402">
    <w:pPr>
      <w:pStyle w:val="Header"/>
      <w:pBdr>
        <w:bottom w:val="single" w:sz="4" w:space="1" w:color="auto"/>
      </w:pBdr>
      <w:tabs>
        <w:tab w:val="clear" w:pos="4513"/>
        <w:tab w:val="clear" w:pos="9027"/>
      </w:tabs>
      <w:jc w:val="center"/>
    </w:pPr>
  </w:p>
  <w:p w14:paraId="4A9F397D" w14:textId="77777777" w:rsidR="00D66402" w:rsidRPr="00856AE5" w:rsidRDefault="00D66402" w:rsidP="00D66402">
    <w:pPr>
      <w:pStyle w:val="Header"/>
      <w:pBdr>
        <w:bottom w:val="single" w:sz="4" w:space="1" w:color="auto"/>
      </w:pBdr>
      <w:tabs>
        <w:tab w:val="clear" w:pos="4513"/>
        <w:tab w:val="clear" w:pos="9027"/>
      </w:tabs>
      <w:jc w:val="center"/>
    </w:pPr>
    <w:r w:rsidRPr="00856AE5">
      <w:t xml:space="preserve">- </w:t>
    </w:r>
    <w:r w:rsidRPr="00856AE5">
      <w:fldChar w:fldCharType="begin"/>
    </w:r>
    <w:r w:rsidRPr="00856AE5">
      <w:instrText xml:space="preserve"> PAGE </w:instrText>
    </w:r>
    <w:r w:rsidRPr="00856AE5">
      <w:fldChar w:fldCharType="separate"/>
    </w:r>
    <w:r w:rsidR="002434B4" w:rsidRPr="00856AE5">
      <w:rPr>
        <w:noProof/>
      </w:rPr>
      <w:t>1</w:t>
    </w:r>
    <w:r w:rsidRPr="00856AE5">
      <w:fldChar w:fldCharType="end"/>
    </w:r>
    <w:r w:rsidRPr="00856AE5">
      <w:t xml:space="preserve"> -</w:t>
    </w:r>
  </w:p>
  <w:p w14:paraId="596D42C2" w14:textId="77777777" w:rsidR="00EF273A" w:rsidRPr="00D66402" w:rsidRDefault="00EF273A" w:rsidP="00D66402">
    <w:pPr>
      <w:pStyle w:val="Header"/>
      <w:tabs>
        <w:tab w:val="clear" w:pos="4513"/>
        <w:tab w:val="clear" w:pos="9027"/>
      </w:tabs>
      <w:jc w:val="cent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D54E0" w:rsidRPr="00EF273A" w14:paraId="722F1248" w14:textId="77777777" w:rsidTr="00590D3F">
      <w:trPr>
        <w:trHeight w:val="240"/>
        <w:jc w:val="center"/>
      </w:trPr>
      <w:tc>
        <w:tcPr>
          <w:tcW w:w="3794" w:type="dxa"/>
          <w:shd w:val="clear" w:color="auto" w:fill="FFFFFF"/>
          <w:tcMar>
            <w:left w:w="108" w:type="dxa"/>
            <w:right w:w="108" w:type="dxa"/>
          </w:tcMar>
          <w:vAlign w:val="center"/>
        </w:tcPr>
        <w:p w14:paraId="059A7555" w14:textId="77777777" w:rsidR="00ED54E0" w:rsidRPr="00EF273A" w:rsidRDefault="00ED54E0" w:rsidP="00425DC5">
          <w:pPr>
            <w:rPr>
              <w:noProof/>
              <w:lang w:eastAsia="en-GB"/>
            </w:rPr>
          </w:pPr>
          <w:bookmarkStart w:id="61" w:name="bmkRestricted" w:colFirst="1" w:colLast="1"/>
        </w:p>
      </w:tc>
      <w:tc>
        <w:tcPr>
          <w:tcW w:w="5448" w:type="dxa"/>
          <w:gridSpan w:val="2"/>
          <w:shd w:val="clear" w:color="auto" w:fill="FFFFFF"/>
          <w:tcMar>
            <w:left w:w="108" w:type="dxa"/>
            <w:right w:w="108" w:type="dxa"/>
          </w:tcMar>
          <w:vAlign w:val="center"/>
        </w:tcPr>
        <w:p w14:paraId="1193E7C4" w14:textId="77777777" w:rsidR="00ED54E0" w:rsidRPr="00EF273A" w:rsidRDefault="00ED54E0" w:rsidP="00425DC5">
          <w:pPr>
            <w:jc w:val="right"/>
            <w:rPr>
              <w:b/>
              <w:color w:val="FF0000"/>
              <w:szCs w:val="16"/>
            </w:rPr>
          </w:pPr>
        </w:p>
      </w:tc>
    </w:tr>
    <w:bookmarkEnd w:id="61"/>
    <w:tr w:rsidR="00ED54E0" w:rsidRPr="00EF273A" w14:paraId="10AF27A2" w14:textId="77777777" w:rsidTr="00590D3F">
      <w:trPr>
        <w:trHeight w:val="213"/>
        <w:jc w:val="center"/>
      </w:trPr>
      <w:tc>
        <w:tcPr>
          <w:tcW w:w="3794" w:type="dxa"/>
          <w:vMerge w:val="restart"/>
          <w:shd w:val="clear" w:color="auto" w:fill="FFFFFF"/>
          <w:tcMar>
            <w:left w:w="0" w:type="dxa"/>
            <w:right w:w="0" w:type="dxa"/>
          </w:tcMar>
        </w:tcPr>
        <w:p w14:paraId="12DD4A52" w14:textId="77777777" w:rsidR="00ED54E0" w:rsidRPr="00EF273A" w:rsidRDefault="00D66402" w:rsidP="00425DC5">
          <w:pPr>
            <w:jc w:val="left"/>
          </w:pPr>
          <w:r>
            <w:rPr>
              <w:noProof/>
              <w:lang w:eastAsia="en-GB"/>
            </w:rPr>
            <w:drawing>
              <wp:inline distT="0" distB="0" distL="0" distR="0" wp14:anchorId="706DC4A3" wp14:editId="3E1D99ED">
                <wp:extent cx="2400300" cy="716280"/>
                <wp:effectExtent l="0" t="0" r="0" b="762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E78F07F" w14:textId="77777777" w:rsidR="00ED54E0" w:rsidRPr="00EF273A" w:rsidRDefault="00ED54E0" w:rsidP="00425DC5">
          <w:pPr>
            <w:jc w:val="right"/>
            <w:rPr>
              <w:b/>
              <w:szCs w:val="16"/>
            </w:rPr>
          </w:pPr>
        </w:p>
      </w:tc>
    </w:tr>
    <w:tr w:rsidR="00ED54E0" w:rsidRPr="00EF273A" w14:paraId="5750B383" w14:textId="77777777" w:rsidTr="00590D3F">
      <w:trPr>
        <w:trHeight w:val="868"/>
        <w:jc w:val="center"/>
      </w:trPr>
      <w:tc>
        <w:tcPr>
          <w:tcW w:w="3794" w:type="dxa"/>
          <w:vMerge/>
          <w:shd w:val="clear" w:color="auto" w:fill="FFFFFF"/>
          <w:tcMar>
            <w:left w:w="108" w:type="dxa"/>
            <w:right w:w="108" w:type="dxa"/>
          </w:tcMar>
        </w:tcPr>
        <w:p w14:paraId="2A90301E" w14:textId="77777777" w:rsidR="00ED54E0" w:rsidRPr="00EF273A" w:rsidRDefault="00ED54E0" w:rsidP="00425DC5">
          <w:pPr>
            <w:jc w:val="left"/>
            <w:rPr>
              <w:noProof/>
              <w:lang w:eastAsia="en-GB"/>
            </w:rPr>
          </w:pPr>
        </w:p>
      </w:tc>
      <w:tc>
        <w:tcPr>
          <w:tcW w:w="5448" w:type="dxa"/>
          <w:gridSpan w:val="2"/>
          <w:shd w:val="clear" w:color="auto" w:fill="FFFFFF"/>
          <w:tcMar>
            <w:left w:w="108" w:type="dxa"/>
            <w:right w:w="108" w:type="dxa"/>
          </w:tcMar>
        </w:tcPr>
        <w:p w14:paraId="7892C690" w14:textId="2481ED4E" w:rsidR="00D66402" w:rsidRDefault="00D66402" w:rsidP="00425DC5">
          <w:pPr>
            <w:jc w:val="right"/>
            <w:rPr>
              <w:b/>
              <w:szCs w:val="16"/>
            </w:rPr>
          </w:pPr>
          <w:bookmarkStart w:id="62" w:name="bmkSymbols"/>
          <w:r>
            <w:rPr>
              <w:b/>
              <w:szCs w:val="16"/>
            </w:rPr>
            <w:t>WT/DS</w:t>
          </w:r>
          <w:r w:rsidR="009264D9">
            <w:rPr>
              <w:b/>
              <w:szCs w:val="16"/>
            </w:rPr>
            <w:t>591</w:t>
          </w:r>
          <w:r>
            <w:rPr>
              <w:b/>
              <w:szCs w:val="16"/>
            </w:rPr>
            <w:t>/</w:t>
          </w:r>
          <w:r w:rsidR="009264D9">
            <w:rPr>
              <w:b/>
              <w:szCs w:val="16"/>
            </w:rPr>
            <w:t>A</w:t>
          </w:r>
          <w:r>
            <w:rPr>
              <w:b/>
              <w:szCs w:val="16"/>
            </w:rPr>
            <w:t>R</w:t>
          </w:r>
          <w:r w:rsidR="009264D9">
            <w:rPr>
              <w:b/>
              <w:szCs w:val="16"/>
            </w:rPr>
            <w:t>B25</w:t>
          </w:r>
        </w:p>
        <w:bookmarkEnd w:id="62"/>
        <w:p w14:paraId="31D87015" w14:textId="77777777" w:rsidR="00ED54E0" w:rsidRPr="00EF273A" w:rsidRDefault="00ED54E0" w:rsidP="00425DC5">
          <w:pPr>
            <w:jc w:val="right"/>
            <w:rPr>
              <w:b/>
              <w:szCs w:val="16"/>
            </w:rPr>
          </w:pPr>
        </w:p>
      </w:tc>
    </w:tr>
    <w:tr w:rsidR="00ED54E0" w:rsidRPr="00EF273A" w14:paraId="05D753E6" w14:textId="77777777" w:rsidTr="00590D3F">
      <w:trPr>
        <w:trHeight w:val="240"/>
        <w:jc w:val="center"/>
      </w:trPr>
      <w:tc>
        <w:tcPr>
          <w:tcW w:w="3794" w:type="dxa"/>
          <w:vMerge/>
          <w:shd w:val="clear" w:color="auto" w:fill="FFFFFF"/>
          <w:tcMar>
            <w:left w:w="108" w:type="dxa"/>
            <w:right w:w="108" w:type="dxa"/>
          </w:tcMar>
          <w:vAlign w:val="center"/>
        </w:tcPr>
        <w:p w14:paraId="4E039948" w14:textId="77777777" w:rsidR="00ED54E0" w:rsidRPr="00EF273A" w:rsidRDefault="00ED54E0" w:rsidP="00425DC5"/>
      </w:tc>
      <w:tc>
        <w:tcPr>
          <w:tcW w:w="5448" w:type="dxa"/>
          <w:gridSpan w:val="2"/>
          <w:shd w:val="clear" w:color="auto" w:fill="FFFFFF"/>
          <w:tcMar>
            <w:left w:w="108" w:type="dxa"/>
            <w:right w:w="108" w:type="dxa"/>
          </w:tcMar>
          <w:vAlign w:val="center"/>
        </w:tcPr>
        <w:p w14:paraId="7B1C402F" w14:textId="14901373" w:rsidR="00ED54E0" w:rsidRPr="00EF273A" w:rsidRDefault="00491CB7" w:rsidP="00425DC5">
          <w:pPr>
            <w:jc w:val="right"/>
            <w:rPr>
              <w:szCs w:val="16"/>
            </w:rPr>
          </w:pPr>
          <w:r>
            <w:rPr>
              <w:szCs w:val="16"/>
            </w:rPr>
            <w:t>21</w:t>
          </w:r>
          <w:r w:rsidR="00A92A75">
            <w:rPr>
              <w:szCs w:val="16"/>
            </w:rPr>
            <w:t xml:space="preserve"> December</w:t>
          </w:r>
          <w:r w:rsidR="009264D9">
            <w:rPr>
              <w:szCs w:val="16"/>
            </w:rPr>
            <w:t xml:space="preserve"> 2022</w:t>
          </w:r>
        </w:p>
      </w:tc>
    </w:tr>
    <w:tr w:rsidR="00ED54E0" w:rsidRPr="00EF273A" w14:paraId="5D8B0716" w14:textId="77777777" w:rsidTr="00590D3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0BA45BE" w14:textId="2136D581" w:rsidR="00ED54E0" w:rsidRPr="00EF273A" w:rsidRDefault="00ED54E0" w:rsidP="00425DC5">
          <w:pPr>
            <w:jc w:val="left"/>
            <w:rPr>
              <w:b/>
            </w:rPr>
          </w:pPr>
          <w:bookmarkStart w:id="63" w:name="bmkSerial" w:colFirst="0" w:colLast="0"/>
          <w:r w:rsidRPr="00EF273A">
            <w:rPr>
              <w:color w:val="FF0000"/>
              <w:szCs w:val="16"/>
            </w:rPr>
            <w:t>(</w:t>
          </w:r>
          <w:r w:rsidR="009264D9">
            <w:rPr>
              <w:color w:val="FF0000"/>
              <w:szCs w:val="16"/>
            </w:rPr>
            <w:t>22</w:t>
          </w:r>
          <w:r w:rsidRPr="00EF273A">
            <w:rPr>
              <w:color w:val="FF0000"/>
              <w:szCs w:val="16"/>
            </w:rPr>
            <w:t>-</w:t>
          </w:r>
          <w:r w:rsidR="00E87824">
            <w:rPr>
              <w:color w:val="FF0000"/>
              <w:szCs w:val="16"/>
            </w:rPr>
            <w:t>9602</w:t>
          </w:r>
          <w:r w:rsidRPr="00EF273A">
            <w:rPr>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751263C9" w14:textId="77777777" w:rsidR="00ED54E0" w:rsidRPr="00EF273A" w:rsidRDefault="00ED54E0" w:rsidP="00425DC5">
          <w:pPr>
            <w:jc w:val="right"/>
            <w:rPr>
              <w:szCs w:val="16"/>
            </w:rPr>
          </w:pPr>
          <w:bookmarkStart w:id="64" w:name="bmkTotPages"/>
          <w:r w:rsidRPr="00EF273A">
            <w:rPr>
              <w:bCs/>
              <w:szCs w:val="16"/>
            </w:rPr>
            <w:t xml:space="preserve">Page: </w:t>
          </w:r>
          <w:r w:rsidRPr="00EF273A">
            <w:rPr>
              <w:bCs/>
              <w:szCs w:val="16"/>
            </w:rPr>
            <w:fldChar w:fldCharType="begin"/>
          </w:r>
          <w:r w:rsidRPr="00EF273A">
            <w:rPr>
              <w:bCs/>
              <w:szCs w:val="16"/>
            </w:rPr>
            <w:instrText xml:space="preserve"> PAGE  \* Arabic  \* MERGEFORMAT </w:instrText>
          </w:r>
          <w:r w:rsidRPr="00EF273A">
            <w:rPr>
              <w:bCs/>
              <w:szCs w:val="16"/>
            </w:rPr>
            <w:fldChar w:fldCharType="separate"/>
          </w:r>
          <w:r w:rsidR="00D66402">
            <w:rPr>
              <w:bCs/>
              <w:noProof/>
              <w:szCs w:val="16"/>
            </w:rPr>
            <w:t>1</w:t>
          </w:r>
          <w:r w:rsidRPr="00EF273A">
            <w:rPr>
              <w:bCs/>
              <w:szCs w:val="16"/>
            </w:rPr>
            <w:fldChar w:fldCharType="end"/>
          </w:r>
          <w:r w:rsidRPr="00EF273A">
            <w:rPr>
              <w:bCs/>
              <w:szCs w:val="16"/>
            </w:rPr>
            <w:t>/</w:t>
          </w:r>
          <w:r w:rsidRPr="00EF273A">
            <w:rPr>
              <w:bCs/>
              <w:szCs w:val="16"/>
            </w:rPr>
            <w:fldChar w:fldCharType="begin"/>
          </w:r>
          <w:r w:rsidRPr="00EF273A">
            <w:rPr>
              <w:bCs/>
              <w:szCs w:val="16"/>
            </w:rPr>
            <w:instrText xml:space="preserve"> NUMPAGES  \* Arabic  \* MERGEFORMAT </w:instrText>
          </w:r>
          <w:r w:rsidRPr="00EF273A">
            <w:rPr>
              <w:bCs/>
              <w:szCs w:val="16"/>
            </w:rPr>
            <w:fldChar w:fldCharType="separate"/>
          </w:r>
          <w:r w:rsidR="00D66402">
            <w:rPr>
              <w:bCs/>
              <w:noProof/>
              <w:szCs w:val="16"/>
            </w:rPr>
            <w:t>1</w:t>
          </w:r>
          <w:r w:rsidRPr="00EF273A">
            <w:rPr>
              <w:bCs/>
              <w:szCs w:val="16"/>
            </w:rPr>
            <w:fldChar w:fldCharType="end"/>
          </w:r>
          <w:bookmarkEnd w:id="64"/>
        </w:p>
      </w:tc>
    </w:tr>
    <w:tr w:rsidR="00ED54E0" w:rsidRPr="00EF273A" w14:paraId="244B53A6" w14:textId="77777777" w:rsidTr="00590D3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99BB494" w14:textId="77777777" w:rsidR="00ED54E0" w:rsidRPr="00EF273A" w:rsidRDefault="00ED54E0" w:rsidP="00425DC5">
          <w:pPr>
            <w:jc w:val="left"/>
            <w:rPr>
              <w:sz w:val="14"/>
              <w:szCs w:val="16"/>
            </w:rPr>
          </w:pPr>
          <w:bookmarkStart w:id="65" w:name="bmkCommittee"/>
          <w:bookmarkStart w:id="66" w:name="bmkLanguage" w:colFirst="1" w:colLast="1"/>
          <w:bookmarkEnd w:id="63"/>
          <w:r w:rsidRPr="00EF273A">
            <w:rPr>
              <w:b/>
            </w:rPr>
            <w:t xml:space="preserve"> </w:t>
          </w:r>
          <w:bookmarkEnd w:id="65"/>
        </w:p>
      </w:tc>
      <w:tc>
        <w:tcPr>
          <w:tcW w:w="3325" w:type="dxa"/>
          <w:tcBorders>
            <w:top w:val="single" w:sz="4" w:space="0" w:color="auto"/>
          </w:tcBorders>
          <w:tcMar>
            <w:top w:w="113" w:type="dxa"/>
            <w:left w:w="108" w:type="dxa"/>
            <w:bottom w:w="57" w:type="dxa"/>
            <w:right w:w="108" w:type="dxa"/>
          </w:tcMar>
          <w:vAlign w:val="center"/>
        </w:tcPr>
        <w:p w14:paraId="256B6696" w14:textId="16232844" w:rsidR="00ED54E0" w:rsidRPr="00EF273A" w:rsidRDefault="009264D9" w:rsidP="00425DC5">
          <w:pPr>
            <w:jc w:val="right"/>
            <w:rPr>
              <w:bCs/>
              <w:szCs w:val="18"/>
            </w:rPr>
          </w:pPr>
          <w:r>
            <w:rPr>
              <w:szCs w:val="18"/>
            </w:rPr>
            <w:t>Original: English</w:t>
          </w:r>
        </w:p>
      </w:tc>
    </w:tr>
    <w:bookmarkEnd w:id="66"/>
  </w:tbl>
  <w:p w14:paraId="78D4C1E5" w14:textId="083C8F9E" w:rsidR="00ED54E0"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C248D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10E6B3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06E55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3A07E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2AF0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021E9"/>
    <w:multiLevelType w:val="hybridMultilevel"/>
    <w:tmpl w:val="705867D6"/>
    <w:lvl w:ilvl="0" w:tplc="0809001B">
      <w:start w:val="1"/>
      <w:numFmt w:val="lowerRoman"/>
      <w:lvlText w:val="%1."/>
      <w:lvlJc w:val="righ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2A221448"/>
    <w:multiLevelType w:val="hybridMultilevel"/>
    <w:tmpl w:val="6E1A7384"/>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67E62AD"/>
    <w:multiLevelType w:val="hybridMultilevel"/>
    <w:tmpl w:val="B31A9F92"/>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57454AB1"/>
    <w:multiLevelType w:val="multilevel"/>
    <w:tmpl w:val="CC52177C"/>
    <w:numStyleLink w:val="LegalHeadings"/>
  </w:abstractNum>
  <w:abstractNum w:abstractNumId="15" w15:restartNumberingAfterBreak="0">
    <w:nsid w:val="57551E12"/>
    <w:multiLevelType w:val="multilevel"/>
    <w:tmpl w:val="CC52177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1134"/>
        </w:tabs>
        <w:ind w:left="1134" w:hanging="567"/>
      </w:pPr>
      <w:rPr>
        <w:rFonts w:hint="default"/>
      </w:rPr>
    </w:lvl>
    <w:lvl w:ilvl="8">
      <w:start w:val="1"/>
      <w:numFmt w:val="lowerRoman"/>
      <w:pStyle w:val="BodyText3"/>
      <w:lvlText w:val="%9."/>
      <w:lvlJc w:val="left"/>
      <w:pPr>
        <w:tabs>
          <w:tab w:val="num" w:pos="1701"/>
        </w:tabs>
        <w:ind w:left="1701" w:hanging="567"/>
      </w:pPr>
      <w:rPr>
        <w:rFonts w:hint="default"/>
      </w:rPr>
    </w:lvl>
  </w:abstractNum>
  <w:abstractNum w:abstractNumId="16"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9220008"/>
    <w:multiLevelType w:val="hybridMultilevel"/>
    <w:tmpl w:val="CF3E0ECC"/>
    <w:lvl w:ilvl="0" w:tplc="0962531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9325DDE"/>
    <w:multiLevelType w:val="hybridMultilevel"/>
    <w:tmpl w:val="512C7EC2"/>
    <w:lvl w:ilvl="0" w:tplc="FFFFFFFF">
      <w:start w:val="1"/>
      <w:numFmt w:val="decimal"/>
      <w:lvlText w:val="%1."/>
      <w:lvlJc w:val="left"/>
      <w:pPr>
        <w:ind w:left="1782" w:hanging="648"/>
      </w:pPr>
      <w:rPr>
        <w:b w:val="0"/>
        <w:color w:val="auto"/>
        <w:sz w:val="24"/>
        <w:szCs w:val="24"/>
        <w:lang w:val="en-US"/>
      </w:rPr>
    </w:lvl>
    <w:lvl w:ilvl="1" w:tplc="04190019">
      <w:numFmt w:val="bullet"/>
      <w:lvlText w:val=""/>
      <w:lvlJc w:val="left"/>
      <w:pPr>
        <w:ind w:left="1440" w:hanging="360"/>
      </w:pPr>
      <w:rPr>
        <w:rFonts w:ascii="Symbol" w:eastAsia="SimSun" w:hAnsi="Symbol" w:hint="default"/>
      </w:rPr>
    </w:lvl>
    <w:lvl w:ilvl="2" w:tplc="EBA84306">
      <w:start w:val="6"/>
      <w:numFmt w:val="decimal"/>
      <w:lvlText w:val="%3."/>
      <w:lvlJc w:val="left"/>
      <w:pPr>
        <w:ind w:left="2700" w:hanging="720"/>
      </w:pPr>
      <w:rPr>
        <w:rFonts w:cs="Times New Roman" w:hint="default"/>
        <w:b/>
        <w:color w:val="auto"/>
        <w:lang w:val="en-GB"/>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69A47612"/>
    <w:multiLevelType w:val="hybridMultilevel"/>
    <w:tmpl w:val="944A5F0A"/>
    <w:lvl w:ilvl="0" w:tplc="89AC0002">
      <w:start w:val="1"/>
      <w:numFmt w:val="lowerRoman"/>
      <w:lvlText w:val="(%1)"/>
      <w:lvlJc w:val="left"/>
      <w:pPr>
        <w:ind w:left="1287" w:hanging="72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16cid:durableId="1119955403">
    <w:abstractNumId w:val="9"/>
  </w:num>
  <w:num w:numId="2" w16cid:durableId="1710252761">
    <w:abstractNumId w:val="7"/>
  </w:num>
  <w:num w:numId="3" w16cid:durableId="1123231350">
    <w:abstractNumId w:val="6"/>
  </w:num>
  <w:num w:numId="4" w16cid:durableId="914441200">
    <w:abstractNumId w:val="5"/>
  </w:num>
  <w:num w:numId="5" w16cid:durableId="678393553">
    <w:abstractNumId w:val="4"/>
  </w:num>
  <w:num w:numId="6" w16cid:durableId="1301568348">
    <w:abstractNumId w:val="15"/>
  </w:num>
  <w:num w:numId="7" w16cid:durableId="1830560082">
    <w:abstractNumId w:val="14"/>
  </w:num>
  <w:num w:numId="8" w16cid:durableId="448204250">
    <w:abstractNumId w:val="12"/>
  </w:num>
  <w:num w:numId="9" w16cid:durableId="15506068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38030619">
    <w:abstractNumId w:val="16"/>
  </w:num>
  <w:num w:numId="11" w16cid:durableId="1743140759">
    <w:abstractNumId w:val="16"/>
  </w:num>
  <w:num w:numId="12" w16cid:durableId="68966125">
    <w:abstractNumId w:val="8"/>
  </w:num>
  <w:num w:numId="13" w16cid:durableId="1507213557">
    <w:abstractNumId w:val="3"/>
  </w:num>
  <w:num w:numId="14" w16cid:durableId="2054110845">
    <w:abstractNumId w:val="2"/>
  </w:num>
  <w:num w:numId="15" w16cid:durableId="966936013">
    <w:abstractNumId w:val="1"/>
  </w:num>
  <w:num w:numId="16" w16cid:durableId="2045786308">
    <w:abstractNumId w:val="0"/>
  </w:num>
  <w:num w:numId="17" w16cid:durableId="1350445506">
    <w:abstractNumId w:val="13"/>
  </w:num>
  <w:num w:numId="18" w16cid:durableId="478808431">
    <w:abstractNumId w:val="14"/>
    <w:lvlOverride w:ilvl="0">
      <w:lvl w:ilvl="0">
        <w:start w:val="1"/>
        <w:numFmt w:val="decimal"/>
        <w:isLgl/>
        <w:suff w:val="nothing"/>
        <w:lvlText w:val="%1  "/>
        <w:lvlJc w:val="left"/>
        <w:pPr>
          <w:ind w:left="0" w:firstLine="0"/>
        </w:pPr>
        <w:rPr>
          <w:rFonts w:hint="default"/>
        </w:rPr>
      </w:lvl>
    </w:lvlOverride>
  </w:num>
  <w:num w:numId="19" w16cid:durableId="1556238610">
    <w:abstractNumId w:val="14"/>
    <w:lvlOverride w:ilvl="0">
      <w:lvl w:ilvl="0">
        <w:start w:val="1"/>
        <w:numFmt w:val="decimal"/>
        <w:isLgl/>
        <w:suff w:val="nothing"/>
        <w:lvlText w:val="%1  "/>
        <w:lvlJc w:val="left"/>
        <w:pPr>
          <w:ind w:left="0" w:firstLine="0"/>
        </w:pPr>
        <w:rPr>
          <w:rFonts w:hint="default"/>
        </w:rPr>
      </w:lvl>
    </w:lvlOverride>
    <w:lvlOverride w:ilvl="1">
      <w:lvl w:ilvl="1">
        <w:start w:val="1"/>
        <w:numFmt w:val="decimal"/>
        <w:isLgl/>
        <w:suff w:val="nothing"/>
        <w:lvlText w:val="%1.%2  "/>
        <w:lvlJc w:val="left"/>
        <w:pPr>
          <w:ind w:left="0" w:firstLine="0"/>
        </w:pPr>
        <w:rPr>
          <w:rFonts w:hint="default"/>
        </w:rPr>
      </w:lvl>
    </w:lvlOverride>
    <w:lvlOverride w:ilvl="2">
      <w:lvl w:ilvl="2">
        <w:start w:val="1"/>
        <w:numFmt w:val="decimal"/>
        <w:isLgl/>
        <w:suff w:val="nothing"/>
        <w:lvlText w:val="%1.%2.%3  "/>
        <w:lvlJc w:val="left"/>
        <w:pPr>
          <w:ind w:left="0" w:firstLine="0"/>
        </w:pPr>
        <w:rPr>
          <w:rFonts w:hint="default"/>
        </w:rPr>
      </w:lvl>
    </w:lvlOverride>
    <w:lvlOverride w:ilvl="3">
      <w:lvl w:ilvl="3">
        <w:start w:val="1"/>
        <w:numFmt w:val="decimal"/>
        <w:isLgl/>
        <w:suff w:val="nothing"/>
        <w:lvlText w:val="%1.%2.%3.%4  "/>
        <w:lvlJc w:val="left"/>
        <w:pPr>
          <w:ind w:left="0" w:firstLine="0"/>
        </w:pPr>
      </w:lvl>
    </w:lvlOverride>
    <w:lvlOverride w:ilvl="4">
      <w:lvl w:ilvl="4">
        <w:start w:val="1"/>
        <w:numFmt w:val="none"/>
        <w:suff w:val="nothing"/>
        <w:lvlText w:val=""/>
        <w:lvlJc w:val="left"/>
        <w:pPr>
          <w:ind w:left="0" w:firstLine="737"/>
        </w:pPr>
        <w:rPr>
          <w:rFonts w:hint="default"/>
          <w:b w:val="0"/>
          <w:i/>
        </w:rPr>
      </w:lvl>
    </w:lvlOverride>
    <w:lvlOverride w:ilvl="5">
      <w:lvl w:ilvl="5">
        <w:start w:val="1"/>
        <w:numFmt w:val="none"/>
        <w:suff w:val="nothing"/>
        <w:lvlText w:val=""/>
        <w:lvlJc w:val="left"/>
        <w:pPr>
          <w:ind w:left="0" w:firstLine="964"/>
        </w:pPr>
        <w:rPr>
          <w:rFonts w:hint="default"/>
        </w:rPr>
      </w:lvl>
    </w:lvlOverride>
    <w:lvlOverride w:ilvl="6">
      <w:lvl w:ilvl="6">
        <w:start w:val="1"/>
        <w:numFmt w:val="decimal"/>
        <w:lvlRestart w:val="1"/>
        <w:isLgl/>
        <w:suff w:val="nothing"/>
        <w:lvlText w:val="%1.%7.  "/>
        <w:lvlJc w:val="left"/>
        <w:pPr>
          <w:ind w:left="1276" w:firstLine="0"/>
        </w:pPr>
        <w:rPr>
          <w:rFonts w:hint="default"/>
        </w:rPr>
      </w:lvl>
    </w:lvlOverride>
    <w:lvlOverride w:ilvl="7">
      <w:lvl w:ilvl="7">
        <w:start w:val="1"/>
        <w:numFmt w:val="lowerLetter"/>
        <w:lvlText w:val="%8. "/>
        <w:lvlJc w:val="left"/>
        <w:pPr>
          <w:tabs>
            <w:tab w:val="num" w:pos="907"/>
          </w:tabs>
          <w:ind w:left="907" w:hanging="340"/>
        </w:pPr>
        <w:rPr>
          <w:rFonts w:hint="default"/>
        </w:rPr>
      </w:lvl>
    </w:lvlOverride>
    <w:lvlOverride w:ilvl="8">
      <w:lvl w:ilvl="8">
        <w:start w:val="1"/>
        <w:numFmt w:val="lowerRoman"/>
        <w:lvlText w:val="%9. "/>
        <w:lvlJc w:val="left"/>
        <w:pPr>
          <w:tabs>
            <w:tab w:val="num" w:pos="1247"/>
          </w:tabs>
          <w:ind w:left="1247" w:hanging="340"/>
        </w:pPr>
        <w:rPr>
          <w:rFonts w:hint="default"/>
        </w:rPr>
      </w:lvl>
    </w:lvlOverride>
  </w:num>
  <w:num w:numId="20" w16cid:durableId="1701859088">
    <w:abstractNumId w:val="14"/>
  </w:num>
  <w:num w:numId="21" w16cid:durableId="466821370">
    <w:abstractNumId w:val="14"/>
  </w:num>
  <w:num w:numId="22" w16cid:durableId="4164832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56595637">
    <w:abstractNumId w:val="11"/>
  </w:num>
  <w:num w:numId="24" w16cid:durableId="5511143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970253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797351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17849484">
    <w:abstractNumId w:val="10"/>
  </w:num>
  <w:num w:numId="28" w16cid:durableId="81069434">
    <w:abstractNumId w:val="14"/>
  </w:num>
  <w:num w:numId="29" w16cid:durableId="71437931">
    <w:abstractNumId w:val="14"/>
  </w:num>
  <w:num w:numId="30" w16cid:durableId="739715594">
    <w:abstractNumId w:val="14"/>
    <w:lvlOverride w:ilvl="0">
      <w:lvl w:ilvl="0">
        <w:start w:val="1"/>
        <w:numFmt w:val="decimal"/>
        <w:isLgl/>
        <w:suff w:val="nothing"/>
        <w:lvlText w:val="%1  "/>
        <w:lvlJc w:val="left"/>
        <w:pPr>
          <w:ind w:left="0" w:firstLine="0"/>
        </w:pPr>
        <w:rPr>
          <w:rFonts w:hint="default"/>
        </w:rPr>
      </w:lvl>
    </w:lvlOverride>
    <w:lvlOverride w:ilvl="1">
      <w:lvl w:ilvl="1">
        <w:start w:val="1"/>
        <w:numFmt w:val="decimal"/>
        <w:isLgl/>
        <w:suff w:val="nothing"/>
        <w:lvlText w:val="%1.%2  "/>
        <w:lvlJc w:val="left"/>
        <w:pPr>
          <w:ind w:left="0" w:firstLine="0"/>
        </w:pPr>
        <w:rPr>
          <w:rFonts w:hint="default"/>
        </w:rPr>
      </w:lvl>
    </w:lvlOverride>
    <w:lvlOverride w:ilvl="2">
      <w:lvl w:ilvl="2">
        <w:start w:val="1"/>
        <w:numFmt w:val="decimal"/>
        <w:isLgl/>
        <w:suff w:val="nothing"/>
        <w:lvlText w:val="%1.%2.%3  "/>
        <w:lvlJc w:val="left"/>
        <w:pPr>
          <w:ind w:left="0" w:firstLine="0"/>
        </w:pPr>
        <w:rPr>
          <w:rFonts w:hint="default"/>
        </w:rPr>
      </w:lvl>
    </w:lvlOverride>
    <w:lvlOverride w:ilvl="3">
      <w:lvl w:ilvl="3">
        <w:start w:val="1"/>
        <w:numFmt w:val="decimal"/>
        <w:isLgl/>
        <w:suff w:val="nothing"/>
        <w:lvlText w:val="%1.%2.%3.%4  "/>
        <w:lvlJc w:val="left"/>
        <w:pPr>
          <w:ind w:left="0" w:firstLine="0"/>
        </w:pPr>
        <w:rPr>
          <w:rFonts w:hint="default"/>
        </w:rPr>
      </w:lvl>
    </w:lvlOverride>
    <w:lvlOverride w:ilvl="4">
      <w:lvl w:ilvl="4">
        <w:start w:val="1"/>
        <w:numFmt w:val="decimal"/>
        <w:isLgl/>
        <w:suff w:val="nothing"/>
        <w:lvlText w:val="%1.%2.%3.%4.%5  "/>
        <w:lvlJc w:val="left"/>
        <w:pPr>
          <w:ind w:left="0" w:firstLine="0"/>
        </w:pPr>
        <w:rPr>
          <w:rFonts w:hint="default"/>
        </w:rPr>
      </w:lvl>
    </w:lvlOverride>
    <w:lvlOverride w:ilvl="5">
      <w:lvl w:ilvl="5">
        <w:start w:val="1"/>
        <w:numFmt w:val="decimal"/>
        <w:isLgl/>
        <w:suff w:val="nothing"/>
        <w:lvlText w:val="%1.%2.%3.%4.%5.%6  "/>
        <w:lvlJc w:val="left"/>
        <w:pPr>
          <w:ind w:left="0" w:firstLine="0"/>
        </w:pPr>
        <w:rPr>
          <w:rFonts w:hint="default"/>
        </w:rPr>
      </w:lvl>
    </w:lvlOverride>
    <w:lvlOverride w:ilvl="6">
      <w:lvl w:ilvl="6">
        <w:start w:val="1"/>
        <w:numFmt w:val="decimal"/>
        <w:lvlRestart w:val="1"/>
        <w:isLgl/>
        <w:suff w:val="nothing"/>
        <w:lvlText w:val="%1.%7.  "/>
        <w:lvlJc w:val="left"/>
        <w:pPr>
          <w:ind w:left="0" w:firstLine="0"/>
        </w:pPr>
        <w:rPr>
          <w:rFonts w:hint="default"/>
          <w:b w:val="0"/>
          <w:bCs/>
          <w:sz w:val="18"/>
          <w:szCs w:val="18"/>
        </w:rPr>
      </w:lvl>
    </w:lvlOverride>
    <w:lvlOverride w:ilvl="7">
      <w:lvl w:ilvl="7">
        <w:start w:val="1"/>
        <w:numFmt w:val="lowerLetter"/>
        <w:lvlText w:val="%8."/>
        <w:lvlJc w:val="left"/>
        <w:pPr>
          <w:tabs>
            <w:tab w:val="num" w:pos="907"/>
          </w:tabs>
          <w:ind w:left="907" w:hanging="340"/>
        </w:pPr>
        <w:rPr>
          <w:rFonts w:hint="default"/>
        </w:rPr>
      </w:lvl>
    </w:lvlOverride>
    <w:lvlOverride w:ilvl="8">
      <w:lvl w:ilvl="8">
        <w:start w:val="1"/>
        <w:numFmt w:val="lowerRoman"/>
        <w:lvlText w:val="%9."/>
        <w:lvlJc w:val="left"/>
        <w:pPr>
          <w:tabs>
            <w:tab w:val="num" w:pos="1247"/>
          </w:tabs>
          <w:ind w:left="1247" w:hanging="340"/>
        </w:pPr>
        <w:rPr>
          <w:rFonts w:hint="default"/>
        </w:rPr>
      </w:lvl>
    </w:lvlOverride>
  </w:num>
  <w:num w:numId="31" w16cid:durableId="1736199384">
    <w:abstractNumId w:val="14"/>
    <w:lvlOverride w:ilvl="0">
      <w:lvl w:ilvl="0">
        <w:start w:val="1"/>
        <w:numFmt w:val="decimal"/>
        <w:isLgl/>
        <w:suff w:val="nothing"/>
        <w:lvlText w:val="%1  "/>
        <w:lvlJc w:val="left"/>
        <w:pPr>
          <w:ind w:left="0" w:firstLine="0"/>
        </w:pPr>
        <w:rPr>
          <w:rFonts w:hint="default"/>
        </w:rPr>
      </w:lvl>
    </w:lvlOverride>
    <w:lvlOverride w:ilvl="1">
      <w:lvl w:ilvl="1">
        <w:start w:val="1"/>
        <w:numFmt w:val="decimal"/>
        <w:isLgl/>
        <w:suff w:val="nothing"/>
        <w:lvlText w:val="%1.%2  "/>
        <w:lvlJc w:val="left"/>
        <w:pPr>
          <w:ind w:left="0" w:firstLine="0"/>
        </w:pPr>
        <w:rPr>
          <w:rFonts w:hint="default"/>
        </w:rPr>
      </w:lvl>
    </w:lvlOverride>
    <w:lvlOverride w:ilvl="2">
      <w:lvl w:ilvl="2">
        <w:start w:val="1"/>
        <w:numFmt w:val="decimal"/>
        <w:isLgl/>
        <w:suff w:val="nothing"/>
        <w:lvlText w:val="%1.%2.%3  "/>
        <w:lvlJc w:val="left"/>
        <w:pPr>
          <w:ind w:left="0" w:firstLine="0"/>
        </w:pPr>
        <w:rPr>
          <w:rFonts w:hint="default"/>
        </w:rPr>
      </w:lvl>
    </w:lvlOverride>
    <w:lvlOverride w:ilvl="3">
      <w:lvl w:ilvl="3">
        <w:start w:val="1"/>
        <w:numFmt w:val="decimal"/>
        <w:isLgl/>
        <w:suff w:val="nothing"/>
        <w:lvlText w:val="%1.%2.%3.%4  "/>
        <w:lvlJc w:val="left"/>
        <w:pPr>
          <w:ind w:left="0" w:firstLine="0"/>
        </w:pPr>
        <w:rPr>
          <w:rFonts w:hint="default"/>
        </w:rPr>
      </w:lvl>
    </w:lvlOverride>
    <w:lvlOverride w:ilvl="4">
      <w:lvl w:ilvl="4">
        <w:start w:val="1"/>
        <w:numFmt w:val="decimal"/>
        <w:isLgl/>
        <w:suff w:val="nothing"/>
        <w:lvlText w:val="%1.%2.%3.%4.%5  "/>
        <w:lvlJc w:val="left"/>
        <w:pPr>
          <w:ind w:left="0" w:firstLine="0"/>
        </w:pPr>
        <w:rPr>
          <w:rFonts w:hint="default"/>
        </w:rPr>
      </w:lvl>
    </w:lvlOverride>
    <w:lvlOverride w:ilvl="5">
      <w:lvl w:ilvl="5">
        <w:start w:val="1"/>
        <w:numFmt w:val="decimal"/>
        <w:isLgl/>
        <w:suff w:val="nothing"/>
        <w:lvlText w:val="%1.%2.%3.%4.%5.%6  "/>
        <w:lvlJc w:val="left"/>
        <w:pPr>
          <w:ind w:left="0" w:firstLine="0"/>
        </w:pPr>
        <w:rPr>
          <w:rFonts w:hint="default"/>
        </w:rPr>
      </w:lvl>
    </w:lvlOverride>
    <w:lvlOverride w:ilvl="6">
      <w:lvl w:ilvl="6">
        <w:start w:val="1"/>
        <w:numFmt w:val="decimal"/>
        <w:lvlRestart w:val="1"/>
        <w:isLgl/>
        <w:suff w:val="nothing"/>
        <w:lvlText w:val="%1.%7.  "/>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7">
      <w:lvl w:ilvl="7">
        <w:start w:val="1"/>
        <w:numFmt w:val="lowerLetter"/>
        <w:lvlText w:val="%8."/>
        <w:lvlJc w:val="left"/>
        <w:pPr>
          <w:tabs>
            <w:tab w:val="num" w:pos="1134"/>
          </w:tabs>
          <w:ind w:left="1134" w:hanging="567"/>
        </w:pPr>
        <w:rPr>
          <w:rFonts w:hint="default"/>
        </w:rPr>
      </w:lvl>
    </w:lvlOverride>
    <w:lvlOverride w:ilvl="8">
      <w:lvl w:ilvl="8">
        <w:start w:val="1"/>
        <w:numFmt w:val="lowerRoman"/>
        <w:lvlText w:val="%9."/>
        <w:lvlJc w:val="left"/>
        <w:pPr>
          <w:tabs>
            <w:tab w:val="num" w:pos="1701"/>
          </w:tabs>
          <w:ind w:left="1701" w:hanging="567"/>
        </w:pPr>
        <w:rPr>
          <w:rFonts w:hint="default"/>
        </w:rPr>
      </w:lvl>
    </w:lvlOverride>
  </w:num>
  <w:num w:numId="32" w16cid:durableId="990406954">
    <w:abstractNumId w:val="17"/>
  </w:num>
  <w:num w:numId="33" w16cid:durableId="865293127">
    <w:abstractNumId w:val="14"/>
  </w:num>
  <w:num w:numId="34" w16cid:durableId="1757049908">
    <w:abstractNumId w:val="14"/>
  </w:num>
  <w:num w:numId="35" w16cid:durableId="886336209">
    <w:abstractNumId w:val="14"/>
  </w:num>
  <w:num w:numId="36" w16cid:durableId="1812138195">
    <w:abstractNumId w:val="14"/>
  </w:num>
  <w:num w:numId="37" w16cid:durableId="20641350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195690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886305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22163621">
    <w:abstractNumId w:val="15"/>
  </w:num>
  <w:num w:numId="41" w16cid:durableId="13946976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73361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665156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73854967">
    <w:abstractNumId w:val="19"/>
  </w:num>
  <w:num w:numId="45" w16cid:durableId="1614089577">
    <w:abstractNumId w:val="18"/>
  </w:num>
  <w:num w:numId="46" w16cid:durableId="20902262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567"/>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402"/>
    <w:rsid w:val="00000207"/>
    <w:rsid w:val="0000469F"/>
    <w:rsid w:val="0000669C"/>
    <w:rsid w:val="00007C6E"/>
    <w:rsid w:val="00015336"/>
    <w:rsid w:val="00016573"/>
    <w:rsid w:val="000171D6"/>
    <w:rsid w:val="00017948"/>
    <w:rsid w:val="00017D9B"/>
    <w:rsid w:val="00021001"/>
    <w:rsid w:val="00023E71"/>
    <w:rsid w:val="000243B8"/>
    <w:rsid w:val="00025D8F"/>
    <w:rsid w:val="00026E0A"/>
    <w:rsid w:val="000272F6"/>
    <w:rsid w:val="00027EFE"/>
    <w:rsid w:val="0003361C"/>
    <w:rsid w:val="00037AC4"/>
    <w:rsid w:val="000401F5"/>
    <w:rsid w:val="00040646"/>
    <w:rsid w:val="00040FA4"/>
    <w:rsid w:val="000415FC"/>
    <w:rsid w:val="00041A89"/>
    <w:rsid w:val="00042B19"/>
    <w:rsid w:val="00043638"/>
    <w:rsid w:val="00044A51"/>
    <w:rsid w:val="000528F6"/>
    <w:rsid w:val="0005669E"/>
    <w:rsid w:val="00056B86"/>
    <w:rsid w:val="00057E71"/>
    <w:rsid w:val="0006042C"/>
    <w:rsid w:val="000650D2"/>
    <w:rsid w:val="00065ED5"/>
    <w:rsid w:val="00066FF4"/>
    <w:rsid w:val="0006717A"/>
    <w:rsid w:val="00073552"/>
    <w:rsid w:val="000757AD"/>
    <w:rsid w:val="00075ECA"/>
    <w:rsid w:val="00077A17"/>
    <w:rsid w:val="000811F9"/>
    <w:rsid w:val="000822DA"/>
    <w:rsid w:val="0008331C"/>
    <w:rsid w:val="00084490"/>
    <w:rsid w:val="00084F6E"/>
    <w:rsid w:val="00090CF2"/>
    <w:rsid w:val="00091215"/>
    <w:rsid w:val="000919E4"/>
    <w:rsid w:val="00091DEC"/>
    <w:rsid w:val="00092471"/>
    <w:rsid w:val="00096D89"/>
    <w:rsid w:val="00097B9C"/>
    <w:rsid w:val="000A05E3"/>
    <w:rsid w:val="000A4945"/>
    <w:rsid w:val="000A5E09"/>
    <w:rsid w:val="000A5FFE"/>
    <w:rsid w:val="000B0641"/>
    <w:rsid w:val="000B0F11"/>
    <w:rsid w:val="000B31E1"/>
    <w:rsid w:val="000B3523"/>
    <w:rsid w:val="000B4159"/>
    <w:rsid w:val="000B54F3"/>
    <w:rsid w:val="000C1622"/>
    <w:rsid w:val="000C446F"/>
    <w:rsid w:val="000C73C1"/>
    <w:rsid w:val="000D2EB4"/>
    <w:rsid w:val="000D4390"/>
    <w:rsid w:val="000E3AB9"/>
    <w:rsid w:val="000F0D20"/>
    <w:rsid w:val="000F0DD4"/>
    <w:rsid w:val="000F0FB5"/>
    <w:rsid w:val="000F30B5"/>
    <w:rsid w:val="00102041"/>
    <w:rsid w:val="00103CA3"/>
    <w:rsid w:val="001059FE"/>
    <w:rsid w:val="00106D16"/>
    <w:rsid w:val="00107FEE"/>
    <w:rsid w:val="0011356B"/>
    <w:rsid w:val="00114977"/>
    <w:rsid w:val="0011532C"/>
    <w:rsid w:val="00115BAD"/>
    <w:rsid w:val="00123376"/>
    <w:rsid w:val="00126344"/>
    <w:rsid w:val="0012670F"/>
    <w:rsid w:val="0013337F"/>
    <w:rsid w:val="00135D60"/>
    <w:rsid w:val="001370E3"/>
    <w:rsid w:val="001437DD"/>
    <w:rsid w:val="001471B5"/>
    <w:rsid w:val="00147A2A"/>
    <w:rsid w:val="00154BD8"/>
    <w:rsid w:val="00155434"/>
    <w:rsid w:val="001566F9"/>
    <w:rsid w:val="00162143"/>
    <w:rsid w:val="0016338B"/>
    <w:rsid w:val="00163693"/>
    <w:rsid w:val="00163DEA"/>
    <w:rsid w:val="001722EB"/>
    <w:rsid w:val="0017582F"/>
    <w:rsid w:val="001774C3"/>
    <w:rsid w:val="00181343"/>
    <w:rsid w:val="00182B84"/>
    <w:rsid w:val="0018703D"/>
    <w:rsid w:val="001902B1"/>
    <w:rsid w:val="0019471F"/>
    <w:rsid w:val="001954F1"/>
    <w:rsid w:val="001A21F6"/>
    <w:rsid w:val="001A3FDD"/>
    <w:rsid w:val="001A7764"/>
    <w:rsid w:val="001A7CC2"/>
    <w:rsid w:val="001B4C2C"/>
    <w:rsid w:val="001B66E3"/>
    <w:rsid w:val="001B7C09"/>
    <w:rsid w:val="001C3791"/>
    <w:rsid w:val="001D02F8"/>
    <w:rsid w:val="001D1B55"/>
    <w:rsid w:val="001D50F7"/>
    <w:rsid w:val="001D73F7"/>
    <w:rsid w:val="001D77B0"/>
    <w:rsid w:val="001E19C5"/>
    <w:rsid w:val="001E291F"/>
    <w:rsid w:val="001F0135"/>
    <w:rsid w:val="001F231E"/>
    <w:rsid w:val="001F461E"/>
    <w:rsid w:val="001F4CD0"/>
    <w:rsid w:val="00200584"/>
    <w:rsid w:val="00200966"/>
    <w:rsid w:val="00200ADD"/>
    <w:rsid w:val="00201DBA"/>
    <w:rsid w:val="00201F67"/>
    <w:rsid w:val="002020BB"/>
    <w:rsid w:val="00202337"/>
    <w:rsid w:val="00202CB4"/>
    <w:rsid w:val="00206780"/>
    <w:rsid w:val="002108BA"/>
    <w:rsid w:val="00212792"/>
    <w:rsid w:val="002139D4"/>
    <w:rsid w:val="00215B56"/>
    <w:rsid w:val="00216296"/>
    <w:rsid w:val="00223939"/>
    <w:rsid w:val="00226716"/>
    <w:rsid w:val="0022787E"/>
    <w:rsid w:val="00231069"/>
    <w:rsid w:val="002311EC"/>
    <w:rsid w:val="00233408"/>
    <w:rsid w:val="00233513"/>
    <w:rsid w:val="002340C0"/>
    <w:rsid w:val="0023568D"/>
    <w:rsid w:val="00235784"/>
    <w:rsid w:val="00237096"/>
    <w:rsid w:val="00242DD3"/>
    <w:rsid w:val="002434B4"/>
    <w:rsid w:val="002443F3"/>
    <w:rsid w:val="00250958"/>
    <w:rsid w:val="00251720"/>
    <w:rsid w:val="002529CC"/>
    <w:rsid w:val="002540B1"/>
    <w:rsid w:val="00261313"/>
    <w:rsid w:val="002664EA"/>
    <w:rsid w:val="00266E01"/>
    <w:rsid w:val="0027067B"/>
    <w:rsid w:val="00270F7B"/>
    <w:rsid w:val="00272930"/>
    <w:rsid w:val="002771E5"/>
    <w:rsid w:val="002776FD"/>
    <w:rsid w:val="00277D57"/>
    <w:rsid w:val="00281466"/>
    <w:rsid w:val="0028531B"/>
    <w:rsid w:val="002857E0"/>
    <w:rsid w:val="00285B8F"/>
    <w:rsid w:val="002870C1"/>
    <w:rsid w:val="002878BE"/>
    <w:rsid w:val="00287ED7"/>
    <w:rsid w:val="002910BE"/>
    <w:rsid w:val="002928E3"/>
    <w:rsid w:val="00293100"/>
    <w:rsid w:val="00294E2D"/>
    <w:rsid w:val="00294E73"/>
    <w:rsid w:val="0029676B"/>
    <w:rsid w:val="002A05C7"/>
    <w:rsid w:val="002A35BB"/>
    <w:rsid w:val="002A6C5C"/>
    <w:rsid w:val="002A6CA9"/>
    <w:rsid w:val="002A7BCB"/>
    <w:rsid w:val="002B380C"/>
    <w:rsid w:val="002B4428"/>
    <w:rsid w:val="002B5249"/>
    <w:rsid w:val="002C2CBE"/>
    <w:rsid w:val="002C3675"/>
    <w:rsid w:val="002C517C"/>
    <w:rsid w:val="002C55B3"/>
    <w:rsid w:val="002C6254"/>
    <w:rsid w:val="002E06A7"/>
    <w:rsid w:val="002E16A7"/>
    <w:rsid w:val="002E39BA"/>
    <w:rsid w:val="002E6297"/>
    <w:rsid w:val="002F01FD"/>
    <w:rsid w:val="002F28FF"/>
    <w:rsid w:val="002F4510"/>
    <w:rsid w:val="00303887"/>
    <w:rsid w:val="00306539"/>
    <w:rsid w:val="00314D45"/>
    <w:rsid w:val="003153F7"/>
    <w:rsid w:val="0032040C"/>
    <w:rsid w:val="0032101B"/>
    <w:rsid w:val="00321F7A"/>
    <w:rsid w:val="0032597A"/>
    <w:rsid w:val="00326623"/>
    <w:rsid w:val="003324F8"/>
    <w:rsid w:val="00333A8A"/>
    <w:rsid w:val="00337677"/>
    <w:rsid w:val="00337774"/>
    <w:rsid w:val="00341EEC"/>
    <w:rsid w:val="00342B11"/>
    <w:rsid w:val="00347476"/>
    <w:rsid w:val="0035258F"/>
    <w:rsid w:val="00353EC5"/>
    <w:rsid w:val="003553DA"/>
    <w:rsid w:val="003572B4"/>
    <w:rsid w:val="003576FF"/>
    <w:rsid w:val="00357B5B"/>
    <w:rsid w:val="0036421B"/>
    <w:rsid w:val="00366D11"/>
    <w:rsid w:val="0037105F"/>
    <w:rsid w:val="00371A38"/>
    <w:rsid w:val="00377D59"/>
    <w:rsid w:val="00377EDF"/>
    <w:rsid w:val="0038156A"/>
    <w:rsid w:val="003832F7"/>
    <w:rsid w:val="0038509F"/>
    <w:rsid w:val="00385356"/>
    <w:rsid w:val="0039048A"/>
    <w:rsid w:val="00390F4E"/>
    <w:rsid w:val="00391424"/>
    <w:rsid w:val="00393F66"/>
    <w:rsid w:val="00397C4D"/>
    <w:rsid w:val="003A1441"/>
    <w:rsid w:val="003A178D"/>
    <w:rsid w:val="003A55FC"/>
    <w:rsid w:val="003A57D6"/>
    <w:rsid w:val="003B1A1D"/>
    <w:rsid w:val="003B27FC"/>
    <w:rsid w:val="003C1437"/>
    <w:rsid w:val="003C2D50"/>
    <w:rsid w:val="003C2D6C"/>
    <w:rsid w:val="003C425F"/>
    <w:rsid w:val="003C4290"/>
    <w:rsid w:val="003C6288"/>
    <w:rsid w:val="003D2ED0"/>
    <w:rsid w:val="003D314A"/>
    <w:rsid w:val="003D60E0"/>
    <w:rsid w:val="003D6649"/>
    <w:rsid w:val="003D74BE"/>
    <w:rsid w:val="003D7CE9"/>
    <w:rsid w:val="003E3C32"/>
    <w:rsid w:val="003E7518"/>
    <w:rsid w:val="003E7B02"/>
    <w:rsid w:val="003F055C"/>
    <w:rsid w:val="003F182C"/>
    <w:rsid w:val="003F2074"/>
    <w:rsid w:val="003F448A"/>
    <w:rsid w:val="003F5E0A"/>
    <w:rsid w:val="00405119"/>
    <w:rsid w:val="00407924"/>
    <w:rsid w:val="00410888"/>
    <w:rsid w:val="004123E7"/>
    <w:rsid w:val="0041609C"/>
    <w:rsid w:val="00417B6F"/>
    <w:rsid w:val="00423405"/>
    <w:rsid w:val="004315B3"/>
    <w:rsid w:val="00434F2A"/>
    <w:rsid w:val="00435927"/>
    <w:rsid w:val="00436255"/>
    <w:rsid w:val="004410D1"/>
    <w:rsid w:val="00442957"/>
    <w:rsid w:val="004438E1"/>
    <w:rsid w:val="00450705"/>
    <w:rsid w:val="00450A22"/>
    <w:rsid w:val="004571A4"/>
    <w:rsid w:val="00457637"/>
    <w:rsid w:val="0046003C"/>
    <w:rsid w:val="0046013D"/>
    <w:rsid w:val="00467032"/>
    <w:rsid w:val="00467177"/>
    <w:rsid w:val="0046754A"/>
    <w:rsid w:val="0046762C"/>
    <w:rsid w:val="004676E7"/>
    <w:rsid w:val="00467CA3"/>
    <w:rsid w:val="00470AA0"/>
    <w:rsid w:val="00471108"/>
    <w:rsid w:val="00471EC5"/>
    <w:rsid w:val="0048257B"/>
    <w:rsid w:val="00484A8A"/>
    <w:rsid w:val="00484EF9"/>
    <w:rsid w:val="00486431"/>
    <w:rsid w:val="00491CB7"/>
    <w:rsid w:val="004957D1"/>
    <w:rsid w:val="004A2438"/>
    <w:rsid w:val="004A3B14"/>
    <w:rsid w:val="004B032B"/>
    <w:rsid w:val="004B07A5"/>
    <w:rsid w:val="004B6C62"/>
    <w:rsid w:val="004C0F28"/>
    <w:rsid w:val="004C1FC7"/>
    <w:rsid w:val="004C21F4"/>
    <w:rsid w:val="004C56B5"/>
    <w:rsid w:val="004C597D"/>
    <w:rsid w:val="004C5B66"/>
    <w:rsid w:val="004C7EEF"/>
    <w:rsid w:val="004D0540"/>
    <w:rsid w:val="004D1C53"/>
    <w:rsid w:val="004D2304"/>
    <w:rsid w:val="004D3068"/>
    <w:rsid w:val="004D424A"/>
    <w:rsid w:val="004D6CE0"/>
    <w:rsid w:val="004E3C92"/>
    <w:rsid w:val="004E6AAC"/>
    <w:rsid w:val="004E6BED"/>
    <w:rsid w:val="004F0609"/>
    <w:rsid w:val="004F203A"/>
    <w:rsid w:val="004F298F"/>
    <w:rsid w:val="004F31C2"/>
    <w:rsid w:val="004F75A4"/>
    <w:rsid w:val="00500869"/>
    <w:rsid w:val="005145AF"/>
    <w:rsid w:val="00517325"/>
    <w:rsid w:val="005211B1"/>
    <w:rsid w:val="00524192"/>
    <w:rsid w:val="005249D6"/>
    <w:rsid w:val="00531513"/>
    <w:rsid w:val="005315D0"/>
    <w:rsid w:val="005336B8"/>
    <w:rsid w:val="00534969"/>
    <w:rsid w:val="0053611F"/>
    <w:rsid w:val="00540838"/>
    <w:rsid w:val="00543D75"/>
    <w:rsid w:val="0054425B"/>
    <w:rsid w:val="005508DF"/>
    <w:rsid w:val="005514B4"/>
    <w:rsid w:val="00552614"/>
    <w:rsid w:val="00553865"/>
    <w:rsid w:val="00554BAF"/>
    <w:rsid w:val="00557C83"/>
    <w:rsid w:val="005627D0"/>
    <w:rsid w:val="00563590"/>
    <w:rsid w:val="00564280"/>
    <w:rsid w:val="00564C46"/>
    <w:rsid w:val="00565032"/>
    <w:rsid w:val="005675BF"/>
    <w:rsid w:val="00571387"/>
    <w:rsid w:val="0057275E"/>
    <w:rsid w:val="00580753"/>
    <w:rsid w:val="005827EC"/>
    <w:rsid w:val="0058639B"/>
    <w:rsid w:val="00587578"/>
    <w:rsid w:val="00590D3F"/>
    <w:rsid w:val="00591744"/>
    <w:rsid w:val="005937BE"/>
    <w:rsid w:val="005938C7"/>
    <w:rsid w:val="005A52D3"/>
    <w:rsid w:val="005A6DDC"/>
    <w:rsid w:val="005A7431"/>
    <w:rsid w:val="005B04B9"/>
    <w:rsid w:val="005B203D"/>
    <w:rsid w:val="005B32E0"/>
    <w:rsid w:val="005B4467"/>
    <w:rsid w:val="005B68C7"/>
    <w:rsid w:val="005C09EB"/>
    <w:rsid w:val="005C1E0D"/>
    <w:rsid w:val="005C309E"/>
    <w:rsid w:val="005D37CD"/>
    <w:rsid w:val="005D3F2A"/>
    <w:rsid w:val="005D5981"/>
    <w:rsid w:val="005E0ACF"/>
    <w:rsid w:val="005E389A"/>
    <w:rsid w:val="005E5D9F"/>
    <w:rsid w:val="005F0AFF"/>
    <w:rsid w:val="005F30CB"/>
    <w:rsid w:val="005F3A2A"/>
    <w:rsid w:val="006024D3"/>
    <w:rsid w:val="006037EB"/>
    <w:rsid w:val="00604567"/>
    <w:rsid w:val="0060465F"/>
    <w:rsid w:val="0060643B"/>
    <w:rsid w:val="00606F04"/>
    <w:rsid w:val="00614A37"/>
    <w:rsid w:val="00615455"/>
    <w:rsid w:val="006158DE"/>
    <w:rsid w:val="0061644F"/>
    <w:rsid w:val="006223BC"/>
    <w:rsid w:val="0062276F"/>
    <w:rsid w:val="00623CD3"/>
    <w:rsid w:val="006241E4"/>
    <w:rsid w:val="00625E4E"/>
    <w:rsid w:val="00630A8D"/>
    <w:rsid w:val="006361A0"/>
    <w:rsid w:val="00640261"/>
    <w:rsid w:val="00641792"/>
    <w:rsid w:val="006441EE"/>
    <w:rsid w:val="00646214"/>
    <w:rsid w:val="0064648B"/>
    <w:rsid w:val="00651458"/>
    <w:rsid w:val="0065679F"/>
    <w:rsid w:val="00656B33"/>
    <w:rsid w:val="00660CAF"/>
    <w:rsid w:val="00664DC3"/>
    <w:rsid w:val="006722BA"/>
    <w:rsid w:val="006742F8"/>
    <w:rsid w:val="00674CCD"/>
    <w:rsid w:val="00675593"/>
    <w:rsid w:val="00677AB1"/>
    <w:rsid w:val="00680169"/>
    <w:rsid w:val="00682890"/>
    <w:rsid w:val="00684ED6"/>
    <w:rsid w:val="006864C0"/>
    <w:rsid w:val="00687323"/>
    <w:rsid w:val="006912FF"/>
    <w:rsid w:val="006A06E1"/>
    <w:rsid w:val="006A10B8"/>
    <w:rsid w:val="006A23AB"/>
    <w:rsid w:val="006A25B8"/>
    <w:rsid w:val="006A5835"/>
    <w:rsid w:val="006A67A7"/>
    <w:rsid w:val="006B031C"/>
    <w:rsid w:val="006B44B3"/>
    <w:rsid w:val="006B567C"/>
    <w:rsid w:val="006B5E42"/>
    <w:rsid w:val="006C446E"/>
    <w:rsid w:val="006C48DF"/>
    <w:rsid w:val="006C6EA5"/>
    <w:rsid w:val="006D0049"/>
    <w:rsid w:val="006D0BA8"/>
    <w:rsid w:val="006D4D1D"/>
    <w:rsid w:val="006D5B1F"/>
    <w:rsid w:val="006E2127"/>
    <w:rsid w:val="006E26A4"/>
    <w:rsid w:val="006E30D0"/>
    <w:rsid w:val="006E3BFA"/>
    <w:rsid w:val="006E46DC"/>
    <w:rsid w:val="006E7423"/>
    <w:rsid w:val="006F0218"/>
    <w:rsid w:val="006F32C2"/>
    <w:rsid w:val="006F57FE"/>
    <w:rsid w:val="006F5826"/>
    <w:rsid w:val="006F7087"/>
    <w:rsid w:val="00700181"/>
    <w:rsid w:val="0070177A"/>
    <w:rsid w:val="00706931"/>
    <w:rsid w:val="00707EA2"/>
    <w:rsid w:val="007106F0"/>
    <w:rsid w:val="00711520"/>
    <w:rsid w:val="007141CF"/>
    <w:rsid w:val="00715CE0"/>
    <w:rsid w:val="00722096"/>
    <w:rsid w:val="007279FB"/>
    <w:rsid w:val="007317CB"/>
    <w:rsid w:val="0073335A"/>
    <w:rsid w:val="00735872"/>
    <w:rsid w:val="0074127F"/>
    <w:rsid w:val="0074197E"/>
    <w:rsid w:val="007436BA"/>
    <w:rsid w:val="00744422"/>
    <w:rsid w:val="0074574A"/>
    <w:rsid w:val="00746044"/>
    <w:rsid w:val="00746259"/>
    <w:rsid w:val="007541C1"/>
    <w:rsid w:val="007569A0"/>
    <w:rsid w:val="007577E3"/>
    <w:rsid w:val="00760DB3"/>
    <w:rsid w:val="00762667"/>
    <w:rsid w:val="00763903"/>
    <w:rsid w:val="007648C6"/>
    <w:rsid w:val="007657DF"/>
    <w:rsid w:val="007763A5"/>
    <w:rsid w:val="00777CE8"/>
    <w:rsid w:val="007829F5"/>
    <w:rsid w:val="00784DCC"/>
    <w:rsid w:val="00785CE6"/>
    <w:rsid w:val="007874B8"/>
    <w:rsid w:val="00795B6E"/>
    <w:rsid w:val="007A0ADB"/>
    <w:rsid w:val="007A3D00"/>
    <w:rsid w:val="007A487F"/>
    <w:rsid w:val="007A6399"/>
    <w:rsid w:val="007A67E2"/>
    <w:rsid w:val="007B03B1"/>
    <w:rsid w:val="007B29C3"/>
    <w:rsid w:val="007B5C2D"/>
    <w:rsid w:val="007B6B60"/>
    <w:rsid w:val="007C0B96"/>
    <w:rsid w:val="007C1A34"/>
    <w:rsid w:val="007C47F4"/>
    <w:rsid w:val="007C6DC9"/>
    <w:rsid w:val="007D082B"/>
    <w:rsid w:val="007D5C2A"/>
    <w:rsid w:val="007E023E"/>
    <w:rsid w:val="007E1811"/>
    <w:rsid w:val="007E4ED4"/>
    <w:rsid w:val="007E6507"/>
    <w:rsid w:val="007E6D95"/>
    <w:rsid w:val="007E78C7"/>
    <w:rsid w:val="007F206A"/>
    <w:rsid w:val="007F2B8E"/>
    <w:rsid w:val="007F4174"/>
    <w:rsid w:val="007F5756"/>
    <w:rsid w:val="007F6697"/>
    <w:rsid w:val="00800D2F"/>
    <w:rsid w:val="00802937"/>
    <w:rsid w:val="00804F54"/>
    <w:rsid w:val="00807117"/>
    <w:rsid w:val="00807247"/>
    <w:rsid w:val="0080750D"/>
    <w:rsid w:val="00811D26"/>
    <w:rsid w:val="00812E05"/>
    <w:rsid w:val="00821053"/>
    <w:rsid w:val="00821C65"/>
    <w:rsid w:val="00822ED6"/>
    <w:rsid w:val="00824E82"/>
    <w:rsid w:val="00825213"/>
    <w:rsid w:val="008261DE"/>
    <w:rsid w:val="00832BAE"/>
    <w:rsid w:val="00832D32"/>
    <w:rsid w:val="00835FED"/>
    <w:rsid w:val="008370B7"/>
    <w:rsid w:val="00840C2B"/>
    <w:rsid w:val="00841283"/>
    <w:rsid w:val="00843380"/>
    <w:rsid w:val="008457E2"/>
    <w:rsid w:val="008466B9"/>
    <w:rsid w:val="00847F96"/>
    <w:rsid w:val="00850883"/>
    <w:rsid w:val="00852302"/>
    <w:rsid w:val="00852AEA"/>
    <w:rsid w:val="0085590B"/>
    <w:rsid w:val="00856AE5"/>
    <w:rsid w:val="00856C72"/>
    <w:rsid w:val="00860026"/>
    <w:rsid w:val="00864388"/>
    <w:rsid w:val="00864EE5"/>
    <w:rsid w:val="008678A7"/>
    <w:rsid w:val="008703A8"/>
    <w:rsid w:val="008717A3"/>
    <w:rsid w:val="00872CE7"/>
    <w:rsid w:val="008739FD"/>
    <w:rsid w:val="008766DF"/>
    <w:rsid w:val="008772A8"/>
    <w:rsid w:val="00877A5D"/>
    <w:rsid w:val="008815FF"/>
    <w:rsid w:val="008863D6"/>
    <w:rsid w:val="00886724"/>
    <w:rsid w:val="0089225C"/>
    <w:rsid w:val="00892623"/>
    <w:rsid w:val="0089325F"/>
    <w:rsid w:val="008943C4"/>
    <w:rsid w:val="008955A5"/>
    <w:rsid w:val="00895917"/>
    <w:rsid w:val="008A0FED"/>
    <w:rsid w:val="008A1669"/>
    <w:rsid w:val="008A2CD8"/>
    <w:rsid w:val="008A4ABC"/>
    <w:rsid w:val="008A6746"/>
    <w:rsid w:val="008A75A4"/>
    <w:rsid w:val="008B072C"/>
    <w:rsid w:val="008B301C"/>
    <w:rsid w:val="008B3091"/>
    <w:rsid w:val="008C1ADE"/>
    <w:rsid w:val="008C22FB"/>
    <w:rsid w:val="008C7046"/>
    <w:rsid w:val="008C7D8F"/>
    <w:rsid w:val="008D1907"/>
    <w:rsid w:val="008D68C8"/>
    <w:rsid w:val="008E2988"/>
    <w:rsid w:val="008E372C"/>
    <w:rsid w:val="009167D2"/>
    <w:rsid w:val="00916B88"/>
    <w:rsid w:val="009171BE"/>
    <w:rsid w:val="00924FD3"/>
    <w:rsid w:val="009264D9"/>
    <w:rsid w:val="00926874"/>
    <w:rsid w:val="00930BA8"/>
    <w:rsid w:val="00931789"/>
    <w:rsid w:val="009341B1"/>
    <w:rsid w:val="009411FD"/>
    <w:rsid w:val="00942375"/>
    <w:rsid w:val="00943579"/>
    <w:rsid w:val="0094494E"/>
    <w:rsid w:val="00944B6A"/>
    <w:rsid w:val="009464F0"/>
    <w:rsid w:val="00946527"/>
    <w:rsid w:val="0095295F"/>
    <w:rsid w:val="00956BCC"/>
    <w:rsid w:val="00961104"/>
    <w:rsid w:val="00961274"/>
    <w:rsid w:val="00961688"/>
    <w:rsid w:val="00963775"/>
    <w:rsid w:val="0096525F"/>
    <w:rsid w:val="00965A33"/>
    <w:rsid w:val="00970573"/>
    <w:rsid w:val="00971B69"/>
    <w:rsid w:val="00971CB7"/>
    <w:rsid w:val="00972276"/>
    <w:rsid w:val="009733C3"/>
    <w:rsid w:val="0097396C"/>
    <w:rsid w:val="00976E4F"/>
    <w:rsid w:val="009827EC"/>
    <w:rsid w:val="00987D41"/>
    <w:rsid w:val="00990F05"/>
    <w:rsid w:val="00993135"/>
    <w:rsid w:val="009946CC"/>
    <w:rsid w:val="00995893"/>
    <w:rsid w:val="009977F0"/>
    <w:rsid w:val="00997BA6"/>
    <w:rsid w:val="009A117C"/>
    <w:rsid w:val="009A1AA2"/>
    <w:rsid w:val="009A1F30"/>
    <w:rsid w:val="009A6D21"/>
    <w:rsid w:val="009A6F54"/>
    <w:rsid w:val="009B0B56"/>
    <w:rsid w:val="009B18DA"/>
    <w:rsid w:val="009B281A"/>
    <w:rsid w:val="009B5916"/>
    <w:rsid w:val="009B7778"/>
    <w:rsid w:val="009C2CE1"/>
    <w:rsid w:val="009C332D"/>
    <w:rsid w:val="009D01B8"/>
    <w:rsid w:val="009D07FD"/>
    <w:rsid w:val="009D3BE8"/>
    <w:rsid w:val="009D552A"/>
    <w:rsid w:val="009D58C2"/>
    <w:rsid w:val="009D6487"/>
    <w:rsid w:val="009E027A"/>
    <w:rsid w:val="009E45CE"/>
    <w:rsid w:val="009F2130"/>
    <w:rsid w:val="009F23CA"/>
    <w:rsid w:val="009F5F32"/>
    <w:rsid w:val="009F62CD"/>
    <w:rsid w:val="009F71A6"/>
    <w:rsid w:val="00A030F9"/>
    <w:rsid w:val="00A042CE"/>
    <w:rsid w:val="00A146AC"/>
    <w:rsid w:val="00A1506D"/>
    <w:rsid w:val="00A176CA"/>
    <w:rsid w:val="00A20F16"/>
    <w:rsid w:val="00A24D22"/>
    <w:rsid w:val="00A25E70"/>
    <w:rsid w:val="00A325E8"/>
    <w:rsid w:val="00A32F03"/>
    <w:rsid w:val="00A37D99"/>
    <w:rsid w:val="00A4264B"/>
    <w:rsid w:val="00A44D23"/>
    <w:rsid w:val="00A567B7"/>
    <w:rsid w:val="00A6057A"/>
    <w:rsid w:val="00A6112E"/>
    <w:rsid w:val="00A64A67"/>
    <w:rsid w:val="00A74017"/>
    <w:rsid w:val="00A76537"/>
    <w:rsid w:val="00A76555"/>
    <w:rsid w:val="00A805A3"/>
    <w:rsid w:val="00A8621D"/>
    <w:rsid w:val="00A876EB"/>
    <w:rsid w:val="00A87889"/>
    <w:rsid w:val="00A91550"/>
    <w:rsid w:val="00A92A75"/>
    <w:rsid w:val="00A92CD1"/>
    <w:rsid w:val="00A9698E"/>
    <w:rsid w:val="00AA03DD"/>
    <w:rsid w:val="00AA099E"/>
    <w:rsid w:val="00AA1B42"/>
    <w:rsid w:val="00AA332C"/>
    <w:rsid w:val="00AB51B7"/>
    <w:rsid w:val="00AB5C5B"/>
    <w:rsid w:val="00AB5F5B"/>
    <w:rsid w:val="00AB79BD"/>
    <w:rsid w:val="00AC1F03"/>
    <w:rsid w:val="00AC27F8"/>
    <w:rsid w:val="00AC2A92"/>
    <w:rsid w:val="00AC6370"/>
    <w:rsid w:val="00AD068C"/>
    <w:rsid w:val="00AD0E0A"/>
    <w:rsid w:val="00AD14AB"/>
    <w:rsid w:val="00AD310F"/>
    <w:rsid w:val="00AD3ECF"/>
    <w:rsid w:val="00AD4B27"/>
    <w:rsid w:val="00AD4C72"/>
    <w:rsid w:val="00AD68E7"/>
    <w:rsid w:val="00AE27FA"/>
    <w:rsid w:val="00AE2AEE"/>
    <w:rsid w:val="00AE2FB7"/>
    <w:rsid w:val="00AE3F4D"/>
    <w:rsid w:val="00AE423B"/>
    <w:rsid w:val="00AF68B7"/>
    <w:rsid w:val="00AF742D"/>
    <w:rsid w:val="00AF7E3A"/>
    <w:rsid w:val="00B00CB1"/>
    <w:rsid w:val="00B07EC2"/>
    <w:rsid w:val="00B10525"/>
    <w:rsid w:val="00B10BFA"/>
    <w:rsid w:val="00B13527"/>
    <w:rsid w:val="00B1472E"/>
    <w:rsid w:val="00B1477D"/>
    <w:rsid w:val="00B14822"/>
    <w:rsid w:val="00B16FFD"/>
    <w:rsid w:val="00B20785"/>
    <w:rsid w:val="00B22BF4"/>
    <w:rsid w:val="00B230EC"/>
    <w:rsid w:val="00B3005F"/>
    <w:rsid w:val="00B30352"/>
    <w:rsid w:val="00B3147A"/>
    <w:rsid w:val="00B31EC1"/>
    <w:rsid w:val="00B31FE1"/>
    <w:rsid w:val="00B42631"/>
    <w:rsid w:val="00B43BD5"/>
    <w:rsid w:val="00B45645"/>
    <w:rsid w:val="00B46265"/>
    <w:rsid w:val="00B466AE"/>
    <w:rsid w:val="00B47218"/>
    <w:rsid w:val="00B52A90"/>
    <w:rsid w:val="00B53486"/>
    <w:rsid w:val="00B60B08"/>
    <w:rsid w:val="00B6206A"/>
    <w:rsid w:val="00B62321"/>
    <w:rsid w:val="00B709B7"/>
    <w:rsid w:val="00B70C4C"/>
    <w:rsid w:val="00B712D0"/>
    <w:rsid w:val="00B72BC1"/>
    <w:rsid w:val="00B737C0"/>
    <w:rsid w:val="00B766E3"/>
    <w:rsid w:val="00B7711C"/>
    <w:rsid w:val="00B775BE"/>
    <w:rsid w:val="00B77B4F"/>
    <w:rsid w:val="00B80AA8"/>
    <w:rsid w:val="00B81B0F"/>
    <w:rsid w:val="00B828EE"/>
    <w:rsid w:val="00B86D50"/>
    <w:rsid w:val="00B87B16"/>
    <w:rsid w:val="00B95575"/>
    <w:rsid w:val="00B96A0A"/>
    <w:rsid w:val="00B97CDF"/>
    <w:rsid w:val="00BA0253"/>
    <w:rsid w:val="00BA093F"/>
    <w:rsid w:val="00BA0A03"/>
    <w:rsid w:val="00BA1AC6"/>
    <w:rsid w:val="00BA37CD"/>
    <w:rsid w:val="00BA4836"/>
    <w:rsid w:val="00BA6D60"/>
    <w:rsid w:val="00BA7210"/>
    <w:rsid w:val="00BA72DD"/>
    <w:rsid w:val="00BA782B"/>
    <w:rsid w:val="00BB03EF"/>
    <w:rsid w:val="00BB1F84"/>
    <w:rsid w:val="00BB7793"/>
    <w:rsid w:val="00BB7A19"/>
    <w:rsid w:val="00BC107C"/>
    <w:rsid w:val="00BC2B83"/>
    <w:rsid w:val="00BC7E6D"/>
    <w:rsid w:val="00BD3C8B"/>
    <w:rsid w:val="00BD610B"/>
    <w:rsid w:val="00BD6EEF"/>
    <w:rsid w:val="00BE0116"/>
    <w:rsid w:val="00BE203D"/>
    <w:rsid w:val="00BE218A"/>
    <w:rsid w:val="00BE432C"/>
    <w:rsid w:val="00BE497C"/>
    <w:rsid w:val="00BE50D1"/>
    <w:rsid w:val="00BE5468"/>
    <w:rsid w:val="00BE65A5"/>
    <w:rsid w:val="00BE6720"/>
    <w:rsid w:val="00BE75D2"/>
    <w:rsid w:val="00BF009F"/>
    <w:rsid w:val="00BF018E"/>
    <w:rsid w:val="00BF1708"/>
    <w:rsid w:val="00BF1902"/>
    <w:rsid w:val="00BF3E1F"/>
    <w:rsid w:val="00BF4B39"/>
    <w:rsid w:val="00BF5349"/>
    <w:rsid w:val="00BF7817"/>
    <w:rsid w:val="00C01231"/>
    <w:rsid w:val="00C028F0"/>
    <w:rsid w:val="00C030B2"/>
    <w:rsid w:val="00C06785"/>
    <w:rsid w:val="00C102E7"/>
    <w:rsid w:val="00C11EAC"/>
    <w:rsid w:val="00C136C6"/>
    <w:rsid w:val="00C144C1"/>
    <w:rsid w:val="00C212D4"/>
    <w:rsid w:val="00C2678E"/>
    <w:rsid w:val="00C30F2A"/>
    <w:rsid w:val="00C32B23"/>
    <w:rsid w:val="00C368A8"/>
    <w:rsid w:val="00C36BC0"/>
    <w:rsid w:val="00C37445"/>
    <w:rsid w:val="00C402C0"/>
    <w:rsid w:val="00C43456"/>
    <w:rsid w:val="00C43D31"/>
    <w:rsid w:val="00C45700"/>
    <w:rsid w:val="00C45EB9"/>
    <w:rsid w:val="00C46792"/>
    <w:rsid w:val="00C578A9"/>
    <w:rsid w:val="00C57E60"/>
    <w:rsid w:val="00C60233"/>
    <w:rsid w:val="00C6135E"/>
    <w:rsid w:val="00C63068"/>
    <w:rsid w:val="00C65C0C"/>
    <w:rsid w:val="00C676FF"/>
    <w:rsid w:val="00C73358"/>
    <w:rsid w:val="00C74991"/>
    <w:rsid w:val="00C75387"/>
    <w:rsid w:val="00C76258"/>
    <w:rsid w:val="00C808FC"/>
    <w:rsid w:val="00C82E33"/>
    <w:rsid w:val="00C833E3"/>
    <w:rsid w:val="00C9036F"/>
    <w:rsid w:val="00C934CF"/>
    <w:rsid w:val="00C93A73"/>
    <w:rsid w:val="00C94E20"/>
    <w:rsid w:val="00CA0608"/>
    <w:rsid w:val="00CA1995"/>
    <w:rsid w:val="00CA57E7"/>
    <w:rsid w:val="00CB14C8"/>
    <w:rsid w:val="00CB2108"/>
    <w:rsid w:val="00CB79DD"/>
    <w:rsid w:val="00CC0AE3"/>
    <w:rsid w:val="00CC1BA2"/>
    <w:rsid w:val="00CC26D3"/>
    <w:rsid w:val="00CC394A"/>
    <w:rsid w:val="00CC761A"/>
    <w:rsid w:val="00CD1FF3"/>
    <w:rsid w:val="00CD7D97"/>
    <w:rsid w:val="00CE371F"/>
    <w:rsid w:val="00CE3EE6"/>
    <w:rsid w:val="00CE4BA1"/>
    <w:rsid w:val="00CF0916"/>
    <w:rsid w:val="00CF1578"/>
    <w:rsid w:val="00CF1C4F"/>
    <w:rsid w:val="00CF2CBD"/>
    <w:rsid w:val="00CF3A86"/>
    <w:rsid w:val="00CF6881"/>
    <w:rsid w:val="00CF6D79"/>
    <w:rsid w:val="00CF74D0"/>
    <w:rsid w:val="00D000C7"/>
    <w:rsid w:val="00D01346"/>
    <w:rsid w:val="00D0148B"/>
    <w:rsid w:val="00D01BD6"/>
    <w:rsid w:val="00D10150"/>
    <w:rsid w:val="00D177C1"/>
    <w:rsid w:val="00D24246"/>
    <w:rsid w:val="00D244FE"/>
    <w:rsid w:val="00D270D9"/>
    <w:rsid w:val="00D27B03"/>
    <w:rsid w:val="00D368EC"/>
    <w:rsid w:val="00D373C5"/>
    <w:rsid w:val="00D3787B"/>
    <w:rsid w:val="00D41BAA"/>
    <w:rsid w:val="00D4630C"/>
    <w:rsid w:val="00D50AAE"/>
    <w:rsid w:val="00D50ABC"/>
    <w:rsid w:val="00D51184"/>
    <w:rsid w:val="00D52A9D"/>
    <w:rsid w:val="00D55643"/>
    <w:rsid w:val="00D55AAD"/>
    <w:rsid w:val="00D55C4E"/>
    <w:rsid w:val="00D57DA8"/>
    <w:rsid w:val="00D60804"/>
    <w:rsid w:val="00D66402"/>
    <w:rsid w:val="00D6703D"/>
    <w:rsid w:val="00D6729B"/>
    <w:rsid w:val="00D71476"/>
    <w:rsid w:val="00D715FC"/>
    <w:rsid w:val="00D716B1"/>
    <w:rsid w:val="00D74134"/>
    <w:rsid w:val="00D747AE"/>
    <w:rsid w:val="00D74A2A"/>
    <w:rsid w:val="00D76DFD"/>
    <w:rsid w:val="00D77BBC"/>
    <w:rsid w:val="00D84E21"/>
    <w:rsid w:val="00D9226C"/>
    <w:rsid w:val="00D9283E"/>
    <w:rsid w:val="00D94749"/>
    <w:rsid w:val="00D94F71"/>
    <w:rsid w:val="00D9562A"/>
    <w:rsid w:val="00D965A8"/>
    <w:rsid w:val="00D96D33"/>
    <w:rsid w:val="00DA0ACF"/>
    <w:rsid w:val="00DA1867"/>
    <w:rsid w:val="00DA1A7E"/>
    <w:rsid w:val="00DA20BD"/>
    <w:rsid w:val="00DA3916"/>
    <w:rsid w:val="00DA744F"/>
    <w:rsid w:val="00DA7D7E"/>
    <w:rsid w:val="00DB3CF7"/>
    <w:rsid w:val="00DB3D06"/>
    <w:rsid w:val="00DC09B3"/>
    <w:rsid w:val="00DC6E93"/>
    <w:rsid w:val="00DE1DB4"/>
    <w:rsid w:val="00DE50DB"/>
    <w:rsid w:val="00DE51E2"/>
    <w:rsid w:val="00DE6768"/>
    <w:rsid w:val="00DE7C9D"/>
    <w:rsid w:val="00DF17F5"/>
    <w:rsid w:val="00DF4156"/>
    <w:rsid w:val="00DF59E0"/>
    <w:rsid w:val="00DF5F51"/>
    <w:rsid w:val="00DF6AE1"/>
    <w:rsid w:val="00E00B16"/>
    <w:rsid w:val="00E01F90"/>
    <w:rsid w:val="00E029B8"/>
    <w:rsid w:val="00E06DBE"/>
    <w:rsid w:val="00E07322"/>
    <w:rsid w:val="00E07A11"/>
    <w:rsid w:val="00E12048"/>
    <w:rsid w:val="00E165F9"/>
    <w:rsid w:val="00E16A31"/>
    <w:rsid w:val="00E20FAE"/>
    <w:rsid w:val="00E21E27"/>
    <w:rsid w:val="00E27C52"/>
    <w:rsid w:val="00E35303"/>
    <w:rsid w:val="00E35FED"/>
    <w:rsid w:val="00E40715"/>
    <w:rsid w:val="00E416F3"/>
    <w:rsid w:val="00E43261"/>
    <w:rsid w:val="00E44285"/>
    <w:rsid w:val="00E468E4"/>
    <w:rsid w:val="00E46FD5"/>
    <w:rsid w:val="00E51B7B"/>
    <w:rsid w:val="00E52772"/>
    <w:rsid w:val="00E544BB"/>
    <w:rsid w:val="00E5546D"/>
    <w:rsid w:val="00E56545"/>
    <w:rsid w:val="00E57B65"/>
    <w:rsid w:val="00E60F51"/>
    <w:rsid w:val="00E610D3"/>
    <w:rsid w:val="00E61259"/>
    <w:rsid w:val="00E63D09"/>
    <w:rsid w:val="00E66D5E"/>
    <w:rsid w:val="00E6748C"/>
    <w:rsid w:val="00E70858"/>
    <w:rsid w:val="00E71516"/>
    <w:rsid w:val="00E74BC0"/>
    <w:rsid w:val="00E80424"/>
    <w:rsid w:val="00E81054"/>
    <w:rsid w:val="00E844F6"/>
    <w:rsid w:val="00E8544D"/>
    <w:rsid w:val="00E86BA0"/>
    <w:rsid w:val="00E877F6"/>
    <w:rsid w:val="00E87824"/>
    <w:rsid w:val="00E9090D"/>
    <w:rsid w:val="00E92B22"/>
    <w:rsid w:val="00E935E1"/>
    <w:rsid w:val="00E97256"/>
    <w:rsid w:val="00E97E10"/>
    <w:rsid w:val="00EA0B13"/>
    <w:rsid w:val="00EA34D7"/>
    <w:rsid w:val="00EA59C3"/>
    <w:rsid w:val="00EA5D4F"/>
    <w:rsid w:val="00EB0F17"/>
    <w:rsid w:val="00EB18D7"/>
    <w:rsid w:val="00EB3087"/>
    <w:rsid w:val="00EB46E7"/>
    <w:rsid w:val="00EB6962"/>
    <w:rsid w:val="00EB6C56"/>
    <w:rsid w:val="00EB7322"/>
    <w:rsid w:val="00EB779B"/>
    <w:rsid w:val="00EC1BC6"/>
    <w:rsid w:val="00EC29A7"/>
    <w:rsid w:val="00EC3E8B"/>
    <w:rsid w:val="00EC4B22"/>
    <w:rsid w:val="00ED54E0"/>
    <w:rsid w:val="00ED6966"/>
    <w:rsid w:val="00ED6B6A"/>
    <w:rsid w:val="00EE2F49"/>
    <w:rsid w:val="00EE44F9"/>
    <w:rsid w:val="00EE6089"/>
    <w:rsid w:val="00EE6B51"/>
    <w:rsid w:val="00EE75D2"/>
    <w:rsid w:val="00EF0FC2"/>
    <w:rsid w:val="00EF1B7B"/>
    <w:rsid w:val="00EF273A"/>
    <w:rsid w:val="00EF4A27"/>
    <w:rsid w:val="00F0140E"/>
    <w:rsid w:val="00F02242"/>
    <w:rsid w:val="00F03157"/>
    <w:rsid w:val="00F03B66"/>
    <w:rsid w:val="00F11AFB"/>
    <w:rsid w:val="00F11E65"/>
    <w:rsid w:val="00F15789"/>
    <w:rsid w:val="00F1738C"/>
    <w:rsid w:val="00F21A47"/>
    <w:rsid w:val="00F2224B"/>
    <w:rsid w:val="00F22758"/>
    <w:rsid w:val="00F23395"/>
    <w:rsid w:val="00F30146"/>
    <w:rsid w:val="00F30842"/>
    <w:rsid w:val="00F32397"/>
    <w:rsid w:val="00F34EC5"/>
    <w:rsid w:val="00F35DCA"/>
    <w:rsid w:val="00F362DF"/>
    <w:rsid w:val="00F40595"/>
    <w:rsid w:val="00F42137"/>
    <w:rsid w:val="00F50FE9"/>
    <w:rsid w:val="00F511C2"/>
    <w:rsid w:val="00F5286E"/>
    <w:rsid w:val="00F53DAB"/>
    <w:rsid w:val="00F572D3"/>
    <w:rsid w:val="00F6160C"/>
    <w:rsid w:val="00F65023"/>
    <w:rsid w:val="00F650D4"/>
    <w:rsid w:val="00F67F89"/>
    <w:rsid w:val="00F70657"/>
    <w:rsid w:val="00F70888"/>
    <w:rsid w:val="00F70CDF"/>
    <w:rsid w:val="00F7109F"/>
    <w:rsid w:val="00F7120A"/>
    <w:rsid w:val="00F71DA7"/>
    <w:rsid w:val="00F72513"/>
    <w:rsid w:val="00F7308E"/>
    <w:rsid w:val="00F75BB7"/>
    <w:rsid w:val="00F81A95"/>
    <w:rsid w:val="00F90197"/>
    <w:rsid w:val="00F9281A"/>
    <w:rsid w:val="00F936AB"/>
    <w:rsid w:val="00F93C0B"/>
    <w:rsid w:val="00F957F9"/>
    <w:rsid w:val="00F96C80"/>
    <w:rsid w:val="00F97A3E"/>
    <w:rsid w:val="00FA5EBC"/>
    <w:rsid w:val="00FA6AC7"/>
    <w:rsid w:val="00FB03D2"/>
    <w:rsid w:val="00FB46DD"/>
    <w:rsid w:val="00FB636F"/>
    <w:rsid w:val="00FB67F1"/>
    <w:rsid w:val="00FB7593"/>
    <w:rsid w:val="00FC1583"/>
    <w:rsid w:val="00FC33B2"/>
    <w:rsid w:val="00FC35E8"/>
    <w:rsid w:val="00FC5E96"/>
    <w:rsid w:val="00FC66F0"/>
    <w:rsid w:val="00FC6B64"/>
    <w:rsid w:val="00FC6FBB"/>
    <w:rsid w:val="00FD12AA"/>
    <w:rsid w:val="00FD161E"/>
    <w:rsid w:val="00FD1D5D"/>
    <w:rsid w:val="00FD224A"/>
    <w:rsid w:val="00FD30FB"/>
    <w:rsid w:val="00FD5C63"/>
    <w:rsid w:val="00FE343F"/>
    <w:rsid w:val="00FF0E19"/>
    <w:rsid w:val="00FF19B7"/>
    <w:rsid w:val="00FF4616"/>
    <w:rsid w:val="00FF630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31E60"/>
  <w15:docId w15:val="{FEE88506-169C-44B8-BB88-99F02A2F9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FC7"/>
    <w:pPr>
      <w:jc w:val="both"/>
    </w:pPr>
    <w:rPr>
      <w:rFonts w:ascii="Verdana" w:hAnsi="Verdana"/>
      <w:sz w:val="18"/>
      <w:szCs w:val="22"/>
      <w:lang w:eastAsia="en-US"/>
    </w:rPr>
  </w:style>
  <w:style w:type="paragraph" w:styleId="Heading1">
    <w:name w:val="heading 1"/>
    <w:basedOn w:val="Normal"/>
    <w:next w:val="Heading2"/>
    <w:uiPriority w:val="2"/>
    <w:qFormat/>
    <w:rsid w:val="00B230EC"/>
    <w:pPr>
      <w:keepNext/>
      <w:keepLines/>
      <w:numPr>
        <w:numId w:val="40"/>
      </w:numPr>
      <w:spacing w:after="240"/>
      <w:outlineLvl w:val="0"/>
    </w:pPr>
    <w:rPr>
      <w:rFonts w:eastAsia="Times New Roman"/>
      <w:b/>
      <w:bCs/>
      <w:caps/>
      <w:color w:val="006283"/>
      <w:szCs w:val="28"/>
      <w:lang w:eastAsia="en-GB"/>
    </w:rPr>
  </w:style>
  <w:style w:type="paragraph" w:styleId="Heading2">
    <w:name w:val="heading 2"/>
    <w:basedOn w:val="Normal"/>
    <w:next w:val="Heading3"/>
    <w:uiPriority w:val="2"/>
    <w:qFormat/>
    <w:rsid w:val="00B230EC"/>
    <w:pPr>
      <w:keepNext/>
      <w:keepLines/>
      <w:numPr>
        <w:ilvl w:val="1"/>
        <w:numId w:val="40"/>
      </w:numPr>
      <w:spacing w:after="240"/>
      <w:outlineLvl w:val="1"/>
    </w:pPr>
    <w:rPr>
      <w:rFonts w:eastAsia="Times New Roman"/>
      <w:b/>
      <w:bCs/>
      <w:color w:val="006283"/>
      <w:szCs w:val="26"/>
      <w:lang w:eastAsia="en-GB"/>
    </w:rPr>
  </w:style>
  <w:style w:type="paragraph" w:styleId="Heading3">
    <w:name w:val="heading 3"/>
    <w:basedOn w:val="Normal"/>
    <w:next w:val="Heading4"/>
    <w:uiPriority w:val="2"/>
    <w:qFormat/>
    <w:rsid w:val="00B230EC"/>
    <w:pPr>
      <w:keepNext/>
      <w:keepLines/>
      <w:numPr>
        <w:ilvl w:val="2"/>
        <w:numId w:val="40"/>
      </w:numPr>
      <w:spacing w:after="240"/>
      <w:outlineLvl w:val="2"/>
    </w:pPr>
    <w:rPr>
      <w:rFonts w:eastAsia="Times New Roman"/>
      <w:b/>
      <w:bCs/>
      <w:color w:val="006283"/>
      <w:szCs w:val="20"/>
      <w:lang w:eastAsia="en-GB"/>
    </w:rPr>
  </w:style>
  <w:style w:type="paragraph" w:styleId="Heading4">
    <w:name w:val="heading 4"/>
    <w:basedOn w:val="Normal"/>
    <w:next w:val="Heading5"/>
    <w:uiPriority w:val="2"/>
    <w:qFormat/>
    <w:rsid w:val="00B230EC"/>
    <w:pPr>
      <w:keepNext/>
      <w:keepLines/>
      <w:numPr>
        <w:ilvl w:val="3"/>
        <w:numId w:val="40"/>
      </w:numPr>
      <w:spacing w:after="240"/>
      <w:outlineLvl w:val="3"/>
    </w:pPr>
    <w:rPr>
      <w:rFonts w:eastAsia="Times New Roman"/>
      <w:b/>
      <w:bCs/>
      <w:iCs/>
      <w:color w:val="006283"/>
      <w:szCs w:val="20"/>
      <w:lang w:eastAsia="en-GB"/>
    </w:rPr>
  </w:style>
  <w:style w:type="paragraph" w:styleId="Heading5">
    <w:name w:val="heading 5"/>
    <w:basedOn w:val="Normal"/>
    <w:next w:val="Heading6"/>
    <w:uiPriority w:val="2"/>
    <w:qFormat/>
    <w:rsid w:val="00B230EC"/>
    <w:pPr>
      <w:keepNext/>
      <w:keepLines/>
      <w:numPr>
        <w:ilvl w:val="4"/>
        <w:numId w:val="40"/>
      </w:numPr>
      <w:spacing w:after="240"/>
      <w:outlineLvl w:val="4"/>
    </w:pPr>
    <w:rPr>
      <w:rFonts w:eastAsia="Times New Roman"/>
      <w:b/>
      <w:color w:val="006283"/>
      <w:szCs w:val="20"/>
      <w:lang w:eastAsia="en-GB"/>
    </w:rPr>
  </w:style>
  <w:style w:type="paragraph" w:styleId="Heading6">
    <w:name w:val="heading 6"/>
    <w:basedOn w:val="Normal"/>
    <w:next w:val="BodyText"/>
    <w:uiPriority w:val="2"/>
    <w:qFormat/>
    <w:rsid w:val="00B230EC"/>
    <w:pPr>
      <w:keepNext/>
      <w:keepLines/>
      <w:numPr>
        <w:ilvl w:val="5"/>
        <w:numId w:val="40"/>
      </w:numPr>
      <w:spacing w:after="240"/>
      <w:outlineLvl w:val="5"/>
    </w:pPr>
    <w:rPr>
      <w:rFonts w:eastAsia="Times New Roman"/>
      <w:b/>
      <w:iCs/>
      <w:color w:val="006283"/>
      <w:szCs w:val="20"/>
      <w:lang w:eastAsia="en-GB"/>
    </w:rPr>
  </w:style>
  <w:style w:type="paragraph" w:styleId="Heading7">
    <w:name w:val="heading 7"/>
    <w:basedOn w:val="Normal"/>
    <w:next w:val="Normal"/>
    <w:uiPriority w:val="2"/>
    <w:rsid w:val="003324F8"/>
    <w:pPr>
      <w:keepNext/>
      <w:keepLines/>
      <w:spacing w:after="240"/>
      <w:ind w:left="567"/>
      <w:outlineLvl w:val="6"/>
    </w:pPr>
    <w:rPr>
      <w:rFonts w:eastAsia="Times New Roman"/>
      <w:b/>
      <w:i/>
      <w:iCs/>
      <w:color w:val="006283"/>
    </w:rPr>
  </w:style>
  <w:style w:type="paragraph" w:styleId="Heading8">
    <w:name w:val="heading 8"/>
    <w:basedOn w:val="Normal"/>
    <w:next w:val="Normal"/>
    <w:uiPriority w:val="2"/>
    <w:rsid w:val="003324F8"/>
    <w:pPr>
      <w:keepNext/>
      <w:keepLines/>
      <w:spacing w:after="240"/>
      <w:ind w:left="1134"/>
      <w:outlineLvl w:val="7"/>
    </w:pPr>
    <w:rPr>
      <w:rFonts w:eastAsia="Times New Roman"/>
      <w:b/>
      <w:color w:val="006283"/>
      <w:szCs w:val="20"/>
      <w:u w:val="single"/>
    </w:rPr>
  </w:style>
  <w:style w:type="paragraph" w:styleId="Heading9">
    <w:name w:val="heading 9"/>
    <w:basedOn w:val="Normal"/>
    <w:next w:val="Normal"/>
    <w:uiPriority w:val="2"/>
    <w:rsid w:val="003324F8"/>
    <w:pPr>
      <w:keepNext/>
      <w:keepLines/>
      <w:spacing w:after="240"/>
      <w:ind w:left="1701"/>
      <w:outlineLvl w:val="8"/>
    </w:pPr>
    <w:rPr>
      <w:rFonts w:eastAsia="Times New Roman"/>
      <w:b/>
      <w:iCs/>
      <w:color w:val="00628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5"/>
    <w:qFormat/>
    <w:rsid w:val="00B230EC"/>
    <w:pPr>
      <w:spacing w:before="480" w:after="240"/>
      <w:contextualSpacing/>
      <w:jc w:val="center"/>
    </w:pPr>
    <w:rPr>
      <w:rFonts w:eastAsia="Times New Roman"/>
      <w:b/>
      <w:caps/>
      <w:color w:val="006283"/>
      <w:kern w:val="28"/>
      <w:szCs w:val="52"/>
      <w:lang w:eastAsia="en-GB"/>
    </w:rPr>
  </w:style>
  <w:style w:type="paragraph" w:styleId="BodyText">
    <w:name w:val="Body Text"/>
    <w:basedOn w:val="Normal"/>
    <w:uiPriority w:val="1"/>
    <w:qFormat/>
    <w:rsid w:val="00D747AE"/>
    <w:pPr>
      <w:numPr>
        <w:ilvl w:val="6"/>
        <w:numId w:val="40"/>
      </w:numPr>
      <w:spacing w:after="240"/>
    </w:pPr>
    <w:rPr>
      <w:szCs w:val="20"/>
      <w:lang w:eastAsia="en-GB"/>
    </w:rPr>
  </w:style>
  <w:style w:type="paragraph" w:styleId="BodyText2">
    <w:name w:val="Body Text 2"/>
    <w:basedOn w:val="Normal"/>
    <w:uiPriority w:val="1"/>
    <w:qFormat/>
    <w:rsid w:val="00D747AE"/>
    <w:pPr>
      <w:numPr>
        <w:ilvl w:val="7"/>
        <w:numId w:val="40"/>
      </w:numPr>
      <w:spacing w:after="240"/>
    </w:pPr>
    <w:rPr>
      <w:szCs w:val="20"/>
      <w:lang w:eastAsia="en-GB"/>
    </w:rPr>
  </w:style>
  <w:style w:type="paragraph" w:styleId="BodyText3">
    <w:name w:val="Body Text 3"/>
    <w:basedOn w:val="Normal"/>
    <w:uiPriority w:val="1"/>
    <w:qFormat/>
    <w:rsid w:val="004C0F28"/>
    <w:pPr>
      <w:numPr>
        <w:ilvl w:val="8"/>
        <w:numId w:val="40"/>
      </w:numPr>
      <w:spacing w:after="240"/>
    </w:pPr>
    <w:rPr>
      <w:rFonts w:eastAsiaTheme="minorHAnsi" w:cstheme="minorBidi"/>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uiPriority w:val="6"/>
    <w:qFormat/>
    <w:rsid w:val="0046754A"/>
    <w:pPr>
      <w:spacing w:after="240"/>
      <w:ind w:left="1077"/>
    </w:pPr>
    <w:rPr>
      <w:szCs w:val="20"/>
      <w:lang w:eastAsia="en-GB"/>
    </w:rPr>
  </w:style>
  <w:style w:type="paragraph" w:styleId="Caption">
    <w:name w:val="caption"/>
    <w:basedOn w:val="Normal"/>
    <w:next w:val="Normal"/>
    <w:uiPriority w:val="6"/>
    <w:qFormat/>
    <w:rsid w:val="00B230E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qFormat/>
    <w:rsid w:val="00E56545"/>
    <w:pPr>
      <w:ind w:firstLine="567"/>
      <w:jc w:val="left"/>
    </w:pPr>
    <w:rPr>
      <w:sz w:val="16"/>
      <w:szCs w:val="18"/>
      <w:lang w:eastAsia="en-GB"/>
    </w:rPr>
  </w:style>
  <w:style w:type="paragraph" w:styleId="EndnoteText">
    <w:name w:val="endnote text"/>
    <w:basedOn w:val="FootnoteText"/>
    <w:uiPriority w:val="99"/>
    <w:rsid w:val="0046754A"/>
    <w:rPr>
      <w:szCs w:val="20"/>
    </w:rPr>
  </w:style>
  <w:style w:type="paragraph" w:customStyle="1" w:styleId="FollowUp">
    <w:name w:val="FollowUp"/>
    <w:basedOn w:val="Normal"/>
    <w:uiPriority w:val="6"/>
    <w:qFormat/>
    <w:rsid w:val="0046754A"/>
    <w:pPr>
      <w:spacing w:after="240"/>
      <w:ind w:left="720"/>
    </w:pPr>
    <w:rPr>
      <w:i/>
      <w:szCs w:val="20"/>
      <w:lang w:eastAsia="en-GB"/>
    </w:rPr>
  </w:style>
  <w:style w:type="paragraph" w:styleId="Footer">
    <w:name w:val="footer"/>
    <w:basedOn w:val="Normal"/>
    <w:uiPriority w:val="5"/>
    <w:rsid w:val="0046754A"/>
    <w:pPr>
      <w:tabs>
        <w:tab w:val="center" w:pos="4513"/>
        <w:tab w:val="right" w:pos="9027"/>
      </w:tabs>
    </w:pPr>
    <w:rPr>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99"/>
    <w:qFormat/>
    <w:rsid w:val="0046754A"/>
    <w:rPr>
      <w:vertAlign w:val="superscript"/>
    </w:rPr>
  </w:style>
  <w:style w:type="paragraph" w:styleId="Header">
    <w:name w:val="header"/>
    <w:basedOn w:val="Normal"/>
    <w:uiPriority w:val="5"/>
    <w:rsid w:val="0046754A"/>
    <w:pPr>
      <w:tabs>
        <w:tab w:val="center" w:pos="4513"/>
        <w:tab w:val="right" w:pos="9027"/>
      </w:tabs>
      <w:jc w:val="left"/>
    </w:pPr>
    <w:rPr>
      <w:szCs w:val="18"/>
      <w:lang w:eastAsia="en-GB"/>
    </w:rPr>
  </w:style>
  <w:style w:type="paragraph" w:customStyle="1" w:styleId="Quotation">
    <w:name w:val="Quotation"/>
    <w:basedOn w:val="Normal"/>
    <w:uiPriority w:val="5"/>
    <w:qFormat/>
    <w:rsid w:val="00DF6AE1"/>
    <w:pPr>
      <w:spacing w:after="240"/>
      <w:ind w:left="567" w:right="567"/>
    </w:pPr>
    <w:rPr>
      <w:szCs w:val="18"/>
      <w:lang w:eastAsia="en-GB"/>
    </w:rPr>
  </w:style>
  <w:style w:type="paragraph" w:customStyle="1" w:styleId="QuotationDouble">
    <w:name w:val="Quotation Double"/>
    <w:basedOn w:val="Normal"/>
    <w:uiPriority w:val="5"/>
    <w:qFormat/>
    <w:rsid w:val="00DF6AE1"/>
    <w:pPr>
      <w:spacing w:after="240"/>
      <w:ind w:left="1134" w:right="1134"/>
    </w:pPr>
    <w:rPr>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Normal"/>
    <w:next w:val="Normal"/>
    <w:uiPriority w:val="5"/>
    <w:qFormat/>
    <w:rsid w:val="00B230EC"/>
    <w:pPr>
      <w:spacing w:after="360"/>
      <w:jc w:val="center"/>
    </w:pPr>
    <w:rPr>
      <w:caps/>
      <w:color w:val="006283"/>
      <w:szCs w:val="18"/>
      <w:lang w:eastAsia="en-GB"/>
    </w:rPr>
  </w:style>
  <w:style w:type="paragraph" w:customStyle="1" w:styleId="Title3">
    <w:name w:val="Title 3"/>
    <w:basedOn w:val="Normal"/>
    <w:next w:val="Normal"/>
    <w:uiPriority w:val="5"/>
    <w:qFormat/>
    <w:rsid w:val="00B230EC"/>
    <w:pPr>
      <w:spacing w:after="360"/>
      <w:jc w:val="center"/>
    </w:pPr>
    <w:rPr>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smallCaps/>
      <w:color w:val="006283"/>
      <w:szCs w:val="18"/>
      <w:lang w:eastAsia="en-GB"/>
    </w:rPr>
  </w:style>
  <w:style w:type="paragraph" w:styleId="TOC1">
    <w:name w:val="toc 1"/>
    <w:basedOn w:val="Normal"/>
    <w:next w:val="Normal"/>
    <w:autoRedefine/>
    <w:uiPriority w:val="39"/>
    <w:rsid w:val="00B43BD5"/>
    <w:pPr>
      <w:tabs>
        <w:tab w:val="right" w:leader="dot" w:pos="9027"/>
      </w:tabs>
      <w:spacing w:before="120" w:after="120"/>
      <w:ind w:right="96"/>
    </w:pPr>
    <w:rPr>
      <w:b/>
      <w:caps/>
      <w:szCs w:val="18"/>
      <w:lang w:eastAsia="en-GB"/>
    </w:rPr>
  </w:style>
  <w:style w:type="paragraph" w:styleId="TOC2">
    <w:name w:val="toc 2"/>
    <w:basedOn w:val="Normal"/>
    <w:next w:val="Normal"/>
    <w:autoRedefine/>
    <w:uiPriority w:val="39"/>
    <w:rsid w:val="008717A3"/>
    <w:pPr>
      <w:tabs>
        <w:tab w:val="right" w:leader="dot" w:pos="9027"/>
      </w:tabs>
      <w:spacing w:before="120" w:after="120"/>
      <w:ind w:right="95"/>
    </w:pPr>
    <w:rPr>
      <w:szCs w:val="18"/>
      <w:lang w:eastAsia="en-GB"/>
    </w:rPr>
  </w:style>
  <w:style w:type="paragraph" w:styleId="TOC3">
    <w:name w:val="toc 3"/>
    <w:basedOn w:val="Normal"/>
    <w:next w:val="Normal"/>
    <w:autoRedefine/>
    <w:uiPriority w:val="39"/>
    <w:rsid w:val="000171D6"/>
    <w:pPr>
      <w:tabs>
        <w:tab w:val="right" w:leader="dot" w:pos="9027"/>
      </w:tabs>
      <w:spacing w:before="120" w:after="120"/>
      <w:ind w:right="95"/>
      <w:jc w:val="left"/>
    </w:pPr>
    <w:rPr>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Heading">
    <w:name w:val="TOC Heading"/>
    <w:basedOn w:val="Normal"/>
    <w:next w:val="Normal"/>
    <w:uiPriority w:val="39"/>
    <w:qFormat/>
    <w:rsid w:val="0046754A"/>
    <w:pPr>
      <w:spacing w:before="240"/>
      <w:jc w:val="center"/>
    </w:pPr>
    <w:rPr>
      <w:rFonts w:eastAsia="Times New Roman"/>
      <w:b/>
      <w:bCs/>
      <w:szCs w:val="28"/>
      <w:lang w:eastAsia="en-GB"/>
    </w:rPr>
  </w:style>
  <w:style w:type="table" w:customStyle="1" w:styleId="WTOTable2">
    <w:name w:val="WTOTable2"/>
    <w:basedOn w:val="TableNormal"/>
    <w:uiPriority w:val="99"/>
    <w:rsid w:val="000919E4"/>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uiPriority w:val="99"/>
    <w:semiHidden/>
    <w:unhideWhenUsed/>
    <w:rsid w:val="00ED54E0"/>
    <w:rPr>
      <w:rFonts w:ascii="Tahoma" w:hAnsi="Tahoma" w:cs="Tahoma"/>
      <w:sz w:val="16"/>
      <w:szCs w:val="16"/>
      <w:lang w:eastAsia="en-GB"/>
    </w:rPr>
  </w:style>
  <w:style w:type="paragraph" w:styleId="Subtitle">
    <w:name w:val="Subtitle"/>
    <w:basedOn w:val="Normal"/>
    <w:next w:val="Normal"/>
    <w:uiPriority w:val="11"/>
    <w:qFormat/>
    <w:rsid w:val="00E46FD5"/>
    <w:pPr>
      <w:numPr>
        <w:ilvl w:val="1"/>
      </w:numPr>
    </w:pPr>
    <w:rPr>
      <w:rFonts w:eastAsia="Times New Roman"/>
      <w:b/>
      <w:iCs/>
      <w:szCs w:val="24"/>
      <w:lang w:eastAsia="en-GB"/>
    </w:rPr>
  </w:style>
  <w:style w:type="paragraph" w:customStyle="1" w:styleId="SummaryHeader">
    <w:name w:val="SummaryHeader"/>
    <w:basedOn w:val="Normal"/>
    <w:uiPriority w:val="4"/>
    <w:qFormat/>
    <w:rsid w:val="00B230EC"/>
    <w:pPr>
      <w:spacing w:after="240"/>
      <w:outlineLvl w:val="0"/>
    </w:pPr>
    <w:rPr>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0919E4"/>
    <w:pPr>
      <w:numPr>
        <w:numId w:val="11"/>
      </w:numPr>
      <w:spacing w:after="240"/>
    </w:pPr>
  </w:style>
  <w:style w:type="paragraph" w:styleId="ListParagraph">
    <w:name w:val="List Paragraph"/>
    <w:basedOn w:val="Normal"/>
    <w:uiPriority w:val="34"/>
    <w:qFormat/>
    <w:rsid w:val="00AA332C"/>
    <w:pPr>
      <w:ind w:left="720"/>
      <w:contextualSpacing/>
    </w:pPr>
  </w:style>
  <w:style w:type="table" w:customStyle="1" w:styleId="WTOBox1">
    <w:name w:val="WTOBox1"/>
    <w:basedOn w:val="TableNormal"/>
    <w:uiPriority w:val="99"/>
    <w:rsid w:val="000919E4"/>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0919E4"/>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b/>
      <w:caps/>
      <w:color w:val="006283"/>
      <w:sz w:val="28"/>
      <w:lang w:val="x-none"/>
    </w:rPr>
  </w:style>
  <w:style w:type="table" w:styleId="TableGrid">
    <w:name w:val="Table Grid"/>
    <w:basedOn w:val="TableNormal"/>
    <w:uiPriority w:val="59"/>
    <w:rsid w:val="000919E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136C6"/>
    <w:rPr>
      <w:color w:val="0000FF"/>
      <w:u w:val="single"/>
    </w:rPr>
  </w:style>
  <w:style w:type="paragraph" w:customStyle="1" w:styleId="PanelTitle">
    <w:name w:val="PanelTitle"/>
    <w:basedOn w:val="Normal"/>
    <w:uiPriority w:val="49"/>
    <w:qFormat/>
    <w:rsid w:val="004410D1"/>
    <w:pPr>
      <w:spacing w:before="480" w:after="240"/>
      <w:contextualSpacing/>
      <w:jc w:val="center"/>
    </w:pPr>
    <w:rPr>
      <w:b/>
      <w:caps/>
      <w:color w:val="006283"/>
      <w:kern w:val="28"/>
      <w:sz w:val="22"/>
    </w:rPr>
  </w:style>
  <w:style w:type="paragraph" w:customStyle="1" w:styleId="NoteText">
    <w:name w:val="Note Text"/>
    <w:basedOn w:val="Normal"/>
    <w:uiPriority w:val="4"/>
    <w:qFormat/>
    <w:rsid w:val="00822ED6"/>
    <w:pPr>
      <w:tabs>
        <w:tab w:val="left" w:pos="851"/>
      </w:tabs>
      <w:ind w:left="851" w:hanging="851"/>
      <w:jc w:val="left"/>
    </w:pPr>
    <w:rPr>
      <w:sz w:val="16"/>
    </w:rPr>
  </w:style>
  <w:style w:type="paragraph" w:styleId="Bibliography">
    <w:name w:val="Bibliography"/>
    <w:basedOn w:val="Normal"/>
    <w:next w:val="Normal"/>
    <w:uiPriority w:val="49"/>
    <w:semiHidden/>
    <w:unhideWhenUsed/>
    <w:rsid w:val="000C73C1"/>
  </w:style>
  <w:style w:type="paragraph" w:styleId="BlockText">
    <w:name w:val="Block Text"/>
    <w:basedOn w:val="Normal"/>
    <w:uiPriority w:val="99"/>
    <w:semiHidden/>
    <w:unhideWhenUsed/>
    <w:rsid w:val="000C73C1"/>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uiPriority w:val="99"/>
    <w:semiHidden/>
    <w:unhideWhenUsed/>
    <w:rsid w:val="000C73C1"/>
    <w:pPr>
      <w:numPr>
        <w:ilvl w:val="0"/>
        <w:numId w:val="0"/>
      </w:numPr>
      <w:spacing w:after="0"/>
      <w:ind w:firstLine="360"/>
    </w:pPr>
    <w:rPr>
      <w:szCs w:val="22"/>
      <w:lang w:eastAsia="en-US"/>
    </w:rPr>
  </w:style>
  <w:style w:type="paragraph" w:styleId="BodyTextIndent">
    <w:name w:val="Body Text Indent"/>
    <w:basedOn w:val="Normal"/>
    <w:uiPriority w:val="99"/>
    <w:semiHidden/>
    <w:unhideWhenUsed/>
    <w:rsid w:val="000C73C1"/>
    <w:pPr>
      <w:spacing w:after="120"/>
      <w:ind w:left="283"/>
    </w:pPr>
  </w:style>
  <w:style w:type="paragraph" w:styleId="BodyTextFirstIndent2">
    <w:name w:val="Body Text First Indent 2"/>
    <w:basedOn w:val="BodyTextIndent"/>
    <w:uiPriority w:val="99"/>
    <w:semiHidden/>
    <w:unhideWhenUsed/>
    <w:rsid w:val="000C73C1"/>
    <w:pPr>
      <w:spacing w:after="0"/>
      <w:ind w:left="360" w:firstLine="360"/>
    </w:pPr>
  </w:style>
  <w:style w:type="paragraph" w:styleId="BodyTextIndent2">
    <w:name w:val="Body Text Indent 2"/>
    <w:basedOn w:val="Normal"/>
    <w:uiPriority w:val="99"/>
    <w:semiHidden/>
    <w:unhideWhenUsed/>
    <w:rsid w:val="000C73C1"/>
    <w:pPr>
      <w:spacing w:after="120" w:line="480" w:lineRule="auto"/>
      <w:ind w:left="283"/>
    </w:pPr>
  </w:style>
  <w:style w:type="paragraph" w:styleId="BodyTextIndent3">
    <w:name w:val="Body Text Indent 3"/>
    <w:basedOn w:val="Normal"/>
    <w:uiPriority w:val="99"/>
    <w:semiHidden/>
    <w:unhideWhenUsed/>
    <w:rsid w:val="000C73C1"/>
    <w:pPr>
      <w:spacing w:after="120"/>
      <w:ind w:left="283"/>
    </w:pPr>
    <w:rPr>
      <w:sz w:val="16"/>
      <w:szCs w:val="16"/>
    </w:rPr>
  </w:style>
  <w:style w:type="character" w:styleId="BookTitle">
    <w:name w:val="Book Title"/>
    <w:uiPriority w:val="99"/>
    <w:semiHidden/>
    <w:qFormat/>
    <w:rsid w:val="000C73C1"/>
    <w:rPr>
      <w:b/>
      <w:bCs/>
      <w:smallCaps/>
      <w:spacing w:val="5"/>
    </w:rPr>
  </w:style>
  <w:style w:type="paragraph" w:styleId="Closing">
    <w:name w:val="Closing"/>
    <w:basedOn w:val="Normal"/>
    <w:uiPriority w:val="99"/>
    <w:semiHidden/>
    <w:unhideWhenUsed/>
    <w:rsid w:val="000C73C1"/>
    <w:pPr>
      <w:ind w:left="4252"/>
    </w:pPr>
  </w:style>
  <w:style w:type="character" w:styleId="CommentReference">
    <w:name w:val="annotation reference"/>
    <w:uiPriority w:val="99"/>
    <w:semiHidden/>
    <w:unhideWhenUsed/>
    <w:rsid w:val="000C73C1"/>
    <w:rPr>
      <w:sz w:val="16"/>
      <w:szCs w:val="16"/>
    </w:rPr>
  </w:style>
  <w:style w:type="paragraph" w:styleId="CommentText">
    <w:name w:val="annotation text"/>
    <w:basedOn w:val="Normal"/>
    <w:uiPriority w:val="99"/>
    <w:unhideWhenUsed/>
    <w:rsid w:val="000C73C1"/>
    <w:rPr>
      <w:sz w:val="20"/>
      <w:szCs w:val="20"/>
    </w:rPr>
  </w:style>
  <w:style w:type="paragraph" w:styleId="CommentSubject">
    <w:name w:val="annotation subject"/>
    <w:basedOn w:val="CommentText"/>
    <w:next w:val="CommentText"/>
    <w:uiPriority w:val="99"/>
    <w:unhideWhenUsed/>
    <w:rsid w:val="000C73C1"/>
    <w:rPr>
      <w:b/>
      <w:bCs/>
    </w:rPr>
  </w:style>
  <w:style w:type="paragraph" w:styleId="Date">
    <w:name w:val="Date"/>
    <w:basedOn w:val="Normal"/>
    <w:next w:val="Normal"/>
    <w:uiPriority w:val="99"/>
    <w:semiHidden/>
    <w:unhideWhenUsed/>
    <w:rsid w:val="000C73C1"/>
  </w:style>
  <w:style w:type="paragraph" w:styleId="DocumentMap">
    <w:name w:val="Document Map"/>
    <w:basedOn w:val="Normal"/>
    <w:uiPriority w:val="99"/>
    <w:semiHidden/>
    <w:unhideWhenUsed/>
    <w:rsid w:val="000C73C1"/>
    <w:rPr>
      <w:rFonts w:ascii="Tahoma" w:hAnsi="Tahoma" w:cs="Tahoma"/>
      <w:sz w:val="16"/>
      <w:szCs w:val="16"/>
    </w:rPr>
  </w:style>
  <w:style w:type="paragraph" w:styleId="E-mailSignature">
    <w:name w:val="E-mail Signature"/>
    <w:basedOn w:val="Normal"/>
    <w:uiPriority w:val="99"/>
    <w:semiHidden/>
    <w:unhideWhenUsed/>
    <w:rsid w:val="000C73C1"/>
  </w:style>
  <w:style w:type="character" w:styleId="Emphasis">
    <w:name w:val="Emphasis"/>
    <w:uiPriority w:val="99"/>
    <w:semiHidden/>
    <w:qFormat/>
    <w:rsid w:val="000C73C1"/>
    <w:rPr>
      <w:i/>
      <w:iCs/>
    </w:rPr>
  </w:style>
  <w:style w:type="paragraph" w:styleId="EnvelopeAddress">
    <w:name w:val="envelope address"/>
    <w:basedOn w:val="Normal"/>
    <w:uiPriority w:val="99"/>
    <w:semiHidden/>
    <w:unhideWhenUsed/>
    <w:rsid w:val="000C73C1"/>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0C73C1"/>
    <w:rPr>
      <w:rFonts w:ascii="Cambria" w:eastAsia="Times New Roman" w:hAnsi="Cambria"/>
      <w:sz w:val="20"/>
      <w:szCs w:val="20"/>
    </w:rPr>
  </w:style>
  <w:style w:type="character" w:styleId="FollowedHyperlink">
    <w:name w:val="FollowedHyperlink"/>
    <w:uiPriority w:val="9"/>
    <w:unhideWhenUsed/>
    <w:rsid w:val="000C73C1"/>
    <w:rPr>
      <w:color w:val="800080"/>
      <w:u w:val="single"/>
    </w:rPr>
  </w:style>
  <w:style w:type="character" w:styleId="HTMLAcronym">
    <w:name w:val="HTML Acronym"/>
    <w:basedOn w:val="DefaultParagraphFont"/>
    <w:uiPriority w:val="99"/>
    <w:semiHidden/>
    <w:unhideWhenUsed/>
    <w:rsid w:val="000C73C1"/>
  </w:style>
  <w:style w:type="paragraph" w:styleId="HTMLAddress">
    <w:name w:val="HTML Address"/>
    <w:basedOn w:val="Normal"/>
    <w:uiPriority w:val="99"/>
    <w:semiHidden/>
    <w:unhideWhenUsed/>
    <w:rsid w:val="000C73C1"/>
    <w:rPr>
      <w:i/>
      <w:iCs/>
    </w:rPr>
  </w:style>
  <w:style w:type="character" w:styleId="HTMLCite">
    <w:name w:val="HTML Cite"/>
    <w:uiPriority w:val="99"/>
    <w:semiHidden/>
    <w:unhideWhenUsed/>
    <w:rsid w:val="000C73C1"/>
    <w:rPr>
      <w:i/>
      <w:iCs/>
    </w:rPr>
  </w:style>
  <w:style w:type="character" w:styleId="HTMLCode">
    <w:name w:val="HTML Code"/>
    <w:uiPriority w:val="99"/>
    <w:semiHidden/>
    <w:unhideWhenUsed/>
    <w:rsid w:val="000C73C1"/>
    <w:rPr>
      <w:rFonts w:ascii="Consolas" w:hAnsi="Consolas" w:cs="Consolas"/>
      <w:sz w:val="20"/>
      <w:szCs w:val="20"/>
    </w:rPr>
  </w:style>
  <w:style w:type="character" w:styleId="HTMLDefinition">
    <w:name w:val="HTML Definition"/>
    <w:uiPriority w:val="99"/>
    <w:semiHidden/>
    <w:unhideWhenUsed/>
    <w:rsid w:val="000C73C1"/>
    <w:rPr>
      <w:i/>
      <w:iCs/>
    </w:rPr>
  </w:style>
  <w:style w:type="character" w:styleId="HTMLKeyboard">
    <w:name w:val="HTML Keyboard"/>
    <w:uiPriority w:val="99"/>
    <w:semiHidden/>
    <w:unhideWhenUsed/>
    <w:rsid w:val="000C73C1"/>
    <w:rPr>
      <w:rFonts w:ascii="Consolas" w:hAnsi="Consolas" w:cs="Consolas"/>
      <w:sz w:val="20"/>
      <w:szCs w:val="20"/>
    </w:rPr>
  </w:style>
  <w:style w:type="paragraph" w:styleId="HTMLPreformatted">
    <w:name w:val="HTML Preformatted"/>
    <w:basedOn w:val="Normal"/>
    <w:uiPriority w:val="99"/>
    <w:semiHidden/>
    <w:unhideWhenUsed/>
    <w:rsid w:val="000C73C1"/>
    <w:rPr>
      <w:rFonts w:ascii="Consolas" w:hAnsi="Consolas" w:cs="Consolas"/>
      <w:sz w:val="20"/>
      <w:szCs w:val="20"/>
    </w:rPr>
  </w:style>
  <w:style w:type="character" w:styleId="HTMLSample">
    <w:name w:val="HTML Sample"/>
    <w:uiPriority w:val="99"/>
    <w:semiHidden/>
    <w:unhideWhenUsed/>
    <w:rsid w:val="000C73C1"/>
    <w:rPr>
      <w:rFonts w:ascii="Consolas" w:hAnsi="Consolas" w:cs="Consolas"/>
      <w:sz w:val="24"/>
      <w:szCs w:val="24"/>
    </w:rPr>
  </w:style>
  <w:style w:type="character" w:styleId="HTMLTypewriter">
    <w:name w:val="HTML Typewriter"/>
    <w:uiPriority w:val="99"/>
    <w:semiHidden/>
    <w:unhideWhenUsed/>
    <w:rsid w:val="000C73C1"/>
    <w:rPr>
      <w:rFonts w:ascii="Consolas" w:hAnsi="Consolas" w:cs="Consolas"/>
      <w:sz w:val="20"/>
      <w:szCs w:val="20"/>
    </w:rPr>
  </w:style>
  <w:style w:type="character" w:styleId="HTMLVariable">
    <w:name w:val="HTML Variable"/>
    <w:uiPriority w:val="99"/>
    <w:semiHidden/>
    <w:unhideWhenUsed/>
    <w:rsid w:val="000C73C1"/>
    <w:rPr>
      <w:i/>
      <w:iCs/>
    </w:rPr>
  </w:style>
  <w:style w:type="paragraph" w:styleId="Index1">
    <w:name w:val="index 1"/>
    <w:basedOn w:val="Normal"/>
    <w:next w:val="Normal"/>
    <w:autoRedefine/>
    <w:uiPriority w:val="99"/>
    <w:semiHidden/>
    <w:unhideWhenUsed/>
    <w:rsid w:val="000C73C1"/>
    <w:pPr>
      <w:ind w:left="180" w:hanging="180"/>
    </w:pPr>
  </w:style>
  <w:style w:type="paragraph" w:styleId="Index2">
    <w:name w:val="index 2"/>
    <w:basedOn w:val="Normal"/>
    <w:next w:val="Normal"/>
    <w:autoRedefine/>
    <w:uiPriority w:val="99"/>
    <w:semiHidden/>
    <w:unhideWhenUsed/>
    <w:rsid w:val="000C73C1"/>
    <w:pPr>
      <w:ind w:left="360" w:hanging="180"/>
    </w:pPr>
  </w:style>
  <w:style w:type="paragraph" w:styleId="Index3">
    <w:name w:val="index 3"/>
    <w:basedOn w:val="Normal"/>
    <w:next w:val="Normal"/>
    <w:autoRedefine/>
    <w:uiPriority w:val="99"/>
    <w:semiHidden/>
    <w:unhideWhenUsed/>
    <w:rsid w:val="000C73C1"/>
    <w:pPr>
      <w:ind w:left="540" w:hanging="180"/>
    </w:pPr>
  </w:style>
  <w:style w:type="paragraph" w:styleId="Index4">
    <w:name w:val="index 4"/>
    <w:basedOn w:val="Normal"/>
    <w:next w:val="Normal"/>
    <w:autoRedefine/>
    <w:uiPriority w:val="99"/>
    <w:semiHidden/>
    <w:unhideWhenUsed/>
    <w:rsid w:val="000C73C1"/>
    <w:pPr>
      <w:ind w:left="720" w:hanging="180"/>
    </w:pPr>
  </w:style>
  <w:style w:type="paragraph" w:styleId="Index5">
    <w:name w:val="index 5"/>
    <w:basedOn w:val="Normal"/>
    <w:next w:val="Normal"/>
    <w:autoRedefine/>
    <w:uiPriority w:val="99"/>
    <w:semiHidden/>
    <w:unhideWhenUsed/>
    <w:rsid w:val="000C73C1"/>
    <w:pPr>
      <w:ind w:left="900" w:hanging="180"/>
    </w:pPr>
  </w:style>
  <w:style w:type="paragraph" w:styleId="Index6">
    <w:name w:val="index 6"/>
    <w:basedOn w:val="Normal"/>
    <w:next w:val="Normal"/>
    <w:autoRedefine/>
    <w:uiPriority w:val="99"/>
    <w:semiHidden/>
    <w:unhideWhenUsed/>
    <w:rsid w:val="000C73C1"/>
    <w:pPr>
      <w:ind w:left="1080" w:hanging="180"/>
    </w:pPr>
  </w:style>
  <w:style w:type="paragraph" w:styleId="Index7">
    <w:name w:val="index 7"/>
    <w:basedOn w:val="Normal"/>
    <w:next w:val="Normal"/>
    <w:autoRedefine/>
    <w:uiPriority w:val="99"/>
    <w:semiHidden/>
    <w:unhideWhenUsed/>
    <w:rsid w:val="000C73C1"/>
    <w:pPr>
      <w:ind w:left="1260" w:hanging="180"/>
    </w:pPr>
  </w:style>
  <w:style w:type="paragraph" w:styleId="Index8">
    <w:name w:val="index 8"/>
    <w:basedOn w:val="Normal"/>
    <w:next w:val="Normal"/>
    <w:autoRedefine/>
    <w:uiPriority w:val="99"/>
    <w:semiHidden/>
    <w:unhideWhenUsed/>
    <w:rsid w:val="000C73C1"/>
    <w:pPr>
      <w:ind w:left="1440" w:hanging="180"/>
    </w:pPr>
  </w:style>
  <w:style w:type="paragraph" w:styleId="Index9">
    <w:name w:val="index 9"/>
    <w:basedOn w:val="Normal"/>
    <w:next w:val="Normal"/>
    <w:autoRedefine/>
    <w:uiPriority w:val="99"/>
    <w:semiHidden/>
    <w:unhideWhenUsed/>
    <w:rsid w:val="000C73C1"/>
    <w:pPr>
      <w:ind w:left="1620" w:hanging="180"/>
    </w:pPr>
  </w:style>
  <w:style w:type="paragraph" w:styleId="IndexHeading">
    <w:name w:val="index heading"/>
    <w:basedOn w:val="Normal"/>
    <w:next w:val="Index1"/>
    <w:uiPriority w:val="99"/>
    <w:semiHidden/>
    <w:unhideWhenUsed/>
    <w:rsid w:val="000C73C1"/>
    <w:rPr>
      <w:rFonts w:ascii="Cambria" w:eastAsia="Times New Roman" w:hAnsi="Cambria"/>
      <w:b/>
      <w:bCs/>
    </w:rPr>
  </w:style>
  <w:style w:type="character" w:styleId="IntenseEmphasis">
    <w:name w:val="Intense Emphasis"/>
    <w:uiPriority w:val="99"/>
    <w:semiHidden/>
    <w:qFormat/>
    <w:rsid w:val="000C73C1"/>
    <w:rPr>
      <w:b/>
      <w:bCs/>
      <w:i/>
      <w:iCs/>
      <w:color w:val="4F81BD"/>
    </w:rPr>
  </w:style>
  <w:style w:type="paragraph" w:styleId="IntenseQuote">
    <w:name w:val="Intense Quote"/>
    <w:basedOn w:val="Normal"/>
    <w:next w:val="Normal"/>
    <w:uiPriority w:val="99"/>
    <w:semiHidden/>
    <w:qFormat/>
    <w:rsid w:val="000C73C1"/>
    <w:pPr>
      <w:pBdr>
        <w:bottom w:val="single" w:sz="4" w:space="4" w:color="4F81BD"/>
      </w:pBdr>
      <w:spacing w:before="200" w:after="280"/>
      <w:ind w:left="936" w:right="936"/>
    </w:pPr>
    <w:rPr>
      <w:b/>
      <w:bCs/>
      <w:i/>
      <w:iCs/>
      <w:color w:val="4F81BD"/>
    </w:rPr>
  </w:style>
  <w:style w:type="character" w:styleId="IntenseReference">
    <w:name w:val="Intense Reference"/>
    <w:uiPriority w:val="99"/>
    <w:semiHidden/>
    <w:qFormat/>
    <w:rsid w:val="000C73C1"/>
    <w:rPr>
      <w:b/>
      <w:bCs/>
      <w:smallCaps/>
      <w:color w:val="C0504D"/>
      <w:spacing w:val="5"/>
      <w:u w:val="single"/>
    </w:rPr>
  </w:style>
  <w:style w:type="character" w:styleId="LineNumber">
    <w:name w:val="line number"/>
    <w:basedOn w:val="DefaultParagraphFont"/>
    <w:uiPriority w:val="99"/>
    <w:semiHidden/>
    <w:unhideWhenUsed/>
    <w:rsid w:val="000C73C1"/>
  </w:style>
  <w:style w:type="paragraph" w:styleId="List">
    <w:name w:val="List"/>
    <w:basedOn w:val="Normal"/>
    <w:uiPriority w:val="99"/>
    <w:semiHidden/>
    <w:unhideWhenUsed/>
    <w:rsid w:val="000C73C1"/>
    <w:pPr>
      <w:ind w:left="283" w:hanging="283"/>
      <w:contextualSpacing/>
    </w:pPr>
  </w:style>
  <w:style w:type="paragraph" w:styleId="List2">
    <w:name w:val="List 2"/>
    <w:basedOn w:val="Normal"/>
    <w:uiPriority w:val="99"/>
    <w:semiHidden/>
    <w:unhideWhenUsed/>
    <w:rsid w:val="000C73C1"/>
    <w:pPr>
      <w:ind w:left="566" w:hanging="283"/>
      <w:contextualSpacing/>
    </w:pPr>
  </w:style>
  <w:style w:type="paragraph" w:styleId="List3">
    <w:name w:val="List 3"/>
    <w:basedOn w:val="Normal"/>
    <w:uiPriority w:val="99"/>
    <w:semiHidden/>
    <w:unhideWhenUsed/>
    <w:rsid w:val="000C73C1"/>
    <w:pPr>
      <w:ind w:left="849" w:hanging="283"/>
      <w:contextualSpacing/>
    </w:pPr>
  </w:style>
  <w:style w:type="paragraph" w:styleId="List4">
    <w:name w:val="List 4"/>
    <w:basedOn w:val="Normal"/>
    <w:uiPriority w:val="99"/>
    <w:semiHidden/>
    <w:unhideWhenUsed/>
    <w:rsid w:val="000C73C1"/>
    <w:pPr>
      <w:ind w:left="1132" w:hanging="283"/>
      <w:contextualSpacing/>
    </w:pPr>
  </w:style>
  <w:style w:type="paragraph" w:styleId="List5">
    <w:name w:val="List 5"/>
    <w:basedOn w:val="Normal"/>
    <w:uiPriority w:val="99"/>
    <w:semiHidden/>
    <w:unhideWhenUsed/>
    <w:rsid w:val="000C73C1"/>
    <w:pPr>
      <w:ind w:left="1415" w:hanging="283"/>
      <w:contextualSpacing/>
    </w:pPr>
  </w:style>
  <w:style w:type="paragraph" w:styleId="ListContinue">
    <w:name w:val="List Continue"/>
    <w:basedOn w:val="Normal"/>
    <w:uiPriority w:val="99"/>
    <w:semiHidden/>
    <w:unhideWhenUsed/>
    <w:rsid w:val="000C73C1"/>
    <w:pPr>
      <w:spacing w:after="120"/>
      <w:ind w:left="283"/>
      <w:contextualSpacing/>
    </w:pPr>
  </w:style>
  <w:style w:type="paragraph" w:styleId="ListContinue2">
    <w:name w:val="List Continue 2"/>
    <w:basedOn w:val="Normal"/>
    <w:uiPriority w:val="99"/>
    <w:semiHidden/>
    <w:unhideWhenUsed/>
    <w:rsid w:val="000C73C1"/>
    <w:pPr>
      <w:spacing w:after="120"/>
      <w:ind w:left="566"/>
      <w:contextualSpacing/>
    </w:pPr>
  </w:style>
  <w:style w:type="paragraph" w:styleId="ListContinue3">
    <w:name w:val="List Continue 3"/>
    <w:basedOn w:val="Normal"/>
    <w:uiPriority w:val="99"/>
    <w:semiHidden/>
    <w:unhideWhenUsed/>
    <w:rsid w:val="000C73C1"/>
    <w:pPr>
      <w:spacing w:after="120"/>
      <w:ind w:left="849"/>
      <w:contextualSpacing/>
    </w:pPr>
  </w:style>
  <w:style w:type="paragraph" w:styleId="ListContinue4">
    <w:name w:val="List Continue 4"/>
    <w:basedOn w:val="Normal"/>
    <w:uiPriority w:val="99"/>
    <w:semiHidden/>
    <w:unhideWhenUsed/>
    <w:rsid w:val="000C73C1"/>
    <w:pPr>
      <w:spacing w:after="120"/>
      <w:ind w:left="1132"/>
      <w:contextualSpacing/>
    </w:pPr>
  </w:style>
  <w:style w:type="paragraph" w:styleId="ListContinue5">
    <w:name w:val="List Continue 5"/>
    <w:basedOn w:val="Normal"/>
    <w:uiPriority w:val="99"/>
    <w:semiHidden/>
    <w:unhideWhenUsed/>
    <w:rsid w:val="000C73C1"/>
    <w:pPr>
      <w:spacing w:after="120"/>
      <w:ind w:left="1415"/>
      <w:contextualSpacing/>
    </w:pPr>
  </w:style>
  <w:style w:type="paragraph" w:styleId="ListNumber">
    <w:name w:val="List Number"/>
    <w:basedOn w:val="Normal"/>
    <w:uiPriority w:val="49"/>
    <w:semiHidden/>
    <w:unhideWhenUsed/>
    <w:rsid w:val="000C73C1"/>
    <w:pPr>
      <w:numPr>
        <w:numId w:val="12"/>
      </w:numPr>
      <w:contextualSpacing/>
    </w:pPr>
  </w:style>
  <w:style w:type="paragraph" w:styleId="ListNumber2">
    <w:name w:val="List Number 2"/>
    <w:basedOn w:val="Normal"/>
    <w:uiPriority w:val="49"/>
    <w:semiHidden/>
    <w:unhideWhenUsed/>
    <w:rsid w:val="000C73C1"/>
    <w:pPr>
      <w:numPr>
        <w:numId w:val="13"/>
      </w:numPr>
      <w:contextualSpacing/>
    </w:pPr>
  </w:style>
  <w:style w:type="paragraph" w:styleId="ListNumber3">
    <w:name w:val="List Number 3"/>
    <w:basedOn w:val="Normal"/>
    <w:uiPriority w:val="49"/>
    <w:semiHidden/>
    <w:unhideWhenUsed/>
    <w:rsid w:val="000C73C1"/>
    <w:pPr>
      <w:numPr>
        <w:numId w:val="14"/>
      </w:numPr>
      <w:contextualSpacing/>
    </w:pPr>
  </w:style>
  <w:style w:type="paragraph" w:styleId="ListNumber4">
    <w:name w:val="List Number 4"/>
    <w:basedOn w:val="Normal"/>
    <w:uiPriority w:val="49"/>
    <w:semiHidden/>
    <w:unhideWhenUsed/>
    <w:rsid w:val="000C73C1"/>
    <w:pPr>
      <w:numPr>
        <w:numId w:val="15"/>
      </w:numPr>
      <w:contextualSpacing/>
    </w:pPr>
  </w:style>
  <w:style w:type="paragraph" w:styleId="ListNumber5">
    <w:name w:val="List Number 5"/>
    <w:basedOn w:val="Normal"/>
    <w:uiPriority w:val="49"/>
    <w:semiHidden/>
    <w:unhideWhenUsed/>
    <w:rsid w:val="000C73C1"/>
    <w:pPr>
      <w:numPr>
        <w:numId w:val="16"/>
      </w:numPr>
      <w:contextualSpacing/>
    </w:pPr>
  </w:style>
  <w:style w:type="paragraph" w:styleId="MacroText">
    <w:name w:val="macro"/>
    <w:uiPriority w:val="99"/>
    <w:semiHidden/>
    <w:unhideWhenUsed/>
    <w:rsid w:val="000C73C1"/>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paragraph" w:styleId="MessageHeader">
    <w:name w:val="Message Header"/>
    <w:basedOn w:val="Normal"/>
    <w:uiPriority w:val="99"/>
    <w:semiHidden/>
    <w:unhideWhenUsed/>
    <w:rsid w:val="000C73C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paragraph" w:styleId="NoSpacing">
    <w:name w:val="No Spacing"/>
    <w:uiPriority w:val="1"/>
    <w:semiHidden/>
    <w:qFormat/>
    <w:rsid w:val="000C73C1"/>
    <w:pPr>
      <w:jc w:val="both"/>
    </w:pPr>
    <w:rPr>
      <w:rFonts w:ascii="Verdana" w:hAnsi="Verdana"/>
      <w:sz w:val="18"/>
      <w:szCs w:val="22"/>
      <w:lang w:eastAsia="en-US"/>
    </w:rPr>
  </w:style>
  <w:style w:type="paragraph" w:styleId="NormalWeb">
    <w:name w:val="Normal (Web)"/>
    <w:basedOn w:val="Normal"/>
    <w:uiPriority w:val="99"/>
    <w:semiHidden/>
    <w:unhideWhenUsed/>
    <w:rsid w:val="000C73C1"/>
    <w:rPr>
      <w:rFonts w:ascii="Times New Roman" w:hAnsi="Times New Roman"/>
      <w:sz w:val="24"/>
      <w:szCs w:val="24"/>
    </w:rPr>
  </w:style>
  <w:style w:type="paragraph" w:styleId="NormalIndent">
    <w:name w:val="Normal Indent"/>
    <w:basedOn w:val="Normal"/>
    <w:uiPriority w:val="99"/>
    <w:semiHidden/>
    <w:unhideWhenUsed/>
    <w:rsid w:val="000C73C1"/>
    <w:pPr>
      <w:ind w:left="567"/>
    </w:pPr>
  </w:style>
  <w:style w:type="paragraph" w:styleId="NoteHeading">
    <w:name w:val="Note Heading"/>
    <w:basedOn w:val="Normal"/>
    <w:next w:val="Normal"/>
    <w:uiPriority w:val="99"/>
    <w:semiHidden/>
    <w:unhideWhenUsed/>
    <w:rsid w:val="000C73C1"/>
  </w:style>
  <w:style w:type="character" w:styleId="PageNumber">
    <w:name w:val="page number"/>
    <w:basedOn w:val="DefaultParagraphFont"/>
    <w:uiPriority w:val="99"/>
    <w:semiHidden/>
    <w:unhideWhenUsed/>
    <w:rsid w:val="000C73C1"/>
  </w:style>
  <w:style w:type="character" w:styleId="PlaceholderText">
    <w:name w:val="Placeholder Text"/>
    <w:uiPriority w:val="99"/>
    <w:semiHidden/>
    <w:rsid w:val="000C73C1"/>
    <w:rPr>
      <w:color w:val="808080"/>
    </w:rPr>
  </w:style>
  <w:style w:type="paragraph" w:styleId="PlainText">
    <w:name w:val="Plain Text"/>
    <w:basedOn w:val="Normal"/>
    <w:uiPriority w:val="99"/>
    <w:unhideWhenUsed/>
    <w:rsid w:val="000C73C1"/>
    <w:rPr>
      <w:rFonts w:ascii="Consolas" w:hAnsi="Consolas" w:cs="Consolas"/>
      <w:sz w:val="21"/>
      <w:szCs w:val="21"/>
    </w:rPr>
  </w:style>
  <w:style w:type="paragraph" w:styleId="Quote">
    <w:name w:val="Quote"/>
    <w:basedOn w:val="Normal"/>
    <w:next w:val="Normal"/>
    <w:uiPriority w:val="99"/>
    <w:qFormat/>
    <w:rsid w:val="000C73C1"/>
    <w:rPr>
      <w:i/>
      <w:iCs/>
      <w:color w:val="000000"/>
    </w:rPr>
  </w:style>
  <w:style w:type="paragraph" w:styleId="Salutation">
    <w:name w:val="Salutation"/>
    <w:basedOn w:val="Normal"/>
    <w:next w:val="Normal"/>
    <w:uiPriority w:val="99"/>
    <w:semiHidden/>
    <w:unhideWhenUsed/>
    <w:rsid w:val="000C73C1"/>
  </w:style>
  <w:style w:type="paragraph" w:styleId="Signature">
    <w:name w:val="Signature"/>
    <w:basedOn w:val="Normal"/>
    <w:uiPriority w:val="99"/>
    <w:semiHidden/>
    <w:unhideWhenUsed/>
    <w:rsid w:val="000C73C1"/>
    <w:pPr>
      <w:ind w:left="4252"/>
    </w:pPr>
  </w:style>
  <w:style w:type="character" w:styleId="Strong">
    <w:name w:val="Strong"/>
    <w:uiPriority w:val="99"/>
    <w:semiHidden/>
    <w:qFormat/>
    <w:rsid w:val="000C73C1"/>
    <w:rPr>
      <w:b/>
      <w:bCs/>
    </w:rPr>
  </w:style>
  <w:style w:type="character" w:styleId="SubtleEmphasis">
    <w:name w:val="Subtle Emphasis"/>
    <w:uiPriority w:val="99"/>
    <w:semiHidden/>
    <w:qFormat/>
    <w:rsid w:val="000C73C1"/>
    <w:rPr>
      <w:i/>
      <w:iCs/>
      <w:color w:val="808080"/>
    </w:rPr>
  </w:style>
  <w:style w:type="character" w:styleId="SubtleReference">
    <w:name w:val="Subtle Reference"/>
    <w:uiPriority w:val="99"/>
    <w:semiHidden/>
    <w:qFormat/>
    <w:rsid w:val="000C73C1"/>
    <w:rPr>
      <w:smallCaps/>
      <w:color w:val="C0504D"/>
      <w:u w:val="single"/>
    </w:rPr>
  </w:style>
  <w:style w:type="paragraph" w:styleId="TOAHeading">
    <w:name w:val="toa heading"/>
    <w:basedOn w:val="Normal"/>
    <w:next w:val="Normal"/>
    <w:uiPriority w:val="39"/>
    <w:unhideWhenUsed/>
    <w:rsid w:val="000C73C1"/>
    <w:pPr>
      <w:spacing w:before="120"/>
    </w:pPr>
    <w:rPr>
      <w:rFonts w:ascii="Cambria" w:eastAsia="Times New Roman" w:hAnsi="Cambria"/>
      <w:b/>
      <w:bCs/>
      <w:sz w:val="24"/>
      <w:szCs w:val="24"/>
    </w:rPr>
  </w:style>
  <w:style w:type="paragraph" w:styleId="Revision">
    <w:name w:val="Revision"/>
    <w:hidden/>
    <w:uiPriority w:val="99"/>
    <w:semiHidden/>
    <w:rsid w:val="00C75387"/>
    <w:rPr>
      <w:rFonts w:ascii="Verdana" w:hAnsi="Verdana"/>
      <w:sz w:val="18"/>
      <w:szCs w:val="22"/>
      <w:lang w:eastAsia="en-US"/>
    </w:rPr>
  </w:style>
  <w:style w:type="character" w:styleId="Hashtag">
    <w:name w:val="Hashtag"/>
    <w:basedOn w:val="DefaultParagraphFont"/>
    <w:uiPriority w:val="99"/>
    <w:semiHidden/>
    <w:unhideWhenUsed/>
    <w:rsid w:val="004C1FC7"/>
    <w:rPr>
      <w:color w:val="2B579A"/>
      <w:shd w:val="clear" w:color="auto" w:fill="E1DFDD"/>
    </w:rPr>
  </w:style>
  <w:style w:type="character" w:styleId="Mention">
    <w:name w:val="Mention"/>
    <w:basedOn w:val="DefaultParagraphFont"/>
    <w:uiPriority w:val="99"/>
    <w:semiHidden/>
    <w:unhideWhenUsed/>
    <w:rsid w:val="004C1FC7"/>
    <w:rPr>
      <w:color w:val="2B579A"/>
      <w:shd w:val="clear" w:color="auto" w:fill="E1DFDD"/>
    </w:rPr>
  </w:style>
  <w:style w:type="character" w:styleId="SmartHyperlink">
    <w:name w:val="Smart Hyperlink"/>
    <w:basedOn w:val="DefaultParagraphFont"/>
    <w:uiPriority w:val="99"/>
    <w:semiHidden/>
    <w:unhideWhenUsed/>
    <w:rsid w:val="004C1FC7"/>
    <w:rPr>
      <w:u w:val="dotted"/>
    </w:rPr>
  </w:style>
  <w:style w:type="character" w:styleId="SmartLink">
    <w:name w:val="Smart Link"/>
    <w:basedOn w:val="DefaultParagraphFont"/>
    <w:uiPriority w:val="99"/>
    <w:semiHidden/>
    <w:unhideWhenUsed/>
    <w:rsid w:val="004C1FC7"/>
    <w:rPr>
      <w:color w:val="0000FF"/>
      <w:u w:val="single"/>
      <w:shd w:val="clear" w:color="auto" w:fill="F3F2F1"/>
    </w:rPr>
  </w:style>
  <w:style w:type="character" w:styleId="UnresolvedMention">
    <w:name w:val="Unresolved Mention"/>
    <w:basedOn w:val="DefaultParagraphFont"/>
    <w:uiPriority w:val="99"/>
    <w:semiHidden/>
    <w:unhideWhenUsed/>
    <w:rsid w:val="004C1F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32997">
      <w:bodyDiv w:val="1"/>
      <w:marLeft w:val="0"/>
      <w:marRight w:val="0"/>
      <w:marTop w:val="0"/>
      <w:marBottom w:val="0"/>
      <w:divBdr>
        <w:top w:val="none" w:sz="0" w:space="0" w:color="auto"/>
        <w:left w:val="none" w:sz="0" w:space="0" w:color="auto"/>
        <w:bottom w:val="none" w:sz="0" w:space="0" w:color="auto"/>
        <w:right w:val="none" w:sz="0" w:space="0" w:color="auto"/>
      </w:divBdr>
    </w:div>
    <w:div w:id="635716412">
      <w:bodyDiv w:val="1"/>
      <w:marLeft w:val="0"/>
      <w:marRight w:val="0"/>
      <w:marTop w:val="0"/>
      <w:marBottom w:val="0"/>
      <w:divBdr>
        <w:top w:val="none" w:sz="0" w:space="0" w:color="auto"/>
        <w:left w:val="none" w:sz="0" w:space="0" w:color="auto"/>
        <w:bottom w:val="none" w:sz="0" w:space="0" w:color="auto"/>
        <w:right w:val="none" w:sz="0" w:space="0" w:color="auto"/>
      </w:divBdr>
    </w:div>
    <w:div w:id="873033470">
      <w:bodyDiv w:val="1"/>
      <w:marLeft w:val="0"/>
      <w:marRight w:val="0"/>
      <w:marTop w:val="0"/>
      <w:marBottom w:val="0"/>
      <w:divBdr>
        <w:top w:val="none" w:sz="0" w:space="0" w:color="auto"/>
        <w:left w:val="none" w:sz="0" w:space="0" w:color="auto"/>
        <w:bottom w:val="none" w:sz="0" w:space="0" w:color="auto"/>
        <w:right w:val="none" w:sz="0" w:space="0" w:color="auto"/>
      </w:divBdr>
    </w:div>
    <w:div w:id="1144591186">
      <w:bodyDiv w:val="1"/>
      <w:marLeft w:val="0"/>
      <w:marRight w:val="0"/>
      <w:marTop w:val="0"/>
      <w:marBottom w:val="0"/>
      <w:divBdr>
        <w:top w:val="none" w:sz="0" w:space="0" w:color="auto"/>
        <w:left w:val="none" w:sz="0" w:space="0" w:color="auto"/>
        <w:bottom w:val="none" w:sz="0" w:space="0" w:color="auto"/>
        <w:right w:val="none" w:sz="0" w:space="0" w:color="auto"/>
      </w:divBdr>
    </w:div>
    <w:div w:id="1297443734">
      <w:bodyDiv w:val="1"/>
      <w:marLeft w:val="0"/>
      <w:marRight w:val="0"/>
      <w:marTop w:val="0"/>
      <w:marBottom w:val="0"/>
      <w:divBdr>
        <w:top w:val="none" w:sz="0" w:space="0" w:color="auto"/>
        <w:left w:val="none" w:sz="0" w:space="0" w:color="auto"/>
        <w:bottom w:val="none" w:sz="0" w:space="0" w:color="auto"/>
        <w:right w:val="none" w:sz="0" w:space="0" w:color="auto"/>
      </w:divBdr>
    </w:div>
    <w:div w:id="1353678099">
      <w:bodyDiv w:val="1"/>
      <w:marLeft w:val="0"/>
      <w:marRight w:val="0"/>
      <w:marTop w:val="0"/>
      <w:marBottom w:val="0"/>
      <w:divBdr>
        <w:top w:val="none" w:sz="0" w:space="0" w:color="auto"/>
        <w:left w:val="none" w:sz="0" w:space="0" w:color="auto"/>
        <w:bottom w:val="none" w:sz="0" w:space="0" w:color="auto"/>
        <w:right w:val="none" w:sz="0" w:space="0" w:color="auto"/>
      </w:divBdr>
      <w:divsChild>
        <w:div w:id="1687559919">
          <w:marLeft w:val="0"/>
          <w:marRight w:val="0"/>
          <w:marTop w:val="0"/>
          <w:marBottom w:val="0"/>
          <w:divBdr>
            <w:top w:val="none" w:sz="0" w:space="0" w:color="auto"/>
            <w:left w:val="none" w:sz="0" w:space="0" w:color="auto"/>
            <w:bottom w:val="none" w:sz="0" w:space="0" w:color="auto"/>
            <w:right w:val="none" w:sz="0" w:space="0" w:color="auto"/>
          </w:divBdr>
          <w:divsChild>
            <w:div w:id="770008944">
              <w:marLeft w:val="0"/>
              <w:marRight w:val="0"/>
              <w:marTop w:val="0"/>
              <w:marBottom w:val="0"/>
              <w:divBdr>
                <w:top w:val="none" w:sz="0" w:space="0" w:color="auto"/>
                <w:left w:val="none" w:sz="0" w:space="0" w:color="auto"/>
                <w:bottom w:val="none" w:sz="0" w:space="0" w:color="auto"/>
                <w:right w:val="none" w:sz="0" w:space="0" w:color="auto"/>
              </w:divBdr>
              <w:divsChild>
                <w:div w:id="19759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096117">
      <w:bodyDiv w:val="1"/>
      <w:marLeft w:val="0"/>
      <w:marRight w:val="0"/>
      <w:marTop w:val="0"/>
      <w:marBottom w:val="0"/>
      <w:divBdr>
        <w:top w:val="none" w:sz="0" w:space="0" w:color="auto"/>
        <w:left w:val="none" w:sz="0" w:space="0" w:color="auto"/>
        <w:bottom w:val="none" w:sz="0" w:space="0" w:color="auto"/>
        <w:right w:val="none" w:sz="0" w:space="0" w:color="auto"/>
      </w:divBdr>
    </w:div>
    <w:div w:id="1716269568">
      <w:bodyDiv w:val="1"/>
      <w:marLeft w:val="0"/>
      <w:marRight w:val="0"/>
      <w:marTop w:val="0"/>
      <w:marBottom w:val="0"/>
      <w:divBdr>
        <w:top w:val="none" w:sz="0" w:space="0" w:color="auto"/>
        <w:left w:val="none" w:sz="0" w:space="0" w:color="auto"/>
        <w:bottom w:val="none" w:sz="0" w:space="0" w:color="auto"/>
        <w:right w:val="none" w:sz="0" w:space="0" w:color="auto"/>
      </w:divBdr>
    </w:div>
    <w:div w:id="2122871326">
      <w:bodyDiv w:val="1"/>
      <w:marLeft w:val="0"/>
      <w:marRight w:val="0"/>
      <w:marTop w:val="0"/>
      <w:marBottom w:val="0"/>
      <w:divBdr>
        <w:top w:val="none" w:sz="0" w:space="0" w:color="auto"/>
        <w:left w:val="none" w:sz="0" w:space="0" w:color="auto"/>
        <w:bottom w:val="none" w:sz="0" w:space="0" w:color="auto"/>
        <w:right w:val="none" w:sz="0" w:space="0" w:color="auto"/>
      </w:divBdr>
      <w:divsChild>
        <w:div w:id="374165366">
          <w:marLeft w:val="0"/>
          <w:marRight w:val="0"/>
          <w:marTop w:val="0"/>
          <w:marBottom w:val="0"/>
          <w:divBdr>
            <w:top w:val="none" w:sz="0" w:space="0" w:color="auto"/>
            <w:left w:val="none" w:sz="0" w:space="0" w:color="auto"/>
            <w:bottom w:val="none" w:sz="0" w:space="0" w:color="auto"/>
            <w:right w:val="none" w:sz="0" w:space="0" w:color="auto"/>
          </w:divBdr>
          <w:divsChild>
            <w:div w:id="1968965970">
              <w:marLeft w:val="0"/>
              <w:marRight w:val="0"/>
              <w:marTop w:val="0"/>
              <w:marBottom w:val="0"/>
              <w:divBdr>
                <w:top w:val="none" w:sz="0" w:space="0" w:color="auto"/>
                <w:left w:val="none" w:sz="0" w:space="0" w:color="auto"/>
                <w:bottom w:val="none" w:sz="0" w:space="0" w:color="auto"/>
                <w:right w:val="none" w:sz="0" w:space="0" w:color="auto"/>
              </w:divBdr>
              <w:divsChild>
                <w:div w:id="8998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363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13" Type="http://schemas.openxmlformats.org/officeDocument/2006/relationships/hyperlink" Target="https://docs.wto.org/dol2fe/Pages/FE_Search/FE_S_S006.aspx?DataSource=Cat&amp;query=@Symbol=WT/DS395/AB/R%20&amp;Language=English&amp;Context=ScriptedSearches&amp;languageUIChanged=true" TargetMode="External"/><Relationship Id="rId18" Type="http://schemas.openxmlformats.org/officeDocument/2006/relationships/hyperlink" Target="https://docs.wto.org/dol2fe/Pages/FE_Search/FE_S_S006.aspx?DataSource=Cat&amp;query=@Symbol=WT/DS141/R&amp;Language=English&amp;Context=ScriptedSearches&amp;languageUIChanged=true" TargetMode="External"/><Relationship Id="rId26" Type="http://schemas.openxmlformats.org/officeDocument/2006/relationships/hyperlink" Target="https://docs.wto.org/dol2fe/Pages/FE_Search/FE_S_S006.aspx?DataSource=Cat&amp;query=@Symbol=WT/DS156/R&amp;Language=English&amp;Context=ScriptedSearches&amp;languageUIChanged=true" TargetMode="External"/><Relationship Id="rId39" Type="http://schemas.openxmlformats.org/officeDocument/2006/relationships/footer" Target="footer1.xml"/><Relationship Id="rId21" Type="http://schemas.openxmlformats.org/officeDocument/2006/relationships/hyperlink" Target="https://docs.wto.org/dol2fe/Pages/FE_Search/FE_S_S006.aspx?DataSource=Cat&amp;query=@Symbol=WT/DS337/R*&amp;Language=English&amp;Context=ScriptedSearches&amp;languageUIChanged=true" TargetMode="External"/><Relationship Id="rId34" Type="http://schemas.openxmlformats.org/officeDocument/2006/relationships/hyperlink" Target="https://docs.wto.org/dol2fe/Pages/FE_Search/FE_S_S006.aspx?DataSource=Cat&amp;query=@Symbol=WT/DS268/AB/R&amp;Language=English&amp;Context=ScriptedSearches&amp;languageUIChanged=true"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cs.wto.org/dol2festaff/Pages/FE_Search/FE_S_S009-DP.aspx?language=E&amp;CatalogueIdList=288646,288596,288597,287871,273268,272573,266052,265029,261337,258979&amp;CurrentCatalogueIdIndex=2&amp;FullTextHash=&amp;HasEnglishRecord=True&amp;HasFrenchRecord=True&amp;HasSpanishRecord=True" TargetMode="External"/><Relationship Id="rId20" Type="http://schemas.openxmlformats.org/officeDocument/2006/relationships/hyperlink" Target="https://docs.wto.org/dol2fe/Pages/FE_Search/FE_S_S006.aspx?DataSource=Cat&amp;query=@Symbol=WT/DS397/AB/RW*&amp;Language=English&amp;Context=ScriptedSearches&amp;languageUIChanged=true" TargetMode="External"/><Relationship Id="rId29" Type="http://schemas.openxmlformats.org/officeDocument/2006/relationships/hyperlink" Target="https://docs.wto.org/dol2fe/Pages/FE_Search/FE_S_S006.aspx?DataSource=Cat&amp;query=@Symbol=WT/DS504/R*&amp;Language=English&amp;Context=ScriptedSearches&amp;languageUIChanged=true"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wto.org/dol2fe/Pages/FE_Search/FE_S_S006.aspx?DataSource=Cat&amp;query=@Symbol=WT/DS460/AB/R*&amp;Language=English&amp;Context=ScriptedSearches&amp;languageUIChanged=true" TargetMode="External"/><Relationship Id="rId24" Type="http://schemas.openxmlformats.org/officeDocument/2006/relationships/hyperlink" Target="https://docs.wto.org/dol2fe/Pages/FE_Search/FE_S_S006.aspx?DataSource=Cat&amp;query=@Symbol=WT/DS473/R*&amp;Language=English&amp;Context=ScriptedSearches&amp;languageUIChanged=true" TargetMode="External"/><Relationship Id="rId32" Type="http://schemas.openxmlformats.org/officeDocument/2006/relationships/hyperlink" Target="https://docs.wto.org/dol2fe/Pages/FE_Search/FE_S_S006.aspx?DataSource=Cat&amp;query=@Symbol=WT/DS331/R&amp;Language=English&amp;Context=ScriptedSearches&amp;languageUIChanged=true"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cs.wto.org/dol2festaff/Pages/FE_Search/FE_S_S009-DP.aspx?language=E&amp;CatalogueIdList=288646,288596,288597,287871,273268,272573,266052,265029,261337,258979&amp;CurrentCatalogueIdIndex=1&amp;FullTextHash=&amp;HasEnglishRecord=True&amp;HasFrenchRecord=True&amp;HasSpanishRecord=Truel" TargetMode="External"/><Relationship Id="rId23" Type="http://schemas.openxmlformats.org/officeDocument/2006/relationships/hyperlink" Target="https://docs.wto.org/dol2fe/Pages/FE_Search/FE_S_S006.aspx?DataSource=Cat&amp;query=@Symbol=WT/DS219/R&amp;Language=English&amp;Context=ScriptedSearches&amp;languageUIChanged=true" TargetMode="External"/><Relationship Id="rId28" Type="http://schemas.openxmlformats.org/officeDocument/2006/relationships/hyperlink" Target="https://docs.wto.org/dol2fe/Pages/FE_Search/FE_S_S006.aspx?DataSource=Cat&amp;query=@Symbol=WT/DS504/AB/R*&amp;Language=English&amp;Context=ScriptedSearches&amp;languageUIChanged=true" TargetMode="External"/><Relationship Id="rId36" Type="http://schemas.openxmlformats.org/officeDocument/2006/relationships/hyperlink" Target="https://docs.wto.org/dol2fe/Pages/FE_Search/FE_S_S006.aspx?DataSource=Cat&amp;query=@Symbol=WT/DS264/R&amp;Language=English&amp;Context=ScriptedSearches&amp;languageUIChanged=true" TargetMode="External"/><Relationship Id="rId10" Type="http://schemas.openxmlformats.org/officeDocument/2006/relationships/hyperlink" Target="https://docs.wto.org/dol2fe/Pages/FE_Search/FE_S_S006.aspx?DataSource=Cat&amp;query=@Symbol=WT/DS454/AB/R*&amp;Language=English&amp;Context=ScriptedSearches&amp;languageUIChanged=true" TargetMode="External"/><Relationship Id="rId19" Type="http://schemas.openxmlformats.org/officeDocument/2006/relationships/hyperlink" Target="https://docs.wto.org/dol2fe/Pages/FE_Search/FE_S_S006.aspx?DataSource=Cat&amp;query=@Symbol=WT/DS397/AB/R&amp;Language=English&amp;Context=ScriptedSearches&amp;languageUIChanged=true" TargetMode="External"/><Relationship Id="rId31" Type="http://schemas.openxmlformats.org/officeDocument/2006/relationships/hyperlink" Target="https://docs.wto.org/dol2fe/Pages/FE_Search/FE_S_S006.aspx?DataSource=Cat&amp;query=@Symbol=WT/DS295/R&amp;Language=English&amp;Context=ScriptedSearches&amp;languageUIChanged=true"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s.wto.org/dol2fe/Pages/FE_Search/FE_S_S006.aspx?DataSource=Cat&amp;query=@Symbol=WT/DS482/R*&amp;Language=English&amp;Context=ScriptedSearches&amp;languageUIChanged=true" TargetMode="External"/><Relationship Id="rId14" Type="http://schemas.openxmlformats.org/officeDocument/2006/relationships/hyperlink" Target="https://docs.wto.org/dol2fe/Pages/FE_Search/FE_S_S006.aspx?DataSource=Cat&amp;query=@Symbol=WT/DS398/AB/R&amp;Language=English&amp;Context=ScriptedSearches&amp;languageUIChanged=true" TargetMode="External"/><Relationship Id="rId22" Type="http://schemas.openxmlformats.org/officeDocument/2006/relationships/hyperlink" Target="https://docs.wto.org/dol2fe/Pages/FE_Search/FE_S_S006.aspx?DataSource=Cat&amp;query=@Symbol=WT/DS315/AB/R&amp;Language=English&amp;Context=ScriptedSearches&amp;languageUIChanged=true" TargetMode="External"/><Relationship Id="rId27" Type="http://schemas.openxmlformats.org/officeDocument/2006/relationships/hyperlink" Target="https://docs.wto.org/dol2fe/Pages/FE_Search/FE_S_S006.aspx?DataSource=Cat&amp;query=@Symbol=WT/DS98/AB/R&amp;Language=English&amp;Context=ScriptedSearches&amp;languageUIChanged=true" TargetMode="External"/><Relationship Id="rId30" Type="http://schemas.openxmlformats.org/officeDocument/2006/relationships/hyperlink" Target="https://docs.wto.org/dol2fe/Pages/FE_Search/FE_S_S006.aspx?DataSource=Cat&amp;query=@Symbol=WT/DS295/AB/R&amp;Language=English&amp;Context=ScriptedSearches&amp;languageUIChanged=true" TargetMode="External"/><Relationship Id="rId35" Type="http://schemas.openxmlformats.org/officeDocument/2006/relationships/hyperlink" Target="https://docs.wto.org/dol2fe/Pages/FE_Search/FE_S_S006.aspx?DataSource=Cat&amp;query=@Symbol=WT/DS429/R*&amp;Language=English&amp;Context=ScriptedSearches&amp;languageUIChanged=true" TargetMode="External"/><Relationship Id="rId43" Type="http://schemas.openxmlformats.org/officeDocument/2006/relationships/fontTable" Target="fontTable.xml"/><Relationship Id="rId8" Type="http://schemas.openxmlformats.org/officeDocument/2006/relationships/hyperlink" Target="https://docs.wto.org/dol2fe/Pages/FE_Search/FE_S_S006.aspx?DataSource=Cat&amp;query=@Symbol=WT/DS241/R&amp;Language=English&amp;Context=ScriptedSearches&amp;languageUIChanged=true" TargetMode="External"/><Relationship Id="rId3" Type="http://schemas.openxmlformats.org/officeDocument/2006/relationships/styles" Target="styles.xml"/><Relationship Id="rId12" Type="http://schemas.openxmlformats.org/officeDocument/2006/relationships/hyperlink" Target="https://docs.wto.org/dol2fe/Pages/FE_Search/FE_S_S006.aspx?DataSource=Cat&amp;query=@Symbol=WT/DS394/AB/R%20&amp;Language=English&amp;Context=ScriptedSearches&amp;languageUIChanged=true" TargetMode="External"/><Relationship Id="rId17" Type="http://schemas.openxmlformats.org/officeDocument/2006/relationships/hyperlink" Target="https://docs.wto.org/dol2fe/Pages/FE_Search/FE_S_S006.aspx?DataSource=Cat&amp;query=@Symbol=WT/DS524/R*&amp;Language=English&amp;Context=ScriptedSearches&amp;languageUIChanged=true" TargetMode="External"/><Relationship Id="rId25" Type="http://schemas.openxmlformats.org/officeDocument/2006/relationships/hyperlink" Target="https://docs.wto.org/dol2fe/Pages/FE_Search/FE_S_S006.aspx?DataSource=Cat&amp;query=@Symbol=WT/DS442/AB/R*&amp;Language=English&amp;Context=ScriptedSearches&amp;languageUIChanged=true" TargetMode="External"/><Relationship Id="rId33" Type="http://schemas.openxmlformats.org/officeDocument/2006/relationships/hyperlink" Target="https://docs.wto.org/dol2fe/Pages/FE_Search/FE_S_S006.aspx?DataSource=Cat&amp;query=@Symbol=WT/DS578/R*&amp;Language=English&amp;Context=ScriptedSearches&amp;languageUIChanged=true" TargetMode="External"/><Relationship Id="rId38"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dictionnaire.lerobert.com/definition/admissible" TargetMode="External"/><Relationship Id="rId2" Type="http://schemas.openxmlformats.org/officeDocument/2006/relationships/hyperlink" Target="https://www.oed.com/view/Entry/141213?redirectedFrom=permissible" TargetMode="External"/><Relationship Id="rId1" Type="http://schemas.openxmlformats.org/officeDocument/2006/relationships/hyperlink" Target="https://www.wto.org/english/tratop_e/dispu_e/cases_e/ds591_e.htm" TargetMode="External"/><Relationship Id="rId6" Type="http://schemas.openxmlformats.org/officeDocument/2006/relationships/hyperlink" Target="https://premium.oxforddictionaries.com/translate/spanish-english/admisible" TargetMode="External"/><Relationship Id="rId5" Type="http://schemas.openxmlformats.org/officeDocument/2006/relationships/hyperlink" Target="https://premium.oxforddictionaries.com/translate/french-english/admissible" TargetMode="External"/><Relationship Id="rId4" Type="http://schemas.openxmlformats.org/officeDocument/2006/relationships/hyperlink" Target="https://dle.rae.es/admisible?m=for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awley.cwr\appdata\roaming\microsoft\templates\Appellate%20Body\WTOABPanRe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A60E9-76C4-4546-9372-DBFC25217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WTOABPanRepE</Template>
  <TotalTime>1</TotalTime>
  <Pages>39</Pages>
  <Words>19001</Words>
  <Characters>108307</Characters>
  <Application>Microsoft Office Word</Application>
  <DocSecurity>0</DocSecurity>
  <Lines>902</Lines>
  <Paragraphs>254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Colombia - Frozen Fries (25)</dc:title>
  <dc:creator>Simon Lester</dc:creator>
  <cp:lastModifiedBy>Simon Lester</cp:lastModifiedBy>
  <cp:revision>2</cp:revision>
  <dcterms:created xsi:type="dcterms:W3CDTF">2022-12-21T15:50:00Z</dcterms:created>
  <dcterms:modified xsi:type="dcterms:W3CDTF">2022-12-21T15:50:00Z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WT/DS33/AB/R</vt:lpwstr>
  </property>
  <property fmtid="{D5CDD505-2E9C-101B-9397-08002B2CF9AE}" pid="3" name="TitusGUID">
    <vt:lpwstr>ab77d36d-f655-436f-a132-07245f19717b</vt:lpwstr>
  </property>
  <property fmtid="{D5CDD505-2E9C-101B-9397-08002B2CF9AE}" pid="4" name="WTOCLASSIFICATION">
    <vt:lpwstr>WTO OFFICIAL</vt:lpwstr>
  </property>
</Properties>
</file>